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0D323">
      <w:pPr>
        <w:pStyle w:val="5"/>
        <w:spacing w:line="245" w:lineRule="auto"/>
      </w:pPr>
    </w:p>
    <w:p w14:paraId="7B4301AC">
      <w:pPr>
        <w:pStyle w:val="5"/>
        <w:spacing w:line="245" w:lineRule="auto"/>
      </w:pPr>
    </w:p>
    <w:p w14:paraId="6E5F04E3">
      <w:pPr>
        <w:pStyle w:val="5"/>
        <w:spacing w:line="246" w:lineRule="auto"/>
      </w:pPr>
    </w:p>
    <w:p w14:paraId="75C546CE">
      <w:pPr>
        <w:pStyle w:val="5"/>
        <w:spacing w:line="246" w:lineRule="auto"/>
      </w:pPr>
    </w:p>
    <w:p w14:paraId="217FB008">
      <w:pPr>
        <w:pStyle w:val="5"/>
        <w:spacing w:line="246" w:lineRule="auto"/>
      </w:pPr>
    </w:p>
    <w:p w14:paraId="2ACF0AA7">
      <w:pPr>
        <w:pStyle w:val="5"/>
        <w:spacing w:line="246" w:lineRule="auto"/>
      </w:pPr>
    </w:p>
    <w:p w14:paraId="2EDBBE47">
      <w:pPr>
        <w:pStyle w:val="5"/>
        <w:spacing w:line="246" w:lineRule="auto"/>
      </w:pPr>
    </w:p>
    <w:p w14:paraId="6B532E62">
      <w:pPr>
        <w:pStyle w:val="5"/>
        <w:spacing w:line="246" w:lineRule="auto"/>
      </w:pPr>
    </w:p>
    <w:p w14:paraId="77BD1B9C">
      <w:pPr>
        <w:pStyle w:val="5"/>
        <w:spacing w:line="246" w:lineRule="auto"/>
      </w:pPr>
    </w:p>
    <w:p w14:paraId="5C683367">
      <w:pPr>
        <w:spacing w:line="360" w:lineRule="auto"/>
        <w:jc w:val="center"/>
        <w:rPr>
          <w:rFonts w:hint="eastAsia" w:ascii="宋体" w:hAnsi="宋体" w:eastAsia="宋体" w:cs="宋体"/>
          <w:b/>
          <w:w w:val="90"/>
          <w:sz w:val="36"/>
          <w:szCs w:val="36"/>
          <w:u w:val="single"/>
          <w:lang w:eastAsia="zh-CN"/>
        </w:rPr>
      </w:pPr>
      <w:r>
        <w:rPr>
          <w:rFonts w:hint="eastAsia" w:ascii="宋体" w:hAnsi="宋体" w:eastAsia="宋体" w:cs="宋体"/>
          <w:b/>
          <w:w w:val="90"/>
          <w:sz w:val="36"/>
          <w:szCs w:val="36"/>
          <w:u w:val="single"/>
          <w:lang w:eastAsia="zh-CN"/>
        </w:rPr>
        <w:t>辽宁省营口市陆生动物疫病病原学监测区域中心建设项目施工</w:t>
      </w:r>
    </w:p>
    <w:p w14:paraId="2AB4D680">
      <w:pPr>
        <w:pStyle w:val="5"/>
        <w:spacing w:line="266" w:lineRule="auto"/>
      </w:pPr>
    </w:p>
    <w:p w14:paraId="59C1EB54">
      <w:pPr>
        <w:pStyle w:val="5"/>
        <w:spacing w:line="266" w:lineRule="auto"/>
      </w:pPr>
    </w:p>
    <w:p w14:paraId="3D5DFF9B">
      <w:pPr>
        <w:pStyle w:val="5"/>
        <w:spacing w:line="266" w:lineRule="auto"/>
      </w:pPr>
    </w:p>
    <w:p w14:paraId="69AC5CCB">
      <w:pPr>
        <w:pStyle w:val="5"/>
        <w:spacing w:line="266" w:lineRule="auto"/>
      </w:pPr>
    </w:p>
    <w:p w14:paraId="15032627">
      <w:pPr>
        <w:pStyle w:val="5"/>
        <w:spacing w:line="267" w:lineRule="auto"/>
      </w:pPr>
    </w:p>
    <w:p w14:paraId="56C3A32E">
      <w:pPr>
        <w:pStyle w:val="5"/>
        <w:spacing w:line="267" w:lineRule="auto"/>
      </w:pPr>
    </w:p>
    <w:p w14:paraId="5890AD9D">
      <w:pPr>
        <w:pStyle w:val="5"/>
        <w:spacing w:line="267" w:lineRule="auto"/>
      </w:pPr>
    </w:p>
    <w:p w14:paraId="67911891">
      <w:pPr>
        <w:spacing w:before="234" w:line="219" w:lineRule="auto"/>
        <w:ind w:left="2212"/>
        <w:rPr>
          <w:rFonts w:ascii="黑体" w:hAnsi="黑体" w:eastAsia="黑体" w:cs="黑体"/>
          <w:sz w:val="72"/>
          <w:szCs w:val="72"/>
        </w:rPr>
      </w:pPr>
      <w:r>
        <w:rPr>
          <w:rFonts w:ascii="黑体" w:hAnsi="黑体" w:eastAsia="黑体" w:cs="黑体"/>
          <w:spacing w:val="-13"/>
          <w:sz w:val="72"/>
          <w:szCs w:val="72"/>
        </w:rPr>
        <w:t>招 标</w:t>
      </w:r>
      <w:r>
        <w:rPr>
          <w:rFonts w:ascii="黑体" w:hAnsi="黑体" w:eastAsia="黑体" w:cs="黑体"/>
          <w:spacing w:val="38"/>
          <w:sz w:val="72"/>
          <w:szCs w:val="72"/>
        </w:rPr>
        <w:t xml:space="preserve"> </w:t>
      </w:r>
      <w:r>
        <w:rPr>
          <w:rFonts w:ascii="黑体" w:hAnsi="黑体" w:eastAsia="黑体" w:cs="黑体"/>
          <w:spacing w:val="-13"/>
          <w:sz w:val="72"/>
          <w:szCs w:val="72"/>
        </w:rPr>
        <w:t>文</w:t>
      </w:r>
      <w:r>
        <w:rPr>
          <w:rFonts w:ascii="黑体" w:hAnsi="黑体" w:eastAsia="黑体" w:cs="黑体"/>
          <w:spacing w:val="23"/>
          <w:sz w:val="72"/>
          <w:szCs w:val="72"/>
        </w:rPr>
        <w:t xml:space="preserve"> </w:t>
      </w:r>
      <w:r>
        <w:rPr>
          <w:rFonts w:ascii="黑体" w:hAnsi="黑体" w:eastAsia="黑体" w:cs="黑体"/>
          <w:spacing w:val="-13"/>
          <w:sz w:val="72"/>
          <w:szCs w:val="72"/>
        </w:rPr>
        <w:t>件</w:t>
      </w:r>
    </w:p>
    <w:p w14:paraId="4FE5C5A7">
      <w:pPr>
        <w:pStyle w:val="5"/>
        <w:spacing w:line="304" w:lineRule="auto"/>
      </w:pPr>
    </w:p>
    <w:p w14:paraId="57C80124">
      <w:pPr>
        <w:pStyle w:val="5"/>
        <w:spacing w:line="305" w:lineRule="auto"/>
      </w:pPr>
    </w:p>
    <w:p w14:paraId="4C9CDE10">
      <w:pPr>
        <w:spacing w:before="91" w:line="219" w:lineRule="auto"/>
        <w:ind w:left="2096"/>
        <w:rPr>
          <w:rFonts w:ascii="黑体" w:hAnsi="黑体" w:eastAsia="黑体" w:cs="黑体"/>
          <w:sz w:val="28"/>
          <w:szCs w:val="28"/>
        </w:rPr>
      </w:pPr>
      <w:r>
        <w:rPr>
          <w:rFonts w:ascii="黑体" w:hAnsi="黑体" w:eastAsia="黑体" w:cs="黑体"/>
          <w:spacing w:val="-4"/>
          <w:sz w:val="28"/>
          <w:szCs w:val="28"/>
        </w:rPr>
        <w:t>（项目唯一标识码</w:t>
      </w:r>
      <w:r>
        <w:rPr>
          <w:rFonts w:ascii="黑体" w:hAnsi="黑体" w:eastAsia="黑体" w:cs="黑体"/>
          <w:sz w:val="28"/>
          <w:szCs w:val="28"/>
          <w:u w:val="single" w:color="auto"/>
        </w:rPr>
        <w:t xml:space="preserve">：          </w:t>
      </w:r>
      <w:r>
        <w:rPr>
          <w:rFonts w:ascii="黑体" w:hAnsi="黑体" w:eastAsia="黑体" w:cs="黑体"/>
          <w:sz w:val="28"/>
          <w:szCs w:val="28"/>
        </w:rPr>
        <w:t>）</w:t>
      </w:r>
    </w:p>
    <w:p w14:paraId="74C5A10C">
      <w:pPr>
        <w:pStyle w:val="5"/>
        <w:spacing w:line="244" w:lineRule="auto"/>
      </w:pPr>
    </w:p>
    <w:p w14:paraId="49C5B416">
      <w:pPr>
        <w:pStyle w:val="5"/>
        <w:spacing w:line="244" w:lineRule="auto"/>
      </w:pPr>
    </w:p>
    <w:p w14:paraId="1729EE96">
      <w:pPr>
        <w:pStyle w:val="5"/>
        <w:spacing w:line="244" w:lineRule="auto"/>
      </w:pPr>
    </w:p>
    <w:p w14:paraId="5ABCCB71">
      <w:pPr>
        <w:pStyle w:val="5"/>
        <w:spacing w:line="244" w:lineRule="auto"/>
      </w:pPr>
    </w:p>
    <w:p w14:paraId="469964A9">
      <w:pPr>
        <w:pStyle w:val="5"/>
        <w:spacing w:line="244" w:lineRule="auto"/>
      </w:pPr>
    </w:p>
    <w:p w14:paraId="0B9A33C9">
      <w:pPr>
        <w:pStyle w:val="5"/>
        <w:spacing w:line="244" w:lineRule="auto"/>
      </w:pPr>
    </w:p>
    <w:p w14:paraId="0805D4B6">
      <w:pPr>
        <w:pStyle w:val="5"/>
        <w:spacing w:line="244" w:lineRule="auto"/>
      </w:pPr>
    </w:p>
    <w:p w14:paraId="3862BD60">
      <w:pPr>
        <w:pStyle w:val="5"/>
        <w:spacing w:line="244" w:lineRule="auto"/>
      </w:pPr>
    </w:p>
    <w:p w14:paraId="56BD0BCA">
      <w:pPr>
        <w:pStyle w:val="5"/>
        <w:spacing w:line="244" w:lineRule="auto"/>
      </w:pPr>
    </w:p>
    <w:p w14:paraId="460B5C1F">
      <w:pPr>
        <w:pStyle w:val="5"/>
        <w:spacing w:line="244" w:lineRule="auto"/>
      </w:pPr>
    </w:p>
    <w:p w14:paraId="089E8ED7">
      <w:pPr>
        <w:pStyle w:val="5"/>
        <w:spacing w:line="244" w:lineRule="auto"/>
      </w:pPr>
    </w:p>
    <w:p w14:paraId="1AE7C3E7">
      <w:pPr>
        <w:pStyle w:val="5"/>
        <w:spacing w:line="244" w:lineRule="auto"/>
      </w:pPr>
    </w:p>
    <w:p w14:paraId="32EF43D4">
      <w:pPr>
        <w:pStyle w:val="5"/>
        <w:spacing w:line="244" w:lineRule="auto"/>
      </w:pPr>
    </w:p>
    <w:p w14:paraId="2114ABC0">
      <w:pPr>
        <w:pStyle w:val="5"/>
        <w:spacing w:line="244" w:lineRule="auto"/>
      </w:pPr>
    </w:p>
    <w:p w14:paraId="5E1E4FE1">
      <w:pPr>
        <w:pStyle w:val="5"/>
        <w:spacing w:line="244" w:lineRule="auto"/>
      </w:pPr>
    </w:p>
    <w:p w14:paraId="3AEF9B4F">
      <w:pPr>
        <w:spacing w:before="91" w:line="219" w:lineRule="auto"/>
        <w:rPr>
          <w:rFonts w:hint="eastAsia" w:ascii="黑体" w:hAnsi="黑体" w:eastAsia="黑体" w:cs="黑体"/>
          <w:spacing w:val="-1"/>
          <w:sz w:val="28"/>
          <w:szCs w:val="28"/>
          <w:lang w:eastAsia="zh-CN"/>
        </w:rPr>
      </w:pPr>
      <w:r>
        <w:rPr>
          <w:rFonts w:ascii="黑体" w:hAnsi="黑体" w:eastAsia="黑体" w:cs="黑体"/>
          <w:spacing w:val="-1"/>
          <w:sz w:val="28"/>
          <w:szCs w:val="28"/>
        </w:rPr>
        <w:t>招</w:t>
      </w: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标</w:t>
      </w: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人</w:t>
      </w:r>
      <w:r>
        <w:rPr>
          <w:rFonts w:hint="eastAsia" w:ascii="黑体" w:hAnsi="黑体" w:eastAsia="黑体" w:cs="黑体"/>
          <w:spacing w:val="-1"/>
          <w:sz w:val="28"/>
          <w:szCs w:val="28"/>
          <w:lang w:eastAsia="zh-CN"/>
        </w:rPr>
        <w:t>：</w:t>
      </w:r>
      <w:r>
        <w:rPr>
          <w:rFonts w:hint="eastAsia" w:ascii="黑体" w:hAnsi="黑体" w:eastAsia="黑体" w:cs="黑体"/>
          <w:spacing w:val="-1"/>
          <w:sz w:val="28"/>
          <w:szCs w:val="28"/>
          <w:u w:val="single"/>
          <w:lang w:eastAsia="zh-CN"/>
        </w:rPr>
        <w:t>营口市动物疫病预防控制中心</w:t>
      </w:r>
      <w:r>
        <w:rPr>
          <w:rFonts w:hint="eastAsia" w:ascii="黑体" w:hAnsi="黑体" w:eastAsia="黑体" w:cs="黑体"/>
          <w:spacing w:val="-1"/>
          <w:sz w:val="28"/>
          <w:szCs w:val="28"/>
          <w:lang w:val="en-US" w:eastAsia="zh-CN"/>
        </w:rPr>
        <w:t>（</w:t>
      </w:r>
      <w:r>
        <w:rPr>
          <w:rFonts w:hint="eastAsia" w:ascii="黑体" w:hAnsi="黑体" w:eastAsia="黑体" w:cs="黑体"/>
          <w:spacing w:val="-1"/>
          <w:sz w:val="28"/>
          <w:szCs w:val="28"/>
          <w:lang w:eastAsia="zh-CN"/>
        </w:rPr>
        <w:t>盖章）</w:t>
      </w:r>
    </w:p>
    <w:p w14:paraId="39D6E6F7">
      <w:pPr>
        <w:spacing w:before="91" w:line="219" w:lineRule="auto"/>
        <w:rPr>
          <w:rFonts w:hint="eastAsia" w:ascii="黑体" w:hAnsi="黑体" w:eastAsia="黑体" w:cs="黑体"/>
          <w:spacing w:val="-1"/>
          <w:sz w:val="28"/>
          <w:szCs w:val="28"/>
          <w:lang w:eastAsia="zh-CN"/>
        </w:rPr>
      </w:pPr>
    </w:p>
    <w:p w14:paraId="62ED7A45">
      <w:pPr>
        <w:spacing w:before="91" w:line="219" w:lineRule="auto"/>
        <w:rPr>
          <w:rFonts w:ascii="黑体" w:hAnsi="黑体" w:eastAsia="黑体" w:cs="黑体"/>
          <w:sz w:val="28"/>
          <w:szCs w:val="28"/>
        </w:rPr>
      </w:pPr>
      <w:r>
        <w:rPr>
          <w:rFonts w:ascii="黑体" w:hAnsi="黑体" w:eastAsia="黑体" w:cs="黑体"/>
          <w:spacing w:val="-1"/>
          <w:sz w:val="28"/>
          <w:szCs w:val="28"/>
        </w:rPr>
        <w:t>招标代理机构</w:t>
      </w:r>
      <w:r>
        <w:rPr>
          <w:rFonts w:ascii="黑体" w:hAnsi="黑体" w:eastAsia="黑体" w:cs="黑体"/>
          <w:spacing w:val="-12"/>
          <w:sz w:val="28"/>
          <w:szCs w:val="28"/>
        </w:rPr>
        <w:t>：</w:t>
      </w:r>
      <w:r>
        <w:rPr>
          <w:rFonts w:hint="eastAsia" w:ascii="黑体" w:hAnsi="黑体" w:eastAsia="黑体" w:cs="黑体"/>
          <w:sz w:val="28"/>
          <w:szCs w:val="28"/>
          <w:u w:val="single" w:color="auto"/>
          <w:lang w:val="en-US" w:eastAsia="zh-CN"/>
        </w:rPr>
        <w:t>营口公物咨询管理有限公司（</w:t>
      </w:r>
      <w:r>
        <w:rPr>
          <w:rFonts w:ascii="黑体" w:hAnsi="黑体" w:eastAsia="黑体" w:cs="黑体"/>
          <w:spacing w:val="-1"/>
          <w:sz w:val="28"/>
          <w:szCs w:val="28"/>
        </w:rPr>
        <w:t>盖章）</w:t>
      </w:r>
    </w:p>
    <w:p w14:paraId="701DBC95">
      <w:pPr>
        <w:spacing w:before="310" w:line="221" w:lineRule="auto"/>
        <w:ind w:left="1888"/>
        <w:rPr>
          <w:rFonts w:ascii="黑体" w:hAnsi="黑体" w:eastAsia="黑体" w:cs="黑体"/>
          <w:sz w:val="28"/>
          <w:szCs w:val="28"/>
        </w:rPr>
      </w:pPr>
      <w:r>
        <w:rPr>
          <w:rFonts w:ascii="黑体" w:hAnsi="黑体" w:eastAsia="黑体" w:cs="黑体"/>
          <w:spacing w:val="-16"/>
          <w:sz w:val="28"/>
          <w:szCs w:val="28"/>
        </w:rPr>
        <w:t>日</w:t>
      </w:r>
      <w:r>
        <w:rPr>
          <w:rFonts w:ascii="黑体" w:hAnsi="黑体" w:eastAsia="黑体" w:cs="黑体"/>
          <w:spacing w:val="3"/>
          <w:sz w:val="28"/>
          <w:szCs w:val="28"/>
        </w:rPr>
        <w:t xml:space="preserve">    </w:t>
      </w:r>
      <w:r>
        <w:rPr>
          <w:rFonts w:ascii="黑体" w:hAnsi="黑体" w:eastAsia="黑体" w:cs="黑体"/>
          <w:spacing w:val="-16"/>
          <w:sz w:val="28"/>
          <w:szCs w:val="28"/>
        </w:rPr>
        <w:t>期：</w:t>
      </w:r>
      <w:r>
        <w:rPr>
          <w:rFonts w:ascii="黑体" w:hAnsi="黑体" w:eastAsia="黑体" w:cs="黑体"/>
          <w:spacing w:val="23"/>
          <w:sz w:val="28"/>
          <w:szCs w:val="28"/>
          <w:u w:val="single" w:color="auto"/>
        </w:rPr>
        <w:t xml:space="preserve"> </w:t>
      </w:r>
      <w:r>
        <w:rPr>
          <w:rFonts w:hint="eastAsia" w:ascii="黑体" w:hAnsi="黑体" w:eastAsia="黑体" w:cs="黑体"/>
          <w:spacing w:val="23"/>
          <w:sz w:val="28"/>
          <w:szCs w:val="28"/>
          <w:u w:val="single" w:color="auto"/>
          <w:lang w:val="en-US" w:eastAsia="zh-CN"/>
        </w:rPr>
        <w:t xml:space="preserve">  </w:t>
      </w:r>
      <w:r>
        <w:rPr>
          <w:rFonts w:ascii="黑体" w:hAnsi="黑体" w:eastAsia="黑体" w:cs="黑体"/>
          <w:spacing w:val="23"/>
          <w:sz w:val="28"/>
          <w:szCs w:val="28"/>
          <w:u w:val="single" w:color="auto"/>
        </w:rPr>
        <w:t xml:space="preserve"> </w:t>
      </w:r>
      <w:r>
        <w:rPr>
          <w:rFonts w:ascii="黑体" w:hAnsi="黑体" w:eastAsia="黑体" w:cs="黑体"/>
          <w:spacing w:val="-125"/>
          <w:sz w:val="28"/>
          <w:szCs w:val="28"/>
        </w:rPr>
        <w:t xml:space="preserve"> </w:t>
      </w:r>
      <w:r>
        <w:rPr>
          <w:rFonts w:ascii="黑体" w:hAnsi="黑体" w:eastAsia="黑体" w:cs="黑体"/>
          <w:spacing w:val="-16"/>
          <w:sz w:val="28"/>
          <w:szCs w:val="28"/>
        </w:rPr>
        <w:t>年</w:t>
      </w:r>
      <w:r>
        <w:rPr>
          <w:rFonts w:ascii="黑体" w:hAnsi="黑体" w:eastAsia="黑体" w:cs="黑体"/>
          <w:spacing w:val="-140"/>
          <w:sz w:val="28"/>
          <w:szCs w:val="28"/>
        </w:rPr>
        <w:t xml:space="preserve"> </w:t>
      </w:r>
      <w:r>
        <w:rPr>
          <w:rFonts w:ascii="黑体" w:hAnsi="黑体" w:eastAsia="黑体" w:cs="黑体"/>
          <w:sz w:val="28"/>
          <w:szCs w:val="28"/>
          <w:u w:val="single" w:color="auto"/>
        </w:rPr>
        <w:t xml:space="preserve"> </w:t>
      </w:r>
      <w:r>
        <w:rPr>
          <w:rFonts w:hint="eastAsia" w:ascii="黑体" w:hAnsi="黑体" w:eastAsia="黑体" w:cs="黑体"/>
          <w:sz w:val="28"/>
          <w:szCs w:val="28"/>
          <w:u w:val="single" w:color="auto"/>
          <w:lang w:val="en-US" w:eastAsia="zh-CN"/>
        </w:rPr>
        <w:t xml:space="preserve">  </w:t>
      </w:r>
      <w:r>
        <w:rPr>
          <w:rFonts w:ascii="黑体" w:hAnsi="黑体" w:eastAsia="黑体" w:cs="黑体"/>
          <w:spacing w:val="-122"/>
          <w:sz w:val="28"/>
          <w:szCs w:val="28"/>
        </w:rPr>
        <w:t xml:space="preserve"> </w:t>
      </w:r>
      <w:r>
        <w:rPr>
          <w:rFonts w:ascii="黑体" w:hAnsi="黑体" w:eastAsia="黑体" w:cs="黑体"/>
          <w:spacing w:val="-16"/>
          <w:sz w:val="28"/>
          <w:szCs w:val="28"/>
        </w:rPr>
        <w:t>月</w:t>
      </w:r>
      <w:r>
        <w:rPr>
          <w:rFonts w:ascii="黑体" w:hAnsi="黑体" w:eastAsia="黑体" w:cs="黑体"/>
          <w:sz w:val="28"/>
          <w:szCs w:val="28"/>
          <w:u w:val="single" w:color="auto"/>
        </w:rPr>
        <w:t xml:space="preserve">     </w:t>
      </w:r>
      <w:r>
        <w:rPr>
          <w:rFonts w:ascii="黑体" w:hAnsi="黑体" w:eastAsia="黑体" w:cs="黑体"/>
          <w:spacing w:val="-84"/>
          <w:sz w:val="28"/>
          <w:szCs w:val="28"/>
        </w:rPr>
        <w:t xml:space="preserve"> </w:t>
      </w:r>
      <w:r>
        <w:rPr>
          <w:rFonts w:ascii="黑体" w:hAnsi="黑体" w:eastAsia="黑体" w:cs="黑体"/>
          <w:spacing w:val="-16"/>
          <w:sz w:val="28"/>
          <w:szCs w:val="28"/>
        </w:rPr>
        <w:t>日</w:t>
      </w:r>
    </w:p>
    <w:p w14:paraId="7E2A15B5">
      <w:pPr>
        <w:spacing w:line="221" w:lineRule="auto"/>
        <w:rPr>
          <w:rFonts w:ascii="黑体" w:hAnsi="黑体" w:eastAsia="黑体" w:cs="黑体"/>
          <w:sz w:val="28"/>
          <w:szCs w:val="28"/>
        </w:rPr>
        <w:sectPr>
          <w:footerReference r:id="rId5"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43"/>
          <w:szCs w:val="43"/>
        </w:rPr>
        <w:id w:val="147456179"/>
        <w:docPartObj>
          <w:docPartGallery w:val="Table of Contents"/>
          <w:docPartUnique/>
        </w:docPartObj>
      </w:sdtPr>
      <w:sdtEndPr>
        <w:rPr>
          <w:rFonts w:ascii="宋体" w:hAnsi="宋体" w:eastAsia="宋体" w:cs="宋体"/>
          <w:sz w:val="21"/>
          <w:szCs w:val="21"/>
        </w:rPr>
      </w:sdtEndPr>
      <w:sdtContent>
        <w:p w14:paraId="7438C457">
          <w:pPr>
            <w:spacing w:before="101" w:line="226" w:lineRule="auto"/>
            <w:ind w:left="3605"/>
            <w:rPr>
              <w:rFonts w:ascii="宋体" w:hAnsi="宋体" w:eastAsia="宋体" w:cs="宋体"/>
              <w:sz w:val="43"/>
              <w:szCs w:val="43"/>
            </w:rPr>
          </w:pPr>
          <w:bookmarkStart w:id="0" w:name="bookmark1"/>
          <w:bookmarkEnd w:id="0"/>
          <w:r>
            <w:rPr>
              <w:rFonts w:ascii="宋体" w:hAnsi="宋体" w:eastAsia="宋体" w:cs="宋体"/>
              <w:b/>
              <w:bCs/>
              <w:spacing w:val="-51"/>
              <w:sz w:val="43"/>
              <w:szCs w:val="43"/>
            </w:rPr>
            <w:t>目</w:t>
          </w:r>
          <w:r>
            <w:rPr>
              <w:rFonts w:ascii="宋体" w:hAnsi="宋体" w:eastAsia="宋体" w:cs="宋体"/>
              <w:spacing w:val="17"/>
              <w:sz w:val="43"/>
              <w:szCs w:val="43"/>
            </w:rPr>
            <w:t xml:space="preserve">  </w:t>
          </w:r>
          <w:r>
            <w:rPr>
              <w:rFonts w:ascii="宋体" w:hAnsi="宋体" w:eastAsia="宋体" w:cs="宋体"/>
              <w:b/>
              <w:bCs/>
              <w:spacing w:val="-51"/>
              <w:sz w:val="43"/>
              <w:szCs w:val="43"/>
            </w:rPr>
            <w:t>录</w:t>
          </w:r>
        </w:p>
        <w:p w14:paraId="6CAA38B6">
          <w:pPr>
            <w:tabs>
              <w:tab w:val="right" w:leader="dot" w:pos="8312"/>
            </w:tabs>
            <w:spacing w:before="56" w:line="221" w:lineRule="auto"/>
            <w:ind w:left="22"/>
            <w:rPr>
              <w:rFonts w:ascii="宋体" w:hAnsi="宋体" w:eastAsia="宋体" w:cs="宋体"/>
              <w:sz w:val="21"/>
              <w:szCs w:val="21"/>
            </w:rPr>
          </w:pPr>
          <w:r>
            <w:fldChar w:fldCharType="begin"/>
          </w:r>
          <w:r>
            <w:instrText xml:space="preserve"> HYPERLINK \l "bookmark2" </w:instrText>
          </w:r>
          <w:r>
            <w:fldChar w:fldCharType="separate"/>
          </w:r>
          <w:r>
            <w:rPr>
              <w:rFonts w:ascii="宋体" w:hAnsi="宋体" w:eastAsia="宋体" w:cs="宋体"/>
              <w:b/>
              <w:bCs/>
              <w:spacing w:val="-4"/>
              <w:sz w:val="21"/>
              <w:szCs w:val="21"/>
            </w:rPr>
            <w:t>第一卷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23"/>
              <w:sz w:val="21"/>
              <w:szCs w:val="21"/>
            </w:rPr>
            <w:t xml:space="preserve"> </w:t>
          </w:r>
          <w:r>
            <w:rPr>
              <w:rFonts w:ascii="宋体" w:hAnsi="宋体" w:eastAsia="宋体" w:cs="宋体"/>
              <w:b/>
              <w:bCs/>
              <w:spacing w:val="-26"/>
              <w:sz w:val="21"/>
              <w:szCs w:val="21"/>
            </w:rPr>
            <w:t>1</w:t>
          </w:r>
          <w:r>
            <w:rPr>
              <w:rFonts w:ascii="宋体" w:hAnsi="宋体" w:eastAsia="宋体" w:cs="宋体"/>
              <w:b/>
              <w:bCs/>
              <w:spacing w:val="-26"/>
              <w:sz w:val="21"/>
              <w:szCs w:val="21"/>
            </w:rPr>
            <w:fldChar w:fldCharType="end"/>
          </w:r>
        </w:p>
        <w:p w14:paraId="7CC21A76">
          <w:pPr>
            <w:tabs>
              <w:tab w:val="right" w:leader="dot" w:pos="8312"/>
            </w:tabs>
            <w:spacing w:before="61" w:line="219" w:lineRule="auto"/>
            <w:ind w:left="22"/>
            <w:rPr>
              <w:rFonts w:ascii="宋体" w:hAnsi="宋体" w:eastAsia="宋体" w:cs="宋体"/>
              <w:sz w:val="21"/>
              <w:szCs w:val="21"/>
            </w:rPr>
          </w:pPr>
          <w:r>
            <w:fldChar w:fldCharType="begin"/>
          </w:r>
          <w:r>
            <w:instrText xml:space="preserve"> HYPERLINK \l "bookmark3" </w:instrText>
          </w:r>
          <w:r>
            <w:fldChar w:fldCharType="separate"/>
          </w:r>
          <w:r>
            <w:rPr>
              <w:rFonts w:ascii="宋体" w:hAnsi="宋体" w:eastAsia="宋体" w:cs="宋体"/>
              <w:b/>
              <w:bCs/>
              <w:spacing w:val="-4"/>
              <w:sz w:val="21"/>
              <w:szCs w:val="21"/>
            </w:rPr>
            <w:t>第一章</w:t>
          </w:r>
          <w:r>
            <w:rPr>
              <w:rFonts w:ascii="宋体" w:hAnsi="宋体" w:eastAsia="宋体" w:cs="宋体"/>
              <w:spacing w:val="-4"/>
              <w:sz w:val="21"/>
              <w:szCs w:val="21"/>
            </w:rPr>
            <w:t xml:space="preserve">  </w:t>
          </w:r>
          <w:r>
            <w:rPr>
              <w:rFonts w:ascii="宋体" w:hAnsi="宋体" w:eastAsia="宋体" w:cs="宋体"/>
              <w:b/>
              <w:bCs/>
              <w:spacing w:val="-4"/>
              <w:sz w:val="21"/>
              <w:szCs w:val="21"/>
            </w:rPr>
            <w:t>招标公告</w:t>
          </w:r>
          <w:r>
            <w:rPr>
              <w:rFonts w:ascii="宋体" w:hAnsi="宋体" w:eastAsia="宋体" w:cs="宋体"/>
              <w:spacing w:val="-4"/>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6"/>
              <w:sz w:val="21"/>
              <w:szCs w:val="21"/>
            </w:rPr>
            <w:t xml:space="preserve"> </w:t>
          </w:r>
          <w:r>
            <w:rPr>
              <w:rFonts w:ascii="宋体" w:hAnsi="宋体" w:eastAsia="宋体" w:cs="宋体"/>
              <w:b/>
              <w:bCs/>
              <w:spacing w:val="-3"/>
              <w:sz w:val="21"/>
              <w:szCs w:val="21"/>
            </w:rPr>
            <w:t>2</w:t>
          </w:r>
          <w:r>
            <w:rPr>
              <w:rFonts w:ascii="宋体" w:hAnsi="宋体" w:eastAsia="宋体" w:cs="宋体"/>
              <w:b/>
              <w:bCs/>
              <w:spacing w:val="-3"/>
              <w:sz w:val="21"/>
              <w:szCs w:val="21"/>
            </w:rPr>
            <w:fldChar w:fldCharType="end"/>
          </w:r>
        </w:p>
        <w:p w14:paraId="4D133D70">
          <w:pPr>
            <w:tabs>
              <w:tab w:val="right" w:leader="dot" w:pos="8312"/>
            </w:tabs>
            <w:spacing w:before="62" w:line="221" w:lineRule="auto"/>
            <w:ind w:left="458"/>
            <w:rPr>
              <w:rFonts w:ascii="宋体" w:hAnsi="宋体" w:eastAsia="宋体" w:cs="宋体"/>
              <w:sz w:val="21"/>
              <w:szCs w:val="21"/>
            </w:rPr>
          </w:pPr>
          <w:r>
            <w:fldChar w:fldCharType="begin"/>
          </w:r>
          <w:r>
            <w:instrText xml:space="preserve"> HYPERLINK \l "bookmark4" </w:instrText>
          </w:r>
          <w:r>
            <w:fldChar w:fldCharType="separate"/>
          </w:r>
          <w:r>
            <w:rPr>
              <w:rFonts w:ascii="宋体" w:hAnsi="宋体" w:eastAsia="宋体" w:cs="宋体"/>
              <w:spacing w:val="-4"/>
              <w:sz w:val="21"/>
              <w:szCs w:val="21"/>
            </w:rPr>
            <w:t>1.招标条件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2F654EE2">
          <w:pPr>
            <w:tabs>
              <w:tab w:val="right" w:leader="dot" w:pos="8312"/>
            </w:tabs>
            <w:spacing w:before="60" w:line="221" w:lineRule="auto"/>
            <w:ind w:left="445"/>
            <w:rPr>
              <w:rFonts w:ascii="宋体" w:hAnsi="宋体" w:eastAsia="宋体" w:cs="宋体"/>
              <w:sz w:val="21"/>
              <w:szCs w:val="21"/>
            </w:rPr>
          </w:pPr>
          <w:r>
            <w:fldChar w:fldCharType="begin"/>
          </w:r>
          <w:r>
            <w:instrText xml:space="preserve"> HYPERLINK \l "bookmark5" </w:instrText>
          </w:r>
          <w:r>
            <w:fldChar w:fldCharType="separate"/>
          </w:r>
          <w:r>
            <w:rPr>
              <w:rFonts w:ascii="宋体" w:hAnsi="宋体" w:eastAsia="宋体" w:cs="宋体"/>
              <w:spacing w:val="-1"/>
              <w:sz w:val="21"/>
              <w:szCs w:val="21"/>
            </w:rPr>
            <w:t>2.项目概况与招标范围</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5D02E94B">
          <w:pPr>
            <w:tabs>
              <w:tab w:val="right" w:leader="dot" w:pos="8312"/>
            </w:tabs>
            <w:spacing w:before="60" w:line="221" w:lineRule="auto"/>
            <w:ind w:left="446"/>
            <w:rPr>
              <w:rFonts w:ascii="宋体" w:hAnsi="宋体" w:eastAsia="宋体" w:cs="宋体"/>
              <w:sz w:val="21"/>
              <w:szCs w:val="21"/>
            </w:rPr>
          </w:pPr>
          <w:r>
            <w:fldChar w:fldCharType="begin"/>
          </w:r>
          <w:r>
            <w:instrText xml:space="preserve"> HYPERLINK \l "bookmark6" </w:instrText>
          </w:r>
          <w:r>
            <w:fldChar w:fldCharType="separate"/>
          </w:r>
          <w:r>
            <w:rPr>
              <w:rFonts w:ascii="宋体" w:hAnsi="宋体" w:eastAsia="宋体" w:cs="宋体"/>
              <w:spacing w:val="-2"/>
              <w:sz w:val="21"/>
              <w:szCs w:val="21"/>
            </w:rPr>
            <w:t>3.投标人资格要求</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61E0642A">
          <w:pPr>
            <w:tabs>
              <w:tab w:val="right" w:leader="dot" w:pos="8312"/>
            </w:tabs>
            <w:spacing w:before="60" w:line="221" w:lineRule="auto"/>
            <w:ind w:left="441"/>
            <w:rPr>
              <w:rFonts w:ascii="宋体" w:hAnsi="宋体" w:eastAsia="宋体" w:cs="宋体"/>
              <w:sz w:val="21"/>
              <w:szCs w:val="21"/>
            </w:rPr>
          </w:pPr>
          <w:r>
            <w:fldChar w:fldCharType="begin"/>
          </w:r>
          <w:r>
            <w:instrText xml:space="preserve"> HYPERLINK \l "bookmark7" </w:instrText>
          </w:r>
          <w:r>
            <w:fldChar w:fldCharType="separate"/>
          </w:r>
          <w:r>
            <w:rPr>
              <w:rFonts w:ascii="宋体" w:hAnsi="宋体" w:eastAsia="宋体" w:cs="宋体"/>
              <w:spacing w:val="-1"/>
              <w:sz w:val="21"/>
              <w:szCs w:val="21"/>
            </w:rPr>
            <w:t>4.招标文件的获取</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8"/>
              <w:sz w:val="21"/>
              <w:szCs w:val="21"/>
            </w:rPr>
            <w:t xml:space="preserve"> </w:t>
          </w:r>
          <w:r>
            <w:rPr>
              <w:rFonts w:ascii="宋体" w:hAnsi="宋体" w:eastAsia="宋体" w:cs="宋体"/>
              <w:sz w:val="21"/>
              <w:szCs w:val="21"/>
            </w:rPr>
            <w:t>2</w:t>
          </w:r>
          <w:r>
            <w:rPr>
              <w:rFonts w:ascii="宋体" w:hAnsi="宋体" w:eastAsia="宋体" w:cs="宋体"/>
              <w:sz w:val="21"/>
              <w:szCs w:val="21"/>
            </w:rPr>
            <w:fldChar w:fldCharType="end"/>
          </w:r>
        </w:p>
        <w:p w14:paraId="71BD802F">
          <w:pPr>
            <w:tabs>
              <w:tab w:val="right" w:leader="dot" w:pos="8312"/>
            </w:tabs>
            <w:spacing w:before="61" w:line="221" w:lineRule="auto"/>
            <w:ind w:left="446"/>
            <w:rPr>
              <w:rFonts w:ascii="宋体" w:hAnsi="宋体" w:eastAsia="宋体" w:cs="宋体"/>
              <w:sz w:val="21"/>
              <w:szCs w:val="21"/>
            </w:rPr>
          </w:pPr>
          <w:r>
            <w:fldChar w:fldCharType="begin"/>
          </w:r>
          <w:r>
            <w:instrText xml:space="preserve"> HYPERLINK \l "bookmark8" </w:instrText>
          </w:r>
          <w:r>
            <w:fldChar w:fldCharType="separate"/>
          </w:r>
          <w:r>
            <w:rPr>
              <w:rFonts w:ascii="宋体" w:hAnsi="宋体" w:eastAsia="宋体" w:cs="宋体"/>
              <w:spacing w:val="-2"/>
              <w:sz w:val="21"/>
              <w:szCs w:val="21"/>
            </w:rPr>
            <w:t>5.投标文件的递交</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2D1DA7B0">
          <w:pPr>
            <w:tabs>
              <w:tab w:val="right" w:leader="dot" w:pos="8312"/>
            </w:tabs>
            <w:spacing w:before="62" w:line="221" w:lineRule="auto"/>
            <w:ind w:left="444"/>
            <w:rPr>
              <w:rFonts w:ascii="宋体" w:hAnsi="宋体" w:eastAsia="宋体" w:cs="宋体"/>
              <w:sz w:val="21"/>
              <w:szCs w:val="21"/>
            </w:rPr>
          </w:pPr>
          <w:r>
            <w:fldChar w:fldCharType="begin"/>
          </w:r>
          <w:r>
            <w:instrText xml:space="preserve"> HYPERLINK \l "bookmark9" </w:instrText>
          </w:r>
          <w:r>
            <w:fldChar w:fldCharType="separate"/>
          </w:r>
          <w:r>
            <w:rPr>
              <w:rFonts w:ascii="宋体" w:hAnsi="宋体" w:eastAsia="宋体" w:cs="宋体"/>
              <w:spacing w:val="-1"/>
              <w:sz w:val="21"/>
              <w:szCs w:val="21"/>
            </w:rPr>
            <w:t>6.投标相关事宜</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53E3CC09">
          <w:pPr>
            <w:tabs>
              <w:tab w:val="right" w:leader="dot" w:pos="8312"/>
            </w:tabs>
            <w:spacing w:before="59" w:line="221" w:lineRule="auto"/>
            <w:ind w:left="447"/>
            <w:rPr>
              <w:rFonts w:ascii="宋体" w:hAnsi="宋体" w:eastAsia="宋体" w:cs="宋体"/>
              <w:sz w:val="21"/>
              <w:szCs w:val="21"/>
            </w:rPr>
          </w:pPr>
          <w:r>
            <w:fldChar w:fldCharType="begin"/>
          </w:r>
          <w:r>
            <w:instrText xml:space="preserve"> HYPERLINK \l "bookmark10" </w:instrText>
          </w:r>
          <w:r>
            <w:fldChar w:fldCharType="separate"/>
          </w:r>
          <w:r>
            <w:rPr>
              <w:rFonts w:ascii="宋体" w:hAnsi="宋体" w:eastAsia="宋体" w:cs="宋体"/>
              <w:spacing w:val="-2"/>
              <w:sz w:val="21"/>
              <w:szCs w:val="21"/>
            </w:rPr>
            <w:t>7.评标办法</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72E98C90">
          <w:pPr>
            <w:tabs>
              <w:tab w:val="right" w:leader="dot" w:pos="8312"/>
            </w:tabs>
            <w:spacing w:before="62" w:line="219" w:lineRule="auto"/>
            <w:ind w:left="443"/>
            <w:rPr>
              <w:rFonts w:ascii="宋体" w:hAnsi="宋体" w:eastAsia="宋体" w:cs="宋体"/>
              <w:sz w:val="21"/>
              <w:szCs w:val="21"/>
            </w:rPr>
          </w:pPr>
          <w:r>
            <w:fldChar w:fldCharType="begin"/>
          </w:r>
          <w:r>
            <w:instrText xml:space="preserve"> HYPERLINK \l "bookmark11" </w:instrText>
          </w:r>
          <w:r>
            <w:fldChar w:fldCharType="separate"/>
          </w:r>
          <w:r>
            <w:rPr>
              <w:rFonts w:ascii="宋体" w:hAnsi="宋体" w:eastAsia="宋体" w:cs="宋体"/>
              <w:spacing w:val="-1"/>
              <w:sz w:val="21"/>
              <w:szCs w:val="21"/>
            </w:rPr>
            <w:t>8.发布公告的媒介</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2ECC544C">
          <w:pPr>
            <w:tabs>
              <w:tab w:val="right" w:leader="dot" w:pos="8312"/>
            </w:tabs>
            <w:spacing w:before="62" w:line="221" w:lineRule="auto"/>
            <w:ind w:left="443"/>
            <w:rPr>
              <w:rFonts w:ascii="宋体" w:hAnsi="宋体" w:eastAsia="宋体" w:cs="宋体"/>
              <w:sz w:val="21"/>
              <w:szCs w:val="21"/>
            </w:rPr>
          </w:pPr>
          <w:r>
            <w:fldChar w:fldCharType="begin"/>
          </w:r>
          <w:r>
            <w:instrText xml:space="preserve"> HYPERLINK \l "bookmark12" </w:instrText>
          </w:r>
          <w:r>
            <w:fldChar w:fldCharType="separate"/>
          </w:r>
          <w:r>
            <w:rPr>
              <w:rFonts w:ascii="宋体" w:hAnsi="宋体" w:eastAsia="宋体" w:cs="宋体"/>
              <w:spacing w:val="-1"/>
              <w:sz w:val="21"/>
              <w:szCs w:val="21"/>
            </w:rPr>
            <w:t>9.监督信息</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4BAB0111">
          <w:pPr>
            <w:tabs>
              <w:tab w:val="right" w:leader="dot" w:pos="8312"/>
            </w:tabs>
            <w:spacing w:before="62" w:line="222" w:lineRule="auto"/>
            <w:ind w:left="458"/>
            <w:rPr>
              <w:rFonts w:ascii="宋体" w:hAnsi="宋体" w:eastAsia="宋体" w:cs="宋体"/>
              <w:sz w:val="21"/>
              <w:szCs w:val="21"/>
            </w:rPr>
          </w:pPr>
          <w:r>
            <w:fldChar w:fldCharType="begin"/>
          </w:r>
          <w:r>
            <w:instrText xml:space="preserve"> HYPERLINK \l "bookmark13" </w:instrText>
          </w:r>
          <w:r>
            <w:fldChar w:fldCharType="separate"/>
          </w:r>
          <w:r>
            <w:rPr>
              <w:rFonts w:ascii="宋体" w:hAnsi="宋体" w:eastAsia="宋体" w:cs="宋体"/>
              <w:spacing w:val="-4"/>
              <w:sz w:val="21"/>
              <w:szCs w:val="21"/>
            </w:rPr>
            <w:t>10.联系方式</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3</w:t>
          </w:r>
          <w:r>
            <w:rPr>
              <w:rFonts w:ascii="宋体" w:hAnsi="宋体" w:eastAsia="宋体" w:cs="宋体"/>
              <w:sz w:val="21"/>
              <w:szCs w:val="21"/>
            </w:rPr>
            <w:fldChar w:fldCharType="end"/>
          </w:r>
        </w:p>
        <w:p w14:paraId="442738DC">
          <w:pPr>
            <w:tabs>
              <w:tab w:val="right" w:leader="dot" w:pos="8312"/>
            </w:tabs>
            <w:spacing w:before="59" w:line="220" w:lineRule="auto"/>
            <w:ind w:left="22"/>
            <w:rPr>
              <w:rFonts w:ascii="宋体" w:hAnsi="宋体" w:eastAsia="宋体" w:cs="宋体"/>
              <w:sz w:val="21"/>
              <w:szCs w:val="21"/>
            </w:rPr>
          </w:pPr>
          <w:r>
            <w:fldChar w:fldCharType="begin"/>
          </w:r>
          <w:r>
            <w:instrText xml:space="preserve"> HYPERLINK \l "bookmark14" </w:instrText>
          </w:r>
          <w:r>
            <w:fldChar w:fldCharType="separate"/>
          </w:r>
          <w:r>
            <w:rPr>
              <w:rFonts w:ascii="宋体" w:hAnsi="宋体" w:eastAsia="宋体" w:cs="宋体"/>
              <w:b/>
              <w:bCs/>
              <w:spacing w:val="-2"/>
              <w:sz w:val="21"/>
              <w:szCs w:val="21"/>
            </w:rPr>
            <w:t>第一章</w:t>
          </w:r>
          <w:r>
            <w:rPr>
              <w:rFonts w:ascii="宋体" w:hAnsi="宋体" w:eastAsia="宋体" w:cs="宋体"/>
              <w:spacing w:val="-2"/>
              <w:sz w:val="21"/>
              <w:szCs w:val="21"/>
            </w:rPr>
            <w:t xml:space="preserve">  </w:t>
          </w:r>
          <w:r>
            <w:rPr>
              <w:rFonts w:ascii="宋体" w:hAnsi="宋体" w:eastAsia="宋体" w:cs="宋体"/>
              <w:b/>
              <w:bCs/>
              <w:spacing w:val="-2"/>
              <w:sz w:val="21"/>
              <w:szCs w:val="21"/>
            </w:rPr>
            <w:t>投标邀请书（适用于邀请招标）</w:t>
          </w:r>
          <w:r>
            <w:rPr>
              <w:rFonts w:ascii="宋体" w:hAnsi="宋体" w:eastAsia="宋体" w:cs="宋体"/>
              <w:spacing w:val="-64"/>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40"/>
              <w:sz w:val="21"/>
              <w:szCs w:val="21"/>
            </w:rPr>
            <w:t xml:space="preserve"> </w:t>
          </w:r>
          <w:r>
            <w:rPr>
              <w:rFonts w:ascii="宋体" w:hAnsi="宋体" w:eastAsia="宋体" w:cs="宋体"/>
              <w:b/>
              <w:bCs/>
              <w:spacing w:val="-3"/>
              <w:sz w:val="21"/>
              <w:szCs w:val="21"/>
            </w:rPr>
            <w:t>4</w:t>
          </w:r>
          <w:r>
            <w:rPr>
              <w:rFonts w:ascii="宋体" w:hAnsi="宋体" w:eastAsia="宋体" w:cs="宋体"/>
              <w:b/>
              <w:bCs/>
              <w:spacing w:val="-3"/>
              <w:sz w:val="21"/>
              <w:szCs w:val="21"/>
            </w:rPr>
            <w:fldChar w:fldCharType="end"/>
          </w:r>
        </w:p>
        <w:p w14:paraId="55380906">
          <w:pPr>
            <w:tabs>
              <w:tab w:val="right" w:leader="dot" w:pos="8312"/>
            </w:tabs>
            <w:spacing w:before="61" w:line="221" w:lineRule="auto"/>
            <w:ind w:left="458"/>
            <w:rPr>
              <w:rFonts w:ascii="宋体" w:hAnsi="宋体" w:eastAsia="宋体" w:cs="宋体"/>
              <w:sz w:val="21"/>
              <w:szCs w:val="21"/>
            </w:rPr>
          </w:pPr>
          <w:r>
            <w:fldChar w:fldCharType="begin"/>
          </w:r>
          <w:r>
            <w:instrText xml:space="preserve"> HYPERLINK \l "bookmark15" </w:instrText>
          </w:r>
          <w:r>
            <w:fldChar w:fldCharType="separate"/>
          </w:r>
          <w:r>
            <w:rPr>
              <w:rFonts w:ascii="宋体" w:hAnsi="宋体" w:eastAsia="宋体" w:cs="宋体"/>
              <w:spacing w:val="-4"/>
              <w:sz w:val="21"/>
              <w:szCs w:val="21"/>
            </w:rPr>
            <w:t>1.招标条件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292654A7">
          <w:pPr>
            <w:tabs>
              <w:tab w:val="right" w:leader="dot" w:pos="8312"/>
            </w:tabs>
            <w:spacing w:before="61" w:line="221" w:lineRule="auto"/>
            <w:ind w:left="445"/>
            <w:rPr>
              <w:rFonts w:ascii="宋体" w:hAnsi="宋体" w:eastAsia="宋体" w:cs="宋体"/>
              <w:sz w:val="21"/>
              <w:szCs w:val="21"/>
            </w:rPr>
          </w:pPr>
          <w:r>
            <w:fldChar w:fldCharType="begin"/>
          </w:r>
          <w:r>
            <w:instrText xml:space="preserve"> HYPERLINK \l "bookmark16" </w:instrText>
          </w:r>
          <w:r>
            <w:fldChar w:fldCharType="separate"/>
          </w:r>
          <w:r>
            <w:rPr>
              <w:rFonts w:ascii="宋体" w:hAnsi="宋体" w:eastAsia="宋体" w:cs="宋体"/>
              <w:spacing w:val="-1"/>
              <w:sz w:val="21"/>
              <w:szCs w:val="21"/>
            </w:rPr>
            <w:t>2.项目概况与招标范围</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7B790BCC">
          <w:pPr>
            <w:tabs>
              <w:tab w:val="right" w:leader="dot" w:pos="8312"/>
            </w:tabs>
            <w:spacing w:before="60" w:line="221" w:lineRule="auto"/>
            <w:ind w:left="446"/>
            <w:rPr>
              <w:rFonts w:ascii="宋体" w:hAnsi="宋体" w:eastAsia="宋体" w:cs="宋体"/>
              <w:sz w:val="21"/>
              <w:szCs w:val="21"/>
            </w:rPr>
          </w:pPr>
          <w:r>
            <w:fldChar w:fldCharType="begin"/>
          </w:r>
          <w:r>
            <w:instrText xml:space="preserve"> HYPERLINK \l "bookmark17" </w:instrText>
          </w:r>
          <w:r>
            <w:fldChar w:fldCharType="separate"/>
          </w:r>
          <w:r>
            <w:rPr>
              <w:rFonts w:ascii="宋体" w:hAnsi="宋体" w:eastAsia="宋体" w:cs="宋体"/>
              <w:spacing w:val="-2"/>
              <w:sz w:val="21"/>
              <w:szCs w:val="21"/>
            </w:rPr>
            <w:t>3.投标人资格要求</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4B6EE69C">
          <w:pPr>
            <w:tabs>
              <w:tab w:val="right" w:leader="dot" w:pos="8312"/>
            </w:tabs>
            <w:spacing w:before="61" w:line="221" w:lineRule="auto"/>
            <w:ind w:left="441"/>
            <w:rPr>
              <w:rFonts w:ascii="宋体" w:hAnsi="宋体" w:eastAsia="宋体" w:cs="宋体"/>
              <w:sz w:val="21"/>
              <w:szCs w:val="21"/>
            </w:rPr>
          </w:pPr>
          <w:r>
            <w:fldChar w:fldCharType="begin"/>
          </w:r>
          <w:r>
            <w:instrText xml:space="preserve"> HYPERLINK \l "bookmark18" </w:instrText>
          </w:r>
          <w:r>
            <w:fldChar w:fldCharType="separate"/>
          </w:r>
          <w:r>
            <w:rPr>
              <w:rFonts w:ascii="宋体" w:hAnsi="宋体" w:eastAsia="宋体" w:cs="宋体"/>
              <w:spacing w:val="-1"/>
              <w:sz w:val="21"/>
              <w:szCs w:val="21"/>
            </w:rPr>
            <w:t>4.招标文件的获取</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z w:val="21"/>
              <w:szCs w:val="21"/>
            </w:rPr>
            <w:t>4</w:t>
          </w:r>
          <w:r>
            <w:rPr>
              <w:rFonts w:ascii="宋体" w:hAnsi="宋体" w:eastAsia="宋体" w:cs="宋体"/>
              <w:sz w:val="21"/>
              <w:szCs w:val="21"/>
            </w:rPr>
            <w:fldChar w:fldCharType="end"/>
          </w:r>
        </w:p>
        <w:p w14:paraId="07295A97">
          <w:pPr>
            <w:tabs>
              <w:tab w:val="right" w:leader="dot" w:pos="8312"/>
            </w:tabs>
            <w:spacing w:before="61" w:line="221" w:lineRule="auto"/>
            <w:ind w:left="446"/>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2"/>
              <w:sz w:val="21"/>
              <w:szCs w:val="21"/>
            </w:rPr>
            <w:t>5.投标文件的递交</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2A24F9DF">
          <w:pPr>
            <w:tabs>
              <w:tab w:val="right" w:leader="dot" w:pos="8312"/>
            </w:tabs>
            <w:spacing w:before="61" w:line="221" w:lineRule="auto"/>
            <w:ind w:left="444"/>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6.投标相关事宜</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4470D203">
          <w:pPr>
            <w:tabs>
              <w:tab w:val="right" w:leader="dot" w:pos="8312"/>
            </w:tabs>
            <w:spacing w:before="60" w:line="221" w:lineRule="auto"/>
            <w:ind w:left="447"/>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2"/>
              <w:sz w:val="21"/>
              <w:szCs w:val="21"/>
            </w:rPr>
            <w:t>7.评标办法</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1CB349D7">
          <w:pPr>
            <w:tabs>
              <w:tab w:val="right" w:leader="dot" w:pos="8312"/>
            </w:tabs>
            <w:spacing w:before="61" w:line="221" w:lineRule="auto"/>
            <w:ind w:left="443"/>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8.监督信息</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3AC385BF">
          <w:pPr>
            <w:tabs>
              <w:tab w:val="right" w:leader="dot" w:pos="8312"/>
            </w:tabs>
            <w:spacing w:before="61" w:line="222" w:lineRule="auto"/>
            <w:ind w:left="443"/>
            <w:rPr>
              <w:rFonts w:ascii="宋体" w:hAnsi="宋体" w:eastAsia="宋体" w:cs="宋体"/>
              <w:sz w:val="21"/>
              <w:szCs w:val="21"/>
            </w:rPr>
          </w:pPr>
          <w:r>
            <w:fldChar w:fldCharType="begin"/>
          </w:r>
          <w:r>
            <w:instrText xml:space="preserve"> HYPERLINK \l "bookmark1" </w:instrText>
          </w:r>
          <w:r>
            <w:fldChar w:fldCharType="separate"/>
          </w:r>
          <w:r>
            <w:rPr>
              <w:rFonts w:ascii="宋体" w:hAnsi="宋体" w:eastAsia="宋体" w:cs="宋体"/>
              <w:spacing w:val="-1"/>
              <w:sz w:val="21"/>
              <w:szCs w:val="21"/>
            </w:rPr>
            <w:t>9.联系方式</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z w:val="21"/>
              <w:szCs w:val="21"/>
            </w:rPr>
            <w:t>5</w:t>
          </w:r>
          <w:r>
            <w:rPr>
              <w:rFonts w:ascii="宋体" w:hAnsi="宋体" w:eastAsia="宋体" w:cs="宋体"/>
              <w:sz w:val="21"/>
              <w:szCs w:val="21"/>
            </w:rPr>
            <w:fldChar w:fldCharType="end"/>
          </w:r>
        </w:p>
        <w:p w14:paraId="3D2AC46D">
          <w:pPr>
            <w:tabs>
              <w:tab w:val="right" w:leader="dot" w:pos="8312"/>
            </w:tabs>
            <w:spacing w:before="59" w:line="220" w:lineRule="auto"/>
            <w:ind w:left="22"/>
            <w:rPr>
              <w:rFonts w:ascii="宋体" w:hAnsi="宋体" w:eastAsia="宋体" w:cs="宋体"/>
              <w:sz w:val="21"/>
              <w:szCs w:val="21"/>
            </w:rPr>
          </w:pPr>
          <w:r>
            <w:fldChar w:fldCharType="begin"/>
          </w:r>
          <w:r>
            <w:instrText xml:space="preserve"> HYPERLINK \l "bookmark19" </w:instrText>
          </w:r>
          <w:r>
            <w:fldChar w:fldCharType="separate"/>
          </w:r>
          <w:r>
            <w:rPr>
              <w:rFonts w:ascii="宋体" w:hAnsi="宋体" w:eastAsia="宋体" w:cs="宋体"/>
              <w:b/>
              <w:bCs/>
              <w:spacing w:val="-3"/>
              <w:sz w:val="21"/>
              <w:szCs w:val="21"/>
            </w:rPr>
            <w:t>第二章</w:t>
          </w:r>
          <w:r>
            <w:rPr>
              <w:rFonts w:ascii="宋体" w:hAnsi="宋体" w:eastAsia="宋体" w:cs="宋体"/>
              <w:spacing w:val="-3"/>
              <w:sz w:val="21"/>
              <w:szCs w:val="21"/>
            </w:rPr>
            <w:t xml:space="preserve">  </w:t>
          </w:r>
          <w:r>
            <w:rPr>
              <w:rFonts w:ascii="宋体" w:hAnsi="宋体" w:eastAsia="宋体" w:cs="宋体"/>
              <w:b/>
              <w:bCs/>
              <w:spacing w:val="-3"/>
              <w:sz w:val="21"/>
              <w:szCs w:val="21"/>
            </w:rPr>
            <w:t>投标人须知</w:t>
          </w:r>
          <w:r>
            <w:rPr>
              <w:rFonts w:ascii="宋体" w:hAnsi="宋体" w:eastAsia="宋体" w:cs="宋体"/>
              <w:spacing w:val="-3"/>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4"/>
              <w:sz w:val="21"/>
              <w:szCs w:val="21"/>
            </w:rPr>
            <w:t xml:space="preserve"> </w:t>
          </w:r>
          <w:r>
            <w:rPr>
              <w:rFonts w:ascii="宋体" w:hAnsi="宋体" w:eastAsia="宋体" w:cs="宋体"/>
              <w:b/>
              <w:bCs/>
              <w:spacing w:val="-3"/>
              <w:sz w:val="21"/>
              <w:szCs w:val="21"/>
            </w:rPr>
            <w:t>7</w:t>
          </w:r>
          <w:r>
            <w:rPr>
              <w:rFonts w:ascii="宋体" w:hAnsi="宋体" w:eastAsia="宋体" w:cs="宋体"/>
              <w:b/>
              <w:bCs/>
              <w:spacing w:val="-3"/>
              <w:sz w:val="21"/>
              <w:szCs w:val="21"/>
            </w:rPr>
            <w:fldChar w:fldCharType="end"/>
          </w:r>
        </w:p>
        <w:p w14:paraId="68F9CC01">
          <w:pPr>
            <w:tabs>
              <w:tab w:val="right" w:leader="dot" w:pos="8312"/>
            </w:tabs>
            <w:spacing w:before="62" w:line="220" w:lineRule="auto"/>
            <w:ind w:left="445"/>
            <w:rPr>
              <w:rFonts w:ascii="宋体" w:hAnsi="宋体" w:eastAsia="宋体" w:cs="宋体"/>
              <w:sz w:val="21"/>
              <w:szCs w:val="21"/>
            </w:rPr>
          </w:pPr>
          <w:r>
            <w:fldChar w:fldCharType="begin"/>
          </w:r>
          <w:r>
            <w:instrText xml:space="preserve"> HYPERLINK \l "bookmark20" </w:instrText>
          </w:r>
          <w:r>
            <w:fldChar w:fldCharType="separate"/>
          </w:r>
          <w:r>
            <w:rPr>
              <w:rFonts w:ascii="宋体" w:hAnsi="宋体" w:eastAsia="宋体" w:cs="宋体"/>
              <w:spacing w:val="-2"/>
              <w:sz w:val="21"/>
              <w:szCs w:val="21"/>
            </w:rPr>
            <w:t>投标人须知前附表</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z w:val="21"/>
              <w:szCs w:val="21"/>
            </w:rPr>
            <w:t>7</w:t>
          </w:r>
          <w:r>
            <w:rPr>
              <w:rFonts w:ascii="宋体" w:hAnsi="宋体" w:eastAsia="宋体" w:cs="宋体"/>
              <w:sz w:val="21"/>
              <w:szCs w:val="21"/>
            </w:rPr>
            <w:fldChar w:fldCharType="end"/>
          </w:r>
        </w:p>
        <w:p w14:paraId="48B8B2A4">
          <w:pPr>
            <w:tabs>
              <w:tab w:val="right" w:leader="dot" w:pos="8312"/>
            </w:tabs>
            <w:spacing w:before="62" w:line="221" w:lineRule="auto"/>
            <w:ind w:left="445"/>
            <w:rPr>
              <w:rFonts w:ascii="宋体" w:hAnsi="宋体" w:eastAsia="宋体" w:cs="宋体"/>
              <w:sz w:val="21"/>
              <w:szCs w:val="21"/>
            </w:rPr>
          </w:pPr>
          <w:r>
            <w:fldChar w:fldCharType="begin"/>
          </w:r>
          <w:r>
            <w:instrText xml:space="preserve"> HYPERLINK \l "bookmark21" </w:instrText>
          </w:r>
          <w:r>
            <w:fldChar w:fldCharType="separate"/>
          </w:r>
          <w:r>
            <w:rPr>
              <w:rFonts w:ascii="宋体" w:hAnsi="宋体" w:eastAsia="宋体" w:cs="宋体"/>
              <w:spacing w:val="-1"/>
              <w:sz w:val="21"/>
              <w:szCs w:val="21"/>
            </w:rPr>
            <w:t>投标人须知正文部分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64B6BCA2">
          <w:pPr>
            <w:tabs>
              <w:tab w:val="right" w:leader="dot" w:pos="8312"/>
            </w:tabs>
            <w:spacing w:before="61" w:line="221" w:lineRule="auto"/>
            <w:ind w:left="458"/>
            <w:rPr>
              <w:rFonts w:ascii="宋体" w:hAnsi="宋体" w:eastAsia="宋体" w:cs="宋体"/>
              <w:sz w:val="21"/>
              <w:szCs w:val="21"/>
            </w:rPr>
          </w:pPr>
          <w:r>
            <w:fldChar w:fldCharType="begin"/>
          </w:r>
          <w:r>
            <w:instrText xml:space="preserve"> HYPERLINK \l "bookmark22" </w:instrText>
          </w:r>
          <w:r>
            <w:fldChar w:fldCharType="separate"/>
          </w:r>
          <w:r>
            <w:rPr>
              <w:rFonts w:ascii="宋体" w:hAnsi="宋体" w:eastAsia="宋体" w:cs="宋体"/>
              <w:spacing w:val="-6"/>
              <w:sz w:val="21"/>
              <w:szCs w:val="21"/>
            </w:rPr>
            <w:t>1.总则</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4A8D3979">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"bookmark23" </w:instrText>
          </w:r>
          <w:r>
            <w:fldChar w:fldCharType="separate"/>
          </w:r>
          <w:r>
            <w:rPr>
              <w:rFonts w:ascii="宋体" w:hAnsi="宋体" w:eastAsia="宋体" w:cs="宋体"/>
              <w:spacing w:val="-5"/>
              <w:sz w:val="21"/>
              <w:szCs w:val="21"/>
            </w:rPr>
            <w:t>1.1</w:t>
          </w:r>
          <w:r>
            <w:rPr>
              <w:rFonts w:ascii="宋体" w:hAnsi="宋体" w:eastAsia="宋体" w:cs="宋体"/>
              <w:spacing w:val="-41"/>
              <w:sz w:val="21"/>
              <w:szCs w:val="21"/>
            </w:rPr>
            <w:t xml:space="preserve"> </w:t>
          </w:r>
          <w:r>
            <w:rPr>
              <w:rFonts w:ascii="宋体" w:hAnsi="宋体" w:eastAsia="宋体" w:cs="宋体"/>
              <w:spacing w:val="-5"/>
              <w:sz w:val="21"/>
              <w:szCs w:val="21"/>
            </w:rPr>
            <w:t>项目概况</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1D502408">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"bookmark24" </w:instrText>
          </w:r>
          <w:r>
            <w:fldChar w:fldCharType="separate"/>
          </w:r>
          <w:r>
            <w:rPr>
              <w:rFonts w:ascii="宋体" w:hAnsi="宋体" w:eastAsia="宋体" w:cs="宋体"/>
              <w:spacing w:val="-2"/>
              <w:sz w:val="21"/>
              <w:szCs w:val="21"/>
            </w:rPr>
            <w:t>1.2 项目的资金来源和落实情况</w:t>
          </w:r>
          <w:r>
            <w:rPr>
              <w:rFonts w:ascii="宋体" w:hAnsi="宋体" w:eastAsia="宋体" w:cs="宋体"/>
              <w:spacing w:val="-67"/>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70E66A89">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"bookmark25" </w:instrText>
          </w:r>
          <w:r>
            <w:fldChar w:fldCharType="separate"/>
          </w:r>
          <w:r>
            <w:rPr>
              <w:rFonts w:ascii="宋体" w:hAnsi="宋体" w:eastAsia="宋体" w:cs="宋体"/>
              <w:spacing w:val="-2"/>
              <w:sz w:val="21"/>
              <w:szCs w:val="21"/>
            </w:rPr>
            <w:t>1.3 招标范围、计划工期和质量标准</w:t>
          </w:r>
          <w:r>
            <w:rPr>
              <w:rFonts w:ascii="宋体" w:hAnsi="宋体" w:eastAsia="宋体" w:cs="宋体"/>
              <w:spacing w:val="-6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391990CD">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"bookmark26" </w:instrText>
          </w:r>
          <w:r>
            <w:fldChar w:fldCharType="separate"/>
          </w:r>
          <w:r>
            <w:rPr>
              <w:rFonts w:ascii="宋体" w:hAnsi="宋体" w:eastAsia="宋体" w:cs="宋体"/>
              <w:spacing w:val="-2"/>
              <w:sz w:val="21"/>
              <w:szCs w:val="21"/>
            </w:rPr>
            <w:t>1.4 投标人资格要求</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13</w:t>
          </w:r>
          <w:r>
            <w:rPr>
              <w:rFonts w:ascii="宋体" w:hAnsi="宋体" w:eastAsia="宋体" w:cs="宋体"/>
              <w:spacing w:val="-6"/>
              <w:sz w:val="21"/>
              <w:szCs w:val="21"/>
            </w:rPr>
            <w:fldChar w:fldCharType="end"/>
          </w:r>
        </w:p>
        <w:p w14:paraId="40592684">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"bookmark27" </w:instrText>
          </w:r>
          <w:r>
            <w:fldChar w:fldCharType="separate"/>
          </w:r>
          <w:r>
            <w:rPr>
              <w:rFonts w:ascii="宋体" w:hAnsi="宋体" w:eastAsia="宋体" w:cs="宋体"/>
              <w:spacing w:val="-6"/>
              <w:sz w:val="21"/>
              <w:szCs w:val="21"/>
            </w:rPr>
            <w:t>1.5</w:t>
          </w:r>
          <w:r>
            <w:rPr>
              <w:rFonts w:ascii="宋体" w:hAnsi="宋体" w:eastAsia="宋体" w:cs="宋体"/>
              <w:spacing w:val="20"/>
              <w:sz w:val="21"/>
              <w:szCs w:val="21"/>
            </w:rPr>
            <w:t xml:space="preserve"> </w:t>
          </w:r>
          <w:r>
            <w:rPr>
              <w:rFonts w:ascii="宋体" w:hAnsi="宋体" w:eastAsia="宋体" w:cs="宋体"/>
              <w:spacing w:val="-6"/>
              <w:sz w:val="21"/>
              <w:szCs w:val="21"/>
            </w:rPr>
            <w:t>费用承担</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1B0700D0">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"bookmark28" </w:instrText>
          </w:r>
          <w:r>
            <w:fldChar w:fldCharType="separate"/>
          </w:r>
          <w:r>
            <w:rPr>
              <w:rFonts w:ascii="宋体" w:hAnsi="宋体" w:eastAsia="宋体" w:cs="宋体"/>
              <w:spacing w:val="-7"/>
              <w:sz w:val="21"/>
              <w:szCs w:val="21"/>
            </w:rPr>
            <w:t>1.6</w:t>
          </w:r>
          <w:r>
            <w:rPr>
              <w:rFonts w:ascii="宋体" w:hAnsi="宋体" w:eastAsia="宋体" w:cs="宋体"/>
              <w:spacing w:val="12"/>
              <w:sz w:val="21"/>
              <w:szCs w:val="21"/>
            </w:rPr>
            <w:t xml:space="preserve"> </w:t>
          </w:r>
          <w:r>
            <w:rPr>
              <w:rFonts w:ascii="宋体" w:hAnsi="宋体" w:eastAsia="宋体" w:cs="宋体"/>
              <w:spacing w:val="-7"/>
              <w:sz w:val="21"/>
              <w:szCs w:val="21"/>
            </w:rPr>
            <w:t>保密</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02B494BF">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"bookmark29" </w:instrText>
          </w:r>
          <w:r>
            <w:fldChar w:fldCharType="separate"/>
          </w:r>
          <w:r>
            <w:rPr>
              <w:rFonts w:ascii="宋体" w:hAnsi="宋体" w:eastAsia="宋体" w:cs="宋体"/>
              <w:spacing w:val="-5"/>
              <w:sz w:val="21"/>
              <w:szCs w:val="21"/>
            </w:rPr>
            <w:t>1.7</w:t>
          </w:r>
          <w:r>
            <w:rPr>
              <w:rFonts w:ascii="宋体" w:hAnsi="宋体" w:eastAsia="宋体" w:cs="宋体"/>
              <w:spacing w:val="12"/>
              <w:sz w:val="21"/>
              <w:szCs w:val="21"/>
            </w:rPr>
            <w:t xml:space="preserve"> </w:t>
          </w:r>
          <w:r>
            <w:rPr>
              <w:rFonts w:ascii="宋体" w:hAnsi="宋体" w:eastAsia="宋体" w:cs="宋体"/>
              <w:spacing w:val="-5"/>
              <w:sz w:val="21"/>
              <w:szCs w:val="21"/>
            </w:rPr>
            <w:t>语言文字</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1408F41D">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"bookmark30" </w:instrText>
          </w:r>
          <w:r>
            <w:fldChar w:fldCharType="separate"/>
          </w:r>
          <w:r>
            <w:rPr>
              <w:rFonts w:ascii="宋体" w:hAnsi="宋体" w:eastAsia="宋体" w:cs="宋体"/>
              <w:spacing w:val="-5"/>
              <w:sz w:val="21"/>
              <w:szCs w:val="21"/>
            </w:rPr>
            <w:t>1.8</w:t>
          </w:r>
          <w:r>
            <w:rPr>
              <w:rFonts w:ascii="宋体" w:hAnsi="宋体" w:eastAsia="宋体" w:cs="宋体"/>
              <w:spacing w:val="12"/>
              <w:sz w:val="21"/>
              <w:szCs w:val="21"/>
            </w:rPr>
            <w:t xml:space="preserve"> </w:t>
          </w:r>
          <w:r>
            <w:rPr>
              <w:rFonts w:ascii="宋体" w:hAnsi="宋体" w:eastAsia="宋体" w:cs="宋体"/>
              <w:spacing w:val="-5"/>
              <w:sz w:val="21"/>
              <w:szCs w:val="21"/>
            </w:rPr>
            <w:t>计量单位</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10E1CA03">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"bookmark31" </w:instrText>
          </w:r>
          <w:r>
            <w:fldChar w:fldCharType="separate"/>
          </w:r>
          <w:r>
            <w:rPr>
              <w:rFonts w:ascii="宋体" w:hAnsi="宋体" w:eastAsia="宋体" w:cs="宋体"/>
              <w:spacing w:val="-5"/>
              <w:sz w:val="21"/>
              <w:szCs w:val="21"/>
            </w:rPr>
            <w:t>1.9</w:t>
          </w:r>
          <w:r>
            <w:rPr>
              <w:rFonts w:ascii="宋体" w:hAnsi="宋体" w:eastAsia="宋体" w:cs="宋体"/>
              <w:spacing w:val="12"/>
              <w:sz w:val="21"/>
              <w:szCs w:val="21"/>
            </w:rPr>
            <w:t xml:space="preserve"> </w:t>
          </w:r>
          <w:r>
            <w:rPr>
              <w:rFonts w:ascii="宋体" w:hAnsi="宋体" w:eastAsia="宋体" w:cs="宋体"/>
              <w:spacing w:val="-5"/>
              <w:sz w:val="21"/>
              <w:szCs w:val="21"/>
            </w:rPr>
            <w:t>踏勘现场</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14</w:t>
          </w:r>
          <w:r>
            <w:rPr>
              <w:rFonts w:ascii="宋体" w:hAnsi="宋体" w:eastAsia="宋体" w:cs="宋体"/>
              <w:spacing w:val="-6"/>
              <w:sz w:val="21"/>
              <w:szCs w:val="21"/>
            </w:rPr>
            <w:fldChar w:fldCharType="end"/>
          </w:r>
        </w:p>
        <w:p w14:paraId="22C0458D">
          <w:pPr>
            <w:tabs>
              <w:tab w:val="right" w:leader="dot" w:pos="8312"/>
            </w:tabs>
            <w:spacing w:before="61" w:line="220" w:lineRule="auto"/>
            <w:ind w:left="878"/>
            <w:rPr>
              <w:rFonts w:ascii="宋体" w:hAnsi="宋体" w:eastAsia="宋体" w:cs="宋体"/>
              <w:sz w:val="21"/>
              <w:szCs w:val="21"/>
            </w:rPr>
          </w:pPr>
          <w:r>
            <w:fldChar w:fldCharType="begin"/>
          </w:r>
          <w:r>
            <w:instrText xml:space="preserve"> HYPERLINK \l "bookmark32" </w:instrText>
          </w:r>
          <w:r>
            <w:fldChar w:fldCharType="separate"/>
          </w:r>
          <w:r>
            <w:rPr>
              <w:rFonts w:ascii="宋体" w:hAnsi="宋体" w:eastAsia="宋体" w:cs="宋体"/>
              <w:spacing w:val="-3"/>
              <w:sz w:val="21"/>
              <w:szCs w:val="21"/>
            </w:rPr>
            <w:t>1.10 投标预备会</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2325D104">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"bookmark33" </w:instrText>
          </w:r>
          <w:r>
            <w:fldChar w:fldCharType="separate"/>
          </w:r>
          <w:r>
            <w:rPr>
              <w:rFonts w:ascii="宋体" w:hAnsi="宋体" w:eastAsia="宋体" w:cs="宋体"/>
              <w:spacing w:val="-5"/>
              <w:sz w:val="21"/>
              <w:szCs w:val="21"/>
            </w:rPr>
            <w:t>1.11</w:t>
          </w:r>
          <w:r>
            <w:rPr>
              <w:rFonts w:ascii="宋体" w:hAnsi="宋体" w:eastAsia="宋体" w:cs="宋体"/>
              <w:spacing w:val="8"/>
              <w:sz w:val="21"/>
              <w:szCs w:val="21"/>
            </w:rPr>
            <w:t xml:space="preserve"> </w:t>
          </w:r>
          <w:r>
            <w:rPr>
              <w:rFonts w:ascii="宋体" w:hAnsi="宋体" w:eastAsia="宋体" w:cs="宋体"/>
              <w:spacing w:val="-5"/>
              <w:sz w:val="21"/>
              <w:szCs w:val="21"/>
            </w:rPr>
            <w:t>分包</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53E8AEE4">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"bookmark34" </w:instrText>
          </w:r>
          <w:r>
            <w:fldChar w:fldCharType="separate"/>
          </w:r>
          <w:r>
            <w:rPr>
              <w:rFonts w:ascii="宋体" w:hAnsi="宋体" w:eastAsia="宋体" w:cs="宋体"/>
              <w:spacing w:val="-5"/>
              <w:sz w:val="21"/>
              <w:szCs w:val="21"/>
            </w:rPr>
            <w:t>1.12</w:t>
          </w:r>
          <w:r>
            <w:rPr>
              <w:rFonts w:ascii="宋体" w:hAnsi="宋体" w:eastAsia="宋体" w:cs="宋体"/>
              <w:spacing w:val="8"/>
              <w:sz w:val="21"/>
              <w:szCs w:val="21"/>
            </w:rPr>
            <w:t xml:space="preserve"> </w:t>
          </w:r>
          <w:r>
            <w:rPr>
              <w:rFonts w:ascii="宋体" w:hAnsi="宋体" w:eastAsia="宋体" w:cs="宋体"/>
              <w:spacing w:val="-5"/>
              <w:sz w:val="21"/>
              <w:szCs w:val="21"/>
            </w:rPr>
            <w:t>偏离</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3828E1F7">
          <w:pPr>
            <w:tabs>
              <w:tab w:val="right" w:leader="dot" w:pos="8312"/>
            </w:tabs>
            <w:spacing w:before="61" w:line="221" w:lineRule="auto"/>
            <w:ind w:left="445"/>
            <w:rPr>
              <w:rFonts w:ascii="宋体" w:hAnsi="宋体" w:eastAsia="宋体" w:cs="宋体"/>
              <w:sz w:val="21"/>
              <w:szCs w:val="21"/>
            </w:rPr>
          </w:pPr>
          <w:r>
            <w:fldChar w:fldCharType="begin"/>
          </w:r>
          <w:r>
            <w:instrText xml:space="preserve"> HYPERLINK \l "bookmark35" </w:instrText>
          </w:r>
          <w:r>
            <w:fldChar w:fldCharType="separate"/>
          </w:r>
          <w:r>
            <w:rPr>
              <w:rFonts w:ascii="宋体" w:hAnsi="宋体" w:eastAsia="宋体" w:cs="宋体"/>
              <w:spacing w:val="-4"/>
              <w:sz w:val="21"/>
              <w:szCs w:val="21"/>
            </w:rPr>
            <w:t>2.</w:t>
          </w:r>
          <w:r>
            <w:rPr>
              <w:rFonts w:ascii="宋体" w:hAnsi="宋体" w:eastAsia="宋体" w:cs="宋体"/>
              <w:spacing w:val="14"/>
              <w:sz w:val="21"/>
              <w:szCs w:val="21"/>
            </w:rPr>
            <w:t xml:space="preserve"> </w:t>
          </w:r>
          <w:r>
            <w:rPr>
              <w:rFonts w:ascii="宋体" w:hAnsi="宋体" w:eastAsia="宋体" w:cs="宋体"/>
              <w:spacing w:val="-4"/>
              <w:sz w:val="21"/>
              <w:szCs w:val="21"/>
            </w:rPr>
            <w:t>招标文件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34FD4D37">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"bookmark36" </w:instrText>
          </w:r>
          <w:r>
            <w:fldChar w:fldCharType="separate"/>
          </w:r>
          <w:r>
            <w:rPr>
              <w:rFonts w:ascii="宋体" w:hAnsi="宋体" w:eastAsia="宋体" w:cs="宋体"/>
              <w:spacing w:val="-1"/>
              <w:sz w:val="21"/>
              <w:szCs w:val="21"/>
            </w:rPr>
            <w:t>2.1 招标文件的组成</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15</w:t>
          </w:r>
          <w:r>
            <w:rPr>
              <w:rFonts w:ascii="宋体" w:hAnsi="宋体" w:eastAsia="宋体" w:cs="宋体"/>
              <w:spacing w:val="-6"/>
              <w:sz w:val="21"/>
              <w:szCs w:val="21"/>
            </w:rPr>
            <w:fldChar w:fldCharType="end"/>
          </w:r>
        </w:p>
        <w:p w14:paraId="21840FA9">
          <w:pPr>
            <w:tabs>
              <w:tab w:val="right" w:leader="dot" w:pos="8312"/>
            </w:tabs>
            <w:spacing w:before="61" w:line="221" w:lineRule="auto"/>
            <w:ind w:left="865"/>
            <w:rPr>
              <w:rFonts w:ascii="宋体" w:hAnsi="宋体" w:eastAsia="宋体" w:cs="宋体"/>
              <w:sz w:val="21"/>
              <w:szCs w:val="21"/>
            </w:rPr>
          </w:pPr>
          <w:r>
            <w:fldChar w:fldCharType="begin"/>
          </w:r>
          <w:r>
            <w:instrText xml:space="preserve"> HYPERLINK \l "bookmark37" </w:instrText>
          </w:r>
          <w:r>
            <w:fldChar w:fldCharType="separate"/>
          </w:r>
          <w:r>
            <w:rPr>
              <w:rFonts w:ascii="宋体" w:hAnsi="宋体" w:eastAsia="宋体" w:cs="宋体"/>
              <w:spacing w:val="-1"/>
              <w:sz w:val="21"/>
              <w:szCs w:val="21"/>
            </w:rPr>
            <w:t>2.2 招标文件的澄清</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0B0486E3">
          <w:pPr>
            <w:tabs>
              <w:tab w:val="right" w:leader="dot" w:pos="8312"/>
            </w:tabs>
            <w:spacing w:before="61" w:line="221" w:lineRule="auto"/>
            <w:ind w:left="865"/>
            <w:rPr>
              <w:rFonts w:ascii="宋体" w:hAnsi="宋体" w:eastAsia="宋体" w:cs="宋体"/>
              <w:sz w:val="21"/>
              <w:szCs w:val="21"/>
            </w:rPr>
          </w:pPr>
          <w:r>
            <w:fldChar w:fldCharType="begin"/>
          </w:r>
          <w:r>
            <w:instrText xml:space="preserve"> HYPERLINK \l "bookmark38" </w:instrText>
          </w:r>
          <w:r>
            <w:fldChar w:fldCharType="separate"/>
          </w:r>
          <w:r>
            <w:rPr>
              <w:rFonts w:ascii="宋体" w:hAnsi="宋体" w:eastAsia="宋体" w:cs="宋体"/>
              <w:spacing w:val="-1"/>
              <w:sz w:val="21"/>
              <w:szCs w:val="21"/>
            </w:rPr>
            <w:t>2.3 招标文件的修改</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sdtContent>
    </w:sdt>
    <w:p w14:paraId="7E7CCD0C">
      <w:pPr>
        <w:spacing w:line="221" w:lineRule="auto"/>
        <w:rPr>
          <w:rFonts w:ascii="宋体" w:hAnsi="宋体" w:eastAsia="宋体" w:cs="宋体"/>
          <w:sz w:val="21"/>
          <w:szCs w:val="21"/>
        </w:rPr>
        <w:sectPr>
          <w:footerReference r:id="rId6"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71501"/>
        <w:docPartObj>
          <w:docPartGallery w:val="Table of Contents"/>
          <w:docPartUnique/>
        </w:docPartObj>
      </w:sdtPr>
      <w:sdtEndPr>
        <w:rPr>
          <w:rFonts w:ascii="宋体" w:hAnsi="宋体" w:eastAsia="宋体" w:cs="宋体"/>
          <w:sz w:val="21"/>
          <w:szCs w:val="21"/>
        </w:rPr>
      </w:sdtEndPr>
      <w:sdtContent>
        <w:p w14:paraId="7EE786F9">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"bookmark39" </w:instrText>
          </w:r>
          <w:r>
            <w:fldChar w:fldCharType="separate"/>
          </w:r>
          <w:r>
            <w:rPr>
              <w:rFonts w:ascii="宋体" w:hAnsi="宋体" w:eastAsia="宋体" w:cs="宋体"/>
              <w:spacing w:val="-1"/>
              <w:sz w:val="21"/>
              <w:szCs w:val="21"/>
            </w:rPr>
            <w:t>2.4 招标文件的异议</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1666D1D5">
          <w:pPr>
            <w:tabs>
              <w:tab w:val="right" w:leader="dot" w:pos="8312"/>
            </w:tabs>
            <w:spacing w:before="60" w:line="221" w:lineRule="auto"/>
            <w:ind w:left="446"/>
            <w:rPr>
              <w:rFonts w:ascii="宋体" w:hAnsi="宋体" w:eastAsia="宋体" w:cs="宋体"/>
              <w:sz w:val="21"/>
              <w:szCs w:val="21"/>
            </w:rPr>
          </w:pPr>
          <w:r>
            <w:fldChar w:fldCharType="begin"/>
          </w:r>
          <w:r>
            <w:instrText xml:space="preserve"> HYPERLINK \l "bookmark40" </w:instrText>
          </w:r>
          <w:r>
            <w:fldChar w:fldCharType="separate"/>
          </w:r>
          <w:r>
            <w:rPr>
              <w:rFonts w:ascii="宋体" w:hAnsi="宋体" w:eastAsia="宋体" w:cs="宋体"/>
              <w:spacing w:val="-4"/>
              <w:sz w:val="21"/>
              <w:szCs w:val="21"/>
            </w:rPr>
            <w:t>3.</w:t>
          </w:r>
          <w:r>
            <w:rPr>
              <w:rFonts w:ascii="宋体" w:hAnsi="宋体" w:eastAsia="宋体" w:cs="宋体"/>
              <w:spacing w:val="12"/>
              <w:sz w:val="21"/>
              <w:szCs w:val="21"/>
            </w:rPr>
            <w:t xml:space="preserve"> </w:t>
          </w:r>
          <w:r>
            <w:rPr>
              <w:rFonts w:ascii="宋体" w:hAnsi="宋体" w:eastAsia="宋体" w:cs="宋体"/>
              <w:spacing w:val="-4"/>
              <w:sz w:val="21"/>
              <w:szCs w:val="21"/>
            </w:rPr>
            <w:t>投标文件</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4A533395">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"bookmark41" </w:instrText>
          </w:r>
          <w:r>
            <w:fldChar w:fldCharType="separate"/>
          </w:r>
          <w:r>
            <w:rPr>
              <w:rFonts w:ascii="宋体" w:hAnsi="宋体" w:eastAsia="宋体" w:cs="宋体"/>
              <w:spacing w:val="-1"/>
              <w:sz w:val="21"/>
              <w:szCs w:val="21"/>
            </w:rPr>
            <w:t>3.1 投标文件的组成</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16</w:t>
          </w:r>
          <w:r>
            <w:rPr>
              <w:rFonts w:ascii="宋体" w:hAnsi="宋体" w:eastAsia="宋体" w:cs="宋体"/>
              <w:spacing w:val="-6"/>
              <w:sz w:val="21"/>
              <w:szCs w:val="21"/>
            </w:rPr>
            <w:fldChar w:fldCharType="end"/>
          </w:r>
        </w:p>
        <w:p w14:paraId="4F5689BF">
          <w:pPr>
            <w:tabs>
              <w:tab w:val="right" w:leader="dot" w:pos="8312"/>
            </w:tabs>
            <w:spacing w:before="61" w:line="219" w:lineRule="auto"/>
            <w:ind w:left="866"/>
            <w:rPr>
              <w:rFonts w:ascii="宋体" w:hAnsi="宋体" w:eastAsia="宋体" w:cs="宋体"/>
              <w:sz w:val="21"/>
              <w:szCs w:val="21"/>
            </w:rPr>
          </w:pPr>
          <w:r>
            <w:fldChar w:fldCharType="begin"/>
          </w:r>
          <w:r>
            <w:instrText xml:space="preserve"> HYPERLINK \l "bookmark42"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投标报价</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520F278F">
          <w:pPr>
            <w:tabs>
              <w:tab w:val="right" w:leader="dot" w:pos="8312"/>
            </w:tabs>
            <w:spacing w:before="63" w:line="221" w:lineRule="auto"/>
            <w:ind w:left="866"/>
            <w:rPr>
              <w:rFonts w:ascii="宋体" w:hAnsi="宋体" w:eastAsia="宋体" w:cs="宋体"/>
              <w:sz w:val="21"/>
              <w:szCs w:val="21"/>
            </w:rPr>
          </w:pPr>
          <w:r>
            <w:fldChar w:fldCharType="begin"/>
          </w:r>
          <w:r>
            <w:instrText xml:space="preserve"> HYPERLINK \l "bookmark43" </w:instrText>
          </w:r>
          <w:r>
            <w:fldChar w:fldCharType="separate"/>
          </w:r>
          <w:r>
            <w:rPr>
              <w:rFonts w:ascii="宋体" w:hAnsi="宋体" w:eastAsia="宋体" w:cs="宋体"/>
              <w:spacing w:val="-1"/>
              <w:sz w:val="21"/>
              <w:szCs w:val="21"/>
            </w:rPr>
            <w:t>3.3 投标有效期</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3A8C3A54">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"bookmark44" </w:instrText>
          </w:r>
          <w:r>
            <w:fldChar w:fldCharType="separate"/>
          </w:r>
          <w:r>
            <w:rPr>
              <w:rFonts w:ascii="宋体" w:hAnsi="宋体" w:eastAsia="宋体" w:cs="宋体"/>
              <w:spacing w:val="-1"/>
              <w:sz w:val="21"/>
              <w:szCs w:val="21"/>
            </w:rPr>
            <w:t>3.4 投标保证金</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17</w:t>
          </w:r>
          <w:r>
            <w:rPr>
              <w:rFonts w:ascii="宋体" w:hAnsi="宋体" w:eastAsia="宋体" w:cs="宋体"/>
              <w:spacing w:val="-6"/>
              <w:sz w:val="21"/>
              <w:szCs w:val="21"/>
            </w:rPr>
            <w:fldChar w:fldCharType="end"/>
          </w:r>
        </w:p>
        <w:p w14:paraId="3944A968">
          <w:pPr>
            <w:tabs>
              <w:tab w:val="right" w:leader="dot" w:pos="8312"/>
            </w:tabs>
            <w:spacing w:before="59" w:line="221" w:lineRule="auto"/>
            <w:ind w:left="866"/>
            <w:rPr>
              <w:rFonts w:ascii="宋体" w:hAnsi="宋体" w:eastAsia="宋体" w:cs="宋体"/>
              <w:sz w:val="21"/>
              <w:szCs w:val="21"/>
            </w:rPr>
          </w:pPr>
          <w:r>
            <w:fldChar w:fldCharType="begin"/>
          </w:r>
          <w:r>
            <w:instrText xml:space="preserve"> HYPERLINK \l "bookmark45" </w:instrText>
          </w:r>
          <w:r>
            <w:fldChar w:fldCharType="separate"/>
          </w:r>
          <w:r>
            <w:rPr>
              <w:rFonts w:ascii="宋体" w:hAnsi="宋体" w:eastAsia="宋体" w:cs="宋体"/>
              <w:spacing w:val="-4"/>
              <w:sz w:val="21"/>
              <w:szCs w:val="21"/>
            </w:rPr>
            <w:t>3.5</w:t>
          </w:r>
          <w:r>
            <w:rPr>
              <w:rFonts w:ascii="宋体" w:hAnsi="宋体" w:eastAsia="宋体" w:cs="宋体"/>
              <w:spacing w:val="25"/>
              <w:sz w:val="21"/>
              <w:szCs w:val="21"/>
            </w:rPr>
            <w:t xml:space="preserve"> </w:t>
          </w:r>
          <w:r>
            <w:rPr>
              <w:rFonts w:ascii="宋体" w:hAnsi="宋体" w:eastAsia="宋体" w:cs="宋体"/>
              <w:spacing w:val="-4"/>
              <w:sz w:val="21"/>
              <w:szCs w:val="21"/>
            </w:rPr>
            <w:t>资格审查资料</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6951AB15">
          <w:pPr>
            <w:tabs>
              <w:tab w:val="right" w:leader="dot" w:pos="8312"/>
            </w:tabs>
            <w:spacing w:before="62" w:line="221" w:lineRule="auto"/>
            <w:ind w:left="866"/>
            <w:rPr>
              <w:rFonts w:ascii="宋体" w:hAnsi="宋体" w:eastAsia="宋体" w:cs="宋体"/>
              <w:sz w:val="21"/>
              <w:szCs w:val="21"/>
            </w:rPr>
          </w:pPr>
          <w:r>
            <w:fldChar w:fldCharType="begin"/>
          </w:r>
          <w:r>
            <w:instrText xml:space="preserve"> HYPERLINK \l "bookmark46" </w:instrText>
          </w:r>
          <w:r>
            <w:fldChar w:fldCharType="separate"/>
          </w:r>
          <w:r>
            <w:rPr>
              <w:rFonts w:ascii="宋体" w:hAnsi="宋体" w:eastAsia="宋体" w:cs="宋体"/>
              <w:spacing w:val="-1"/>
              <w:sz w:val="21"/>
              <w:szCs w:val="21"/>
            </w:rPr>
            <w:t>3.6 备选投标方案</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1286F176">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"bookmark47" </w:instrText>
          </w:r>
          <w:r>
            <w:fldChar w:fldCharType="separate"/>
          </w:r>
          <w:r>
            <w:rPr>
              <w:rFonts w:ascii="宋体" w:hAnsi="宋体" w:eastAsia="宋体" w:cs="宋体"/>
              <w:spacing w:val="-1"/>
              <w:sz w:val="21"/>
              <w:szCs w:val="21"/>
            </w:rPr>
            <w:t>3.7 投标文件的编制</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18</w:t>
          </w:r>
          <w:r>
            <w:rPr>
              <w:rFonts w:ascii="宋体" w:hAnsi="宋体" w:eastAsia="宋体" w:cs="宋体"/>
              <w:spacing w:val="-6"/>
              <w:sz w:val="21"/>
              <w:szCs w:val="21"/>
            </w:rPr>
            <w:fldChar w:fldCharType="end"/>
          </w:r>
        </w:p>
        <w:p w14:paraId="23CC5CDC">
          <w:pPr>
            <w:tabs>
              <w:tab w:val="right" w:leader="dot" w:pos="8312"/>
            </w:tabs>
            <w:spacing w:before="61" w:line="221" w:lineRule="auto"/>
            <w:ind w:left="441"/>
            <w:rPr>
              <w:rFonts w:ascii="宋体" w:hAnsi="宋体" w:eastAsia="宋体" w:cs="宋体"/>
              <w:sz w:val="21"/>
              <w:szCs w:val="21"/>
            </w:rPr>
          </w:pPr>
          <w:r>
            <w:fldChar w:fldCharType="begin"/>
          </w:r>
          <w:r>
            <w:instrText xml:space="preserve"> HYPERLINK \l "bookmark48" </w:instrText>
          </w:r>
          <w:r>
            <w:fldChar w:fldCharType="separate"/>
          </w:r>
          <w:r>
            <w:rPr>
              <w:rFonts w:ascii="宋体" w:hAnsi="宋体" w:eastAsia="宋体" w:cs="宋体"/>
              <w:spacing w:val="-5"/>
              <w:sz w:val="21"/>
              <w:szCs w:val="21"/>
            </w:rPr>
            <w:t>4.</w:t>
          </w:r>
          <w:r>
            <w:rPr>
              <w:rFonts w:ascii="宋体" w:hAnsi="宋体" w:eastAsia="宋体" w:cs="宋体"/>
              <w:spacing w:val="13"/>
              <w:sz w:val="21"/>
              <w:szCs w:val="21"/>
            </w:rPr>
            <w:t xml:space="preserve"> </w:t>
          </w:r>
          <w:r>
            <w:rPr>
              <w:rFonts w:ascii="宋体" w:hAnsi="宋体" w:eastAsia="宋体" w:cs="宋体"/>
              <w:spacing w:val="-5"/>
              <w:sz w:val="21"/>
              <w:szCs w:val="21"/>
            </w:rPr>
            <w:t>投标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160536E5">
          <w:pPr>
            <w:tabs>
              <w:tab w:val="right" w:leader="dot" w:pos="8312"/>
            </w:tabs>
            <w:spacing w:before="60" w:line="221" w:lineRule="auto"/>
            <w:ind w:left="861"/>
            <w:rPr>
              <w:rFonts w:ascii="宋体" w:hAnsi="宋体" w:eastAsia="宋体" w:cs="宋体"/>
              <w:sz w:val="21"/>
              <w:szCs w:val="21"/>
            </w:rPr>
          </w:pPr>
          <w:r>
            <w:fldChar w:fldCharType="begin"/>
          </w:r>
          <w:r>
            <w:instrText xml:space="preserve"> HYPERLINK \l "bookmark49" </w:instrText>
          </w:r>
          <w:r>
            <w:fldChar w:fldCharType="separate"/>
          </w:r>
          <w:r>
            <w:rPr>
              <w:rFonts w:ascii="宋体" w:hAnsi="宋体" w:eastAsia="宋体" w:cs="宋体"/>
              <w:spacing w:val="-1"/>
              <w:sz w:val="21"/>
              <w:szCs w:val="21"/>
            </w:rPr>
            <w:t>4.1 投标文件的加密</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0E81B796">
          <w:pPr>
            <w:tabs>
              <w:tab w:val="right" w:leader="dot" w:pos="8312"/>
            </w:tabs>
            <w:spacing w:before="61" w:line="221" w:lineRule="auto"/>
            <w:ind w:left="861"/>
            <w:rPr>
              <w:rFonts w:ascii="宋体" w:hAnsi="宋体" w:eastAsia="宋体" w:cs="宋体"/>
              <w:sz w:val="21"/>
              <w:szCs w:val="21"/>
            </w:rPr>
          </w:pPr>
          <w:r>
            <w:fldChar w:fldCharType="begin"/>
          </w:r>
          <w:r>
            <w:instrText xml:space="preserve"> HYPERLINK \l "bookmark50" </w:instrText>
          </w:r>
          <w:r>
            <w:fldChar w:fldCharType="separate"/>
          </w:r>
          <w:r>
            <w:rPr>
              <w:rFonts w:ascii="宋体" w:hAnsi="宋体" w:eastAsia="宋体" w:cs="宋体"/>
              <w:spacing w:val="-1"/>
              <w:sz w:val="21"/>
              <w:szCs w:val="21"/>
            </w:rPr>
            <w:t>4.2 投标文件的递交</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16"/>
              <w:sz w:val="21"/>
              <w:szCs w:val="21"/>
            </w:rPr>
            <w:t xml:space="preserve"> </w:t>
          </w:r>
          <w:r>
            <w:rPr>
              <w:rFonts w:ascii="宋体" w:hAnsi="宋体" w:eastAsia="宋体" w:cs="宋体"/>
              <w:spacing w:val="-6"/>
              <w:sz w:val="21"/>
              <w:szCs w:val="21"/>
            </w:rPr>
            <w:t>19</w:t>
          </w:r>
          <w:r>
            <w:rPr>
              <w:rFonts w:ascii="宋体" w:hAnsi="宋体" w:eastAsia="宋体" w:cs="宋体"/>
              <w:spacing w:val="-6"/>
              <w:sz w:val="21"/>
              <w:szCs w:val="21"/>
            </w:rPr>
            <w:fldChar w:fldCharType="end"/>
          </w:r>
        </w:p>
        <w:p w14:paraId="4117D1A0">
          <w:pPr>
            <w:tabs>
              <w:tab w:val="right" w:leader="dot" w:pos="8312"/>
            </w:tabs>
            <w:spacing w:before="61" w:line="221" w:lineRule="auto"/>
            <w:ind w:left="861"/>
            <w:rPr>
              <w:rFonts w:ascii="宋体" w:hAnsi="宋体" w:eastAsia="宋体" w:cs="宋体"/>
              <w:sz w:val="21"/>
              <w:szCs w:val="21"/>
            </w:rPr>
          </w:pPr>
          <w:r>
            <w:fldChar w:fldCharType="begin"/>
          </w:r>
          <w:r>
            <w:instrText xml:space="preserve"> HYPERLINK \l "bookmark51" </w:instrText>
          </w:r>
          <w:r>
            <w:fldChar w:fldCharType="separate"/>
          </w:r>
          <w:r>
            <w:rPr>
              <w:rFonts w:ascii="宋体" w:hAnsi="宋体" w:eastAsia="宋体" w:cs="宋体"/>
              <w:spacing w:val="-1"/>
              <w:sz w:val="21"/>
              <w:szCs w:val="21"/>
            </w:rPr>
            <w:t>4.3 投标文件的修改与撤回</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3EE05D0A">
          <w:pPr>
            <w:tabs>
              <w:tab w:val="right" w:leader="dot" w:pos="8312"/>
            </w:tabs>
            <w:spacing w:before="61" w:line="221" w:lineRule="auto"/>
            <w:ind w:left="446"/>
            <w:rPr>
              <w:rFonts w:ascii="宋体" w:hAnsi="宋体" w:eastAsia="宋体" w:cs="宋体"/>
              <w:sz w:val="21"/>
              <w:szCs w:val="21"/>
            </w:rPr>
          </w:pPr>
          <w:r>
            <w:fldChar w:fldCharType="begin"/>
          </w:r>
          <w:r>
            <w:instrText xml:space="preserve"> HYPERLINK \l "bookmark52" </w:instrText>
          </w:r>
          <w:r>
            <w:fldChar w:fldCharType="separate"/>
          </w:r>
          <w:r>
            <w:rPr>
              <w:rFonts w:ascii="宋体" w:hAnsi="宋体" w:eastAsia="宋体" w:cs="宋体"/>
              <w:spacing w:val="-6"/>
              <w:sz w:val="21"/>
              <w:szCs w:val="21"/>
            </w:rPr>
            <w:t>5.</w:t>
          </w:r>
          <w:r>
            <w:rPr>
              <w:rFonts w:ascii="宋体" w:hAnsi="宋体" w:eastAsia="宋体" w:cs="宋体"/>
              <w:spacing w:val="12"/>
              <w:sz w:val="21"/>
              <w:szCs w:val="21"/>
            </w:rPr>
            <w:t xml:space="preserve"> </w:t>
          </w:r>
          <w:r>
            <w:rPr>
              <w:rFonts w:ascii="宋体" w:hAnsi="宋体" w:eastAsia="宋体" w:cs="宋体"/>
              <w:spacing w:val="-6"/>
              <w:sz w:val="21"/>
              <w:szCs w:val="21"/>
            </w:rPr>
            <w:t>开标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356022C4">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"bookmark53" </w:instrText>
          </w:r>
          <w:r>
            <w:fldChar w:fldCharType="separate"/>
          </w:r>
          <w:r>
            <w:rPr>
              <w:rFonts w:ascii="宋体" w:hAnsi="宋体" w:eastAsia="宋体" w:cs="宋体"/>
              <w:spacing w:val="-1"/>
              <w:sz w:val="21"/>
              <w:szCs w:val="21"/>
            </w:rPr>
            <w:t>5.1 开标时间和地点</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616760CB">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"bookmark54" </w:instrText>
          </w:r>
          <w:r>
            <w:fldChar w:fldCharType="separate"/>
          </w:r>
          <w:r>
            <w:rPr>
              <w:rFonts w:ascii="宋体" w:hAnsi="宋体" w:eastAsia="宋体" w:cs="宋体"/>
              <w:spacing w:val="-3"/>
              <w:sz w:val="21"/>
              <w:szCs w:val="21"/>
            </w:rPr>
            <w:t>5.2</w:t>
          </w:r>
          <w:r>
            <w:rPr>
              <w:rFonts w:ascii="宋体" w:hAnsi="宋体" w:eastAsia="宋体" w:cs="宋体"/>
              <w:spacing w:val="10"/>
              <w:sz w:val="21"/>
              <w:szCs w:val="21"/>
            </w:rPr>
            <w:t xml:space="preserve"> </w:t>
          </w:r>
          <w:r>
            <w:rPr>
              <w:rFonts w:ascii="宋体" w:hAnsi="宋体" w:eastAsia="宋体" w:cs="宋体"/>
              <w:spacing w:val="-3"/>
              <w:sz w:val="21"/>
              <w:szCs w:val="21"/>
            </w:rPr>
            <w:t>开标程序</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20</w:t>
          </w:r>
          <w:r>
            <w:rPr>
              <w:rFonts w:ascii="宋体" w:hAnsi="宋体" w:eastAsia="宋体" w:cs="宋体"/>
              <w:spacing w:val="-3"/>
              <w:sz w:val="21"/>
              <w:szCs w:val="21"/>
            </w:rPr>
            <w:fldChar w:fldCharType="end"/>
          </w:r>
        </w:p>
        <w:p w14:paraId="6242FF70">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"bookmark55" </w:instrText>
          </w:r>
          <w:r>
            <w:fldChar w:fldCharType="separate"/>
          </w:r>
          <w:r>
            <w:rPr>
              <w:rFonts w:ascii="宋体" w:hAnsi="宋体" w:eastAsia="宋体" w:cs="宋体"/>
              <w:spacing w:val="-3"/>
              <w:sz w:val="21"/>
              <w:szCs w:val="21"/>
            </w:rPr>
            <w:t>5.3</w:t>
          </w:r>
          <w:r>
            <w:rPr>
              <w:rFonts w:ascii="宋体" w:hAnsi="宋体" w:eastAsia="宋体" w:cs="宋体"/>
              <w:spacing w:val="10"/>
              <w:sz w:val="21"/>
              <w:szCs w:val="21"/>
            </w:rPr>
            <w:t xml:space="preserve"> </w:t>
          </w:r>
          <w:r>
            <w:rPr>
              <w:rFonts w:ascii="宋体" w:hAnsi="宋体" w:eastAsia="宋体" w:cs="宋体"/>
              <w:spacing w:val="-3"/>
              <w:sz w:val="21"/>
              <w:szCs w:val="21"/>
            </w:rPr>
            <w:t>开标异议</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1ED6BC32">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"bookmark56" </w:instrText>
          </w:r>
          <w:r>
            <w:fldChar w:fldCharType="separate"/>
          </w:r>
          <w:r>
            <w:rPr>
              <w:rFonts w:ascii="宋体" w:hAnsi="宋体" w:eastAsia="宋体" w:cs="宋体"/>
              <w:spacing w:val="-1"/>
              <w:sz w:val="21"/>
              <w:szCs w:val="21"/>
            </w:rPr>
            <w:t>5.4 特殊情况的处置</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046E791D">
          <w:pPr>
            <w:tabs>
              <w:tab w:val="right" w:leader="dot" w:pos="8312"/>
            </w:tabs>
            <w:spacing w:before="61" w:line="221" w:lineRule="auto"/>
            <w:ind w:left="444"/>
            <w:rPr>
              <w:rFonts w:ascii="宋体" w:hAnsi="宋体" w:eastAsia="宋体" w:cs="宋体"/>
              <w:sz w:val="21"/>
              <w:szCs w:val="21"/>
            </w:rPr>
          </w:pPr>
          <w:r>
            <w:fldChar w:fldCharType="begin"/>
          </w:r>
          <w:r>
            <w:instrText xml:space="preserve"> HYPERLINK \l "bookmark57" </w:instrText>
          </w:r>
          <w:r>
            <w:fldChar w:fldCharType="separate"/>
          </w:r>
          <w:r>
            <w:rPr>
              <w:rFonts w:ascii="宋体" w:hAnsi="宋体" w:eastAsia="宋体" w:cs="宋体"/>
              <w:spacing w:val="-5"/>
              <w:sz w:val="21"/>
              <w:szCs w:val="21"/>
            </w:rPr>
            <w:t>6.</w:t>
          </w:r>
          <w:r>
            <w:rPr>
              <w:rFonts w:ascii="宋体" w:hAnsi="宋体" w:eastAsia="宋体" w:cs="宋体"/>
              <w:spacing w:val="10"/>
              <w:sz w:val="21"/>
              <w:szCs w:val="21"/>
            </w:rPr>
            <w:t xml:space="preserve"> </w:t>
          </w:r>
          <w:r>
            <w:rPr>
              <w:rFonts w:ascii="宋体" w:hAnsi="宋体" w:eastAsia="宋体" w:cs="宋体"/>
              <w:spacing w:val="-5"/>
              <w:sz w:val="21"/>
              <w:szCs w:val="21"/>
            </w:rPr>
            <w:t>评标</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1C03DD80">
          <w:pPr>
            <w:tabs>
              <w:tab w:val="right" w:leader="dot" w:pos="8312"/>
            </w:tabs>
            <w:spacing w:before="60" w:line="220" w:lineRule="auto"/>
            <w:ind w:left="864"/>
            <w:rPr>
              <w:rFonts w:ascii="宋体" w:hAnsi="宋体" w:eastAsia="宋体" w:cs="宋体"/>
              <w:sz w:val="21"/>
              <w:szCs w:val="21"/>
            </w:rPr>
          </w:pPr>
          <w:r>
            <w:fldChar w:fldCharType="begin"/>
          </w:r>
          <w:r>
            <w:instrText xml:space="preserve"> HYPERLINK \l "bookmark58" </w:instrText>
          </w:r>
          <w:r>
            <w:fldChar w:fldCharType="separate"/>
          </w:r>
          <w:r>
            <w:rPr>
              <w:rFonts w:ascii="宋体" w:hAnsi="宋体" w:eastAsia="宋体" w:cs="宋体"/>
              <w:spacing w:val="-1"/>
              <w:sz w:val="21"/>
              <w:szCs w:val="21"/>
            </w:rPr>
            <w:t>6.1 评标委员会</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21</w:t>
          </w:r>
          <w:r>
            <w:rPr>
              <w:rFonts w:ascii="宋体" w:hAnsi="宋体" w:eastAsia="宋体" w:cs="宋体"/>
              <w:spacing w:val="-3"/>
              <w:sz w:val="21"/>
              <w:szCs w:val="21"/>
            </w:rPr>
            <w:fldChar w:fldCharType="end"/>
          </w:r>
        </w:p>
        <w:p w14:paraId="32553673">
          <w:pPr>
            <w:tabs>
              <w:tab w:val="right" w:leader="dot" w:pos="8312"/>
            </w:tabs>
            <w:spacing w:before="63" w:line="221" w:lineRule="auto"/>
            <w:ind w:left="864"/>
            <w:rPr>
              <w:rFonts w:ascii="宋体" w:hAnsi="宋体" w:eastAsia="宋体" w:cs="宋体"/>
              <w:sz w:val="21"/>
              <w:szCs w:val="21"/>
            </w:rPr>
          </w:pPr>
          <w:r>
            <w:fldChar w:fldCharType="begin"/>
          </w:r>
          <w:r>
            <w:instrText xml:space="preserve"> HYPERLINK \l "bookmark59" </w:instrText>
          </w:r>
          <w:r>
            <w:fldChar w:fldCharType="separate"/>
          </w:r>
          <w:r>
            <w:rPr>
              <w:rFonts w:ascii="宋体" w:hAnsi="宋体" w:eastAsia="宋体" w:cs="宋体"/>
              <w:spacing w:val="-1"/>
              <w:sz w:val="21"/>
              <w:szCs w:val="21"/>
            </w:rPr>
            <w:t>6.2 评标原则</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26A4A0C4">
          <w:pPr>
            <w:tabs>
              <w:tab w:val="right" w:leader="dot" w:pos="8312"/>
            </w:tabs>
            <w:spacing w:before="61" w:line="221" w:lineRule="auto"/>
            <w:ind w:left="864"/>
            <w:rPr>
              <w:rFonts w:ascii="宋体" w:hAnsi="宋体" w:eastAsia="宋体" w:cs="宋体"/>
              <w:sz w:val="21"/>
              <w:szCs w:val="21"/>
            </w:rPr>
          </w:pPr>
          <w:r>
            <w:fldChar w:fldCharType="begin"/>
          </w:r>
          <w:r>
            <w:instrText xml:space="preserve"> HYPERLINK \l "bookmark60" </w:instrText>
          </w:r>
          <w:r>
            <w:fldChar w:fldCharType="separate"/>
          </w:r>
          <w:r>
            <w:rPr>
              <w:rFonts w:ascii="宋体" w:hAnsi="宋体" w:eastAsia="宋体" w:cs="宋体"/>
              <w:spacing w:val="-4"/>
              <w:sz w:val="21"/>
              <w:szCs w:val="21"/>
            </w:rPr>
            <w:t>6.3</w:t>
          </w:r>
          <w:r>
            <w:rPr>
              <w:rFonts w:ascii="宋体" w:hAnsi="宋体" w:eastAsia="宋体" w:cs="宋体"/>
              <w:spacing w:val="11"/>
              <w:sz w:val="21"/>
              <w:szCs w:val="21"/>
            </w:rPr>
            <w:t xml:space="preserve"> </w:t>
          </w:r>
          <w:r>
            <w:rPr>
              <w:rFonts w:ascii="宋体" w:hAnsi="宋体" w:eastAsia="宋体" w:cs="宋体"/>
              <w:spacing w:val="-4"/>
              <w:sz w:val="21"/>
              <w:szCs w:val="21"/>
            </w:rPr>
            <w:t>评标</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4CB201C1">
          <w:pPr>
            <w:tabs>
              <w:tab w:val="right" w:leader="dot" w:pos="8312"/>
            </w:tabs>
            <w:spacing w:before="60" w:line="221" w:lineRule="auto"/>
            <w:ind w:left="864"/>
            <w:rPr>
              <w:rFonts w:ascii="宋体" w:hAnsi="宋体" w:eastAsia="宋体" w:cs="宋体"/>
              <w:sz w:val="21"/>
              <w:szCs w:val="21"/>
            </w:rPr>
          </w:pPr>
          <w:r>
            <w:fldChar w:fldCharType="begin"/>
          </w:r>
          <w:r>
            <w:instrText xml:space="preserve"> HYPERLINK \l "bookmark61" </w:instrText>
          </w:r>
          <w:r>
            <w:fldChar w:fldCharType="separate"/>
          </w:r>
          <w:r>
            <w:rPr>
              <w:rFonts w:ascii="宋体" w:hAnsi="宋体" w:eastAsia="宋体" w:cs="宋体"/>
              <w:spacing w:val="-1"/>
              <w:sz w:val="21"/>
              <w:szCs w:val="21"/>
            </w:rPr>
            <w:t>6.4 评标结果公示</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46983C9D">
          <w:pPr>
            <w:tabs>
              <w:tab w:val="right" w:leader="dot" w:pos="8312"/>
            </w:tabs>
            <w:spacing w:before="61" w:line="222" w:lineRule="auto"/>
            <w:ind w:left="447"/>
            <w:rPr>
              <w:rFonts w:ascii="宋体" w:hAnsi="宋体" w:eastAsia="宋体" w:cs="宋体"/>
              <w:sz w:val="21"/>
              <w:szCs w:val="21"/>
            </w:rPr>
          </w:pPr>
          <w:r>
            <w:fldChar w:fldCharType="begin"/>
          </w:r>
          <w:r>
            <w:instrText xml:space="preserve"> HYPERLINK \l "bookmark62" </w:instrText>
          </w:r>
          <w:r>
            <w:fldChar w:fldCharType="separate"/>
          </w:r>
          <w:r>
            <w:rPr>
              <w:rFonts w:ascii="宋体" w:hAnsi="宋体" w:eastAsia="宋体" w:cs="宋体"/>
              <w:spacing w:val="-4"/>
              <w:sz w:val="21"/>
              <w:szCs w:val="21"/>
            </w:rPr>
            <w:t>7.</w:t>
          </w:r>
          <w:r>
            <w:rPr>
              <w:rFonts w:ascii="宋体" w:hAnsi="宋体" w:eastAsia="宋体" w:cs="宋体"/>
              <w:spacing w:val="11"/>
              <w:sz w:val="21"/>
              <w:szCs w:val="21"/>
            </w:rPr>
            <w:t xml:space="preserve"> </w:t>
          </w:r>
          <w:r>
            <w:rPr>
              <w:rFonts w:ascii="宋体" w:hAnsi="宋体" w:eastAsia="宋体" w:cs="宋体"/>
              <w:spacing w:val="-4"/>
              <w:sz w:val="21"/>
              <w:szCs w:val="21"/>
            </w:rPr>
            <w:t>合同授予</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7831EC0B">
          <w:pPr>
            <w:tabs>
              <w:tab w:val="right" w:leader="dot" w:pos="8312"/>
            </w:tabs>
            <w:spacing w:before="59" w:line="221" w:lineRule="auto"/>
            <w:ind w:left="867"/>
            <w:rPr>
              <w:rFonts w:ascii="宋体" w:hAnsi="宋体" w:eastAsia="宋体" w:cs="宋体"/>
              <w:sz w:val="21"/>
              <w:szCs w:val="21"/>
            </w:rPr>
          </w:pPr>
          <w:r>
            <w:fldChar w:fldCharType="begin"/>
          </w:r>
          <w:r>
            <w:instrText xml:space="preserve"> HYPERLINK \l "bookmark63" </w:instrText>
          </w:r>
          <w:r>
            <w:fldChar w:fldCharType="separate"/>
          </w:r>
          <w:r>
            <w:rPr>
              <w:rFonts w:ascii="宋体" w:hAnsi="宋体" w:eastAsia="宋体" w:cs="宋体"/>
              <w:spacing w:val="-4"/>
              <w:sz w:val="21"/>
              <w:szCs w:val="21"/>
            </w:rPr>
            <w:t>7.1</w:t>
          </w:r>
          <w:r>
            <w:rPr>
              <w:rFonts w:ascii="宋体" w:hAnsi="宋体" w:eastAsia="宋体" w:cs="宋体"/>
              <w:spacing w:val="16"/>
              <w:sz w:val="21"/>
              <w:szCs w:val="21"/>
            </w:rPr>
            <w:t xml:space="preserve"> </w:t>
          </w:r>
          <w:r>
            <w:rPr>
              <w:rFonts w:ascii="宋体" w:hAnsi="宋体" w:eastAsia="宋体" w:cs="宋体"/>
              <w:spacing w:val="-4"/>
              <w:sz w:val="21"/>
              <w:szCs w:val="21"/>
            </w:rPr>
            <w:t>定标方式</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7F0E7B94">
          <w:pPr>
            <w:tabs>
              <w:tab w:val="right" w:leader="dot" w:pos="8312"/>
            </w:tabs>
            <w:spacing w:before="61" w:line="221" w:lineRule="auto"/>
            <w:ind w:left="867"/>
            <w:rPr>
              <w:rFonts w:ascii="宋体" w:hAnsi="宋体" w:eastAsia="宋体" w:cs="宋体"/>
              <w:sz w:val="21"/>
              <w:szCs w:val="21"/>
            </w:rPr>
          </w:pPr>
          <w:r>
            <w:fldChar w:fldCharType="begin"/>
          </w:r>
          <w:r>
            <w:instrText xml:space="preserve"> HYPERLINK \l "bookmark64" </w:instrText>
          </w:r>
          <w:r>
            <w:fldChar w:fldCharType="separate"/>
          </w:r>
          <w:r>
            <w:rPr>
              <w:rFonts w:ascii="宋体" w:hAnsi="宋体" w:eastAsia="宋体" w:cs="宋体"/>
              <w:spacing w:val="-6"/>
              <w:sz w:val="21"/>
              <w:szCs w:val="21"/>
            </w:rPr>
            <w:t>7.2</w:t>
          </w:r>
          <w:r>
            <w:rPr>
              <w:rFonts w:ascii="宋体" w:hAnsi="宋体" w:eastAsia="宋体" w:cs="宋体"/>
              <w:spacing w:val="30"/>
              <w:sz w:val="21"/>
              <w:szCs w:val="21"/>
            </w:rPr>
            <w:t xml:space="preserve"> </w:t>
          </w:r>
          <w:r>
            <w:rPr>
              <w:rFonts w:ascii="宋体" w:hAnsi="宋体" w:eastAsia="宋体" w:cs="宋体"/>
              <w:spacing w:val="-6"/>
              <w:sz w:val="21"/>
              <w:szCs w:val="21"/>
            </w:rPr>
            <w:t>中标通知</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73DD46DE">
          <w:pPr>
            <w:tabs>
              <w:tab w:val="right" w:leader="dot" w:pos="8312"/>
            </w:tabs>
            <w:spacing w:before="61" w:line="221" w:lineRule="auto"/>
            <w:ind w:left="867"/>
            <w:rPr>
              <w:rFonts w:ascii="宋体" w:hAnsi="宋体" w:eastAsia="宋体" w:cs="宋体"/>
              <w:sz w:val="21"/>
              <w:szCs w:val="21"/>
            </w:rPr>
          </w:pPr>
          <w:r>
            <w:fldChar w:fldCharType="begin"/>
          </w:r>
          <w:r>
            <w:instrText xml:space="preserve"> HYPERLINK \l "bookmark65" </w:instrText>
          </w:r>
          <w:r>
            <w:fldChar w:fldCharType="separate"/>
          </w:r>
          <w:r>
            <w:rPr>
              <w:rFonts w:ascii="宋体" w:hAnsi="宋体" w:eastAsia="宋体" w:cs="宋体"/>
              <w:spacing w:val="-4"/>
              <w:sz w:val="21"/>
              <w:szCs w:val="21"/>
            </w:rPr>
            <w:t>7.3</w:t>
          </w:r>
          <w:r>
            <w:rPr>
              <w:rFonts w:ascii="宋体" w:hAnsi="宋体" w:eastAsia="宋体" w:cs="宋体"/>
              <w:spacing w:val="16"/>
              <w:sz w:val="21"/>
              <w:szCs w:val="21"/>
            </w:rPr>
            <w:t xml:space="preserve"> </w:t>
          </w:r>
          <w:r>
            <w:rPr>
              <w:rFonts w:ascii="宋体" w:hAnsi="宋体" w:eastAsia="宋体" w:cs="宋体"/>
              <w:spacing w:val="-4"/>
              <w:sz w:val="21"/>
              <w:szCs w:val="21"/>
            </w:rPr>
            <w:t>履约担保</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22</w:t>
          </w:r>
          <w:r>
            <w:rPr>
              <w:rFonts w:ascii="宋体" w:hAnsi="宋体" w:eastAsia="宋体" w:cs="宋体"/>
              <w:spacing w:val="-3"/>
              <w:sz w:val="21"/>
              <w:szCs w:val="21"/>
            </w:rPr>
            <w:fldChar w:fldCharType="end"/>
          </w:r>
        </w:p>
        <w:p w14:paraId="07B5EFE4">
          <w:pPr>
            <w:tabs>
              <w:tab w:val="right" w:leader="dot" w:pos="8312"/>
            </w:tabs>
            <w:spacing w:before="60" w:line="223" w:lineRule="auto"/>
            <w:ind w:left="867"/>
            <w:rPr>
              <w:rFonts w:ascii="宋体" w:hAnsi="宋体" w:eastAsia="宋体" w:cs="宋体"/>
              <w:sz w:val="21"/>
              <w:szCs w:val="21"/>
            </w:rPr>
          </w:pPr>
          <w:r>
            <w:fldChar w:fldCharType="begin"/>
          </w:r>
          <w:r>
            <w:instrText xml:space="preserve"> HYPERLINK \l "bookmark66" </w:instrText>
          </w:r>
          <w:r>
            <w:fldChar w:fldCharType="separate"/>
          </w:r>
          <w:r>
            <w:rPr>
              <w:rFonts w:ascii="宋体" w:hAnsi="宋体" w:eastAsia="宋体" w:cs="宋体"/>
              <w:spacing w:val="-2"/>
              <w:sz w:val="21"/>
              <w:szCs w:val="21"/>
            </w:rPr>
            <w:t>7.4 签订合同</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5FDBCB02">
          <w:pPr>
            <w:tabs>
              <w:tab w:val="right" w:leader="dot" w:pos="8312"/>
            </w:tabs>
            <w:spacing w:before="58" w:line="221" w:lineRule="auto"/>
            <w:ind w:left="443"/>
            <w:rPr>
              <w:rFonts w:ascii="宋体" w:hAnsi="宋体" w:eastAsia="宋体" w:cs="宋体"/>
              <w:sz w:val="21"/>
              <w:szCs w:val="21"/>
            </w:rPr>
          </w:pPr>
          <w:r>
            <w:fldChar w:fldCharType="begin"/>
          </w:r>
          <w:r>
            <w:instrText xml:space="preserve"> HYPERLINK \l "bookmark67" </w:instrText>
          </w:r>
          <w:r>
            <w:fldChar w:fldCharType="separate"/>
          </w:r>
          <w:r>
            <w:rPr>
              <w:rFonts w:ascii="宋体" w:hAnsi="宋体" w:eastAsia="宋体" w:cs="宋体"/>
              <w:spacing w:val="-1"/>
              <w:sz w:val="21"/>
              <w:szCs w:val="21"/>
            </w:rPr>
            <w:t>8. 重新招标、不再招标和终止招标</w:t>
          </w:r>
          <w:r>
            <w:rPr>
              <w:rFonts w:ascii="宋体" w:hAnsi="宋体" w:eastAsia="宋体" w:cs="宋体"/>
              <w:spacing w:val="-68"/>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48153C86">
          <w:pPr>
            <w:tabs>
              <w:tab w:val="right" w:leader="dot" w:pos="8312"/>
            </w:tabs>
            <w:spacing w:before="61" w:line="221" w:lineRule="auto"/>
            <w:ind w:left="863"/>
            <w:rPr>
              <w:rFonts w:ascii="宋体" w:hAnsi="宋体" w:eastAsia="宋体" w:cs="宋体"/>
              <w:sz w:val="21"/>
              <w:szCs w:val="21"/>
            </w:rPr>
          </w:pPr>
          <w:r>
            <w:fldChar w:fldCharType="begin"/>
          </w:r>
          <w:r>
            <w:instrText xml:space="preserve"> HYPERLINK \l "bookmark68" </w:instrText>
          </w:r>
          <w:r>
            <w:fldChar w:fldCharType="separate"/>
          </w:r>
          <w:r>
            <w:rPr>
              <w:rFonts w:ascii="宋体" w:hAnsi="宋体" w:eastAsia="宋体" w:cs="宋体"/>
              <w:spacing w:val="-1"/>
              <w:sz w:val="21"/>
              <w:szCs w:val="21"/>
            </w:rPr>
            <w:t>8.1 重新招标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2E8B4D0B">
          <w:pPr>
            <w:tabs>
              <w:tab w:val="right" w:leader="dot" w:pos="8312"/>
            </w:tabs>
            <w:spacing w:before="61" w:line="221" w:lineRule="auto"/>
            <w:ind w:left="863"/>
            <w:rPr>
              <w:rFonts w:ascii="宋体" w:hAnsi="宋体" w:eastAsia="宋体" w:cs="宋体"/>
              <w:sz w:val="21"/>
              <w:szCs w:val="21"/>
            </w:rPr>
          </w:pPr>
          <w:r>
            <w:fldChar w:fldCharType="begin"/>
          </w:r>
          <w:r>
            <w:instrText xml:space="preserve"> HYPERLINK \l "bookmark69" </w:instrText>
          </w:r>
          <w:r>
            <w:fldChar w:fldCharType="separate"/>
          </w:r>
          <w:r>
            <w:rPr>
              <w:rFonts w:ascii="宋体" w:hAnsi="宋体" w:eastAsia="宋体" w:cs="宋体"/>
              <w:spacing w:val="-3"/>
              <w:sz w:val="21"/>
              <w:szCs w:val="21"/>
            </w:rPr>
            <w:t>8.2</w:t>
          </w:r>
          <w:r>
            <w:rPr>
              <w:rFonts w:ascii="宋体" w:hAnsi="宋体" w:eastAsia="宋体" w:cs="宋体"/>
              <w:spacing w:val="13"/>
              <w:sz w:val="21"/>
              <w:szCs w:val="21"/>
            </w:rPr>
            <w:t xml:space="preserve"> </w:t>
          </w:r>
          <w:r>
            <w:rPr>
              <w:rFonts w:ascii="宋体" w:hAnsi="宋体" w:eastAsia="宋体" w:cs="宋体"/>
              <w:spacing w:val="-3"/>
              <w:sz w:val="21"/>
              <w:szCs w:val="21"/>
            </w:rPr>
            <w:t>不再招标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38BA4850">
          <w:pPr>
            <w:tabs>
              <w:tab w:val="right" w:leader="dot" w:pos="8312"/>
            </w:tabs>
            <w:spacing w:before="61" w:line="221" w:lineRule="auto"/>
            <w:ind w:left="863"/>
            <w:rPr>
              <w:rFonts w:ascii="宋体" w:hAnsi="宋体" w:eastAsia="宋体" w:cs="宋体"/>
              <w:sz w:val="21"/>
              <w:szCs w:val="21"/>
            </w:rPr>
          </w:pPr>
          <w:r>
            <w:fldChar w:fldCharType="begin"/>
          </w:r>
          <w:r>
            <w:instrText xml:space="preserve"> HYPERLINK \l "bookmark70" </w:instrText>
          </w:r>
          <w:r>
            <w:fldChar w:fldCharType="separate"/>
          </w:r>
          <w:r>
            <w:rPr>
              <w:rFonts w:ascii="宋体" w:hAnsi="宋体" w:eastAsia="宋体" w:cs="宋体"/>
              <w:spacing w:val="-3"/>
              <w:sz w:val="21"/>
              <w:szCs w:val="21"/>
            </w:rPr>
            <w:t>8.3</w:t>
          </w:r>
          <w:r>
            <w:rPr>
              <w:rFonts w:ascii="宋体" w:hAnsi="宋体" w:eastAsia="宋体" w:cs="宋体"/>
              <w:spacing w:val="13"/>
              <w:sz w:val="21"/>
              <w:szCs w:val="21"/>
            </w:rPr>
            <w:t xml:space="preserve"> </w:t>
          </w:r>
          <w:r>
            <w:rPr>
              <w:rFonts w:ascii="宋体" w:hAnsi="宋体" w:eastAsia="宋体" w:cs="宋体"/>
              <w:spacing w:val="-3"/>
              <w:sz w:val="21"/>
              <w:szCs w:val="21"/>
            </w:rPr>
            <w:t>终止招标</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23</w:t>
          </w:r>
          <w:r>
            <w:rPr>
              <w:rFonts w:ascii="宋体" w:hAnsi="宋体" w:eastAsia="宋体" w:cs="宋体"/>
              <w:spacing w:val="-3"/>
              <w:sz w:val="21"/>
              <w:szCs w:val="21"/>
            </w:rPr>
            <w:fldChar w:fldCharType="end"/>
          </w:r>
        </w:p>
        <w:p w14:paraId="4FE6E6D7">
          <w:pPr>
            <w:tabs>
              <w:tab w:val="right" w:leader="dot" w:pos="8312"/>
            </w:tabs>
            <w:spacing w:before="60" w:line="221" w:lineRule="auto"/>
            <w:ind w:left="443"/>
            <w:rPr>
              <w:rFonts w:ascii="宋体" w:hAnsi="宋体" w:eastAsia="宋体" w:cs="宋体"/>
              <w:sz w:val="21"/>
              <w:szCs w:val="21"/>
            </w:rPr>
          </w:pPr>
          <w:r>
            <w:fldChar w:fldCharType="begin"/>
          </w:r>
          <w:r>
            <w:instrText xml:space="preserve"> HYPERLINK \l "bookmark71" </w:instrText>
          </w:r>
          <w:r>
            <w:fldChar w:fldCharType="separate"/>
          </w:r>
          <w:r>
            <w:rPr>
              <w:rFonts w:ascii="宋体" w:hAnsi="宋体" w:eastAsia="宋体" w:cs="宋体"/>
              <w:spacing w:val="-3"/>
              <w:sz w:val="21"/>
              <w:szCs w:val="21"/>
            </w:rPr>
            <w:t>9.</w:t>
          </w:r>
          <w:r>
            <w:rPr>
              <w:rFonts w:ascii="宋体" w:hAnsi="宋体" w:eastAsia="宋体" w:cs="宋体"/>
              <w:spacing w:val="14"/>
              <w:sz w:val="21"/>
              <w:szCs w:val="21"/>
            </w:rPr>
            <w:t xml:space="preserve"> </w:t>
          </w:r>
          <w:r>
            <w:rPr>
              <w:rFonts w:ascii="宋体" w:hAnsi="宋体" w:eastAsia="宋体" w:cs="宋体"/>
              <w:spacing w:val="-3"/>
              <w:sz w:val="21"/>
              <w:szCs w:val="21"/>
            </w:rPr>
            <w:t>纪律和监督</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6992F032">
          <w:pPr>
            <w:tabs>
              <w:tab w:val="right" w:leader="dot" w:pos="8312"/>
            </w:tabs>
            <w:spacing w:before="60" w:line="221" w:lineRule="auto"/>
            <w:ind w:left="863"/>
            <w:rPr>
              <w:rFonts w:ascii="宋体" w:hAnsi="宋体" w:eastAsia="宋体" w:cs="宋体"/>
              <w:sz w:val="21"/>
              <w:szCs w:val="21"/>
            </w:rPr>
          </w:pPr>
          <w:r>
            <w:fldChar w:fldCharType="begin"/>
          </w:r>
          <w:r>
            <w:instrText xml:space="preserve"> HYPERLINK \l "bookmark72" </w:instrText>
          </w:r>
          <w:r>
            <w:fldChar w:fldCharType="separate"/>
          </w:r>
          <w:r>
            <w:rPr>
              <w:rFonts w:ascii="宋体" w:hAnsi="宋体" w:eastAsia="宋体" w:cs="宋体"/>
              <w:spacing w:val="-1"/>
              <w:sz w:val="21"/>
              <w:szCs w:val="21"/>
            </w:rPr>
            <w:t>9.1 对招标人的纪律要求</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3A10778A">
          <w:pPr>
            <w:tabs>
              <w:tab w:val="right" w:leader="dot" w:pos="8312"/>
            </w:tabs>
            <w:spacing w:before="61" w:line="221" w:lineRule="auto"/>
            <w:ind w:left="863"/>
            <w:rPr>
              <w:rFonts w:ascii="宋体" w:hAnsi="宋体" w:eastAsia="宋体" w:cs="宋体"/>
              <w:sz w:val="21"/>
              <w:szCs w:val="21"/>
            </w:rPr>
          </w:pPr>
          <w:r>
            <w:fldChar w:fldCharType="begin"/>
          </w:r>
          <w:r>
            <w:instrText xml:space="preserve"> HYPERLINK \l "bookmark73" </w:instrText>
          </w:r>
          <w:r>
            <w:fldChar w:fldCharType="separate"/>
          </w:r>
          <w:r>
            <w:rPr>
              <w:rFonts w:ascii="宋体" w:hAnsi="宋体" w:eastAsia="宋体" w:cs="宋体"/>
              <w:spacing w:val="-1"/>
              <w:sz w:val="21"/>
              <w:szCs w:val="21"/>
            </w:rPr>
            <w:t>9.2 对投标人的纪律要求</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51F45E2C">
          <w:pPr>
            <w:tabs>
              <w:tab w:val="right" w:leader="dot" w:pos="8312"/>
            </w:tabs>
            <w:spacing w:before="61" w:line="220" w:lineRule="auto"/>
            <w:ind w:left="863"/>
            <w:rPr>
              <w:rFonts w:ascii="宋体" w:hAnsi="宋体" w:eastAsia="宋体" w:cs="宋体"/>
              <w:sz w:val="21"/>
              <w:szCs w:val="21"/>
            </w:rPr>
          </w:pPr>
          <w:r>
            <w:fldChar w:fldCharType="begin"/>
          </w:r>
          <w:r>
            <w:instrText xml:space="preserve"> HYPERLINK \l "bookmark74" </w:instrText>
          </w:r>
          <w:r>
            <w:fldChar w:fldCharType="separate"/>
          </w:r>
          <w:r>
            <w:rPr>
              <w:rFonts w:ascii="宋体" w:hAnsi="宋体" w:eastAsia="宋体" w:cs="宋体"/>
              <w:spacing w:val="-1"/>
              <w:sz w:val="21"/>
              <w:szCs w:val="21"/>
            </w:rPr>
            <w:t>9.3 对评标委员会成员的纪律要求</w:t>
          </w:r>
          <w:r>
            <w:rPr>
              <w:rFonts w:ascii="宋体" w:hAnsi="宋体" w:eastAsia="宋体" w:cs="宋体"/>
              <w:spacing w:val="-6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4434C89D">
          <w:pPr>
            <w:tabs>
              <w:tab w:val="right" w:leader="dot" w:pos="8312"/>
            </w:tabs>
            <w:spacing w:before="61" w:line="221" w:lineRule="auto"/>
            <w:ind w:left="863"/>
            <w:rPr>
              <w:rFonts w:ascii="宋体" w:hAnsi="宋体" w:eastAsia="宋体" w:cs="宋体"/>
              <w:sz w:val="21"/>
              <w:szCs w:val="21"/>
            </w:rPr>
          </w:pPr>
          <w:r>
            <w:fldChar w:fldCharType="begin"/>
          </w:r>
          <w:r>
            <w:instrText xml:space="preserve"> HYPERLINK \l "bookmark75" </w:instrText>
          </w:r>
          <w:r>
            <w:fldChar w:fldCharType="separate"/>
          </w:r>
          <w:r>
            <w:rPr>
              <w:rFonts w:ascii="宋体" w:hAnsi="宋体" w:eastAsia="宋体" w:cs="宋体"/>
              <w:spacing w:val="-1"/>
              <w:sz w:val="21"/>
              <w:szCs w:val="21"/>
            </w:rPr>
            <w:t>9.4 对与评标活动有关的工作人员的纪律要求</w:t>
          </w:r>
          <w:r>
            <w:rPr>
              <w:rFonts w:ascii="宋体" w:hAnsi="宋体" w:eastAsia="宋体" w:cs="宋体"/>
              <w:spacing w:val="-5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5A317056">
          <w:pPr>
            <w:tabs>
              <w:tab w:val="right" w:leader="dot" w:pos="8312"/>
            </w:tabs>
            <w:spacing w:before="62" w:line="221" w:lineRule="auto"/>
            <w:ind w:left="863"/>
            <w:rPr>
              <w:rFonts w:ascii="宋体" w:hAnsi="宋体" w:eastAsia="宋体" w:cs="宋体"/>
              <w:sz w:val="21"/>
              <w:szCs w:val="21"/>
            </w:rPr>
          </w:pPr>
          <w:r>
            <w:fldChar w:fldCharType="begin"/>
          </w:r>
          <w:r>
            <w:instrText xml:space="preserve"> HYPERLINK \l "bookmark76" </w:instrText>
          </w:r>
          <w:r>
            <w:fldChar w:fldCharType="separate"/>
          </w:r>
          <w:r>
            <w:rPr>
              <w:rFonts w:ascii="宋体" w:hAnsi="宋体" w:eastAsia="宋体" w:cs="宋体"/>
              <w:spacing w:val="-4"/>
              <w:sz w:val="21"/>
              <w:szCs w:val="21"/>
            </w:rPr>
            <w:t>9.5</w:t>
          </w:r>
          <w:r>
            <w:rPr>
              <w:rFonts w:ascii="宋体" w:hAnsi="宋体" w:eastAsia="宋体" w:cs="宋体"/>
              <w:spacing w:val="12"/>
              <w:sz w:val="21"/>
              <w:szCs w:val="21"/>
            </w:rPr>
            <w:t xml:space="preserve"> </w:t>
          </w:r>
          <w:r>
            <w:rPr>
              <w:rFonts w:ascii="宋体" w:hAnsi="宋体" w:eastAsia="宋体" w:cs="宋体"/>
              <w:spacing w:val="-4"/>
              <w:sz w:val="21"/>
              <w:szCs w:val="21"/>
            </w:rPr>
            <w:t>投诉</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24</w:t>
          </w:r>
          <w:r>
            <w:rPr>
              <w:rFonts w:ascii="宋体" w:hAnsi="宋体" w:eastAsia="宋体" w:cs="宋体"/>
              <w:spacing w:val="-3"/>
              <w:sz w:val="21"/>
              <w:szCs w:val="21"/>
            </w:rPr>
            <w:fldChar w:fldCharType="end"/>
          </w:r>
        </w:p>
        <w:p w14:paraId="761D6838">
          <w:pPr>
            <w:tabs>
              <w:tab w:val="right" w:leader="dot" w:pos="8312"/>
            </w:tabs>
            <w:spacing w:before="60" w:line="221" w:lineRule="auto"/>
            <w:ind w:left="458"/>
            <w:rPr>
              <w:rFonts w:ascii="宋体" w:hAnsi="宋体" w:eastAsia="宋体" w:cs="宋体"/>
              <w:sz w:val="21"/>
              <w:szCs w:val="21"/>
            </w:rPr>
          </w:pPr>
          <w:r>
            <w:fldChar w:fldCharType="begin"/>
          </w:r>
          <w:r>
            <w:instrText xml:space="preserve"> HYPERLINK \l "bookmark77" </w:instrText>
          </w:r>
          <w:r>
            <w:fldChar w:fldCharType="separate"/>
          </w:r>
          <w:r>
            <w:rPr>
              <w:rFonts w:ascii="宋体" w:hAnsi="宋体" w:eastAsia="宋体" w:cs="宋体"/>
              <w:spacing w:val="-4"/>
              <w:sz w:val="21"/>
              <w:szCs w:val="21"/>
            </w:rPr>
            <w:t>10.</w:t>
          </w:r>
          <w:r>
            <w:rPr>
              <w:rFonts w:ascii="宋体" w:hAnsi="宋体" w:eastAsia="宋体" w:cs="宋体"/>
              <w:spacing w:val="27"/>
              <w:sz w:val="21"/>
              <w:szCs w:val="21"/>
            </w:rPr>
            <w:t xml:space="preserve"> </w:t>
          </w:r>
          <w:r>
            <w:rPr>
              <w:rFonts w:ascii="宋体" w:hAnsi="宋体" w:eastAsia="宋体" w:cs="宋体"/>
              <w:spacing w:val="-4"/>
              <w:sz w:val="21"/>
              <w:szCs w:val="21"/>
            </w:rPr>
            <w:t>需要补充的其他内容</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5836A789">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"bookmark78" </w:instrText>
          </w:r>
          <w:r>
            <w:fldChar w:fldCharType="separate"/>
          </w:r>
          <w:r>
            <w:rPr>
              <w:rFonts w:ascii="宋体" w:hAnsi="宋体" w:eastAsia="宋体" w:cs="宋体"/>
              <w:spacing w:val="-3"/>
              <w:sz w:val="21"/>
              <w:szCs w:val="21"/>
            </w:rPr>
            <w:t>10.1 词语定义</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05BD75D7">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"bookmark79" </w:instrText>
          </w:r>
          <w:r>
            <w:fldChar w:fldCharType="separate"/>
          </w:r>
          <w:r>
            <w:rPr>
              <w:rFonts w:ascii="宋体" w:hAnsi="宋体" w:eastAsia="宋体" w:cs="宋体"/>
              <w:spacing w:val="-4"/>
              <w:sz w:val="21"/>
              <w:szCs w:val="21"/>
            </w:rPr>
            <w:t>10.2</w:t>
          </w:r>
          <w:r>
            <w:rPr>
              <w:rFonts w:ascii="宋体" w:hAnsi="宋体" w:eastAsia="宋体" w:cs="宋体"/>
              <w:spacing w:val="26"/>
              <w:sz w:val="21"/>
              <w:szCs w:val="21"/>
            </w:rPr>
            <w:t xml:space="preserve"> </w:t>
          </w:r>
          <w:r>
            <w:rPr>
              <w:rFonts w:ascii="宋体" w:hAnsi="宋体" w:eastAsia="宋体" w:cs="宋体"/>
              <w:spacing w:val="-4"/>
              <w:sz w:val="21"/>
              <w:szCs w:val="21"/>
            </w:rPr>
            <w:t>中标人的投标文件</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12610689">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"bookmark80" </w:instrText>
          </w:r>
          <w:r>
            <w:fldChar w:fldCharType="separate"/>
          </w:r>
          <w:r>
            <w:rPr>
              <w:rFonts w:ascii="宋体" w:hAnsi="宋体" w:eastAsia="宋体" w:cs="宋体"/>
              <w:spacing w:val="-4"/>
              <w:sz w:val="21"/>
              <w:szCs w:val="21"/>
            </w:rPr>
            <w:t>10.3</w:t>
          </w:r>
          <w:r>
            <w:rPr>
              <w:rFonts w:ascii="宋体" w:hAnsi="宋体" w:eastAsia="宋体" w:cs="宋体"/>
              <w:spacing w:val="10"/>
              <w:sz w:val="21"/>
              <w:szCs w:val="21"/>
            </w:rPr>
            <w:t xml:space="preserve"> </w:t>
          </w:r>
          <w:r>
            <w:rPr>
              <w:rFonts w:ascii="宋体" w:hAnsi="宋体" w:eastAsia="宋体" w:cs="宋体"/>
              <w:spacing w:val="-4"/>
              <w:sz w:val="21"/>
              <w:szCs w:val="21"/>
            </w:rPr>
            <w:t>知识产权</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4D1D27A3">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"bookmark81" </w:instrText>
          </w:r>
          <w:r>
            <w:fldChar w:fldCharType="separate"/>
          </w:r>
          <w:r>
            <w:rPr>
              <w:rFonts w:ascii="宋体" w:hAnsi="宋体" w:eastAsia="宋体" w:cs="宋体"/>
              <w:spacing w:val="-6"/>
              <w:sz w:val="21"/>
              <w:szCs w:val="21"/>
            </w:rPr>
            <w:t>10.4</w:t>
          </w:r>
          <w:r>
            <w:rPr>
              <w:rFonts w:ascii="宋体" w:hAnsi="宋体" w:eastAsia="宋体" w:cs="宋体"/>
              <w:spacing w:val="27"/>
              <w:sz w:val="21"/>
              <w:szCs w:val="21"/>
            </w:rPr>
            <w:t xml:space="preserve"> </w:t>
          </w:r>
          <w:r>
            <w:rPr>
              <w:rFonts w:ascii="宋体" w:hAnsi="宋体" w:eastAsia="宋体" w:cs="宋体"/>
              <w:spacing w:val="-6"/>
              <w:sz w:val="21"/>
              <w:szCs w:val="21"/>
            </w:rPr>
            <w:t>同义词语</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0E901FAE">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"bookmark82" </w:instrText>
          </w:r>
          <w:r>
            <w:fldChar w:fldCharType="separate"/>
          </w:r>
          <w:r>
            <w:rPr>
              <w:rFonts w:ascii="宋体" w:hAnsi="宋体" w:eastAsia="宋体" w:cs="宋体"/>
              <w:spacing w:val="-3"/>
              <w:sz w:val="21"/>
              <w:szCs w:val="21"/>
            </w:rPr>
            <w:t>10.5 解释权</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sdtContent>
    </w:sdt>
    <w:p w14:paraId="69EF46E1">
      <w:pPr>
        <w:spacing w:line="221" w:lineRule="auto"/>
        <w:rPr>
          <w:rFonts w:ascii="宋体" w:hAnsi="宋体" w:eastAsia="宋体" w:cs="宋体"/>
          <w:sz w:val="21"/>
          <w:szCs w:val="21"/>
        </w:rPr>
        <w:sectPr>
          <w:footerReference r:id="rId7"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63072"/>
        <w:docPartObj>
          <w:docPartGallery w:val="Table of Contents"/>
          <w:docPartUnique/>
        </w:docPartObj>
      </w:sdtPr>
      <w:sdtEndPr>
        <w:rPr>
          <w:rFonts w:ascii="宋体" w:hAnsi="宋体" w:eastAsia="宋体" w:cs="宋体"/>
          <w:sz w:val="21"/>
          <w:szCs w:val="21"/>
        </w:rPr>
      </w:sdtEndPr>
      <w:sdtContent>
        <w:p w14:paraId="23244F2B">
          <w:pPr>
            <w:tabs>
              <w:tab w:val="right" w:leader="dot" w:pos="8312"/>
            </w:tabs>
            <w:spacing w:before="60" w:line="221" w:lineRule="auto"/>
            <w:ind w:left="878"/>
            <w:rPr>
              <w:rFonts w:ascii="宋体" w:hAnsi="宋体" w:eastAsia="宋体" w:cs="宋体"/>
              <w:sz w:val="21"/>
              <w:szCs w:val="21"/>
            </w:rPr>
          </w:pPr>
          <w:bookmarkStart w:id="1" w:name="bookmark83"/>
          <w:bookmarkEnd w:id="1"/>
          <w:r>
            <w:fldChar w:fldCharType="begin"/>
          </w:r>
          <w:r>
            <w:instrText xml:space="preserve"> HYPERLINK \l "bookmark84" </w:instrText>
          </w:r>
          <w:r>
            <w:fldChar w:fldCharType="separate"/>
          </w:r>
          <w:r>
            <w:rPr>
              <w:rFonts w:ascii="宋体" w:hAnsi="宋体" w:eastAsia="宋体" w:cs="宋体"/>
              <w:spacing w:val="-2"/>
              <w:sz w:val="21"/>
              <w:szCs w:val="21"/>
            </w:rPr>
            <w:t>10.6 招标代理服务费</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0A5D80E0">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"bookmark85" </w:instrText>
          </w:r>
          <w:r>
            <w:fldChar w:fldCharType="separate"/>
          </w:r>
          <w:r>
            <w:rPr>
              <w:rFonts w:ascii="宋体" w:hAnsi="宋体" w:eastAsia="宋体" w:cs="宋体"/>
              <w:spacing w:val="-2"/>
              <w:sz w:val="21"/>
              <w:szCs w:val="21"/>
            </w:rPr>
            <w:t>10.7 招标人补充的其他内容</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25</w:t>
          </w:r>
          <w:r>
            <w:rPr>
              <w:rFonts w:ascii="宋体" w:hAnsi="宋体" w:eastAsia="宋体" w:cs="宋体"/>
              <w:spacing w:val="-3"/>
              <w:sz w:val="21"/>
              <w:szCs w:val="21"/>
            </w:rPr>
            <w:fldChar w:fldCharType="end"/>
          </w:r>
        </w:p>
        <w:p w14:paraId="15FDC9F7">
          <w:pPr>
            <w:tabs>
              <w:tab w:val="right" w:leader="dot" w:pos="8312"/>
            </w:tabs>
            <w:spacing w:before="60" w:line="220" w:lineRule="auto"/>
            <w:ind w:left="459"/>
            <w:rPr>
              <w:rFonts w:ascii="宋体" w:hAnsi="宋体" w:eastAsia="宋体" w:cs="宋体"/>
              <w:sz w:val="21"/>
              <w:szCs w:val="21"/>
            </w:rPr>
          </w:pPr>
          <w:r>
            <w:fldChar w:fldCharType="begin"/>
          </w:r>
          <w:r>
            <w:instrText xml:space="preserve"> HYPERLINK \l "bookmark86" </w:instrText>
          </w:r>
          <w:r>
            <w:fldChar w:fldCharType="separate"/>
          </w:r>
          <w:r>
            <w:rPr>
              <w:rFonts w:ascii="宋体" w:hAnsi="宋体" w:eastAsia="宋体" w:cs="宋体"/>
              <w:spacing w:val="-2"/>
              <w:sz w:val="21"/>
              <w:szCs w:val="21"/>
            </w:rPr>
            <w:t>附表一：招标文件澄清申请函</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26</w:t>
          </w:r>
          <w:r>
            <w:rPr>
              <w:rFonts w:ascii="宋体" w:hAnsi="宋体" w:eastAsia="宋体" w:cs="宋体"/>
              <w:spacing w:val="-3"/>
              <w:sz w:val="21"/>
              <w:szCs w:val="21"/>
            </w:rPr>
            <w:fldChar w:fldCharType="end"/>
          </w:r>
        </w:p>
        <w:p w14:paraId="67DEE42E">
          <w:pPr>
            <w:tabs>
              <w:tab w:val="right" w:leader="dot" w:pos="8312"/>
            </w:tabs>
            <w:spacing w:before="61" w:line="220" w:lineRule="auto"/>
            <w:ind w:left="459"/>
            <w:rPr>
              <w:rFonts w:ascii="宋体" w:hAnsi="宋体" w:eastAsia="宋体" w:cs="宋体"/>
              <w:sz w:val="21"/>
              <w:szCs w:val="21"/>
            </w:rPr>
          </w:pPr>
          <w:r>
            <w:fldChar w:fldCharType="begin"/>
          </w:r>
          <w:r>
            <w:instrText xml:space="preserve"> HYPERLINK \l "bookmark87" </w:instrText>
          </w:r>
          <w:r>
            <w:fldChar w:fldCharType="separate"/>
          </w:r>
          <w:r>
            <w:rPr>
              <w:rFonts w:ascii="宋体" w:hAnsi="宋体" w:eastAsia="宋体" w:cs="宋体"/>
              <w:spacing w:val="-2"/>
              <w:sz w:val="21"/>
              <w:szCs w:val="21"/>
            </w:rPr>
            <w:t>附表二：招标文件文件澄清通知</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27</w:t>
          </w:r>
          <w:r>
            <w:rPr>
              <w:rFonts w:ascii="宋体" w:hAnsi="宋体" w:eastAsia="宋体" w:cs="宋体"/>
              <w:spacing w:val="-3"/>
              <w:sz w:val="21"/>
              <w:szCs w:val="21"/>
            </w:rPr>
            <w:fldChar w:fldCharType="end"/>
          </w:r>
        </w:p>
        <w:p w14:paraId="21F9319F">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"bookmark88" </w:instrText>
          </w:r>
          <w:r>
            <w:fldChar w:fldCharType="separate"/>
          </w:r>
          <w:r>
            <w:rPr>
              <w:rFonts w:ascii="宋体" w:hAnsi="宋体" w:eastAsia="宋体" w:cs="宋体"/>
              <w:spacing w:val="-2"/>
              <w:sz w:val="21"/>
              <w:szCs w:val="21"/>
            </w:rPr>
            <w:t>附表三：招标文件文件修改通知</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28</w:t>
          </w:r>
          <w:r>
            <w:rPr>
              <w:rFonts w:ascii="宋体" w:hAnsi="宋体" w:eastAsia="宋体" w:cs="宋体"/>
              <w:spacing w:val="-3"/>
              <w:sz w:val="21"/>
              <w:szCs w:val="21"/>
            </w:rPr>
            <w:fldChar w:fldCharType="end"/>
          </w:r>
        </w:p>
        <w:p w14:paraId="5CBDAB65">
          <w:pPr>
            <w:tabs>
              <w:tab w:val="right" w:leader="dot" w:pos="8312"/>
            </w:tabs>
            <w:spacing w:before="61" w:line="220" w:lineRule="auto"/>
            <w:ind w:left="459"/>
            <w:rPr>
              <w:rFonts w:ascii="宋体" w:hAnsi="宋体" w:eastAsia="宋体" w:cs="宋体"/>
              <w:sz w:val="21"/>
              <w:szCs w:val="21"/>
            </w:rPr>
          </w:pPr>
          <w:r>
            <w:fldChar w:fldCharType="begin"/>
          </w:r>
          <w:r>
            <w:instrText xml:space="preserve"> HYPERLINK \l "bookmark89" </w:instrText>
          </w:r>
          <w:r>
            <w:fldChar w:fldCharType="separate"/>
          </w:r>
          <w:r>
            <w:rPr>
              <w:rFonts w:ascii="宋体" w:hAnsi="宋体" w:eastAsia="宋体" w:cs="宋体"/>
              <w:spacing w:val="-2"/>
              <w:sz w:val="21"/>
              <w:szCs w:val="21"/>
            </w:rPr>
            <w:t>附表四：投标文件递交签收凭证</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29</w:t>
          </w:r>
          <w:r>
            <w:rPr>
              <w:rFonts w:ascii="宋体" w:hAnsi="宋体" w:eastAsia="宋体" w:cs="宋体"/>
              <w:spacing w:val="-3"/>
              <w:sz w:val="21"/>
              <w:szCs w:val="21"/>
            </w:rPr>
            <w:fldChar w:fldCharType="end"/>
          </w:r>
        </w:p>
        <w:p w14:paraId="7B32BFCC">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"bookmark90" </w:instrText>
          </w:r>
          <w:r>
            <w:fldChar w:fldCharType="separate"/>
          </w:r>
          <w:r>
            <w:rPr>
              <w:rFonts w:ascii="宋体" w:hAnsi="宋体" w:eastAsia="宋体" w:cs="宋体"/>
              <w:spacing w:val="-3"/>
              <w:sz w:val="21"/>
              <w:szCs w:val="21"/>
            </w:rPr>
            <w:t>附表五：开标记录表</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30</w:t>
          </w:r>
          <w:r>
            <w:rPr>
              <w:rFonts w:ascii="宋体" w:hAnsi="宋体" w:eastAsia="宋体" w:cs="宋体"/>
              <w:spacing w:val="-3"/>
              <w:sz w:val="21"/>
              <w:szCs w:val="21"/>
            </w:rPr>
            <w:fldChar w:fldCharType="end"/>
          </w:r>
        </w:p>
        <w:p w14:paraId="53728193">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"bookmark91" </w:instrText>
          </w:r>
          <w:r>
            <w:fldChar w:fldCharType="separate"/>
          </w:r>
          <w:r>
            <w:rPr>
              <w:rFonts w:ascii="宋体" w:hAnsi="宋体" w:eastAsia="宋体" w:cs="宋体"/>
              <w:spacing w:val="-2"/>
              <w:sz w:val="21"/>
              <w:szCs w:val="21"/>
            </w:rPr>
            <w:t>附表六：投标文件问题澄清通知</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31</w:t>
          </w:r>
          <w:r>
            <w:rPr>
              <w:rFonts w:ascii="宋体" w:hAnsi="宋体" w:eastAsia="宋体" w:cs="宋体"/>
              <w:spacing w:val="-3"/>
              <w:sz w:val="21"/>
              <w:szCs w:val="21"/>
            </w:rPr>
            <w:fldChar w:fldCharType="end"/>
          </w:r>
        </w:p>
        <w:p w14:paraId="5F85281D">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"bookmark92" </w:instrText>
          </w:r>
          <w:r>
            <w:fldChar w:fldCharType="separate"/>
          </w:r>
          <w:r>
            <w:rPr>
              <w:rFonts w:ascii="宋体" w:hAnsi="宋体" w:eastAsia="宋体" w:cs="宋体"/>
              <w:spacing w:val="-2"/>
              <w:sz w:val="21"/>
              <w:szCs w:val="21"/>
            </w:rPr>
            <w:t>附表七：投标文件问题的澄清</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32</w:t>
          </w:r>
          <w:r>
            <w:rPr>
              <w:rFonts w:ascii="宋体" w:hAnsi="宋体" w:eastAsia="宋体" w:cs="宋体"/>
              <w:spacing w:val="-3"/>
              <w:sz w:val="21"/>
              <w:szCs w:val="21"/>
            </w:rPr>
            <w:fldChar w:fldCharType="end"/>
          </w:r>
        </w:p>
        <w:p w14:paraId="5077FBE9">
          <w:pPr>
            <w:tabs>
              <w:tab w:val="right" w:leader="dot" w:pos="8312"/>
            </w:tabs>
            <w:spacing w:before="61" w:line="220" w:lineRule="auto"/>
            <w:ind w:left="459"/>
            <w:rPr>
              <w:rFonts w:ascii="宋体" w:hAnsi="宋体" w:eastAsia="宋体" w:cs="宋体"/>
              <w:sz w:val="21"/>
              <w:szCs w:val="21"/>
            </w:rPr>
          </w:pPr>
          <w:r>
            <w:fldChar w:fldCharType="begin"/>
          </w:r>
          <w:r>
            <w:instrText xml:space="preserve"> HYPERLINK \l "bookmark93" </w:instrText>
          </w:r>
          <w:r>
            <w:fldChar w:fldCharType="separate"/>
          </w:r>
          <w:r>
            <w:rPr>
              <w:rFonts w:ascii="宋体" w:hAnsi="宋体" w:eastAsia="宋体" w:cs="宋体"/>
              <w:spacing w:val="-3"/>
              <w:sz w:val="21"/>
              <w:szCs w:val="21"/>
            </w:rPr>
            <w:t>附表八：中标通知书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33</w:t>
          </w:r>
          <w:r>
            <w:rPr>
              <w:rFonts w:ascii="宋体" w:hAnsi="宋体" w:eastAsia="宋体" w:cs="宋体"/>
              <w:spacing w:val="-3"/>
              <w:sz w:val="21"/>
              <w:szCs w:val="21"/>
            </w:rPr>
            <w:fldChar w:fldCharType="end"/>
          </w:r>
        </w:p>
        <w:p w14:paraId="0C738A38">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"bookmark94" </w:instrText>
          </w:r>
          <w:r>
            <w:fldChar w:fldCharType="separate"/>
          </w:r>
          <w:r>
            <w:rPr>
              <w:rFonts w:ascii="宋体" w:hAnsi="宋体" w:eastAsia="宋体" w:cs="宋体"/>
              <w:spacing w:val="-2"/>
              <w:sz w:val="21"/>
              <w:szCs w:val="21"/>
            </w:rPr>
            <w:t>附表九：中标结果通知书</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34</w:t>
          </w:r>
          <w:r>
            <w:rPr>
              <w:rFonts w:ascii="宋体" w:hAnsi="宋体" w:eastAsia="宋体" w:cs="宋体"/>
              <w:spacing w:val="-3"/>
              <w:sz w:val="21"/>
              <w:szCs w:val="21"/>
            </w:rPr>
            <w:fldChar w:fldCharType="end"/>
          </w:r>
        </w:p>
        <w:p w14:paraId="6E0B510B">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"bookmark95" </w:instrText>
          </w:r>
          <w:r>
            <w:fldChar w:fldCharType="separate"/>
          </w:r>
          <w:r>
            <w:rPr>
              <w:rFonts w:ascii="宋体" w:hAnsi="宋体" w:eastAsia="宋体" w:cs="宋体"/>
              <w:spacing w:val="-3"/>
              <w:sz w:val="21"/>
              <w:szCs w:val="21"/>
            </w:rPr>
            <w:t>附表十：异议函</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35</w:t>
          </w:r>
          <w:r>
            <w:rPr>
              <w:rFonts w:ascii="宋体" w:hAnsi="宋体" w:eastAsia="宋体" w:cs="宋体"/>
              <w:spacing w:val="-3"/>
              <w:sz w:val="21"/>
              <w:szCs w:val="21"/>
            </w:rPr>
            <w:fldChar w:fldCharType="end"/>
          </w:r>
        </w:p>
        <w:p w14:paraId="59A505C3">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"bookmark96" </w:instrText>
          </w:r>
          <w:r>
            <w:fldChar w:fldCharType="separate"/>
          </w:r>
          <w:r>
            <w:rPr>
              <w:rFonts w:ascii="宋体" w:hAnsi="宋体" w:eastAsia="宋体" w:cs="宋体"/>
              <w:spacing w:val="-3"/>
              <w:sz w:val="21"/>
              <w:szCs w:val="21"/>
            </w:rPr>
            <w:t>附表十一：异议答复函</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36</w:t>
          </w:r>
          <w:r>
            <w:rPr>
              <w:rFonts w:ascii="宋体" w:hAnsi="宋体" w:eastAsia="宋体" w:cs="宋体"/>
              <w:spacing w:val="-3"/>
              <w:sz w:val="21"/>
              <w:szCs w:val="21"/>
            </w:rPr>
            <w:fldChar w:fldCharType="end"/>
          </w:r>
        </w:p>
        <w:p w14:paraId="15EE9A51">
          <w:pPr>
            <w:tabs>
              <w:tab w:val="right" w:leader="dot" w:pos="8312"/>
            </w:tabs>
            <w:spacing w:before="62" w:line="220" w:lineRule="auto"/>
            <w:ind w:left="459"/>
            <w:rPr>
              <w:rFonts w:ascii="宋体" w:hAnsi="宋体" w:eastAsia="宋体" w:cs="宋体"/>
              <w:sz w:val="21"/>
              <w:szCs w:val="21"/>
            </w:rPr>
          </w:pPr>
          <w:r>
            <w:fldChar w:fldCharType="begin"/>
          </w:r>
          <w:r>
            <w:instrText xml:space="preserve"> HYPERLINK \l "bookmark97" </w:instrText>
          </w:r>
          <w:r>
            <w:fldChar w:fldCharType="separate"/>
          </w:r>
          <w:r>
            <w:rPr>
              <w:rFonts w:ascii="宋体" w:hAnsi="宋体" w:eastAsia="宋体" w:cs="宋体"/>
              <w:spacing w:val="-3"/>
              <w:sz w:val="21"/>
              <w:szCs w:val="21"/>
            </w:rPr>
            <w:t>附表十二：授权委托书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37</w:t>
          </w:r>
          <w:r>
            <w:rPr>
              <w:rFonts w:ascii="宋体" w:hAnsi="宋体" w:eastAsia="宋体" w:cs="宋体"/>
              <w:spacing w:val="-3"/>
              <w:sz w:val="21"/>
              <w:szCs w:val="21"/>
            </w:rPr>
            <w:fldChar w:fldCharType="end"/>
          </w:r>
        </w:p>
        <w:p w14:paraId="70B49127">
          <w:pPr>
            <w:tabs>
              <w:tab w:val="right" w:leader="dot" w:pos="8312"/>
            </w:tabs>
            <w:spacing w:before="62" w:line="220" w:lineRule="auto"/>
            <w:ind w:left="22"/>
            <w:rPr>
              <w:rFonts w:ascii="宋体" w:hAnsi="宋体" w:eastAsia="宋体" w:cs="宋体"/>
              <w:sz w:val="21"/>
              <w:szCs w:val="21"/>
            </w:rPr>
          </w:pPr>
          <w:r>
            <w:fldChar w:fldCharType="begin"/>
          </w:r>
          <w:r>
            <w:instrText xml:space="preserve"> HYPERLINK \l "bookmark98" </w:instrText>
          </w:r>
          <w:r>
            <w:fldChar w:fldCharType="separate"/>
          </w:r>
          <w:r>
            <w:rPr>
              <w:rFonts w:ascii="宋体" w:hAnsi="宋体" w:eastAsia="宋体" w:cs="宋体"/>
              <w:b/>
              <w:bCs/>
              <w:spacing w:val="-4"/>
              <w:sz w:val="21"/>
              <w:szCs w:val="21"/>
            </w:rPr>
            <w:t>第三章</w:t>
          </w:r>
          <w:r>
            <w:rPr>
              <w:rFonts w:ascii="宋体" w:hAnsi="宋体" w:eastAsia="宋体" w:cs="宋体"/>
              <w:spacing w:val="-4"/>
              <w:sz w:val="21"/>
              <w:szCs w:val="21"/>
            </w:rPr>
            <w:t xml:space="preserve">  </w:t>
          </w:r>
          <w:r>
            <w:rPr>
              <w:rFonts w:ascii="宋体" w:hAnsi="宋体" w:eastAsia="宋体" w:cs="宋体"/>
              <w:b/>
              <w:bCs/>
              <w:spacing w:val="-4"/>
              <w:sz w:val="21"/>
              <w:szCs w:val="21"/>
            </w:rPr>
            <w:t>评标办法</w:t>
          </w:r>
          <w:r>
            <w:rPr>
              <w:rFonts w:ascii="宋体" w:hAnsi="宋体" w:eastAsia="宋体" w:cs="宋体"/>
              <w:spacing w:val="-4"/>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39</w:t>
          </w:r>
          <w:r>
            <w:rPr>
              <w:rFonts w:ascii="宋体" w:hAnsi="宋体" w:eastAsia="宋体" w:cs="宋体"/>
              <w:b/>
              <w:bCs/>
              <w:spacing w:val="-6"/>
              <w:sz w:val="21"/>
              <w:szCs w:val="21"/>
            </w:rPr>
            <w:fldChar w:fldCharType="end"/>
          </w:r>
        </w:p>
        <w:p w14:paraId="4AA272F9">
          <w:pPr>
            <w:tabs>
              <w:tab w:val="right" w:leader="dot" w:pos="8312"/>
            </w:tabs>
            <w:spacing w:before="62" w:line="219" w:lineRule="auto"/>
            <w:ind w:left="441"/>
            <w:rPr>
              <w:rFonts w:ascii="宋体" w:hAnsi="宋体" w:eastAsia="宋体" w:cs="宋体"/>
              <w:sz w:val="21"/>
              <w:szCs w:val="21"/>
            </w:rPr>
          </w:pPr>
          <w:r>
            <w:fldChar w:fldCharType="begin"/>
          </w:r>
          <w:r>
            <w:instrText xml:space="preserve"> HYPERLINK \l "bookmark99" </w:instrText>
          </w:r>
          <w:r>
            <w:fldChar w:fldCharType="separate"/>
          </w:r>
          <w:r>
            <w:rPr>
              <w:rFonts w:ascii="宋体" w:hAnsi="宋体" w:eastAsia="宋体" w:cs="宋体"/>
              <w:spacing w:val="-1"/>
              <w:sz w:val="21"/>
              <w:szCs w:val="21"/>
            </w:rPr>
            <w:t>评标办法前附表（综合评估法）</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39</w:t>
          </w:r>
          <w:r>
            <w:rPr>
              <w:rFonts w:ascii="宋体" w:hAnsi="宋体" w:eastAsia="宋体" w:cs="宋体"/>
              <w:spacing w:val="-3"/>
              <w:sz w:val="21"/>
              <w:szCs w:val="21"/>
            </w:rPr>
            <w:fldChar w:fldCharType="end"/>
          </w:r>
        </w:p>
        <w:p w14:paraId="6DF606F5">
          <w:pPr>
            <w:tabs>
              <w:tab w:val="right" w:leader="dot" w:pos="8312"/>
            </w:tabs>
            <w:spacing w:before="62" w:line="221" w:lineRule="auto"/>
            <w:ind w:left="441"/>
            <w:rPr>
              <w:rFonts w:ascii="宋体" w:hAnsi="宋体" w:eastAsia="宋体" w:cs="宋体"/>
              <w:sz w:val="21"/>
              <w:szCs w:val="21"/>
            </w:rPr>
          </w:pPr>
          <w:r>
            <w:fldChar w:fldCharType="begin"/>
          </w:r>
          <w:r>
            <w:instrText xml:space="preserve"> HYPERLINK \l "bookmark100" </w:instrText>
          </w:r>
          <w:r>
            <w:fldChar w:fldCharType="separate"/>
          </w:r>
          <w:r>
            <w:rPr>
              <w:rFonts w:ascii="宋体" w:hAnsi="宋体" w:eastAsia="宋体" w:cs="宋体"/>
              <w:spacing w:val="-1"/>
              <w:sz w:val="21"/>
              <w:szCs w:val="21"/>
            </w:rPr>
            <w:t>评标办法正文部分</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1CA8B110">
          <w:pPr>
            <w:tabs>
              <w:tab w:val="right" w:leader="dot" w:pos="8312"/>
            </w:tabs>
            <w:spacing w:before="61" w:line="221" w:lineRule="auto"/>
            <w:ind w:left="458"/>
            <w:rPr>
              <w:rFonts w:ascii="宋体" w:hAnsi="宋体" w:eastAsia="宋体" w:cs="宋体"/>
              <w:sz w:val="21"/>
              <w:szCs w:val="21"/>
            </w:rPr>
          </w:pPr>
          <w:r>
            <w:fldChar w:fldCharType="begin"/>
          </w:r>
          <w:r>
            <w:instrText xml:space="preserve"> HYPERLINK \l "bookmark101" </w:instrText>
          </w:r>
          <w:r>
            <w:fldChar w:fldCharType="separate"/>
          </w:r>
          <w:r>
            <w:rPr>
              <w:rFonts w:ascii="宋体" w:hAnsi="宋体" w:eastAsia="宋体" w:cs="宋体"/>
              <w:spacing w:val="-5"/>
              <w:sz w:val="21"/>
              <w:szCs w:val="21"/>
            </w:rPr>
            <w:t>1.</w:t>
          </w:r>
          <w:r>
            <w:rPr>
              <w:rFonts w:ascii="宋体" w:hAnsi="宋体" w:eastAsia="宋体" w:cs="宋体"/>
              <w:spacing w:val="7"/>
              <w:sz w:val="21"/>
              <w:szCs w:val="21"/>
            </w:rPr>
            <w:t xml:space="preserve"> </w:t>
          </w:r>
          <w:r>
            <w:rPr>
              <w:rFonts w:ascii="宋体" w:hAnsi="宋体" w:eastAsia="宋体" w:cs="宋体"/>
              <w:spacing w:val="-5"/>
              <w:sz w:val="21"/>
              <w:szCs w:val="21"/>
            </w:rPr>
            <w:t>评标方法</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21253610">
          <w:pPr>
            <w:tabs>
              <w:tab w:val="right" w:leader="dot" w:pos="8312"/>
            </w:tabs>
            <w:spacing w:before="61" w:line="221" w:lineRule="auto"/>
            <w:ind w:left="445"/>
            <w:rPr>
              <w:rFonts w:ascii="宋体" w:hAnsi="宋体" w:eastAsia="宋体" w:cs="宋体"/>
              <w:sz w:val="21"/>
              <w:szCs w:val="21"/>
            </w:rPr>
          </w:pPr>
          <w:r>
            <w:fldChar w:fldCharType="begin"/>
          </w:r>
          <w:r>
            <w:instrText xml:space="preserve"> HYPERLINK \l "bookmark102" </w:instrText>
          </w:r>
          <w:r>
            <w:fldChar w:fldCharType="separate"/>
          </w:r>
          <w:r>
            <w:rPr>
              <w:rFonts w:ascii="宋体" w:hAnsi="宋体" w:eastAsia="宋体" w:cs="宋体"/>
              <w:spacing w:val="-2"/>
              <w:sz w:val="21"/>
              <w:szCs w:val="21"/>
            </w:rPr>
            <w:t>2. 评审标准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7E8F7438">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"bookmark103" </w:instrText>
          </w:r>
          <w:r>
            <w:fldChar w:fldCharType="separate"/>
          </w:r>
          <w:r>
            <w:rPr>
              <w:rFonts w:ascii="宋体" w:hAnsi="宋体" w:eastAsia="宋体" w:cs="宋体"/>
              <w:spacing w:val="-1"/>
              <w:sz w:val="21"/>
              <w:szCs w:val="21"/>
            </w:rPr>
            <w:t>2.1 初步评审标准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2BB3EDAA">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"bookmark104" </w:instrText>
          </w:r>
          <w:r>
            <w:fldChar w:fldCharType="separate"/>
          </w:r>
          <w:r>
            <w:rPr>
              <w:rFonts w:ascii="宋体" w:hAnsi="宋体" w:eastAsia="宋体" w:cs="宋体"/>
              <w:spacing w:val="-1"/>
              <w:sz w:val="21"/>
              <w:szCs w:val="21"/>
            </w:rPr>
            <w:t>2.2 分值构成与评分标准</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6FD9F36D">
          <w:pPr>
            <w:tabs>
              <w:tab w:val="right" w:leader="dot" w:pos="8312"/>
            </w:tabs>
            <w:spacing w:before="62" w:line="221" w:lineRule="auto"/>
            <w:ind w:left="446"/>
            <w:rPr>
              <w:rFonts w:ascii="宋体" w:hAnsi="宋体" w:eastAsia="宋体" w:cs="宋体"/>
              <w:sz w:val="21"/>
              <w:szCs w:val="21"/>
            </w:rPr>
          </w:pPr>
          <w:r>
            <w:fldChar w:fldCharType="begin"/>
          </w:r>
          <w:r>
            <w:instrText xml:space="preserve"> HYPERLINK \l "bookmark105" </w:instrText>
          </w:r>
          <w:r>
            <w:fldChar w:fldCharType="separate"/>
          </w:r>
          <w:r>
            <w:rPr>
              <w:rFonts w:ascii="宋体" w:hAnsi="宋体" w:eastAsia="宋体" w:cs="宋体"/>
              <w:spacing w:val="-2"/>
              <w:sz w:val="21"/>
              <w:szCs w:val="21"/>
            </w:rPr>
            <w:t>3. 评标程序</w:t>
          </w:r>
          <w:r>
            <w:rPr>
              <w:rFonts w:ascii="宋体" w:hAnsi="宋体" w:eastAsia="宋体" w:cs="宋体"/>
              <w:spacing w:val="-87"/>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042EEAE1">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"bookmark106" </w:instrText>
          </w:r>
          <w:r>
            <w:fldChar w:fldCharType="separate"/>
          </w:r>
          <w:r>
            <w:rPr>
              <w:rFonts w:ascii="宋体" w:hAnsi="宋体" w:eastAsia="宋体" w:cs="宋体"/>
              <w:spacing w:val="-2"/>
              <w:sz w:val="21"/>
              <w:szCs w:val="21"/>
            </w:rPr>
            <w:t>3.1 初步评审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44</w:t>
          </w:r>
          <w:r>
            <w:rPr>
              <w:rFonts w:ascii="宋体" w:hAnsi="宋体" w:eastAsia="宋体" w:cs="宋体"/>
              <w:spacing w:val="-2"/>
              <w:sz w:val="21"/>
              <w:szCs w:val="21"/>
            </w:rPr>
            <w:fldChar w:fldCharType="end"/>
          </w:r>
        </w:p>
        <w:p w14:paraId="3E514A54">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"bookmark107"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详细评审</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45</w:t>
          </w:r>
          <w:r>
            <w:rPr>
              <w:rFonts w:ascii="宋体" w:hAnsi="宋体" w:eastAsia="宋体" w:cs="宋体"/>
              <w:spacing w:val="-2"/>
              <w:sz w:val="21"/>
              <w:szCs w:val="21"/>
            </w:rPr>
            <w:fldChar w:fldCharType="end"/>
          </w:r>
        </w:p>
        <w:p w14:paraId="44187432">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"bookmark108" </w:instrText>
          </w:r>
          <w:r>
            <w:fldChar w:fldCharType="separate"/>
          </w:r>
          <w:r>
            <w:rPr>
              <w:rFonts w:ascii="宋体" w:hAnsi="宋体" w:eastAsia="宋体" w:cs="宋体"/>
              <w:spacing w:val="-1"/>
              <w:sz w:val="21"/>
              <w:szCs w:val="21"/>
            </w:rPr>
            <w:t>3.3 投标文件的澄清和补正</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46</w:t>
          </w:r>
          <w:r>
            <w:rPr>
              <w:rFonts w:ascii="宋体" w:hAnsi="宋体" w:eastAsia="宋体" w:cs="宋体"/>
              <w:spacing w:val="-2"/>
              <w:sz w:val="21"/>
              <w:szCs w:val="21"/>
            </w:rPr>
            <w:fldChar w:fldCharType="end"/>
          </w:r>
        </w:p>
        <w:p w14:paraId="0A60B57F">
          <w:pPr>
            <w:tabs>
              <w:tab w:val="right" w:leader="dot" w:pos="8312"/>
            </w:tabs>
            <w:spacing w:before="62" w:line="221" w:lineRule="auto"/>
            <w:ind w:left="866"/>
            <w:rPr>
              <w:rFonts w:ascii="宋体" w:hAnsi="宋体" w:eastAsia="宋体" w:cs="宋体"/>
              <w:sz w:val="21"/>
              <w:szCs w:val="21"/>
            </w:rPr>
          </w:pPr>
          <w:r>
            <w:fldChar w:fldCharType="begin"/>
          </w:r>
          <w:r>
            <w:instrText xml:space="preserve"> HYPERLINK \l "bookmark109" </w:instrText>
          </w:r>
          <w:r>
            <w:fldChar w:fldCharType="separate"/>
          </w:r>
          <w:r>
            <w:rPr>
              <w:rFonts w:ascii="宋体" w:hAnsi="宋体" w:eastAsia="宋体" w:cs="宋体"/>
              <w:spacing w:val="-2"/>
              <w:sz w:val="21"/>
              <w:szCs w:val="21"/>
            </w:rPr>
            <w:t>3.4 评标结果</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46</w:t>
          </w:r>
          <w:r>
            <w:rPr>
              <w:rFonts w:ascii="宋体" w:hAnsi="宋体" w:eastAsia="宋体" w:cs="宋体"/>
              <w:spacing w:val="-2"/>
              <w:sz w:val="21"/>
              <w:szCs w:val="21"/>
            </w:rPr>
            <w:fldChar w:fldCharType="end"/>
          </w:r>
        </w:p>
        <w:p w14:paraId="5E39CED3">
          <w:pPr>
            <w:tabs>
              <w:tab w:val="right" w:leader="dot" w:pos="8312"/>
            </w:tabs>
            <w:spacing w:before="60" w:line="220" w:lineRule="auto"/>
            <w:ind w:left="459"/>
            <w:rPr>
              <w:rFonts w:ascii="宋体" w:hAnsi="宋体" w:eastAsia="宋体" w:cs="宋体"/>
              <w:sz w:val="21"/>
              <w:szCs w:val="21"/>
            </w:rPr>
          </w:pPr>
          <w:r>
            <w:fldChar w:fldCharType="begin"/>
          </w:r>
          <w:r>
            <w:instrText xml:space="preserve"> HYPERLINK \l "bookmark110" </w:instrText>
          </w:r>
          <w:r>
            <w:fldChar w:fldCharType="separate"/>
          </w:r>
          <w:r>
            <w:rPr>
              <w:rFonts w:ascii="宋体" w:hAnsi="宋体" w:eastAsia="宋体" w:cs="宋体"/>
              <w:spacing w:val="-3"/>
              <w:sz w:val="21"/>
              <w:szCs w:val="21"/>
            </w:rPr>
            <w:t>附件</w:t>
          </w:r>
          <w:r>
            <w:rPr>
              <w:rFonts w:ascii="宋体" w:hAnsi="宋体" w:eastAsia="宋体" w:cs="宋体"/>
              <w:spacing w:val="-42"/>
              <w:sz w:val="21"/>
              <w:szCs w:val="21"/>
            </w:rPr>
            <w:t xml:space="preserve"> </w:t>
          </w:r>
          <w:r>
            <w:rPr>
              <w:rFonts w:ascii="宋体" w:hAnsi="宋体" w:eastAsia="宋体" w:cs="宋体"/>
              <w:spacing w:val="-3"/>
              <w:sz w:val="21"/>
              <w:szCs w:val="21"/>
            </w:rPr>
            <w:t>A：否决投标的条件</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47</w:t>
          </w:r>
          <w:r>
            <w:rPr>
              <w:rFonts w:ascii="宋体" w:hAnsi="宋体" w:eastAsia="宋体" w:cs="宋体"/>
              <w:spacing w:val="-2"/>
              <w:sz w:val="21"/>
              <w:szCs w:val="21"/>
            </w:rPr>
            <w:fldChar w:fldCharType="end"/>
          </w:r>
        </w:p>
        <w:p w14:paraId="300FB640">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"bookmark111" </w:instrText>
          </w:r>
          <w:r>
            <w:fldChar w:fldCharType="separate"/>
          </w:r>
          <w:r>
            <w:rPr>
              <w:rFonts w:ascii="宋体" w:hAnsi="宋体" w:eastAsia="宋体" w:cs="宋体"/>
              <w:spacing w:val="-9"/>
              <w:sz w:val="21"/>
              <w:szCs w:val="21"/>
            </w:rPr>
            <w:t>1.总</w:t>
          </w:r>
          <w:r>
            <w:rPr>
              <w:rFonts w:ascii="宋体" w:hAnsi="宋体" w:eastAsia="宋体" w:cs="宋体"/>
              <w:spacing w:val="6"/>
              <w:sz w:val="21"/>
              <w:szCs w:val="21"/>
            </w:rPr>
            <w:t xml:space="preserve">  </w:t>
          </w:r>
          <w:r>
            <w:rPr>
              <w:rFonts w:ascii="宋体" w:hAnsi="宋体" w:eastAsia="宋体" w:cs="宋体"/>
              <w:spacing w:val="-9"/>
              <w:sz w:val="21"/>
              <w:szCs w:val="21"/>
            </w:rPr>
            <w:t>则</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47</w:t>
          </w:r>
          <w:r>
            <w:rPr>
              <w:rFonts w:ascii="宋体" w:hAnsi="宋体" w:eastAsia="宋体" w:cs="宋体"/>
              <w:spacing w:val="-2"/>
              <w:sz w:val="21"/>
              <w:szCs w:val="21"/>
            </w:rPr>
            <w:fldChar w:fldCharType="end"/>
          </w:r>
        </w:p>
        <w:p w14:paraId="064EA2BA">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"bookmark112" </w:instrText>
          </w:r>
          <w:r>
            <w:fldChar w:fldCharType="separate"/>
          </w:r>
          <w:r>
            <w:rPr>
              <w:rFonts w:ascii="宋体" w:hAnsi="宋体" w:eastAsia="宋体" w:cs="宋体"/>
              <w:spacing w:val="-1"/>
              <w:sz w:val="21"/>
              <w:szCs w:val="21"/>
            </w:rPr>
            <w:t>2.否决投标的条件</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32"/>
              <w:sz w:val="21"/>
              <w:szCs w:val="21"/>
            </w:rPr>
            <w:t xml:space="preserve"> </w:t>
          </w:r>
          <w:r>
            <w:rPr>
              <w:rFonts w:ascii="宋体" w:hAnsi="宋体" w:eastAsia="宋体" w:cs="宋体"/>
              <w:spacing w:val="-2"/>
              <w:sz w:val="21"/>
              <w:szCs w:val="21"/>
            </w:rPr>
            <w:t>47</w:t>
          </w:r>
          <w:r>
            <w:rPr>
              <w:rFonts w:ascii="宋体" w:hAnsi="宋体" w:eastAsia="宋体" w:cs="宋体"/>
              <w:spacing w:val="-2"/>
              <w:sz w:val="21"/>
              <w:szCs w:val="21"/>
            </w:rPr>
            <w:fldChar w:fldCharType="end"/>
          </w:r>
        </w:p>
        <w:p w14:paraId="5FEEFFF0">
          <w:pPr>
            <w:tabs>
              <w:tab w:val="right" w:leader="dot" w:pos="8312"/>
            </w:tabs>
            <w:spacing w:before="61" w:line="219" w:lineRule="auto"/>
            <w:ind w:left="441"/>
            <w:rPr>
              <w:rFonts w:ascii="宋体" w:hAnsi="宋体" w:eastAsia="宋体" w:cs="宋体"/>
              <w:sz w:val="21"/>
              <w:szCs w:val="21"/>
            </w:rPr>
          </w:pPr>
          <w:r>
            <w:fldChar w:fldCharType="begin"/>
          </w:r>
          <w:r>
            <w:instrText xml:space="preserve"> HYPERLINK \l "bookmark113" </w:instrText>
          </w:r>
          <w:r>
            <w:fldChar w:fldCharType="separate"/>
          </w:r>
          <w:r>
            <w:rPr>
              <w:rFonts w:ascii="宋体" w:hAnsi="宋体" w:eastAsia="宋体" w:cs="宋体"/>
              <w:spacing w:val="-1"/>
              <w:sz w:val="21"/>
              <w:szCs w:val="21"/>
            </w:rPr>
            <w:t>评标办法前附表（经评审的最低投标价法）</w:t>
          </w:r>
          <w:r>
            <w:rPr>
              <w:rFonts w:ascii="宋体" w:hAnsi="宋体" w:eastAsia="宋体" w:cs="宋体"/>
              <w:spacing w:val="-6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50</w:t>
          </w:r>
          <w:r>
            <w:rPr>
              <w:rFonts w:ascii="宋体" w:hAnsi="宋体" w:eastAsia="宋体" w:cs="宋体"/>
              <w:spacing w:val="-3"/>
              <w:sz w:val="21"/>
              <w:szCs w:val="21"/>
            </w:rPr>
            <w:fldChar w:fldCharType="end"/>
          </w:r>
        </w:p>
        <w:p w14:paraId="7265484F">
          <w:pPr>
            <w:tabs>
              <w:tab w:val="right" w:leader="dot" w:pos="8312"/>
            </w:tabs>
            <w:spacing w:before="63" w:line="221" w:lineRule="auto"/>
            <w:ind w:left="458"/>
            <w:rPr>
              <w:rFonts w:ascii="宋体" w:hAnsi="宋体" w:eastAsia="宋体" w:cs="宋体"/>
              <w:sz w:val="21"/>
              <w:szCs w:val="21"/>
            </w:rPr>
          </w:pPr>
          <w:r>
            <w:fldChar w:fldCharType="begin"/>
          </w:r>
          <w:r>
            <w:instrText xml:space="preserve"> HYPERLINK \l "bookmark114" </w:instrText>
          </w:r>
          <w:r>
            <w:fldChar w:fldCharType="separate"/>
          </w:r>
          <w:r>
            <w:rPr>
              <w:rFonts w:ascii="宋体" w:hAnsi="宋体" w:eastAsia="宋体" w:cs="宋体"/>
              <w:spacing w:val="-5"/>
              <w:sz w:val="21"/>
              <w:szCs w:val="21"/>
            </w:rPr>
            <w:t>1.</w:t>
          </w:r>
          <w:r>
            <w:rPr>
              <w:rFonts w:ascii="宋体" w:hAnsi="宋体" w:eastAsia="宋体" w:cs="宋体"/>
              <w:spacing w:val="7"/>
              <w:sz w:val="21"/>
              <w:szCs w:val="21"/>
            </w:rPr>
            <w:t xml:space="preserve"> </w:t>
          </w:r>
          <w:r>
            <w:rPr>
              <w:rFonts w:ascii="宋体" w:hAnsi="宋体" w:eastAsia="宋体" w:cs="宋体"/>
              <w:spacing w:val="-5"/>
              <w:sz w:val="21"/>
              <w:szCs w:val="21"/>
            </w:rPr>
            <w:t>评标方法</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4D6E050A">
          <w:pPr>
            <w:tabs>
              <w:tab w:val="right" w:leader="dot" w:pos="8312"/>
            </w:tabs>
            <w:spacing w:before="61" w:line="221" w:lineRule="auto"/>
            <w:ind w:left="445"/>
            <w:rPr>
              <w:rFonts w:ascii="宋体" w:hAnsi="宋体" w:eastAsia="宋体" w:cs="宋体"/>
              <w:sz w:val="21"/>
              <w:szCs w:val="21"/>
            </w:rPr>
          </w:pPr>
          <w:r>
            <w:fldChar w:fldCharType="begin"/>
          </w:r>
          <w:r>
            <w:instrText xml:space="preserve"> HYPERLINK \l "bookmark115" </w:instrText>
          </w:r>
          <w:r>
            <w:fldChar w:fldCharType="separate"/>
          </w:r>
          <w:r>
            <w:rPr>
              <w:rFonts w:ascii="宋体" w:hAnsi="宋体" w:eastAsia="宋体" w:cs="宋体"/>
              <w:spacing w:val="-2"/>
              <w:sz w:val="21"/>
              <w:szCs w:val="21"/>
            </w:rPr>
            <w:t>2. 评审标准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1A804F44">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"bookmark116" </w:instrText>
          </w:r>
          <w:r>
            <w:fldChar w:fldCharType="separate"/>
          </w:r>
          <w:r>
            <w:rPr>
              <w:rFonts w:ascii="宋体" w:hAnsi="宋体" w:eastAsia="宋体" w:cs="宋体"/>
              <w:spacing w:val="-1"/>
              <w:sz w:val="21"/>
              <w:szCs w:val="21"/>
            </w:rPr>
            <w:t>2.1 初步评审标准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60138397">
          <w:pPr>
            <w:tabs>
              <w:tab w:val="right" w:leader="dot" w:pos="8312"/>
            </w:tabs>
            <w:spacing w:before="62" w:line="221" w:lineRule="auto"/>
            <w:ind w:left="865"/>
            <w:rPr>
              <w:rFonts w:ascii="宋体" w:hAnsi="宋体" w:eastAsia="宋体" w:cs="宋体"/>
              <w:sz w:val="21"/>
              <w:szCs w:val="21"/>
            </w:rPr>
          </w:pPr>
          <w:r>
            <w:fldChar w:fldCharType="begin"/>
          </w:r>
          <w:r>
            <w:instrText xml:space="preserve"> HYPERLINK \l "bookmark117" </w:instrText>
          </w:r>
          <w:r>
            <w:fldChar w:fldCharType="separate"/>
          </w:r>
          <w:r>
            <w:rPr>
              <w:rFonts w:ascii="宋体" w:hAnsi="宋体" w:eastAsia="宋体" w:cs="宋体"/>
              <w:spacing w:val="-1"/>
              <w:sz w:val="21"/>
              <w:szCs w:val="21"/>
            </w:rPr>
            <w:t>2.2 详细评审标准</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63A3823B">
          <w:pPr>
            <w:tabs>
              <w:tab w:val="right" w:leader="dot" w:pos="8312"/>
            </w:tabs>
            <w:spacing w:before="60" w:line="221" w:lineRule="auto"/>
            <w:ind w:left="446"/>
            <w:rPr>
              <w:rFonts w:ascii="宋体" w:hAnsi="宋体" w:eastAsia="宋体" w:cs="宋体"/>
              <w:sz w:val="21"/>
              <w:szCs w:val="21"/>
            </w:rPr>
          </w:pPr>
          <w:r>
            <w:fldChar w:fldCharType="begin"/>
          </w:r>
          <w:r>
            <w:instrText xml:space="preserve"> HYPERLINK \l "bookmark118" </w:instrText>
          </w:r>
          <w:r>
            <w:fldChar w:fldCharType="separate"/>
          </w:r>
          <w:r>
            <w:rPr>
              <w:rFonts w:ascii="宋体" w:hAnsi="宋体" w:eastAsia="宋体" w:cs="宋体"/>
              <w:spacing w:val="-2"/>
              <w:sz w:val="21"/>
              <w:szCs w:val="21"/>
            </w:rPr>
            <w:t>3. 评标程序</w:t>
          </w:r>
          <w:r>
            <w:rPr>
              <w:rFonts w:ascii="宋体" w:hAnsi="宋体" w:eastAsia="宋体" w:cs="宋体"/>
              <w:spacing w:val="-87"/>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15733D56">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"bookmark119" </w:instrText>
          </w:r>
          <w:r>
            <w:fldChar w:fldCharType="separate"/>
          </w:r>
          <w:r>
            <w:rPr>
              <w:rFonts w:ascii="宋体" w:hAnsi="宋体" w:eastAsia="宋体" w:cs="宋体"/>
              <w:spacing w:val="-2"/>
              <w:sz w:val="21"/>
              <w:szCs w:val="21"/>
            </w:rPr>
            <w:t>3.1 初步评审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53</w:t>
          </w:r>
          <w:r>
            <w:rPr>
              <w:rFonts w:ascii="宋体" w:hAnsi="宋体" w:eastAsia="宋体" w:cs="宋体"/>
              <w:spacing w:val="-3"/>
              <w:sz w:val="21"/>
              <w:szCs w:val="21"/>
            </w:rPr>
            <w:fldChar w:fldCharType="end"/>
          </w:r>
        </w:p>
        <w:p w14:paraId="5DB35BD9">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"bookmark120"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详细评审</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54</w:t>
          </w:r>
          <w:r>
            <w:rPr>
              <w:rFonts w:ascii="宋体" w:hAnsi="宋体" w:eastAsia="宋体" w:cs="宋体"/>
              <w:spacing w:val="-3"/>
              <w:sz w:val="21"/>
              <w:szCs w:val="21"/>
            </w:rPr>
            <w:fldChar w:fldCharType="end"/>
          </w:r>
        </w:p>
        <w:p w14:paraId="51368B1B">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"bookmark121" </w:instrText>
          </w:r>
          <w:r>
            <w:fldChar w:fldCharType="separate"/>
          </w:r>
          <w:r>
            <w:rPr>
              <w:rFonts w:ascii="宋体" w:hAnsi="宋体" w:eastAsia="宋体" w:cs="宋体"/>
              <w:spacing w:val="-1"/>
              <w:sz w:val="21"/>
              <w:szCs w:val="21"/>
            </w:rPr>
            <w:t>3.3 投标文件的澄清和补正</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54</w:t>
          </w:r>
          <w:r>
            <w:rPr>
              <w:rFonts w:ascii="宋体" w:hAnsi="宋体" w:eastAsia="宋体" w:cs="宋体"/>
              <w:spacing w:val="-3"/>
              <w:sz w:val="21"/>
              <w:szCs w:val="21"/>
            </w:rPr>
            <w:fldChar w:fldCharType="end"/>
          </w:r>
        </w:p>
        <w:p w14:paraId="225E63AB">
          <w:pPr>
            <w:tabs>
              <w:tab w:val="right" w:leader="dot" w:pos="8312"/>
            </w:tabs>
            <w:spacing w:before="62" w:line="221" w:lineRule="auto"/>
            <w:ind w:left="866"/>
            <w:rPr>
              <w:rFonts w:ascii="宋体" w:hAnsi="宋体" w:eastAsia="宋体" w:cs="宋体"/>
              <w:sz w:val="21"/>
              <w:szCs w:val="21"/>
            </w:rPr>
          </w:pPr>
          <w:r>
            <w:fldChar w:fldCharType="begin"/>
          </w:r>
          <w:r>
            <w:instrText xml:space="preserve"> HYPERLINK \l "bookmark122" </w:instrText>
          </w:r>
          <w:r>
            <w:fldChar w:fldCharType="separate"/>
          </w:r>
          <w:r>
            <w:rPr>
              <w:rFonts w:ascii="宋体" w:hAnsi="宋体" w:eastAsia="宋体" w:cs="宋体"/>
              <w:spacing w:val="-2"/>
              <w:sz w:val="21"/>
              <w:szCs w:val="21"/>
            </w:rPr>
            <w:t>3.4 评标结果</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54</w:t>
          </w:r>
          <w:r>
            <w:rPr>
              <w:rFonts w:ascii="宋体" w:hAnsi="宋体" w:eastAsia="宋体" w:cs="宋体"/>
              <w:spacing w:val="-3"/>
              <w:sz w:val="21"/>
              <w:szCs w:val="21"/>
            </w:rPr>
            <w:fldChar w:fldCharType="end"/>
          </w:r>
        </w:p>
        <w:p w14:paraId="3DA4EF78">
          <w:pPr>
            <w:tabs>
              <w:tab w:val="right" w:leader="dot" w:pos="8312"/>
            </w:tabs>
            <w:spacing w:before="60" w:line="220" w:lineRule="auto"/>
            <w:ind w:left="459"/>
            <w:rPr>
              <w:rFonts w:ascii="宋体" w:hAnsi="宋体" w:eastAsia="宋体" w:cs="宋体"/>
              <w:sz w:val="21"/>
              <w:szCs w:val="21"/>
            </w:rPr>
          </w:pPr>
          <w:r>
            <w:fldChar w:fldCharType="begin"/>
          </w:r>
          <w:r>
            <w:instrText xml:space="preserve"> HYPERLINK \l "bookmark123" </w:instrText>
          </w:r>
          <w:r>
            <w:fldChar w:fldCharType="separate"/>
          </w:r>
          <w:r>
            <w:rPr>
              <w:rFonts w:ascii="宋体" w:hAnsi="宋体" w:eastAsia="宋体" w:cs="宋体"/>
              <w:spacing w:val="-3"/>
              <w:sz w:val="21"/>
              <w:szCs w:val="21"/>
            </w:rPr>
            <w:t>附件</w:t>
          </w:r>
          <w:r>
            <w:rPr>
              <w:rFonts w:ascii="宋体" w:hAnsi="宋体" w:eastAsia="宋体" w:cs="宋体"/>
              <w:spacing w:val="-42"/>
              <w:sz w:val="21"/>
              <w:szCs w:val="21"/>
            </w:rPr>
            <w:t xml:space="preserve"> </w:t>
          </w:r>
          <w:r>
            <w:rPr>
              <w:rFonts w:ascii="宋体" w:hAnsi="宋体" w:eastAsia="宋体" w:cs="宋体"/>
              <w:spacing w:val="-3"/>
              <w:sz w:val="21"/>
              <w:szCs w:val="21"/>
            </w:rPr>
            <w:t>A：否决投标的条件</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55</w:t>
          </w:r>
          <w:r>
            <w:rPr>
              <w:rFonts w:ascii="宋体" w:hAnsi="宋体" w:eastAsia="宋体" w:cs="宋体"/>
              <w:spacing w:val="-3"/>
              <w:sz w:val="21"/>
              <w:szCs w:val="21"/>
            </w:rPr>
            <w:fldChar w:fldCharType="end"/>
          </w:r>
        </w:p>
        <w:p w14:paraId="50B10782">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"bookmark124" </w:instrText>
          </w:r>
          <w:r>
            <w:fldChar w:fldCharType="separate"/>
          </w:r>
          <w:r>
            <w:rPr>
              <w:rFonts w:ascii="宋体" w:hAnsi="宋体" w:eastAsia="宋体" w:cs="宋体"/>
              <w:spacing w:val="-9"/>
              <w:sz w:val="21"/>
              <w:szCs w:val="21"/>
            </w:rPr>
            <w:t>1.总</w:t>
          </w:r>
          <w:r>
            <w:rPr>
              <w:rFonts w:ascii="宋体" w:hAnsi="宋体" w:eastAsia="宋体" w:cs="宋体"/>
              <w:spacing w:val="6"/>
              <w:sz w:val="21"/>
              <w:szCs w:val="21"/>
            </w:rPr>
            <w:t xml:space="preserve">  </w:t>
          </w:r>
          <w:r>
            <w:rPr>
              <w:rFonts w:ascii="宋体" w:hAnsi="宋体" w:eastAsia="宋体" w:cs="宋体"/>
              <w:spacing w:val="-9"/>
              <w:sz w:val="21"/>
              <w:szCs w:val="21"/>
            </w:rPr>
            <w:t>则</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55</w:t>
          </w:r>
          <w:r>
            <w:rPr>
              <w:rFonts w:ascii="宋体" w:hAnsi="宋体" w:eastAsia="宋体" w:cs="宋体"/>
              <w:spacing w:val="-3"/>
              <w:sz w:val="21"/>
              <w:szCs w:val="21"/>
            </w:rPr>
            <w:fldChar w:fldCharType="end"/>
          </w:r>
        </w:p>
        <w:p w14:paraId="622D9A6D">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"bookmark125" </w:instrText>
          </w:r>
          <w:r>
            <w:fldChar w:fldCharType="separate"/>
          </w:r>
          <w:r>
            <w:rPr>
              <w:rFonts w:ascii="宋体" w:hAnsi="宋体" w:eastAsia="宋体" w:cs="宋体"/>
              <w:spacing w:val="-1"/>
              <w:sz w:val="21"/>
              <w:szCs w:val="21"/>
            </w:rPr>
            <w:t>2.否决投标的条件</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55</w:t>
          </w:r>
          <w:r>
            <w:rPr>
              <w:rFonts w:ascii="宋体" w:hAnsi="宋体" w:eastAsia="宋体" w:cs="宋体"/>
              <w:spacing w:val="-3"/>
              <w:sz w:val="21"/>
              <w:szCs w:val="21"/>
            </w:rPr>
            <w:fldChar w:fldCharType="end"/>
          </w:r>
        </w:p>
        <w:p w14:paraId="6219D16E">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"bookmark126"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A-1：评标委员会签到表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58</w:t>
          </w:r>
          <w:r>
            <w:rPr>
              <w:rFonts w:ascii="宋体" w:hAnsi="宋体" w:eastAsia="宋体" w:cs="宋体"/>
              <w:spacing w:val="-3"/>
              <w:sz w:val="21"/>
              <w:szCs w:val="21"/>
            </w:rPr>
            <w:fldChar w:fldCharType="end"/>
          </w:r>
        </w:p>
        <w:p w14:paraId="27E659E8">
          <w:pPr>
            <w:tabs>
              <w:tab w:val="right" w:leader="dot" w:pos="8312"/>
            </w:tabs>
            <w:spacing w:before="62" w:line="219" w:lineRule="auto"/>
            <w:ind w:left="879"/>
            <w:rPr>
              <w:rFonts w:ascii="宋体" w:hAnsi="宋体" w:eastAsia="宋体" w:cs="宋体"/>
              <w:sz w:val="21"/>
              <w:szCs w:val="21"/>
            </w:rPr>
          </w:pPr>
          <w:r>
            <w:fldChar w:fldCharType="begin"/>
          </w:r>
          <w:r>
            <w:instrText xml:space="preserve"> HYPERLINK \l "bookmark127"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A-2：评标专家告知承诺函</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3"/>
              <w:sz w:val="21"/>
              <w:szCs w:val="21"/>
            </w:rPr>
            <w:t>59</w:t>
          </w:r>
          <w:r>
            <w:rPr>
              <w:rFonts w:ascii="宋体" w:hAnsi="宋体" w:eastAsia="宋体" w:cs="宋体"/>
              <w:spacing w:val="-3"/>
              <w:sz w:val="21"/>
              <w:szCs w:val="21"/>
            </w:rPr>
            <w:fldChar w:fldCharType="end"/>
          </w:r>
        </w:p>
      </w:sdtContent>
    </w:sdt>
    <w:p w14:paraId="357763EE">
      <w:pPr>
        <w:spacing w:line="219" w:lineRule="auto"/>
        <w:rPr>
          <w:rFonts w:ascii="宋体" w:hAnsi="宋体" w:eastAsia="宋体" w:cs="宋体"/>
          <w:sz w:val="21"/>
          <w:szCs w:val="21"/>
        </w:rPr>
        <w:sectPr>
          <w:footerReference r:id="rId8"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83416"/>
        <w:docPartObj>
          <w:docPartGallery w:val="Table of Contents"/>
          <w:docPartUnique/>
        </w:docPartObj>
      </w:sdtPr>
      <w:sdtEndPr>
        <w:rPr>
          <w:rFonts w:ascii="宋体" w:hAnsi="宋体" w:eastAsia="宋体" w:cs="宋体"/>
          <w:sz w:val="21"/>
          <w:szCs w:val="21"/>
        </w:rPr>
      </w:sdtEndPr>
      <w:sdtContent>
        <w:p w14:paraId="0A763723">
          <w:pPr>
            <w:tabs>
              <w:tab w:val="right" w:leader="dot" w:pos="8312"/>
            </w:tabs>
            <w:spacing w:before="60" w:line="220" w:lineRule="auto"/>
            <w:ind w:left="879"/>
            <w:rPr>
              <w:rFonts w:ascii="宋体" w:hAnsi="宋体" w:eastAsia="宋体" w:cs="宋体"/>
              <w:sz w:val="21"/>
              <w:szCs w:val="21"/>
            </w:rPr>
          </w:pPr>
          <w:r>
            <w:fldChar w:fldCharType="begin"/>
          </w:r>
          <w:r>
            <w:instrText xml:space="preserve"> HYPERLINK \l "bookmark128"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A-3：技术暗标编号确认表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61</w:t>
          </w:r>
          <w:r>
            <w:rPr>
              <w:rFonts w:ascii="宋体" w:hAnsi="宋体" w:eastAsia="宋体" w:cs="宋体"/>
              <w:spacing w:val="-3"/>
              <w:sz w:val="21"/>
              <w:szCs w:val="21"/>
            </w:rPr>
            <w:fldChar w:fldCharType="end"/>
          </w:r>
        </w:p>
        <w:p w14:paraId="0C2334C6">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"bookmark129"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A-4：形式评审记录表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62</w:t>
          </w:r>
          <w:r>
            <w:rPr>
              <w:rFonts w:ascii="宋体" w:hAnsi="宋体" w:eastAsia="宋体" w:cs="宋体"/>
              <w:spacing w:val="-3"/>
              <w:sz w:val="21"/>
              <w:szCs w:val="21"/>
            </w:rPr>
            <w:fldChar w:fldCharType="end"/>
          </w:r>
        </w:p>
        <w:p w14:paraId="18F1AA87">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"bookmark130"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A-5：资格评审记录表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63</w:t>
          </w:r>
          <w:r>
            <w:rPr>
              <w:rFonts w:ascii="宋体" w:hAnsi="宋体" w:eastAsia="宋体" w:cs="宋体"/>
              <w:spacing w:val="-3"/>
              <w:sz w:val="21"/>
              <w:szCs w:val="21"/>
            </w:rPr>
            <w:fldChar w:fldCharType="end"/>
          </w:r>
        </w:p>
        <w:p w14:paraId="12C6631F">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"bookmark131"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A-6：响应性评审记录表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64</w:t>
          </w:r>
          <w:r>
            <w:rPr>
              <w:rFonts w:ascii="宋体" w:hAnsi="宋体" w:eastAsia="宋体" w:cs="宋体"/>
              <w:spacing w:val="-3"/>
              <w:sz w:val="21"/>
              <w:szCs w:val="21"/>
            </w:rPr>
            <w:fldChar w:fldCharType="end"/>
          </w:r>
        </w:p>
        <w:p w14:paraId="02CABDEE">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"bookmark132" </w:instrText>
          </w:r>
          <w:r>
            <w:fldChar w:fldCharType="separate"/>
          </w:r>
          <w:r>
            <w:rPr>
              <w:rFonts w:ascii="宋体" w:hAnsi="宋体" w:eastAsia="宋体" w:cs="宋体"/>
              <w:spacing w:val="-2"/>
              <w:sz w:val="21"/>
              <w:szCs w:val="21"/>
            </w:rPr>
            <w:t>附表</w:t>
          </w:r>
          <w:r>
            <w:rPr>
              <w:rFonts w:ascii="宋体" w:hAnsi="宋体" w:eastAsia="宋体" w:cs="宋体"/>
              <w:spacing w:val="-45"/>
              <w:sz w:val="21"/>
              <w:szCs w:val="21"/>
            </w:rPr>
            <w:t xml:space="preserve"> </w:t>
          </w:r>
          <w:r>
            <w:rPr>
              <w:rFonts w:ascii="宋体" w:hAnsi="宋体" w:eastAsia="宋体" w:cs="宋体"/>
              <w:spacing w:val="-2"/>
              <w:sz w:val="21"/>
              <w:szCs w:val="21"/>
            </w:rPr>
            <w:t xml:space="preserve">A-7：施工组织设计评审记录表（合格性）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65</w:t>
          </w:r>
          <w:r>
            <w:rPr>
              <w:rFonts w:ascii="宋体" w:hAnsi="宋体" w:eastAsia="宋体" w:cs="宋体"/>
              <w:spacing w:val="-3"/>
              <w:sz w:val="21"/>
              <w:szCs w:val="21"/>
            </w:rPr>
            <w:fldChar w:fldCharType="end"/>
          </w:r>
        </w:p>
        <w:p w14:paraId="7B211774">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"bookmark133"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A-8：初步评审汇总记录表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66</w:t>
          </w:r>
          <w:r>
            <w:rPr>
              <w:rFonts w:ascii="宋体" w:hAnsi="宋体" w:eastAsia="宋体" w:cs="宋体"/>
              <w:spacing w:val="-3"/>
              <w:sz w:val="21"/>
              <w:szCs w:val="21"/>
            </w:rPr>
            <w:fldChar w:fldCharType="end"/>
          </w:r>
        </w:p>
        <w:p w14:paraId="68DF7CF1">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"bookmark134"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A-9：否决投标的情况说明</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67</w:t>
          </w:r>
          <w:r>
            <w:rPr>
              <w:rFonts w:ascii="宋体" w:hAnsi="宋体" w:eastAsia="宋体" w:cs="宋体"/>
              <w:spacing w:val="-3"/>
              <w:sz w:val="21"/>
              <w:szCs w:val="21"/>
            </w:rPr>
            <w:fldChar w:fldCharType="end"/>
          </w:r>
        </w:p>
        <w:p w14:paraId="18452219">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"bookmark135"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A-10：经济标评分记录表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68</w:t>
          </w:r>
          <w:r>
            <w:rPr>
              <w:rFonts w:ascii="宋体" w:hAnsi="宋体" w:eastAsia="宋体" w:cs="宋体"/>
              <w:spacing w:val="-3"/>
              <w:sz w:val="21"/>
              <w:szCs w:val="21"/>
            </w:rPr>
            <w:fldChar w:fldCharType="end"/>
          </w:r>
        </w:p>
        <w:p w14:paraId="652E1762">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"bookmark136"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A-11：技术标评审记录表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9"/>
              <w:sz w:val="21"/>
              <w:szCs w:val="21"/>
            </w:rPr>
            <w:t xml:space="preserve"> </w:t>
          </w:r>
          <w:r>
            <w:rPr>
              <w:rFonts w:ascii="宋体" w:hAnsi="宋体" w:eastAsia="宋体" w:cs="宋体"/>
              <w:spacing w:val="-3"/>
              <w:sz w:val="21"/>
              <w:szCs w:val="21"/>
            </w:rPr>
            <w:t>69</w:t>
          </w:r>
          <w:r>
            <w:rPr>
              <w:rFonts w:ascii="宋体" w:hAnsi="宋体" w:eastAsia="宋体" w:cs="宋体"/>
              <w:spacing w:val="-3"/>
              <w:sz w:val="21"/>
              <w:szCs w:val="21"/>
            </w:rPr>
            <w:fldChar w:fldCharType="end"/>
          </w:r>
        </w:p>
        <w:p w14:paraId="154C3044">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"bookmark137" </w:instrText>
          </w:r>
          <w:r>
            <w:fldChar w:fldCharType="separate"/>
          </w:r>
          <w:r>
            <w:rPr>
              <w:rFonts w:ascii="宋体" w:hAnsi="宋体" w:eastAsia="宋体" w:cs="宋体"/>
              <w:spacing w:val="-3"/>
              <w:sz w:val="21"/>
              <w:szCs w:val="21"/>
            </w:rPr>
            <w:t>附表</w:t>
          </w:r>
          <w:r>
            <w:rPr>
              <w:rFonts w:ascii="宋体" w:hAnsi="宋体" w:eastAsia="宋体" w:cs="宋体"/>
              <w:spacing w:val="-35"/>
              <w:sz w:val="21"/>
              <w:szCs w:val="21"/>
            </w:rPr>
            <w:t xml:space="preserve"> </w:t>
          </w:r>
          <w:r>
            <w:rPr>
              <w:rFonts w:ascii="宋体" w:hAnsi="宋体" w:eastAsia="宋体" w:cs="宋体"/>
              <w:spacing w:val="-3"/>
              <w:sz w:val="21"/>
              <w:szCs w:val="21"/>
            </w:rPr>
            <w:t xml:space="preserve">A-12：技术标评审记录表（个人）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70</w:t>
          </w:r>
          <w:r>
            <w:rPr>
              <w:rFonts w:ascii="宋体" w:hAnsi="宋体" w:eastAsia="宋体" w:cs="宋体"/>
              <w:spacing w:val="-4"/>
              <w:sz w:val="21"/>
              <w:szCs w:val="21"/>
            </w:rPr>
            <w:fldChar w:fldCharType="end"/>
          </w:r>
        </w:p>
        <w:p w14:paraId="1AEF980C">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"bookmark138" </w:instrText>
          </w:r>
          <w:r>
            <w:fldChar w:fldCharType="separate"/>
          </w:r>
          <w:r>
            <w:rPr>
              <w:rFonts w:ascii="宋体" w:hAnsi="宋体" w:eastAsia="宋体" w:cs="宋体"/>
              <w:spacing w:val="-2"/>
              <w:sz w:val="21"/>
              <w:szCs w:val="21"/>
            </w:rPr>
            <w:t>附表</w:t>
          </w:r>
          <w:r>
            <w:rPr>
              <w:rFonts w:ascii="宋体" w:hAnsi="宋体" w:eastAsia="宋体" w:cs="宋体"/>
              <w:spacing w:val="-47"/>
              <w:sz w:val="21"/>
              <w:szCs w:val="21"/>
            </w:rPr>
            <w:t xml:space="preserve"> </w:t>
          </w:r>
          <w:r>
            <w:rPr>
              <w:rFonts w:ascii="宋体" w:hAnsi="宋体" w:eastAsia="宋体" w:cs="宋体"/>
              <w:spacing w:val="-2"/>
              <w:sz w:val="21"/>
              <w:szCs w:val="21"/>
            </w:rPr>
            <w:t>A-13：综合标评审记录表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71</w:t>
          </w:r>
          <w:r>
            <w:rPr>
              <w:rFonts w:ascii="宋体" w:hAnsi="宋体" w:eastAsia="宋体" w:cs="宋体"/>
              <w:spacing w:val="-4"/>
              <w:sz w:val="21"/>
              <w:szCs w:val="21"/>
            </w:rPr>
            <w:fldChar w:fldCharType="end"/>
          </w:r>
        </w:p>
        <w:p w14:paraId="790A8E72">
          <w:pPr>
            <w:tabs>
              <w:tab w:val="right" w:leader="dot" w:pos="8312"/>
            </w:tabs>
            <w:spacing w:before="63" w:line="220" w:lineRule="auto"/>
            <w:ind w:left="879"/>
            <w:rPr>
              <w:rFonts w:ascii="宋体" w:hAnsi="宋体" w:eastAsia="宋体" w:cs="宋体"/>
              <w:sz w:val="21"/>
              <w:szCs w:val="21"/>
            </w:rPr>
          </w:pPr>
          <w:r>
            <w:fldChar w:fldCharType="begin"/>
          </w:r>
          <w:r>
            <w:instrText xml:space="preserve"> HYPERLINK \l "bookmark139"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A-14：其他因素评审记录表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72</w:t>
          </w:r>
          <w:r>
            <w:rPr>
              <w:rFonts w:ascii="宋体" w:hAnsi="宋体" w:eastAsia="宋体" w:cs="宋体"/>
              <w:spacing w:val="-4"/>
              <w:sz w:val="21"/>
              <w:szCs w:val="21"/>
            </w:rPr>
            <w:fldChar w:fldCharType="end"/>
          </w:r>
        </w:p>
        <w:p w14:paraId="44351BFE">
          <w:pPr>
            <w:tabs>
              <w:tab w:val="right" w:leader="dot" w:pos="8312"/>
            </w:tabs>
            <w:spacing w:before="61" w:line="220" w:lineRule="auto"/>
            <w:ind w:left="879"/>
            <w:rPr>
              <w:rFonts w:ascii="宋体" w:hAnsi="宋体" w:eastAsia="宋体" w:cs="宋体"/>
              <w:sz w:val="21"/>
              <w:szCs w:val="21"/>
            </w:rPr>
          </w:pPr>
          <w:r>
            <w:fldChar w:fldCharType="begin"/>
          </w:r>
          <w:r>
            <w:instrText xml:space="preserve"> HYPERLINK \l "bookmark140" </w:instrText>
          </w:r>
          <w:r>
            <w:fldChar w:fldCharType="separate"/>
          </w:r>
          <w:r>
            <w:rPr>
              <w:rFonts w:ascii="宋体" w:hAnsi="宋体" w:eastAsia="宋体" w:cs="宋体"/>
              <w:spacing w:val="-2"/>
              <w:sz w:val="21"/>
              <w:szCs w:val="21"/>
            </w:rPr>
            <w:t>附表</w:t>
          </w:r>
          <w:r>
            <w:rPr>
              <w:rFonts w:ascii="宋体" w:hAnsi="宋体" w:eastAsia="宋体" w:cs="宋体"/>
              <w:spacing w:val="-44"/>
              <w:sz w:val="21"/>
              <w:szCs w:val="21"/>
            </w:rPr>
            <w:t xml:space="preserve"> </w:t>
          </w:r>
          <w:r>
            <w:rPr>
              <w:rFonts w:ascii="宋体" w:hAnsi="宋体" w:eastAsia="宋体" w:cs="宋体"/>
              <w:spacing w:val="-2"/>
              <w:sz w:val="21"/>
              <w:szCs w:val="21"/>
            </w:rPr>
            <w:t>A-15：详细评审评分汇总表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73</w:t>
          </w:r>
          <w:r>
            <w:rPr>
              <w:rFonts w:ascii="宋体" w:hAnsi="宋体" w:eastAsia="宋体" w:cs="宋体"/>
              <w:spacing w:val="-4"/>
              <w:sz w:val="21"/>
              <w:szCs w:val="21"/>
            </w:rPr>
            <w:fldChar w:fldCharType="end"/>
          </w:r>
        </w:p>
        <w:p w14:paraId="417B16CD">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"bookmark141" </w:instrText>
          </w:r>
          <w:r>
            <w:fldChar w:fldCharType="separate"/>
          </w:r>
          <w:r>
            <w:rPr>
              <w:rFonts w:ascii="宋体" w:hAnsi="宋体" w:eastAsia="宋体" w:cs="宋体"/>
              <w:spacing w:val="-2"/>
              <w:sz w:val="21"/>
              <w:szCs w:val="21"/>
            </w:rPr>
            <w:t>附表</w:t>
          </w:r>
          <w:r>
            <w:rPr>
              <w:rFonts w:ascii="宋体" w:hAnsi="宋体" w:eastAsia="宋体" w:cs="宋体"/>
              <w:spacing w:val="-50"/>
              <w:sz w:val="21"/>
              <w:szCs w:val="21"/>
            </w:rPr>
            <w:t xml:space="preserve"> </w:t>
          </w:r>
          <w:r>
            <w:rPr>
              <w:rFonts w:ascii="宋体" w:hAnsi="宋体" w:eastAsia="宋体" w:cs="宋体"/>
              <w:spacing w:val="-2"/>
              <w:sz w:val="21"/>
              <w:szCs w:val="21"/>
            </w:rPr>
            <w:t>A-16：评标结果汇总表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74</w:t>
          </w:r>
          <w:r>
            <w:rPr>
              <w:rFonts w:ascii="宋体" w:hAnsi="宋体" w:eastAsia="宋体" w:cs="宋体"/>
              <w:spacing w:val="-4"/>
              <w:sz w:val="21"/>
              <w:szCs w:val="21"/>
            </w:rPr>
            <w:fldChar w:fldCharType="end"/>
          </w:r>
        </w:p>
        <w:p w14:paraId="4CE1070D">
          <w:pPr>
            <w:tabs>
              <w:tab w:val="right" w:leader="dot" w:pos="8312"/>
            </w:tabs>
            <w:spacing w:before="62" w:line="220" w:lineRule="auto"/>
            <w:ind w:left="879"/>
            <w:rPr>
              <w:rFonts w:ascii="宋体" w:hAnsi="宋体" w:eastAsia="宋体" w:cs="宋体"/>
              <w:sz w:val="21"/>
              <w:szCs w:val="21"/>
            </w:rPr>
          </w:pPr>
          <w:r>
            <w:fldChar w:fldCharType="begin"/>
          </w:r>
          <w:r>
            <w:instrText xml:space="preserve"> HYPERLINK \l "bookmark142" </w:instrText>
          </w:r>
          <w:r>
            <w:fldChar w:fldCharType="separate"/>
          </w:r>
          <w:r>
            <w:rPr>
              <w:rFonts w:ascii="宋体" w:hAnsi="宋体" w:eastAsia="宋体" w:cs="宋体"/>
              <w:spacing w:val="-2"/>
              <w:sz w:val="21"/>
              <w:szCs w:val="21"/>
            </w:rPr>
            <w:t>附表</w:t>
          </w:r>
          <w:r>
            <w:rPr>
              <w:rFonts w:ascii="宋体" w:hAnsi="宋体" w:eastAsia="宋体" w:cs="宋体"/>
              <w:spacing w:val="-43"/>
              <w:sz w:val="21"/>
              <w:szCs w:val="21"/>
            </w:rPr>
            <w:t xml:space="preserve"> </w:t>
          </w:r>
          <w:r>
            <w:rPr>
              <w:rFonts w:ascii="宋体" w:hAnsi="宋体" w:eastAsia="宋体" w:cs="宋体"/>
              <w:spacing w:val="-2"/>
              <w:sz w:val="21"/>
              <w:szCs w:val="21"/>
            </w:rPr>
            <w:t>A-17：推荐中标候选人一览表</w:t>
          </w:r>
          <w:r>
            <w:rPr>
              <w:rFonts w:ascii="宋体" w:hAnsi="宋体" w:eastAsia="宋体" w:cs="宋体"/>
              <w:spacing w:val="-2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75</w:t>
          </w:r>
          <w:r>
            <w:rPr>
              <w:rFonts w:ascii="宋体" w:hAnsi="宋体" w:eastAsia="宋体" w:cs="宋体"/>
              <w:spacing w:val="-4"/>
              <w:sz w:val="21"/>
              <w:szCs w:val="21"/>
            </w:rPr>
            <w:fldChar w:fldCharType="end"/>
          </w:r>
        </w:p>
        <w:p w14:paraId="55EBD681">
          <w:pPr>
            <w:tabs>
              <w:tab w:val="right" w:leader="dot" w:pos="8312"/>
            </w:tabs>
            <w:spacing w:before="62" w:line="220" w:lineRule="auto"/>
            <w:ind w:left="22"/>
            <w:rPr>
              <w:rFonts w:ascii="宋体" w:hAnsi="宋体" w:eastAsia="宋体" w:cs="宋体"/>
              <w:sz w:val="21"/>
              <w:szCs w:val="21"/>
            </w:rPr>
          </w:pPr>
          <w:r>
            <w:fldChar w:fldCharType="begin"/>
          </w:r>
          <w:r>
            <w:instrText xml:space="preserve"> HYPERLINK \l "bookmark143" </w:instrText>
          </w:r>
          <w:r>
            <w:fldChar w:fldCharType="separate"/>
          </w:r>
          <w:r>
            <w:rPr>
              <w:rFonts w:ascii="宋体" w:hAnsi="宋体" w:eastAsia="宋体" w:cs="宋体"/>
              <w:b/>
              <w:bCs/>
              <w:spacing w:val="-2"/>
              <w:sz w:val="21"/>
              <w:szCs w:val="21"/>
            </w:rPr>
            <w:t>第四章</w:t>
          </w:r>
          <w:r>
            <w:rPr>
              <w:rFonts w:ascii="宋体" w:hAnsi="宋体" w:eastAsia="宋体" w:cs="宋体"/>
              <w:spacing w:val="-2"/>
              <w:sz w:val="21"/>
              <w:szCs w:val="21"/>
            </w:rPr>
            <w:t xml:space="preserve">  </w:t>
          </w:r>
          <w:r>
            <w:rPr>
              <w:rFonts w:ascii="宋体" w:hAnsi="宋体" w:eastAsia="宋体" w:cs="宋体"/>
              <w:b/>
              <w:bCs/>
              <w:spacing w:val="-2"/>
              <w:sz w:val="21"/>
              <w:szCs w:val="21"/>
            </w:rPr>
            <w:t>合同条款及格式</w:t>
          </w:r>
          <w:r>
            <w:rPr>
              <w:rFonts w:ascii="宋体" w:hAnsi="宋体" w:eastAsia="宋体" w:cs="宋体"/>
              <w:spacing w:val="-2"/>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1"/>
              <w:sz w:val="21"/>
              <w:szCs w:val="21"/>
            </w:rPr>
            <w:t xml:space="preserve"> </w:t>
          </w:r>
          <w:r>
            <w:rPr>
              <w:rFonts w:ascii="宋体" w:hAnsi="宋体" w:eastAsia="宋体" w:cs="宋体"/>
              <w:b/>
              <w:bCs/>
              <w:spacing w:val="-6"/>
              <w:sz w:val="21"/>
              <w:szCs w:val="21"/>
            </w:rPr>
            <w:t>76</w:t>
          </w:r>
          <w:r>
            <w:rPr>
              <w:rFonts w:ascii="宋体" w:hAnsi="宋体" w:eastAsia="宋体" w:cs="宋体"/>
              <w:b/>
              <w:bCs/>
              <w:spacing w:val="-6"/>
              <w:sz w:val="21"/>
              <w:szCs w:val="21"/>
            </w:rPr>
            <w:fldChar w:fldCharType="end"/>
          </w:r>
        </w:p>
        <w:p w14:paraId="2F4F217E">
          <w:pPr>
            <w:tabs>
              <w:tab w:val="right" w:leader="dot" w:pos="8312"/>
            </w:tabs>
            <w:spacing w:before="61" w:line="220" w:lineRule="auto"/>
            <w:ind w:left="442"/>
            <w:rPr>
              <w:rFonts w:ascii="宋体" w:hAnsi="宋体" w:eastAsia="宋体" w:cs="宋体"/>
              <w:sz w:val="21"/>
              <w:szCs w:val="21"/>
            </w:rPr>
          </w:pPr>
          <w:r>
            <w:fldChar w:fldCharType="begin"/>
          </w:r>
          <w:r>
            <w:instrText xml:space="preserve"> HYPERLINK \l "bookmark144" </w:instrText>
          </w:r>
          <w:r>
            <w:fldChar w:fldCharType="separate"/>
          </w:r>
          <w:r>
            <w:rPr>
              <w:rFonts w:ascii="宋体" w:hAnsi="宋体" w:eastAsia="宋体" w:cs="宋体"/>
              <w:spacing w:val="-1"/>
              <w:sz w:val="21"/>
              <w:szCs w:val="21"/>
            </w:rPr>
            <w:t>第一部分 合同协议书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4"/>
              <w:sz w:val="21"/>
              <w:szCs w:val="21"/>
            </w:rPr>
            <w:t>77</w:t>
          </w:r>
          <w:r>
            <w:rPr>
              <w:rFonts w:ascii="宋体" w:hAnsi="宋体" w:eastAsia="宋体" w:cs="宋体"/>
              <w:spacing w:val="-4"/>
              <w:sz w:val="21"/>
              <w:szCs w:val="21"/>
            </w:rPr>
            <w:fldChar w:fldCharType="end"/>
          </w:r>
        </w:p>
        <w:p w14:paraId="2AB52CA6">
          <w:pPr>
            <w:tabs>
              <w:tab w:val="right" w:leader="dot" w:pos="8312"/>
            </w:tabs>
            <w:spacing w:before="62" w:line="221" w:lineRule="auto"/>
            <w:ind w:left="442"/>
            <w:rPr>
              <w:rFonts w:ascii="宋体" w:hAnsi="宋体" w:eastAsia="宋体" w:cs="宋体"/>
              <w:sz w:val="21"/>
              <w:szCs w:val="21"/>
            </w:rPr>
          </w:pPr>
          <w:r>
            <w:fldChar w:fldCharType="begin"/>
          </w:r>
          <w:r>
            <w:instrText xml:space="preserve"> HYPERLINK \l "bookmark145" </w:instrText>
          </w:r>
          <w:r>
            <w:fldChar w:fldCharType="separate"/>
          </w:r>
          <w:r>
            <w:rPr>
              <w:rFonts w:ascii="宋体" w:hAnsi="宋体" w:eastAsia="宋体" w:cs="宋体"/>
              <w:spacing w:val="-1"/>
              <w:sz w:val="21"/>
              <w:szCs w:val="21"/>
            </w:rPr>
            <w:t>第二部分 通用合同条款</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81</w:t>
          </w:r>
          <w:r>
            <w:rPr>
              <w:rFonts w:ascii="宋体" w:hAnsi="宋体" w:eastAsia="宋体" w:cs="宋体"/>
              <w:spacing w:val="-2"/>
              <w:sz w:val="21"/>
              <w:szCs w:val="21"/>
            </w:rPr>
            <w:fldChar w:fldCharType="end"/>
          </w:r>
        </w:p>
        <w:p w14:paraId="052BB41D">
          <w:pPr>
            <w:tabs>
              <w:tab w:val="right" w:leader="dot" w:pos="8312"/>
            </w:tabs>
            <w:spacing w:before="61" w:line="221" w:lineRule="auto"/>
            <w:ind w:left="458"/>
            <w:rPr>
              <w:rFonts w:ascii="宋体" w:hAnsi="宋体" w:eastAsia="宋体" w:cs="宋体"/>
              <w:sz w:val="21"/>
              <w:szCs w:val="21"/>
            </w:rPr>
          </w:pPr>
          <w:r>
            <w:fldChar w:fldCharType="begin"/>
          </w:r>
          <w:r>
            <w:instrText xml:space="preserve"> HYPERLINK \l "bookmark146" </w:instrText>
          </w:r>
          <w:r>
            <w:fldChar w:fldCharType="separate"/>
          </w:r>
          <w:r>
            <w:rPr>
              <w:rFonts w:ascii="宋体" w:hAnsi="宋体" w:eastAsia="宋体" w:cs="宋体"/>
              <w:spacing w:val="-6"/>
              <w:sz w:val="21"/>
              <w:szCs w:val="21"/>
            </w:rPr>
            <w:t>1.</w:t>
          </w:r>
          <w:r>
            <w:rPr>
              <w:rFonts w:ascii="宋体" w:hAnsi="宋体" w:eastAsia="宋体" w:cs="宋体"/>
              <w:spacing w:val="13"/>
              <w:sz w:val="21"/>
              <w:szCs w:val="21"/>
            </w:rPr>
            <w:t xml:space="preserve"> </w:t>
          </w:r>
          <w:r>
            <w:rPr>
              <w:rFonts w:ascii="宋体" w:hAnsi="宋体" w:eastAsia="宋体" w:cs="宋体"/>
              <w:spacing w:val="-6"/>
              <w:sz w:val="21"/>
              <w:szCs w:val="21"/>
            </w:rPr>
            <w:t>一般约定</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82</w:t>
          </w:r>
          <w:r>
            <w:rPr>
              <w:rFonts w:ascii="宋体" w:hAnsi="宋体" w:eastAsia="宋体" w:cs="宋体"/>
              <w:spacing w:val="-2"/>
              <w:sz w:val="21"/>
              <w:szCs w:val="21"/>
            </w:rPr>
            <w:fldChar w:fldCharType="end"/>
          </w:r>
        </w:p>
        <w:p w14:paraId="14AE7C9C">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"bookmark147" </w:instrText>
          </w:r>
          <w:r>
            <w:fldChar w:fldCharType="separate"/>
          </w:r>
          <w:r>
            <w:rPr>
              <w:rFonts w:ascii="宋体" w:hAnsi="宋体" w:eastAsia="宋体" w:cs="宋体"/>
              <w:spacing w:val="-4"/>
              <w:sz w:val="21"/>
              <w:szCs w:val="21"/>
            </w:rPr>
            <w:t>1.1</w:t>
          </w:r>
          <w:r>
            <w:rPr>
              <w:rFonts w:ascii="宋体" w:hAnsi="宋体" w:eastAsia="宋体" w:cs="宋体"/>
              <w:spacing w:val="-34"/>
              <w:sz w:val="21"/>
              <w:szCs w:val="21"/>
            </w:rPr>
            <w:t xml:space="preserve"> </w:t>
          </w:r>
          <w:r>
            <w:rPr>
              <w:rFonts w:ascii="宋体" w:hAnsi="宋体" w:eastAsia="宋体" w:cs="宋体"/>
              <w:spacing w:val="-4"/>
              <w:sz w:val="21"/>
              <w:szCs w:val="21"/>
            </w:rPr>
            <w:t>词语定义与解释</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82</w:t>
          </w:r>
          <w:r>
            <w:rPr>
              <w:rFonts w:ascii="宋体" w:hAnsi="宋体" w:eastAsia="宋体" w:cs="宋体"/>
              <w:spacing w:val="-2"/>
              <w:sz w:val="21"/>
              <w:szCs w:val="21"/>
            </w:rPr>
            <w:fldChar w:fldCharType="end"/>
          </w:r>
        </w:p>
        <w:p w14:paraId="44A54A0C">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"bookmark148" </w:instrText>
          </w:r>
          <w:r>
            <w:fldChar w:fldCharType="separate"/>
          </w:r>
          <w:r>
            <w:rPr>
              <w:rFonts w:ascii="宋体" w:hAnsi="宋体" w:eastAsia="宋体" w:cs="宋体"/>
              <w:spacing w:val="-5"/>
              <w:sz w:val="21"/>
              <w:szCs w:val="21"/>
            </w:rPr>
            <w:t>1.2</w:t>
          </w:r>
          <w:r>
            <w:rPr>
              <w:rFonts w:ascii="宋体" w:hAnsi="宋体" w:eastAsia="宋体" w:cs="宋体"/>
              <w:spacing w:val="-41"/>
              <w:sz w:val="21"/>
              <w:szCs w:val="21"/>
            </w:rPr>
            <w:t xml:space="preserve"> </w:t>
          </w:r>
          <w:r>
            <w:rPr>
              <w:rFonts w:ascii="宋体" w:hAnsi="宋体" w:eastAsia="宋体" w:cs="宋体"/>
              <w:spacing w:val="-5"/>
              <w:sz w:val="21"/>
              <w:szCs w:val="21"/>
            </w:rPr>
            <w:t>语言文字</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84</w:t>
          </w:r>
          <w:r>
            <w:rPr>
              <w:rFonts w:ascii="宋体" w:hAnsi="宋体" w:eastAsia="宋体" w:cs="宋体"/>
              <w:spacing w:val="-2"/>
              <w:sz w:val="21"/>
              <w:szCs w:val="21"/>
            </w:rPr>
            <w:fldChar w:fldCharType="end"/>
          </w:r>
        </w:p>
        <w:p w14:paraId="22075708">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"bookmark149" </w:instrText>
          </w:r>
          <w:r>
            <w:fldChar w:fldCharType="separate"/>
          </w:r>
          <w:r>
            <w:rPr>
              <w:rFonts w:ascii="宋体" w:hAnsi="宋体" w:eastAsia="宋体" w:cs="宋体"/>
              <w:spacing w:val="-7"/>
              <w:sz w:val="21"/>
              <w:szCs w:val="21"/>
            </w:rPr>
            <w:t>1.3</w:t>
          </w:r>
          <w:r>
            <w:rPr>
              <w:rFonts w:ascii="宋体" w:hAnsi="宋体" w:eastAsia="宋体" w:cs="宋体"/>
              <w:spacing w:val="-41"/>
              <w:sz w:val="21"/>
              <w:szCs w:val="21"/>
            </w:rPr>
            <w:t xml:space="preserve"> </w:t>
          </w:r>
          <w:r>
            <w:rPr>
              <w:rFonts w:ascii="宋体" w:hAnsi="宋体" w:eastAsia="宋体" w:cs="宋体"/>
              <w:spacing w:val="-7"/>
              <w:sz w:val="21"/>
              <w:szCs w:val="21"/>
            </w:rPr>
            <w:t>法律</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84</w:t>
          </w:r>
          <w:r>
            <w:rPr>
              <w:rFonts w:ascii="宋体" w:hAnsi="宋体" w:eastAsia="宋体" w:cs="宋体"/>
              <w:spacing w:val="-2"/>
              <w:sz w:val="21"/>
              <w:szCs w:val="21"/>
            </w:rPr>
            <w:fldChar w:fldCharType="end"/>
          </w:r>
        </w:p>
        <w:p w14:paraId="0F460125">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"bookmark150" </w:instrText>
          </w:r>
          <w:r>
            <w:fldChar w:fldCharType="separate"/>
          </w:r>
          <w:r>
            <w:rPr>
              <w:rFonts w:ascii="宋体" w:hAnsi="宋体" w:eastAsia="宋体" w:cs="宋体"/>
              <w:spacing w:val="-3"/>
              <w:sz w:val="21"/>
              <w:szCs w:val="21"/>
            </w:rPr>
            <w:t>1.4 标准和规范</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84</w:t>
          </w:r>
          <w:r>
            <w:rPr>
              <w:rFonts w:ascii="宋体" w:hAnsi="宋体" w:eastAsia="宋体" w:cs="宋体"/>
              <w:spacing w:val="-2"/>
              <w:sz w:val="21"/>
              <w:szCs w:val="21"/>
            </w:rPr>
            <w:fldChar w:fldCharType="end"/>
          </w:r>
        </w:p>
        <w:p w14:paraId="6AAACD7F">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"bookmark151" </w:instrText>
          </w:r>
          <w:r>
            <w:fldChar w:fldCharType="separate"/>
          </w:r>
          <w:r>
            <w:rPr>
              <w:rFonts w:ascii="宋体" w:hAnsi="宋体" w:eastAsia="宋体" w:cs="宋体"/>
              <w:spacing w:val="-2"/>
              <w:sz w:val="21"/>
              <w:szCs w:val="21"/>
            </w:rPr>
            <w:t>1.5 合同文件的优先顺序</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85</w:t>
          </w:r>
          <w:r>
            <w:rPr>
              <w:rFonts w:ascii="宋体" w:hAnsi="宋体" w:eastAsia="宋体" w:cs="宋体"/>
              <w:spacing w:val="-2"/>
              <w:sz w:val="21"/>
              <w:szCs w:val="21"/>
            </w:rPr>
            <w:fldChar w:fldCharType="end"/>
          </w:r>
        </w:p>
        <w:p w14:paraId="4897C904">
          <w:pPr>
            <w:tabs>
              <w:tab w:val="right" w:leader="dot" w:pos="8312"/>
            </w:tabs>
            <w:spacing w:before="61" w:line="221" w:lineRule="auto"/>
            <w:ind w:left="878"/>
            <w:rPr>
              <w:rFonts w:ascii="宋体" w:hAnsi="宋体" w:eastAsia="宋体" w:cs="宋体"/>
              <w:sz w:val="21"/>
              <w:szCs w:val="21"/>
            </w:rPr>
          </w:pPr>
          <w:r>
            <w:fldChar w:fldCharType="begin"/>
          </w:r>
          <w:r>
            <w:instrText xml:space="preserve"> HYPERLINK \l "bookmark152" </w:instrText>
          </w:r>
          <w:r>
            <w:fldChar w:fldCharType="separate"/>
          </w:r>
          <w:r>
            <w:rPr>
              <w:rFonts w:ascii="宋体" w:hAnsi="宋体" w:eastAsia="宋体" w:cs="宋体"/>
              <w:spacing w:val="-5"/>
              <w:sz w:val="21"/>
              <w:szCs w:val="21"/>
            </w:rPr>
            <w:t>1.6</w:t>
          </w:r>
          <w:r>
            <w:rPr>
              <w:rFonts w:ascii="宋体" w:hAnsi="宋体" w:eastAsia="宋体" w:cs="宋体"/>
              <w:spacing w:val="-20"/>
              <w:sz w:val="21"/>
              <w:szCs w:val="21"/>
            </w:rPr>
            <w:t xml:space="preserve"> </w:t>
          </w:r>
          <w:r>
            <w:rPr>
              <w:rFonts w:ascii="宋体" w:hAnsi="宋体" w:eastAsia="宋体" w:cs="宋体"/>
              <w:spacing w:val="-5"/>
              <w:sz w:val="21"/>
              <w:szCs w:val="21"/>
            </w:rPr>
            <w:t>图纸和承包人文件</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85</w:t>
          </w:r>
          <w:r>
            <w:rPr>
              <w:rFonts w:ascii="宋体" w:hAnsi="宋体" w:eastAsia="宋体" w:cs="宋体"/>
              <w:spacing w:val="-2"/>
              <w:sz w:val="21"/>
              <w:szCs w:val="21"/>
            </w:rPr>
            <w:fldChar w:fldCharType="end"/>
          </w:r>
        </w:p>
        <w:p w14:paraId="06FE0D6C">
          <w:pPr>
            <w:tabs>
              <w:tab w:val="right" w:leader="dot" w:pos="8312"/>
            </w:tabs>
            <w:spacing w:before="60" w:line="223" w:lineRule="auto"/>
            <w:ind w:left="878"/>
            <w:rPr>
              <w:rFonts w:ascii="宋体" w:hAnsi="宋体" w:eastAsia="宋体" w:cs="宋体"/>
              <w:sz w:val="21"/>
              <w:szCs w:val="21"/>
            </w:rPr>
          </w:pPr>
          <w:r>
            <w:fldChar w:fldCharType="begin"/>
          </w:r>
          <w:r>
            <w:instrText xml:space="preserve"> HYPERLINK \l "bookmark153" </w:instrText>
          </w:r>
          <w:r>
            <w:fldChar w:fldCharType="separate"/>
          </w:r>
          <w:r>
            <w:rPr>
              <w:rFonts w:ascii="宋体" w:hAnsi="宋体" w:eastAsia="宋体" w:cs="宋体"/>
              <w:spacing w:val="-7"/>
              <w:sz w:val="21"/>
              <w:szCs w:val="21"/>
            </w:rPr>
            <w:t>1.7</w:t>
          </w:r>
          <w:r>
            <w:rPr>
              <w:rFonts w:ascii="宋体" w:hAnsi="宋体" w:eastAsia="宋体" w:cs="宋体"/>
              <w:spacing w:val="-41"/>
              <w:sz w:val="21"/>
              <w:szCs w:val="21"/>
            </w:rPr>
            <w:t xml:space="preserve"> </w:t>
          </w:r>
          <w:r>
            <w:rPr>
              <w:rFonts w:ascii="宋体" w:hAnsi="宋体" w:eastAsia="宋体" w:cs="宋体"/>
              <w:spacing w:val="-7"/>
              <w:sz w:val="21"/>
              <w:szCs w:val="21"/>
            </w:rPr>
            <w:t>联络</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86</w:t>
          </w:r>
          <w:r>
            <w:rPr>
              <w:rFonts w:ascii="宋体" w:hAnsi="宋体" w:eastAsia="宋体" w:cs="宋体"/>
              <w:spacing w:val="-2"/>
              <w:sz w:val="21"/>
              <w:szCs w:val="21"/>
            </w:rPr>
            <w:fldChar w:fldCharType="end"/>
          </w:r>
        </w:p>
        <w:p w14:paraId="00748C9C">
          <w:pPr>
            <w:tabs>
              <w:tab w:val="right" w:leader="dot" w:pos="8312"/>
            </w:tabs>
            <w:spacing w:before="59" w:line="221" w:lineRule="auto"/>
            <w:ind w:left="878"/>
            <w:rPr>
              <w:rFonts w:ascii="宋体" w:hAnsi="宋体" w:eastAsia="宋体" w:cs="宋体"/>
              <w:sz w:val="21"/>
              <w:szCs w:val="21"/>
            </w:rPr>
          </w:pPr>
          <w:r>
            <w:fldChar w:fldCharType="begin"/>
          </w:r>
          <w:r>
            <w:instrText xml:space="preserve"> HYPERLINK \l "bookmark154" </w:instrText>
          </w:r>
          <w:r>
            <w:fldChar w:fldCharType="separate"/>
          </w:r>
          <w:r>
            <w:rPr>
              <w:rFonts w:ascii="宋体" w:hAnsi="宋体" w:eastAsia="宋体" w:cs="宋体"/>
              <w:spacing w:val="-5"/>
              <w:sz w:val="21"/>
              <w:szCs w:val="21"/>
            </w:rPr>
            <w:t>1.8</w:t>
          </w:r>
          <w:r>
            <w:rPr>
              <w:rFonts w:ascii="宋体" w:hAnsi="宋体" w:eastAsia="宋体" w:cs="宋体"/>
              <w:spacing w:val="-41"/>
              <w:sz w:val="21"/>
              <w:szCs w:val="21"/>
            </w:rPr>
            <w:t xml:space="preserve"> </w:t>
          </w:r>
          <w:r>
            <w:rPr>
              <w:rFonts w:ascii="宋体" w:hAnsi="宋体" w:eastAsia="宋体" w:cs="宋体"/>
              <w:spacing w:val="-5"/>
              <w:sz w:val="21"/>
              <w:szCs w:val="21"/>
            </w:rPr>
            <w:t>严禁贿赂</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86</w:t>
          </w:r>
          <w:r>
            <w:rPr>
              <w:rFonts w:ascii="宋体" w:hAnsi="宋体" w:eastAsia="宋体" w:cs="宋体"/>
              <w:spacing w:val="-2"/>
              <w:sz w:val="21"/>
              <w:szCs w:val="21"/>
            </w:rPr>
            <w:fldChar w:fldCharType="end"/>
          </w:r>
        </w:p>
        <w:p w14:paraId="5606566E">
          <w:pPr>
            <w:tabs>
              <w:tab w:val="right" w:leader="dot" w:pos="8312"/>
            </w:tabs>
            <w:spacing w:before="61" w:line="222" w:lineRule="auto"/>
            <w:ind w:left="878"/>
            <w:rPr>
              <w:rFonts w:ascii="宋体" w:hAnsi="宋体" w:eastAsia="宋体" w:cs="宋体"/>
              <w:sz w:val="21"/>
              <w:szCs w:val="21"/>
            </w:rPr>
          </w:pPr>
          <w:r>
            <w:fldChar w:fldCharType="begin"/>
          </w:r>
          <w:r>
            <w:instrText xml:space="preserve"> HYPERLINK \l "bookmark155" </w:instrText>
          </w:r>
          <w:r>
            <w:fldChar w:fldCharType="separate"/>
          </w:r>
          <w:r>
            <w:rPr>
              <w:rFonts w:ascii="宋体" w:hAnsi="宋体" w:eastAsia="宋体" w:cs="宋体"/>
              <w:spacing w:val="-4"/>
              <w:sz w:val="21"/>
              <w:szCs w:val="21"/>
            </w:rPr>
            <w:t>1.9</w:t>
          </w:r>
          <w:r>
            <w:rPr>
              <w:rFonts w:ascii="宋体" w:hAnsi="宋体" w:eastAsia="宋体" w:cs="宋体"/>
              <w:spacing w:val="-42"/>
              <w:sz w:val="21"/>
              <w:szCs w:val="21"/>
            </w:rPr>
            <w:t xml:space="preserve"> </w:t>
          </w:r>
          <w:r>
            <w:rPr>
              <w:rFonts w:ascii="宋体" w:hAnsi="宋体" w:eastAsia="宋体" w:cs="宋体"/>
              <w:spacing w:val="-4"/>
              <w:sz w:val="21"/>
              <w:szCs w:val="21"/>
            </w:rPr>
            <w:t>化石、文物</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86</w:t>
          </w:r>
          <w:r>
            <w:rPr>
              <w:rFonts w:ascii="宋体" w:hAnsi="宋体" w:eastAsia="宋体" w:cs="宋体"/>
              <w:spacing w:val="-2"/>
              <w:sz w:val="21"/>
              <w:szCs w:val="21"/>
            </w:rPr>
            <w:fldChar w:fldCharType="end"/>
          </w:r>
        </w:p>
        <w:p w14:paraId="1F6996C9">
          <w:pPr>
            <w:tabs>
              <w:tab w:val="right" w:leader="dot" w:pos="8312"/>
            </w:tabs>
            <w:spacing w:before="59" w:line="221" w:lineRule="auto"/>
            <w:ind w:left="878"/>
            <w:rPr>
              <w:rFonts w:ascii="宋体" w:hAnsi="宋体" w:eastAsia="宋体" w:cs="宋体"/>
              <w:sz w:val="21"/>
              <w:szCs w:val="21"/>
            </w:rPr>
          </w:pPr>
          <w:r>
            <w:fldChar w:fldCharType="begin"/>
          </w:r>
          <w:r>
            <w:instrText xml:space="preserve"> HYPERLINK \l "bookmark156" </w:instrText>
          </w:r>
          <w:r>
            <w:fldChar w:fldCharType="separate"/>
          </w:r>
          <w:r>
            <w:rPr>
              <w:rFonts w:ascii="宋体" w:hAnsi="宋体" w:eastAsia="宋体" w:cs="宋体"/>
              <w:spacing w:val="-4"/>
              <w:sz w:val="21"/>
              <w:szCs w:val="21"/>
            </w:rPr>
            <w:t>1.10</w:t>
          </w:r>
          <w:r>
            <w:rPr>
              <w:rFonts w:ascii="宋体" w:hAnsi="宋体" w:eastAsia="宋体" w:cs="宋体"/>
              <w:spacing w:val="-43"/>
              <w:sz w:val="21"/>
              <w:szCs w:val="21"/>
            </w:rPr>
            <w:t xml:space="preserve"> </w:t>
          </w:r>
          <w:r>
            <w:rPr>
              <w:rFonts w:ascii="宋体" w:hAnsi="宋体" w:eastAsia="宋体" w:cs="宋体"/>
              <w:spacing w:val="-4"/>
              <w:sz w:val="21"/>
              <w:szCs w:val="21"/>
            </w:rPr>
            <w:t>交通运输</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86</w:t>
          </w:r>
          <w:r>
            <w:rPr>
              <w:rFonts w:ascii="宋体" w:hAnsi="宋体" w:eastAsia="宋体" w:cs="宋体"/>
              <w:spacing w:val="-2"/>
              <w:sz w:val="21"/>
              <w:szCs w:val="21"/>
            </w:rPr>
            <w:fldChar w:fldCharType="end"/>
          </w:r>
        </w:p>
        <w:p w14:paraId="68C9E092">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"bookmark157" </w:instrText>
          </w:r>
          <w:r>
            <w:fldChar w:fldCharType="separate"/>
          </w:r>
          <w:r>
            <w:rPr>
              <w:rFonts w:ascii="宋体" w:hAnsi="宋体" w:eastAsia="宋体" w:cs="宋体"/>
              <w:spacing w:val="-4"/>
              <w:sz w:val="21"/>
              <w:szCs w:val="21"/>
            </w:rPr>
            <w:t>1.11</w:t>
          </w:r>
          <w:r>
            <w:rPr>
              <w:rFonts w:ascii="宋体" w:hAnsi="宋体" w:eastAsia="宋体" w:cs="宋体"/>
              <w:spacing w:val="-43"/>
              <w:sz w:val="21"/>
              <w:szCs w:val="21"/>
            </w:rPr>
            <w:t xml:space="preserve"> </w:t>
          </w:r>
          <w:r>
            <w:rPr>
              <w:rFonts w:ascii="宋体" w:hAnsi="宋体" w:eastAsia="宋体" w:cs="宋体"/>
              <w:spacing w:val="-4"/>
              <w:sz w:val="21"/>
              <w:szCs w:val="21"/>
            </w:rPr>
            <w:t>知识产权</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87</w:t>
          </w:r>
          <w:r>
            <w:rPr>
              <w:rFonts w:ascii="宋体" w:hAnsi="宋体" w:eastAsia="宋体" w:cs="宋体"/>
              <w:spacing w:val="-2"/>
              <w:sz w:val="21"/>
              <w:szCs w:val="21"/>
            </w:rPr>
            <w:fldChar w:fldCharType="end"/>
          </w:r>
        </w:p>
        <w:p w14:paraId="67AF1FBF">
          <w:pPr>
            <w:tabs>
              <w:tab w:val="right" w:leader="dot" w:pos="8312"/>
            </w:tabs>
            <w:spacing w:before="62" w:line="221" w:lineRule="auto"/>
            <w:ind w:left="878"/>
            <w:rPr>
              <w:rFonts w:ascii="宋体" w:hAnsi="宋体" w:eastAsia="宋体" w:cs="宋体"/>
              <w:sz w:val="21"/>
              <w:szCs w:val="21"/>
            </w:rPr>
          </w:pPr>
          <w:r>
            <w:fldChar w:fldCharType="begin"/>
          </w:r>
          <w:r>
            <w:instrText xml:space="preserve"> HYPERLINK \l "bookmark158" </w:instrText>
          </w:r>
          <w:r>
            <w:fldChar w:fldCharType="separate"/>
          </w:r>
          <w:r>
            <w:rPr>
              <w:rFonts w:ascii="宋体" w:hAnsi="宋体" w:eastAsia="宋体" w:cs="宋体"/>
              <w:spacing w:val="-5"/>
              <w:sz w:val="21"/>
              <w:szCs w:val="21"/>
            </w:rPr>
            <w:t>1.12</w:t>
          </w:r>
          <w:r>
            <w:rPr>
              <w:rFonts w:ascii="宋体" w:hAnsi="宋体" w:eastAsia="宋体" w:cs="宋体"/>
              <w:spacing w:val="-45"/>
              <w:sz w:val="21"/>
              <w:szCs w:val="21"/>
            </w:rPr>
            <w:t xml:space="preserve"> </w:t>
          </w:r>
          <w:r>
            <w:rPr>
              <w:rFonts w:ascii="宋体" w:hAnsi="宋体" w:eastAsia="宋体" w:cs="宋体"/>
              <w:spacing w:val="-5"/>
              <w:sz w:val="21"/>
              <w:szCs w:val="21"/>
            </w:rPr>
            <w:t>保密</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88</w:t>
          </w:r>
          <w:r>
            <w:rPr>
              <w:rFonts w:ascii="宋体" w:hAnsi="宋体" w:eastAsia="宋体" w:cs="宋体"/>
              <w:spacing w:val="-2"/>
              <w:sz w:val="21"/>
              <w:szCs w:val="21"/>
            </w:rPr>
            <w:fldChar w:fldCharType="end"/>
          </w:r>
        </w:p>
        <w:p w14:paraId="6194CB26">
          <w:pPr>
            <w:tabs>
              <w:tab w:val="right" w:leader="dot" w:pos="8312"/>
            </w:tabs>
            <w:spacing w:before="60" w:line="221" w:lineRule="auto"/>
            <w:ind w:left="878"/>
            <w:rPr>
              <w:rFonts w:ascii="宋体" w:hAnsi="宋体" w:eastAsia="宋体" w:cs="宋体"/>
              <w:sz w:val="21"/>
              <w:szCs w:val="21"/>
            </w:rPr>
          </w:pPr>
          <w:r>
            <w:fldChar w:fldCharType="begin"/>
          </w:r>
          <w:r>
            <w:instrText xml:space="preserve"> HYPERLINK \l "bookmark159" </w:instrText>
          </w:r>
          <w:r>
            <w:fldChar w:fldCharType="separate"/>
          </w:r>
          <w:r>
            <w:rPr>
              <w:rFonts w:ascii="宋体" w:hAnsi="宋体" w:eastAsia="宋体" w:cs="宋体"/>
              <w:spacing w:val="-3"/>
              <w:sz w:val="21"/>
              <w:szCs w:val="21"/>
            </w:rPr>
            <w:t>1.13</w:t>
          </w:r>
          <w:r>
            <w:rPr>
              <w:rFonts w:ascii="宋体" w:hAnsi="宋体" w:eastAsia="宋体" w:cs="宋体"/>
              <w:spacing w:val="-35"/>
              <w:sz w:val="21"/>
              <w:szCs w:val="21"/>
            </w:rPr>
            <w:t xml:space="preserve"> </w:t>
          </w:r>
          <w:r>
            <w:rPr>
              <w:rFonts w:ascii="宋体" w:hAnsi="宋体" w:eastAsia="宋体" w:cs="宋体"/>
              <w:spacing w:val="-3"/>
              <w:sz w:val="21"/>
              <w:szCs w:val="21"/>
            </w:rPr>
            <w:t>工程量清单错误的修正</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88</w:t>
          </w:r>
          <w:r>
            <w:rPr>
              <w:rFonts w:ascii="宋体" w:hAnsi="宋体" w:eastAsia="宋体" w:cs="宋体"/>
              <w:spacing w:val="-2"/>
              <w:sz w:val="21"/>
              <w:szCs w:val="21"/>
            </w:rPr>
            <w:fldChar w:fldCharType="end"/>
          </w:r>
        </w:p>
        <w:p w14:paraId="7268257D">
          <w:pPr>
            <w:tabs>
              <w:tab w:val="right" w:leader="dot" w:pos="8312"/>
            </w:tabs>
            <w:spacing w:before="61" w:line="221" w:lineRule="auto"/>
            <w:ind w:left="445"/>
            <w:rPr>
              <w:rFonts w:ascii="宋体" w:hAnsi="宋体" w:eastAsia="宋体" w:cs="宋体"/>
              <w:sz w:val="21"/>
              <w:szCs w:val="21"/>
            </w:rPr>
          </w:pPr>
          <w:r>
            <w:fldChar w:fldCharType="begin"/>
          </w:r>
          <w:r>
            <w:instrText xml:space="preserve"> HYPERLINK \l "bookmark160" </w:instrText>
          </w:r>
          <w:r>
            <w:fldChar w:fldCharType="separate"/>
          </w:r>
          <w:r>
            <w:rPr>
              <w:rFonts w:ascii="宋体" w:hAnsi="宋体" w:eastAsia="宋体" w:cs="宋体"/>
              <w:spacing w:val="-4"/>
              <w:sz w:val="21"/>
              <w:szCs w:val="21"/>
            </w:rPr>
            <w:t>2.</w:t>
          </w:r>
          <w:r>
            <w:rPr>
              <w:rFonts w:ascii="宋体" w:hAnsi="宋体" w:eastAsia="宋体" w:cs="宋体"/>
              <w:spacing w:val="12"/>
              <w:sz w:val="21"/>
              <w:szCs w:val="21"/>
            </w:rPr>
            <w:t xml:space="preserve"> </w:t>
          </w:r>
          <w:r>
            <w:rPr>
              <w:rFonts w:ascii="宋体" w:hAnsi="宋体" w:eastAsia="宋体" w:cs="宋体"/>
              <w:spacing w:val="-4"/>
              <w:sz w:val="21"/>
              <w:szCs w:val="21"/>
            </w:rPr>
            <w:t>发包人</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88</w:t>
          </w:r>
          <w:r>
            <w:rPr>
              <w:rFonts w:ascii="宋体" w:hAnsi="宋体" w:eastAsia="宋体" w:cs="宋体"/>
              <w:spacing w:val="-2"/>
              <w:sz w:val="21"/>
              <w:szCs w:val="21"/>
            </w:rPr>
            <w:fldChar w:fldCharType="end"/>
          </w:r>
        </w:p>
        <w:p w14:paraId="20F8070F">
          <w:pPr>
            <w:tabs>
              <w:tab w:val="right" w:leader="dot" w:pos="8312"/>
            </w:tabs>
            <w:spacing w:before="61" w:line="221" w:lineRule="auto"/>
            <w:ind w:left="865"/>
            <w:rPr>
              <w:rFonts w:ascii="宋体" w:hAnsi="宋体" w:eastAsia="宋体" w:cs="宋体"/>
              <w:sz w:val="21"/>
              <w:szCs w:val="21"/>
            </w:rPr>
          </w:pPr>
          <w:r>
            <w:fldChar w:fldCharType="begin"/>
          </w:r>
          <w:r>
            <w:instrText xml:space="preserve"> HYPERLINK \l "bookmark161" </w:instrText>
          </w:r>
          <w:r>
            <w:fldChar w:fldCharType="separate"/>
          </w:r>
          <w:r>
            <w:rPr>
              <w:rFonts w:ascii="宋体" w:hAnsi="宋体" w:eastAsia="宋体" w:cs="宋体"/>
              <w:spacing w:val="-1"/>
              <w:sz w:val="21"/>
              <w:szCs w:val="21"/>
            </w:rPr>
            <w:t>2.1 许可或批准</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88</w:t>
          </w:r>
          <w:r>
            <w:rPr>
              <w:rFonts w:ascii="宋体" w:hAnsi="宋体" w:eastAsia="宋体" w:cs="宋体"/>
              <w:spacing w:val="-2"/>
              <w:sz w:val="21"/>
              <w:szCs w:val="21"/>
            </w:rPr>
            <w:fldChar w:fldCharType="end"/>
          </w:r>
        </w:p>
        <w:p w14:paraId="44E6432D">
          <w:pPr>
            <w:tabs>
              <w:tab w:val="right" w:leader="dot" w:pos="8312"/>
            </w:tabs>
            <w:spacing w:before="60" w:line="221" w:lineRule="auto"/>
            <w:ind w:left="865"/>
            <w:rPr>
              <w:rFonts w:ascii="宋体" w:hAnsi="宋体" w:eastAsia="宋体" w:cs="宋体"/>
              <w:sz w:val="21"/>
              <w:szCs w:val="21"/>
            </w:rPr>
          </w:pPr>
          <w:r>
            <w:fldChar w:fldCharType="begin"/>
          </w:r>
          <w:r>
            <w:instrText xml:space="preserve"> HYPERLINK \l "bookmark162" </w:instrText>
          </w:r>
          <w:r>
            <w:fldChar w:fldCharType="separate"/>
          </w:r>
          <w:r>
            <w:rPr>
              <w:rFonts w:ascii="宋体" w:hAnsi="宋体" w:eastAsia="宋体" w:cs="宋体"/>
              <w:spacing w:val="-3"/>
              <w:sz w:val="21"/>
              <w:szCs w:val="21"/>
            </w:rPr>
            <w:t>2.2</w:t>
          </w:r>
          <w:r>
            <w:rPr>
              <w:rFonts w:ascii="宋体" w:hAnsi="宋体" w:eastAsia="宋体" w:cs="宋体"/>
              <w:spacing w:val="15"/>
              <w:sz w:val="21"/>
              <w:szCs w:val="21"/>
            </w:rPr>
            <w:t xml:space="preserve"> </w:t>
          </w:r>
          <w:r>
            <w:rPr>
              <w:rFonts w:ascii="宋体" w:hAnsi="宋体" w:eastAsia="宋体" w:cs="宋体"/>
              <w:spacing w:val="-3"/>
              <w:sz w:val="21"/>
              <w:szCs w:val="21"/>
            </w:rPr>
            <w:t>发包人代表</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88</w:t>
          </w:r>
          <w:r>
            <w:rPr>
              <w:rFonts w:ascii="宋体" w:hAnsi="宋体" w:eastAsia="宋体" w:cs="宋体"/>
              <w:spacing w:val="-2"/>
              <w:sz w:val="21"/>
              <w:szCs w:val="21"/>
            </w:rPr>
            <w:fldChar w:fldCharType="end"/>
          </w:r>
        </w:p>
        <w:p w14:paraId="3051DD6E">
          <w:pPr>
            <w:tabs>
              <w:tab w:val="right" w:leader="dot" w:pos="8312"/>
            </w:tabs>
            <w:spacing w:before="61" w:line="221" w:lineRule="auto"/>
            <w:ind w:left="865"/>
            <w:rPr>
              <w:rFonts w:ascii="宋体" w:hAnsi="宋体" w:eastAsia="宋体" w:cs="宋体"/>
              <w:sz w:val="21"/>
              <w:szCs w:val="21"/>
            </w:rPr>
          </w:pPr>
          <w:r>
            <w:fldChar w:fldCharType="begin"/>
          </w:r>
          <w:r>
            <w:instrText xml:space="preserve"> HYPERLINK \l "bookmark163" </w:instrText>
          </w:r>
          <w:r>
            <w:fldChar w:fldCharType="separate"/>
          </w:r>
          <w:r>
            <w:rPr>
              <w:rFonts w:ascii="宋体" w:hAnsi="宋体" w:eastAsia="宋体" w:cs="宋体"/>
              <w:spacing w:val="-3"/>
              <w:sz w:val="21"/>
              <w:szCs w:val="21"/>
            </w:rPr>
            <w:t>2.3</w:t>
          </w:r>
          <w:r>
            <w:rPr>
              <w:rFonts w:ascii="宋体" w:hAnsi="宋体" w:eastAsia="宋体" w:cs="宋体"/>
              <w:spacing w:val="15"/>
              <w:sz w:val="21"/>
              <w:szCs w:val="21"/>
            </w:rPr>
            <w:t xml:space="preserve"> </w:t>
          </w:r>
          <w:r>
            <w:rPr>
              <w:rFonts w:ascii="宋体" w:hAnsi="宋体" w:eastAsia="宋体" w:cs="宋体"/>
              <w:spacing w:val="-3"/>
              <w:sz w:val="21"/>
              <w:szCs w:val="21"/>
            </w:rPr>
            <w:t>发包人人员</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89</w:t>
          </w:r>
          <w:r>
            <w:rPr>
              <w:rFonts w:ascii="宋体" w:hAnsi="宋体" w:eastAsia="宋体" w:cs="宋体"/>
              <w:spacing w:val="-2"/>
              <w:sz w:val="21"/>
              <w:szCs w:val="21"/>
            </w:rPr>
            <w:fldChar w:fldCharType="end"/>
          </w:r>
        </w:p>
        <w:p w14:paraId="4FD66A9B">
          <w:pPr>
            <w:tabs>
              <w:tab w:val="right" w:leader="dot" w:pos="8312"/>
            </w:tabs>
            <w:spacing w:before="60" w:line="220" w:lineRule="auto"/>
            <w:ind w:left="865"/>
            <w:rPr>
              <w:rFonts w:ascii="宋体" w:hAnsi="宋体" w:eastAsia="宋体" w:cs="宋体"/>
              <w:sz w:val="21"/>
              <w:szCs w:val="21"/>
            </w:rPr>
          </w:pPr>
          <w:r>
            <w:fldChar w:fldCharType="begin"/>
          </w:r>
          <w:r>
            <w:instrText xml:space="preserve"> HYPERLINK \l "bookmark164" </w:instrText>
          </w:r>
          <w:r>
            <w:fldChar w:fldCharType="separate"/>
          </w:r>
          <w:r>
            <w:rPr>
              <w:rFonts w:ascii="宋体" w:hAnsi="宋体" w:eastAsia="宋体" w:cs="宋体"/>
              <w:spacing w:val="-1"/>
              <w:sz w:val="21"/>
              <w:szCs w:val="21"/>
            </w:rPr>
            <w:t>2.4 施工现场、施工条件和基础资料的提供</w:t>
          </w:r>
          <w:r>
            <w:rPr>
              <w:rFonts w:ascii="宋体" w:hAnsi="宋体" w:eastAsia="宋体" w:cs="宋体"/>
              <w:spacing w:val="-5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89</w:t>
          </w:r>
          <w:r>
            <w:rPr>
              <w:rFonts w:ascii="宋体" w:hAnsi="宋体" w:eastAsia="宋体" w:cs="宋体"/>
              <w:spacing w:val="-2"/>
              <w:sz w:val="21"/>
              <w:szCs w:val="21"/>
            </w:rPr>
            <w:fldChar w:fldCharType="end"/>
          </w:r>
        </w:p>
        <w:p w14:paraId="61224637">
          <w:pPr>
            <w:tabs>
              <w:tab w:val="right" w:leader="dot" w:pos="8312"/>
            </w:tabs>
            <w:spacing w:before="62" w:line="221" w:lineRule="auto"/>
            <w:ind w:left="865"/>
            <w:rPr>
              <w:rFonts w:ascii="宋体" w:hAnsi="宋体" w:eastAsia="宋体" w:cs="宋体"/>
              <w:sz w:val="21"/>
              <w:szCs w:val="21"/>
            </w:rPr>
          </w:pPr>
          <w:r>
            <w:fldChar w:fldCharType="begin"/>
          </w:r>
          <w:r>
            <w:instrText xml:space="preserve"> HYPERLINK \l "bookmark165" </w:instrText>
          </w:r>
          <w:r>
            <w:fldChar w:fldCharType="separate"/>
          </w:r>
          <w:r>
            <w:rPr>
              <w:rFonts w:ascii="宋体" w:hAnsi="宋体" w:eastAsia="宋体" w:cs="宋体"/>
              <w:spacing w:val="-1"/>
              <w:sz w:val="21"/>
              <w:szCs w:val="21"/>
            </w:rPr>
            <w:t>2.5 资金来源证明及支付担保</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89</w:t>
          </w:r>
          <w:r>
            <w:rPr>
              <w:rFonts w:ascii="宋体" w:hAnsi="宋体" w:eastAsia="宋体" w:cs="宋体"/>
              <w:spacing w:val="-2"/>
              <w:sz w:val="21"/>
              <w:szCs w:val="21"/>
            </w:rPr>
            <w:fldChar w:fldCharType="end"/>
          </w:r>
        </w:p>
        <w:p w14:paraId="0EC7DDFB">
          <w:pPr>
            <w:tabs>
              <w:tab w:val="right" w:leader="dot" w:pos="8312"/>
            </w:tabs>
            <w:spacing w:before="61" w:line="219" w:lineRule="auto"/>
            <w:ind w:left="865"/>
            <w:rPr>
              <w:rFonts w:ascii="宋体" w:hAnsi="宋体" w:eastAsia="宋体" w:cs="宋体"/>
              <w:sz w:val="21"/>
              <w:szCs w:val="21"/>
            </w:rPr>
          </w:pPr>
          <w:r>
            <w:fldChar w:fldCharType="begin"/>
          </w:r>
          <w:r>
            <w:instrText xml:space="preserve"> HYPERLINK \l "bookmark166" </w:instrText>
          </w:r>
          <w:r>
            <w:fldChar w:fldCharType="separate"/>
          </w:r>
          <w:r>
            <w:rPr>
              <w:rFonts w:ascii="宋体" w:hAnsi="宋体" w:eastAsia="宋体" w:cs="宋体"/>
              <w:spacing w:val="-1"/>
              <w:sz w:val="21"/>
              <w:szCs w:val="21"/>
            </w:rPr>
            <w:t>2.6 支付合同价款</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89</w:t>
          </w:r>
          <w:r>
            <w:rPr>
              <w:rFonts w:ascii="宋体" w:hAnsi="宋体" w:eastAsia="宋体" w:cs="宋体"/>
              <w:spacing w:val="-2"/>
              <w:sz w:val="21"/>
              <w:szCs w:val="21"/>
            </w:rPr>
            <w:fldChar w:fldCharType="end"/>
          </w:r>
        </w:p>
        <w:p w14:paraId="07618BA3">
          <w:pPr>
            <w:tabs>
              <w:tab w:val="right" w:leader="dot" w:pos="8312"/>
            </w:tabs>
            <w:spacing w:before="62" w:line="221" w:lineRule="auto"/>
            <w:ind w:left="865"/>
            <w:rPr>
              <w:rFonts w:ascii="宋体" w:hAnsi="宋体" w:eastAsia="宋体" w:cs="宋体"/>
              <w:sz w:val="21"/>
              <w:szCs w:val="21"/>
            </w:rPr>
          </w:pPr>
          <w:r>
            <w:fldChar w:fldCharType="begin"/>
          </w:r>
          <w:r>
            <w:instrText xml:space="preserve"> HYPERLINK \l "bookmark167" </w:instrText>
          </w:r>
          <w:r>
            <w:fldChar w:fldCharType="separate"/>
          </w:r>
          <w:r>
            <w:rPr>
              <w:rFonts w:ascii="宋体" w:hAnsi="宋体" w:eastAsia="宋体" w:cs="宋体"/>
              <w:spacing w:val="-1"/>
              <w:sz w:val="21"/>
              <w:szCs w:val="21"/>
            </w:rPr>
            <w:t>2.7 组织竣工验收</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89</w:t>
          </w:r>
          <w:r>
            <w:rPr>
              <w:rFonts w:ascii="宋体" w:hAnsi="宋体" w:eastAsia="宋体" w:cs="宋体"/>
              <w:spacing w:val="-2"/>
              <w:sz w:val="21"/>
              <w:szCs w:val="21"/>
            </w:rPr>
            <w:fldChar w:fldCharType="end"/>
          </w:r>
        </w:p>
        <w:p w14:paraId="503767B7">
          <w:pPr>
            <w:tabs>
              <w:tab w:val="right" w:leader="dot" w:pos="8312"/>
            </w:tabs>
            <w:spacing w:before="61" w:line="221" w:lineRule="auto"/>
            <w:ind w:left="865"/>
            <w:rPr>
              <w:rFonts w:ascii="宋体" w:hAnsi="宋体" w:eastAsia="宋体" w:cs="宋体"/>
              <w:sz w:val="21"/>
              <w:szCs w:val="21"/>
            </w:rPr>
          </w:pPr>
          <w:r>
            <w:fldChar w:fldCharType="begin"/>
          </w:r>
          <w:r>
            <w:instrText xml:space="preserve"> HYPERLINK \l "bookmark168" </w:instrText>
          </w:r>
          <w:r>
            <w:fldChar w:fldCharType="separate"/>
          </w:r>
          <w:r>
            <w:rPr>
              <w:rFonts w:ascii="宋体" w:hAnsi="宋体" w:eastAsia="宋体" w:cs="宋体"/>
              <w:spacing w:val="-1"/>
              <w:sz w:val="21"/>
              <w:szCs w:val="21"/>
            </w:rPr>
            <w:t>2.8 现场统一管理协议</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90</w:t>
          </w:r>
          <w:r>
            <w:rPr>
              <w:rFonts w:ascii="宋体" w:hAnsi="宋体" w:eastAsia="宋体" w:cs="宋体"/>
              <w:spacing w:val="-2"/>
              <w:sz w:val="21"/>
              <w:szCs w:val="21"/>
            </w:rPr>
            <w:fldChar w:fldCharType="end"/>
          </w:r>
        </w:p>
        <w:p w14:paraId="382152A8">
          <w:pPr>
            <w:tabs>
              <w:tab w:val="right" w:leader="dot" w:pos="8312"/>
            </w:tabs>
            <w:spacing w:before="61" w:line="221" w:lineRule="auto"/>
            <w:ind w:left="446"/>
            <w:rPr>
              <w:rFonts w:ascii="宋体" w:hAnsi="宋体" w:eastAsia="宋体" w:cs="宋体"/>
              <w:sz w:val="21"/>
              <w:szCs w:val="21"/>
            </w:rPr>
          </w:pPr>
          <w:r>
            <w:fldChar w:fldCharType="begin"/>
          </w:r>
          <w:r>
            <w:instrText xml:space="preserve"> HYPERLINK \l "bookmark169" </w:instrText>
          </w:r>
          <w:r>
            <w:fldChar w:fldCharType="separate"/>
          </w:r>
          <w:r>
            <w:rPr>
              <w:rFonts w:ascii="宋体" w:hAnsi="宋体" w:eastAsia="宋体" w:cs="宋体"/>
              <w:spacing w:val="-4"/>
              <w:sz w:val="21"/>
              <w:szCs w:val="21"/>
            </w:rPr>
            <w:t>3.</w:t>
          </w:r>
          <w:r>
            <w:rPr>
              <w:rFonts w:ascii="宋体" w:hAnsi="宋体" w:eastAsia="宋体" w:cs="宋体"/>
              <w:spacing w:val="9"/>
              <w:sz w:val="21"/>
              <w:szCs w:val="21"/>
            </w:rPr>
            <w:t xml:space="preserve"> </w:t>
          </w:r>
          <w:r>
            <w:rPr>
              <w:rFonts w:ascii="宋体" w:hAnsi="宋体" w:eastAsia="宋体" w:cs="宋体"/>
              <w:spacing w:val="-4"/>
              <w:sz w:val="21"/>
              <w:szCs w:val="21"/>
            </w:rPr>
            <w:t>承包人</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90</w:t>
          </w:r>
          <w:r>
            <w:rPr>
              <w:rFonts w:ascii="宋体" w:hAnsi="宋体" w:eastAsia="宋体" w:cs="宋体"/>
              <w:spacing w:val="-2"/>
              <w:sz w:val="21"/>
              <w:szCs w:val="21"/>
            </w:rPr>
            <w:fldChar w:fldCharType="end"/>
          </w:r>
        </w:p>
        <w:p w14:paraId="5DACFB57">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"bookmark170" </w:instrText>
          </w:r>
          <w:r>
            <w:fldChar w:fldCharType="separate"/>
          </w:r>
          <w:r>
            <w:rPr>
              <w:rFonts w:ascii="宋体" w:hAnsi="宋体" w:eastAsia="宋体" w:cs="宋体"/>
              <w:spacing w:val="-1"/>
              <w:sz w:val="21"/>
              <w:szCs w:val="21"/>
            </w:rPr>
            <w:t>3.1 承包人的一般义务</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90</w:t>
          </w:r>
          <w:r>
            <w:rPr>
              <w:rFonts w:ascii="宋体" w:hAnsi="宋体" w:eastAsia="宋体" w:cs="宋体"/>
              <w:spacing w:val="-2"/>
              <w:sz w:val="21"/>
              <w:szCs w:val="21"/>
            </w:rPr>
            <w:fldChar w:fldCharType="end"/>
          </w:r>
        </w:p>
        <w:p w14:paraId="7001D2D8">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"bookmark171"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项目经理</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90</w:t>
          </w:r>
          <w:r>
            <w:rPr>
              <w:rFonts w:ascii="宋体" w:hAnsi="宋体" w:eastAsia="宋体" w:cs="宋体"/>
              <w:spacing w:val="-2"/>
              <w:sz w:val="21"/>
              <w:szCs w:val="21"/>
            </w:rPr>
            <w:fldChar w:fldCharType="end"/>
          </w:r>
        </w:p>
      </w:sdtContent>
    </w:sdt>
    <w:p w14:paraId="66C04109">
      <w:pPr>
        <w:spacing w:line="221" w:lineRule="auto"/>
        <w:rPr>
          <w:rFonts w:ascii="宋体" w:hAnsi="宋体" w:eastAsia="宋体" w:cs="宋体"/>
          <w:sz w:val="21"/>
          <w:szCs w:val="21"/>
        </w:rPr>
        <w:sectPr>
          <w:footerReference r:id="rId9"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58286"/>
        <w:docPartObj>
          <w:docPartGallery w:val="Table of Contents"/>
          <w:docPartUnique/>
        </w:docPartObj>
      </w:sdtPr>
      <w:sdtEndPr>
        <w:rPr>
          <w:rFonts w:ascii="宋体" w:hAnsi="宋体" w:eastAsia="宋体" w:cs="宋体"/>
          <w:sz w:val="21"/>
          <w:szCs w:val="21"/>
        </w:rPr>
      </w:sdtEndPr>
      <w:sdtContent>
        <w:p w14:paraId="4DC273ED">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"bookmark172" </w:instrText>
          </w:r>
          <w:r>
            <w:fldChar w:fldCharType="separate"/>
          </w:r>
          <w:r>
            <w:rPr>
              <w:rFonts w:ascii="宋体" w:hAnsi="宋体" w:eastAsia="宋体" w:cs="宋体"/>
              <w:spacing w:val="-1"/>
              <w:sz w:val="21"/>
              <w:szCs w:val="21"/>
            </w:rPr>
            <w:t>3.3 承包人人员</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91</w:t>
          </w:r>
          <w:r>
            <w:rPr>
              <w:rFonts w:ascii="宋体" w:hAnsi="宋体" w:eastAsia="宋体" w:cs="宋体"/>
              <w:spacing w:val="-2"/>
              <w:sz w:val="21"/>
              <w:szCs w:val="21"/>
            </w:rPr>
            <w:fldChar w:fldCharType="end"/>
          </w:r>
        </w:p>
        <w:p w14:paraId="3660507B">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"bookmark173" </w:instrText>
          </w:r>
          <w:r>
            <w:fldChar w:fldCharType="separate"/>
          </w:r>
          <w:r>
            <w:rPr>
              <w:rFonts w:ascii="宋体" w:hAnsi="宋体" w:eastAsia="宋体" w:cs="宋体"/>
              <w:spacing w:val="-1"/>
              <w:sz w:val="21"/>
              <w:szCs w:val="21"/>
            </w:rPr>
            <w:t>3.4 承包人现场查勘</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92</w:t>
          </w:r>
          <w:r>
            <w:rPr>
              <w:rFonts w:ascii="宋体" w:hAnsi="宋体" w:eastAsia="宋体" w:cs="宋体"/>
              <w:spacing w:val="-2"/>
              <w:sz w:val="21"/>
              <w:szCs w:val="21"/>
            </w:rPr>
            <w:fldChar w:fldCharType="end"/>
          </w:r>
        </w:p>
        <w:p w14:paraId="5A3967F1">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"bookmark174" </w:instrText>
          </w:r>
          <w:r>
            <w:fldChar w:fldCharType="separate"/>
          </w:r>
          <w:r>
            <w:rPr>
              <w:rFonts w:ascii="宋体" w:hAnsi="宋体" w:eastAsia="宋体" w:cs="宋体"/>
              <w:spacing w:val="-5"/>
              <w:sz w:val="21"/>
              <w:szCs w:val="21"/>
            </w:rPr>
            <w:t>3.5</w:t>
          </w:r>
          <w:r>
            <w:rPr>
              <w:rFonts w:ascii="宋体" w:hAnsi="宋体" w:eastAsia="宋体" w:cs="宋体"/>
              <w:spacing w:val="13"/>
              <w:sz w:val="21"/>
              <w:szCs w:val="21"/>
            </w:rPr>
            <w:t xml:space="preserve"> </w:t>
          </w:r>
          <w:r>
            <w:rPr>
              <w:rFonts w:ascii="宋体" w:hAnsi="宋体" w:eastAsia="宋体" w:cs="宋体"/>
              <w:spacing w:val="-5"/>
              <w:sz w:val="21"/>
              <w:szCs w:val="21"/>
            </w:rPr>
            <w:t>分包</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92</w:t>
          </w:r>
          <w:r>
            <w:rPr>
              <w:rFonts w:ascii="宋体" w:hAnsi="宋体" w:eastAsia="宋体" w:cs="宋体"/>
              <w:spacing w:val="-2"/>
              <w:sz w:val="21"/>
              <w:szCs w:val="21"/>
            </w:rPr>
            <w:fldChar w:fldCharType="end"/>
          </w:r>
        </w:p>
        <w:p w14:paraId="1C1F86A2">
          <w:pPr>
            <w:tabs>
              <w:tab w:val="right" w:leader="dot" w:pos="8312"/>
            </w:tabs>
            <w:spacing w:before="59" w:line="221" w:lineRule="auto"/>
            <w:ind w:left="866"/>
            <w:rPr>
              <w:rFonts w:ascii="宋体" w:hAnsi="宋体" w:eastAsia="宋体" w:cs="宋体"/>
              <w:sz w:val="21"/>
              <w:szCs w:val="21"/>
            </w:rPr>
          </w:pPr>
          <w:r>
            <w:fldChar w:fldCharType="begin"/>
          </w:r>
          <w:r>
            <w:instrText xml:space="preserve"> HYPERLINK \l "bookmark175" </w:instrText>
          </w:r>
          <w:r>
            <w:fldChar w:fldCharType="separate"/>
          </w:r>
          <w:r>
            <w:rPr>
              <w:rFonts w:ascii="宋体" w:hAnsi="宋体" w:eastAsia="宋体" w:cs="宋体"/>
              <w:spacing w:val="-1"/>
              <w:sz w:val="21"/>
              <w:szCs w:val="21"/>
            </w:rPr>
            <w:t>3.6 工程照管与成品、半成品保护</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92</w:t>
          </w:r>
          <w:r>
            <w:rPr>
              <w:rFonts w:ascii="宋体" w:hAnsi="宋体" w:eastAsia="宋体" w:cs="宋体"/>
              <w:spacing w:val="-2"/>
              <w:sz w:val="21"/>
              <w:szCs w:val="21"/>
            </w:rPr>
            <w:fldChar w:fldCharType="end"/>
          </w:r>
        </w:p>
        <w:p w14:paraId="52D0415F">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"bookmark176" </w:instrText>
          </w:r>
          <w:r>
            <w:fldChar w:fldCharType="separate"/>
          </w:r>
          <w:r>
            <w:rPr>
              <w:rFonts w:ascii="宋体" w:hAnsi="宋体" w:eastAsia="宋体" w:cs="宋体"/>
              <w:spacing w:val="-4"/>
              <w:sz w:val="21"/>
              <w:szCs w:val="21"/>
            </w:rPr>
            <w:t>3.7</w:t>
          </w:r>
          <w:r>
            <w:rPr>
              <w:rFonts w:ascii="宋体" w:hAnsi="宋体" w:eastAsia="宋体" w:cs="宋体"/>
              <w:spacing w:val="17"/>
              <w:sz w:val="21"/>
              <w:szCs w:val="21"/>
            </w:rPr>
            <w:t xml:space="preserve"> </w:t>
          </w:r>
          <w:r>
            <w:rPr>
              <w:rFonts w:ascii="宋体" w:hAnsi="宋体" w:eastAsia="宋体" w:cs="宋体"/>
              <w:spacing w:val="-4"/>
              <w:sz w:val="21"/>
              <w:szCs w:val="21"/>
            </w:rPr>
            <w:t>履约担保</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60AC2727">
          <w:pPr>
            <w:tabs>
              <w:tab w:val="right" w:leader="dot" w:pos="8312"/>
            </w:tabs>
            <w:spacing w:before="60" w:line="222" w:lineRule="auto"/>
            <w:ind w:left="866"/>
            <w:rPr>
              <w:rFonts w:ascii="宋体" w:hAnsi="宋体" w:eastAsia="宋体" w:cs="宋体"/>
              <w:sz w:val="21"/>
              <w:szCs w:val="21"/>
            </w:rPr>
          </w:pPr>
          <w:r>
            <w:fldChar w:fldCharType="begin"/>
          </w:r>
          <w:r>
            <w:instrText xml:space="preserve"> HYPERLINK \l "bookmark177" </w:instrText>
          </w:r>
          <w:r>
            <w:fldChar w:fldCharType="separate"/>
          </w:r>
          <w:r>
            <w:rPr>
              <w:rFonts w:ascii="宋体" w:hAnsi="宋体" w:eastAsia="宋体" w:cs="宋体"/>
              <w:spacing w:val="-4"/>
              <w:sz w:val="21"/>
              <w:szCs w:val="21"/>
            </w:rPr>
            <w:t>3.8</w:t>
          </w:r>
          <w:r>
            <w:rPr>
              <w:rFonts w:ascii="宋体" w:hAnsi="宋体" w:eastAsia="宋体" w:cs="宋体"/>
              <w:spacing w:val="14"/>
              <w:sz w:val="21"/>
              <w:szCs w:val="21"/>
            </w:rPr>
            <w:t xml:space="preserve"> </w:t>
          </w:r>
          <w:r>
            <w:rPr>
              <w:rFonts w:ascii="宋体" w:hAnsi="宋体" w:eastAsia="宋体" w:cs="宋体"/>
              <w:spacing w:val="-4"/>
              <w:sz w:val="21"/>
              <w:szCs w:val="21"/>
            </w:rPr>
            <w:t>联合体</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14543CFD">
          <w:pPr>
            <w:tabs>
              <w:tab w:val="right" w:leader="dot" w:pos="8312"/>
            </w:tabs>
            <w:spacing w:before="60" w:line="223" w:lineRule="auto"/>
            <w:ind w:left="441"/>
            <w:rPr>
              <w:rFonts w:ascii="宋体" w:hAnsi="宋体" w:eastAsia="宋体" w:cs="宋体"/>
              <w:sz w:val="21"/>
              <w:szCs w:val="21"/>
            </w:rPr>
          </w:pPr>
          <w:r>
            <w:fldChar w:fldCharType="begin"/>
          </w:r>
          <w:r>
            <w:instrText xml:space="preserve"> HYPERLINK \l "bookmark178" </w:instrText>
          </w:r>
          <w:r>
            <w:fldChar w:fldCharType="separate"/>
          </w:r>
          <w:r>
            <w:rPr>
              <w:rFonts w:ascii="宋体" w:hAnsi="宋体" w:eastAsia="宋体" w:cs="宋体"/>
              <w:spacing w:val="-3"/>
              <w:sz w:val="21"/>
              <w:szCs w:val="21"/>
            </w:rPr>
            <w:t>4.</w:t>
          </w:r>
          <w:r>
            <w:rPr>
              <w:rFonts w:ascii="宋体" w:hAnsi="宋体" w:eastAsia="宋体" w:cs="宋体"/>
              <w:spacing w:val="9"/>
              <w:sz w:val="21"/>
              <w:szCs w:val="21"/>
            </w:rPr>
            <w:t xml:space="preserve"> </w:t>
          </w:r>
          <w:r>
            <w:rPr>
              <w:rFonts w:ascii="宋体" w:hAnsi="宋体" w:eastAsia="宋体" w:cs="宋体"/>
              <w:spacing w:val="-3"/>
              <w:sz w:val="21"/>
              <w:szCs w:val="21"/>
            </w:rPr>
            <w:t>监理人</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5F2E6C5A">
          <w:pPr>
            <w:tabs>
              <w:tab w:val="right" w:leader="dot" w:pos="8312"/>
            </w:tabs>
            <w:spacing w:before="58" w:line="221" w:lineRule="auto"/>
            <w:ind w:left="861"/>
            <w:rPr>
              <w:rFonts w:ascii="宋体" w:hAnsi="宋体" w:eastAsia="宋体" w:cs="宋体"/>
              <w:sz w:val="21"/>
              <w:szCs w:val="21"/>
            </w:rPr>
          </w:pPr>
          <w:r>
            <w:fldChar w:fldCharType="begin"/>
          </w:r>
          <w:r>
            <w:instrText xml:space="preserve"> HYPERLINK \l "bookmark179" </w:instrText>
          </w:r>
          <w:r>
            <w:fldChar w:fldCharType="separate"/>
          </w:r>
          <w:r>
            <w:rPr>
              <w:rFonts w:ascii="宋体" w:hAnsi="宋体" w:eastAsia="宋体" w:cs="宋体"/>
              <w:spacing w:val="-2"/>
              <w:sz w:val="21"/>
              <w:szCs w:val="21"/>
            </w:rPr>
            <w:t>4.1</w:t>
          </w:r>
          <w:r>
            <w:rPr>
              <w:rFonts w:ascii="宋体" w:hAnsi="宋体" w:eastAsia="宋体" w:cs="宋体"/>
              <w:spacing w:val="-37"/>
              <w:sz w:val="21"/>
              <w:szCs w:val="21"/>
            </w:rPr>
            <w:t xml:space="preserve"> </w:t>
          </w:r>
          <w:r>
            <w:rPr>
              <w:rFonts w:ascii="宋体" w:hAnsi="宋体" w:eastAsia="宋体" w:cs="宋体"/>
              <w:spacing w:val="-2"/>
              <w:sz w:val="21"/>
              <w:szCs w:val="21"/>
            </w:rPr>
            <w:t>监理人的一般规定</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0CBC6DC2">
          <w:pPr>
            <w:tabs>
              <w:tab w:val="right" w:leader="dot" w:pos="8312"/>
            </w:tabs>
            <w:spacing w:before="61" w:line="222" w:lineRule="auto"/>
            <w:ind w:left="861"/>
            <w:rPr>
              <w:rFonts w:ascii="宋体" w:hAnsi="宋体" w:eastAsia="宋体" w:cs="宋体"/>
              <w:sz w:val="21"/>
              <w:szCs w:val="21"/>
            </w:rPr>
          </w:pPr>
          <w:r>
            <w:fldChar w:fldCharType="begin"/>
          </w:r>
          <w:r>
            <w:instrText xml:space="preserve"> HYPERLINK \l "bookmark180" </w:instrText>
          </w:r>
          <w:r>
            <w:fldChar w:fldCharType="separate"/>
          </w:r>
          <w:r>
            <w:rPr>
              <w:rFonts w:ascii="宋体" w:hAnsi="宋体" w:eastAsia="宋体" w:cs="宋体"/>
              <w:spacing w:val="-3"/>
              <w:sz w:val="21"/>
              <w:szCs w:val="21"/>
            </w:rPr>
            <w:t>4.2</w:t>
          </w:r>
          <w:r>
            <w:rPr>
              <w:rFonts w:ascii="宋体" w:hAnsi="宋体" w:eastAsia="宋体" w:cs="宋体"/>
              <w:spacing w:val="-38"/>
              <w:sz w:val="21"/>
              <w:szCs w:val="21"/>
            </w:rPr>
            <w:t xml:space="preserve"> </w:t>
          </w:r>
          <w:r>
            <w:rPr>
              <w:rFonts w:ascii="宋体" w:hAnsi="宋体" w:eastAsia="宋体" w:cs="宋体"/>
              <w:spacing w:val="-3"/>
              <w:sz w:val="21"/>
              <w:szCs w:val="21"/>
            </w:rPr>
            <w:t>监理人员</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067DB1D6">
          <w:pPr>
            <w:tabs>
              <w:tab w:val="right" w:leader="dot" w:pos="8312"/>
            </w:tabs>
            <w:spacing w:before="59" w:line="222" w:lineRule="auto"/>
            <w:ind w:left="861"/>
            <w:rPr>
              <w:rFonts w:ascii="宋体" w:hAnsi="宋体" w:eastAsia="宋体" w:cs="宋体"/>
              <w:sz w:val="21"/>
              <w:szCs w:val="21"/>
            </w:rPr>
          </w:pPr>
          <w:r>
            <w:fldChar w:fldCharType="begin"/>
          </w:r>
          <w:r>
            <w:instrText xml:space="preserve"> HYPERLINK \l "bookmark181" </w:instrText>
          </w:r>
          <w:r>
            <w:fldChar w:fldCharType="separate"/>
          </w:r>
          <w:r>
            <w:rPr>
              <w:rFonts w:ascii="宋体" w:hAnsi="宋体" w:eastAsia="宋体" w:cs="宋体"/>
              <w:spacing w:val="-2"/>
              <w:sz w:val="21"/>
              <w:szCs w:val="21"/>
            </w:rPr>
            <w:t>4.3</w:t>
          </w:r>
          <w:r>
            <w:rPr>
              <w:rFonts w:ascii="宋体" w:hAnsi="宋体" w:eastAsia="宋体" w:cs="宋体"/>
              <w:spacing w:val="-41"/>
              <w:sz w:val="21"/>
              <w:szCs w:val="21"/>
            </w:rPr>
            <w:t xml:space="preserve"> </w:t>
          </w:r>
          <w:r>
            <w:rPr>
              <w:rFonts w:ascii="宋体" w:hAnsi="宋体" w:eastAsia="宋体" w:cs="宋体"/>
              <w:spacing w:val="-2"/>
              <w:sz w:val="21"/>
              <w:szCs w:val="21"/>
            </w:rPr>
            <w:t>监理人的指示</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93</w:t>
          </w:r>
          <w:r>
            <w:rPr>
              <w:rFonts w:ascii="宋体" w:hAnsi="宋体" w:eastAsia="宋体" w:cs="宋体"/>
              <w:spacing w:val="-2"/>
              <w:sz w:val="21"/>
              <w:szCs w:val="21"/>
            </w:rPr>
            <w:fldChar w:fldCharType="end"/>
          </w:r>
        </w:p>
        <w:p w14:paraId="24AC46DF">
          <w:pPr>
            <w:tabs>
              <w:tab w:val="right" w:leader="dot" w:pos="8312"/>
            </w:tabs>
            <w:spacing w:before="60" w:line="221" w:lineRule="auto"/>
            <w:ind w:left="861"/>
            <w:rPr>
              <w:rFonts w:ascii="宋体" w:hAnsi="宋体" w:eastAsia="宋体" w:cs="宋体"/>
              <w:sz w:val="21"/>
              <w:szCs w:val="21"/>
            </w:rPr>
          </w:pPr>
          <w:r>
            <w:fldChar w:fldCharType="begin"/>
          </w:r>
          <w:r>
            <w:instrText xml:space="preserve"> HYPERLINK \l "bookmark182" </w:instrText>
          </w:r>
          <w:r>
            <w:fldChar w:fldCharType="separate"/>
          </w:r>
          <w:r>
            <w:rPr>
              <w:rFonts w:ascii="宋体" w:hAnsi="宋体" w:eastAsia="宋体" w:cs="宋体"/>
              <w:spacing w:val="-3"/>
              <w:sz w:val="21"/>
              <w:szCs w:val="21"/>
            </w:rPr>
            <w:t>4.4</w:t>
          </w:r>
          <w:r>
            <w:rPr>
              <w:rFonts w:ascii="宋体" w:hAnsi="宋体" w:eastAsia="宋体" w:cs="宋体"/>
              <w:spacing w:val="19"/>
              <w:sz w:val="21"/>
              <w:szCs w:val="21"/>
            </w:rPr>
            <w:t xml:space="preserve"> </w:t>
          </w:r>
          <w:r>
            <w:rPr>
              <w:rFonts w:ascii="宋体" w:hAnsi="宋体" w:eastAsia="宋体" w:cs="宋体"/>
              <w:spacing w:val="-3"/>
              <w:sz w:val="21"/>
              <w:szCs w:val="21"/>
            </w:rPr>
            <w:t>商定或确定</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94</w:t>
          </w:r>
          <w:r>
            <w:rPr>
              <w:rFonts w:ascii="宋体" w:hAnsi="宋体" w:eastAsia="宋体" w:cs="宋体"/>
              <w:spacing w:val="-2"/>
              <w:sz w:val="21"/>
              <w:szCs w:val="21"/>
            </w:rPr>
            <w:fldChar w:fldCharType="end"/>
          </w:r>
        </w:p>
        <w:p w14:paraId="2B0B677B">
          <w:pPr>
            <w:tabs>
              <w:tab w:val="right" w:leader="dot" w:pos="8312"/>
            </w:tabs>
            <w:spacing w:before="61" w:line="221" w:lineRule="auto"/>
            <w:ind w:left="446"/>
            <w:rPr>
              <w:rFonts w:ascii="宋体" w:hAnsi="宋体" w:eastAsia="宋体" w:cs="宋体"/>
              <w:sz w:val="21"/>
              <w:szCs w:val="21"/>
            </w:rPr>
          </w:pPr>
          <w:r>
            <w:fldChar w:fldCharType="begin"/>
          </w:r>
          <w:r>
            <w:instrText xml:space="preserve"> HYPERLINK \l "bookmark183" </w:instrText>
          </w:r>
          <w:r>
            <w:fldChar w:fldCharType="separate"/>
          </w:r>
          <w:r>
            <w:rPr>
              <w:rFonts w:ascii="宋体" w:hAnsi="宋体" w:eastAsia="宋体" w:cs="宋体"/>
              <w:spacing w:val="-4"/>
              <w:sz w:val="21"/>
              <w:szCs w:val="21"/>
            </w:rPr>
            <w:t>5.</w:t>
          </w:r>
          <w:r>
            <w:rPr>
              <w:rFonts w:ascii="宋体" w:hAnsi="宋体" w:eastAsia="宋体" w:cs="宋体"/>
              <w:spacing w:val="12"/>
              <w:sz w:val="21"/>
              <w:szCs w:val="21"/>
            </w:rPr>
            <w:t xml:space="preserve"> </w:t>
          </w:r>
          <w:r>
            <w:rPr>
              <w:rFonts w:ascii="宋体" w:hAnsi="宋体" w:eastAsia="宋体" w:cs="宋体"/>
              <w:spacing w:val="-4"/>
              <w:sz w:val="21"/>
              <w:szCs w:val="21"/>
            </w:rPr>
            <w:t>工程质量</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94</w:t>
          </w:r>
          <w:r>
            <w:rPr>
              <w:rFonts w:ascii="宋体" w:hAnsi="宋体" w:eastAsia="宋体" w:cs="宋体"/>
              <w:spacing w:val="-2"/>
              <w:sz w:val="21"/>
              <w:szCs w:val="21"/>
            </w:rPr>
            <w:fldChar w:fldCharType="end"/>
          </w:r>
        </w:p>
        <w:p w14:paraId="1F8A5C70">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"bookmark184" </w:instrText>
          </w:r>
          <w:r>
            <w:fldChar w:fldCharType="separate"/>
          </w:r>
          <w:r>
            <w:rPr>
              <w:rFonts w:ascii="宋体" w:hAnsi="宋体" w:eastAsia="宋体" w:cs="宋体"/>
              <w:spacing w:val="-3"/>
              <w:sz w:val="21"/>
              <w:szCs w:val="21"/>
            </w:rPr>
            <w:t>5.1</w:t>
          </w:r>
          <w:r>
            <w:rPr>
              <w:rFonts w:ascii="宋体" w:hAnsi="宋体" w:eastAsia="宋体" w:cs="宋体"/>
              <w:spacing w:val="-43"/>
              <w:sz w:val="21"/>
              <w:szCs w:val="21"/>
            </w:rPr>
            <w:t xml:space="preserve"> </w:t>
          </w:r>
          <w:r>
            <w:rPr>
              <w:rFonts w:ascii="宋体" w:hAnsi="宋体" w:eastAsia="宋体" w:cs="宋体"/>
              <w:spacing w:val="-3"/>
              <w:sz w:val="21"/>
              <w:szCs w:val="21"/>
            </w:rPr>
            <w:t>质量要求</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94</w:t>
          </w:r>
          <w:r>
            <w:rPr>
              <w:rFonts w:ascii="宋体" w:hAnsi="宋体" w:eastAsia="宋体" w:cs="宋体"/>
              <w:spacing w:val="-2"/>
              <w:sz w:val="21"/>
              <w:szCs w:val="21"/>
            </w:rPr>
            <w:fldChar w:fldCharType="end"/>
          </w:r>
        </w:p>
        <w:p w14:paraId="316DCD2C">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"bookmark185" </w:instrText>
          </w:r>
          <w:r>
            <w:fldChar w:fldCharType="separate"/>
          </w:r>
          <w:r>
            <w:rPr>
              <w:rFonts w:ascii="宋体" w:hAnsi="宋体" w:eastAsia="宋体" w:cs="宋体"/>
              <w:spacing w:val="-3"/>
              <w:sz w:val="21"/>
              <w:szCs w:val="21"/>
            </w:rPr>
            <w:t>5.2</w:t>
          </w:r>
          <w:r>
            <w:rPr>
              <w:rFonts w:ascii="宋体" w:hAnsi="宋体" w:eastAsia="宋体" w:cs="宋体"/>
              <w:spacing w:val="-37"/>
              <w:sz w:val="21"/>
              <w:szCs w:val="21"/>
            </w:rPr>
            <w:t xml:space="preserve"> </w:t>
          </w:r>
          <w:r>
            <w:rPr>
              <w:rFonts w:ascii="宋体" w:hAnsi="宋体" w:eastAsia="宋体" w:cs="宋体"/>
              <w:spacing w:val="-3"/>
              <w:sz w:val="21"/>
              <w:szCs w:val="21"/>
            </w:rPr>
            <w:t>质量保证措施</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94</w:t>
          </w:r>
          <w:r>
            <w:rPr>
              <w:rFonts w:ascii="宋体" w:hAnsi="宋体" w:eastAsia="宋体" w:cs="宋体"/>
              <w:spacing w:val="-2"/>
              <w:sz w:val="21"/>
              <w:szCs w:val="21"/>
            </w:rPr>
            <w:fldChar w:fldCharType="end"/>
          </w:r>
        </w:p>
        <w:p w14:paraId="3A7C49CA">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"bookmark186" </w:instrText>
          </w:r>
          <w:r>
            <w:fldChar w:fldCharType="separate"/>
          </w:r>
          <w:r>
            <w:rPr>
              <w:rFonts w:ascii="宋体" w:hAnsi="宋体" w:eastAsia="宋体" w:cs="宋体"/>
              <w:spacing w:val="-4"/>
              <w:sz w:val="21"/>
              <w:szCs w:val="21"/>
            </w:rPr>
            <w:t>5.3</w:t>
          </w:r>
          <w:r>
            <w:rPr>
              <w:rFonts w:ascii="宋体" w:hAnsi="宋体" w:eastAsia="宋体" w:cs="宋体"/>
              <w:spacing w:val="25"/>
              <w:sz w:val="21"/>
              <w:szCs w:val="21"/>
            </w:rPr>
            <w:t xml:space="preserve"> </w:t>
          </w:r>
          <w:r>
            <w:rPr>
              <w:rFonts w:ascii="宋体" w:hAnsi="宋体" w:eastAsia="宋体" w:cs="宋体"/>
              <w:spacing w:val="-4"/>
              <w:sz w:val="21"/>
              <w:szCs w:val="21"/>
            </w:rPr>
            <w:t>隐蔽工程检查</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95</w:t>
          </w:r>
          <w:r>
            <w:rPr>
              <w:rFonts w:ascii="宋体" w:hAnsi="宋体" w:eastAsia="宋体" w:cs="宋体"/>
              <w:spacing w:val="-2"/>
              <w:sz w:val="21"/>
              <w:szCs w:val="21"/>
            </w:rPr>
            <w:fldChar w:fldCharType="end"/>
          </w:r>
        </w:p>
        <w:p w14:paraId="21E7936F">
          <w:pPr>
            <w:tabs>
              <w:tab w:val="right" w:leader="dot" w:pos="8312"/>
            </w:tabs>
            <w:spacing w:before="61" w:line="221" w:lineRule="auto"/>
            <w:ind w:left="866"/>
            <w:rPr>
              <w:rFonts w:ascii="宋体" w:hAnsi="宋体" w:eastAsia="宋体" w:cs="宋体"/>
              <w:sz w:val="21"/>
              <w:szCs w:val="21"/>
            </w:rPr>
          </w:pPr>
          <w:r>
            <w:fldChar w:fldCharType="begin"/>
          </w:r>
          <w:r>
            <w:instrText xml:space="preserve"> HYPERLINK \l "bookmark187" </w:instrText>
          </w:r>
          <w:r>
            <w:fldChar w:fldCharType="separate"/>
          </w:r>
          <w:r>
            <w:rPr>
              <w:rFonts w:ascii="宋体" w:hAnsi="宋体" w:eastAsia="宋体" w:cs="宋体"/>
              <w:spacing w:val="-2"/>
              <w:sz w:val="21"/>
              <w:szCs w:val="21"/>
            </w:rPr>
            <w:t>5.4</w:t>
          </w:r>
          <w:r>
            <w:rPr>
              <w:rFonts w:ascii="宋体" w:hAnsi="宋体" w:eastAsia="宋体" w:cs="宋体"/>
              <w:spacing w:val="-41"/>
              <w:sz w:val="21"/>
              <w:szCs w:val="21"/>
            </w:rPr>
            <w:t xml:space="preserve"> </w:t>
          </w:r>
          <w:r>
            <w:rPr>
              <w:rFonts w:ascii="宋体" w:hAnsi="宋体" w:eastAsia="宋体" w:cs="宋体"/>
              <w:spacing w:val="-2"/>
              <w:sz w:val="21"/>
              <w:szCs w:val="21"/>
            </w:rPr>
            <w:t>不合格工程的处理</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96</w:t>
          </w:r>
          <w:r>
            <w:rPr>
              <w:rFonts w:ascii="宋体" w:hAnsi="宋体" w:eastAsia="宋体" w:cs="宋体"/>
              <w:spacing w:val="-2"/>
              <w:sz w:val="21"/>
              <w:szCs w:val="21"/>
            </w:rPr>
            <w:fldChar w:fldCharType="end"/>
          </w:r>
        </w:p>
        <w:p w14:paraId="7D655760">
          <w:pPr>
            <w:tabs>
              <w:tab w:val="right" w:leader="dot" w:pos="8312"/>
            </w:tabs>
            <w:spacing w:before="60" w:line="221" w:lineRule="auto"/>
            <w:ind w:left="866"/>
            <w:rPr>
              <w:rFonts w:ascii="宋体" w:hAnsi="宋体" w:eastAsia="宋体" w:cs="宋体"/>
              <w:sz w:val="21"/>
              <w:szCs w:val="21"/>
            </w:rPr>
          </w:pPr>
          <w:r>
            <w:fldChar w:fldCharType="begin"/>
          </w:r>
          <w:r>
            <w:instrText xml:space="preserve"> HYPERLINK \l "bookmark188" </w:instrText>
          </w:r>
          <w:r>
            <w:fldChar w:fldCharType="separate"/>
          </w:r>
          <w:r>
            <w:rPr>
              <w:rFonts w:ascii="宋体" w:hAnsi="宋体" w:eastAsia="宋体" w:cs="宋体"/>
              <w:spacing w:val="-1"/>
              <w:sz w:val="21"/>
              <w:szCs w:val="21"/>
            </w:rPr>
            <w:t>5.5 质量争议检测</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96</w:t>
          </w:r>
          <w:r>
            <w:rPr>
              <w:rFonts w:ascii="宋体" w:hAnsi="宋体" w:eastAsia="宋体" w:cs="宋体"/>
              <w:spacing w:val="-2"/>
              <w:sz w:val="21"/>
              <w:szCs w:val="21"/>
            </w:rPr>
            <w:fldChar w:fldCharType="end"/>
          </w:r>
        </w:p>
        <w:p w14:paraId="29FFB810">
          <w:pPr>
            <w:tabs>
              <w:tab w:val="right" w:leader="dot" w:pos="8312"/>
            </w:tabs>
            <w:spacing w:before="61" w:line="221" w:lineRule="auto"/>
            <w:ind w:left="444"/>
            <w:rPr>
              <w:rFonts w:ascii="宋体" w:hAnsi="宋体" w:eastAsia="宋体" w:cs="宋体"/>
              <w:sz w:val="21"/>
              <w:szCs w:val="21"/>
            </w:rPr>
          </w:pPr>
          <w:r>
            <w:fldChar w:fldCharType="begin"/>
          </w:r>
          <w:r>
            <w:instrText xml:space="preserve"> HYPERLINK \l "bookmark189" </w:instrText>
          </w:r>
          <w:r>
            <w:fldChar w:fldCharType="separate"/>
          </w:r>
          <w:r>
            <w:rPr>
              <w:rFonts w:ascii="宋体" w:hAnsi="宋体" w:eastAsia="宋体" w:cs="宋体"/>
              <w:spacing w:val="-1"/>
              <w:sz w:val="21"/>
              <w:szCs w:val="21"/>
            </w:rPr>
            <w:t>6. 安全文明施工与环境保护</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96</w:t>
          </w:r>
          <w:r>
            <w:rPr>
              <w:rFonts w:ascii="宋体" w:hAnsi="宋体" w:eastAsia="宋体" w:cs="宋体"/>
              <w:spacing w:val="-2"/>
              <w:sz w:val="21"/>
              <w:szCs w:val="21"/>
            </w:rPr>
            <w:fldChar w:fldCharType="end"/>
          </w:r>
        </w:p>
        <w:p w14:paraId="37FB02D6">
          <w:pPr>
            <w:tabs>
              <w:tab w:val="right" w:leader="dot" w:pos="8312"/>
            </w:tabs>
            <w:spacing w:before="60" w:line="221" w:lineRule="auto"/>
            <w:ind w:left="864"/>
            <w:rPr>
              <w:rFonts w:ascii="宋体" w:hAnsi="宋体" w:eastAsia="宋体" w:cs="宋体"/>
              <w:sz w:val="21"/>
              <w:szCs w:val="21"/>
            </w:rPr>
          </w:pPr>
          <w:r>
            <w:fldChar w:fldCharType="begin"/>
          </w:r>
          <w:r>
            <w:instrText xml:space="preserve"> HYPERLINK \l "bookmark190" </w:instrText>
          </w:r>
          <w:r>
            <w:fldChar w:fldCharType="separate"/>
          </w:r>
          <w:r>
            <w:rPr>
              <w:rFonts w:ascii="宋体" w:hAnsi="宋体" w:eastAsia="宋体" w:cs="宋体"/>
              <w:spacing w:val="-3"/>
              <w:sz w:val="21"/>
              <w:szCs w:val="21"/>
            </w:rPr>
            <w:t>6.1</w:t>
          </w:r>
          <w:r>
            <w:rPr>
              <w:rFonts w:ascii="宋体" w:hAnsi="宋体" w:eastAsia="宋体" w:cs="宋体"/>
              <w:spacing w:val="-35"/>
              <w:sz w:val="21"/>
              <w:szCs w:val="21"/>
            </w:rPr>
            <w:t xml:space="preserve"> </w:t>
          </w:r>
          <w:r>
            <w:rPr>
              <w:rFonts w:ascii="宋体" w:hAnsi="宋体" w:eastAsia="宋体" w:cs="宋体"/>
              <w:spacing w:val="-3"/>
              <w:sz w:val="21"/>
              <w:szCs w:val="21"/>
            </w:rPr>
            <w:t>安全文明施工</w:t>
          </w:r>
          <w:r>
            <w:rPr>
              <w:rFonts w:ascii="宋体" w:hAnsi="宋体" w:eastAsia="宋体" w:cs="宋体"/>
              <w:spacing w:val="-30"/>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96</w:t>
          </w:r>
          <w:r>
            <w:rPr>
              <w:rFonts w:ascii="宋体" w:hAnsi="宋体" w:eastAsia="宋体" w:cs="宋体"/>
              <w:spacing w:val="-2"/>
              <w:sz w:val="21"/>
              <w:szCs w:val="21"/>
            </w:rPr>
            <w:fldChar w:fldCharType="end"/>
          </w:r>
        </w:p>
        <w:p w14:paraId="30256A5B">
          <w:pPr>
            <w:tabs>
              <w:tab w:val="right" w:leader="dot" w:pos="8312"/>
            </w:tabs>
            <w:spacing w:before="61" w:line="221" w:lineRule="auto"/>
            <w:ind w:left="864"/>
            <w:rPr>
              <w:rFonts w:ascii="宋体" w:hAnsi="宋体" w:eastAsia="宋体" w:cs="宋体"/>
              <w:sz w:val="21"/>
              <w:szCs w:val="21"/>
            </w:rPr>
          </w:pPr>
          <w:r>
            <w:fldChar w:fldCharType="begin"/>
          </w:r>
          <w:r>
            <w:instrText xml:space="preserve"> HYPERLINK \l "bookmark191" </w:instrText>
          </w:r>
          <w:r>
            <w:fldChar w:fldCharType="separate"/>
          </w:r>
          <w:r>
            <w:rPr>
              <w:rFonts w:ascii="宋体" w:hAnsi="宋体" w:eastAsia="宋体" w:cs="宋体"/>
              <w:spacing w:val="-1"/>
              <w:sz w:val="21"/>
              <w:szCs w:val="21"/>
            </w:rPr>
            <w:t>6.2 职业健康</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98</w:t>
          </w:r>
          <w:r>
            <w:rPr>
              <w:rFonts w:ascii="宋体" w:hAnsi="宋体" w:eastAsia="宋体" w:cs="宋体"/>
              <w:spacing w:val="-2"/>
              <w:sz w:val="21"/>
              <w:szCs w:val="21"/>
            </w:rPr>
            <w:fldChar w:fldCharType="end"/>
          </w:r>
        </w:p>
        <w:p w14:paraId="1699F7B0">
          <w:pPr>
            <w:tabs>
              <w:tab w:val="right" w:leader="dot" w:pos="8312"/>
            </w:tabs>
            <w:spacing w:before="62" w:line="221" w:lineRule="auto"/>
            <w:ind w:left="864"/>
            <w:rPr>
              <w:rFonts w:ascii="宋体" w:hAnsi="宋体" w:eastAsia="宋体" w:cs="宋体"/>
              <w:sz w:val="21"/>
              <w:szCs w:val="21"/>
            </w:rPr>
          </w:pPr>
          <w:r>
            <w:fldChar w:fldCharType="begin"/>
          </w:r>
          <w:r>
            <w:instrText xml:space="preserve"> HYPERLINK \l "bookmark192" </w:instrText>
          </w:r>
          <w:r>
            <w:fldChar w:fldCharType="separate"/>
          </w:r>
          <w:r>
            <w:rPr>
              <w:rFonts w:ascii="宋体" w:hAnsi="宋体" w:eastAsia="宋体" w:cs="宋体"/>
              <w:spacing w:val="-1"/>
              <w:sz w:val="21"/>
              <w:szCs w:val="21"/>
            </w:rPr>
            <w:t>6.3 环境保护</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99</w:t>
          </w:r>
          <w:r>
            <w:rPr>
              <w:rFonts w:ascii="宋体" w:hAnsi="宋体" w:eastAsia="宋体" w:cs="宋体"/>
              <w:spacing w:val="-2"/>
              <w:sz w:val="21"/>
              <w:szCs w:val="21"/>
            </w:rPr>
            <w:fldChar w:fldCharType="end"/>
          </w:r>
        </w:p>
        <w:p w14:paraId="694F432C">
          <w:pPr>
            <w:tabs>
              <w:tab w:val="right" w:leader="dot" w:pos="8312"/>
            </w:tabs>
            <w:spacing w:before="61" w:line="221" w:lineRule="auto"/>
            <w:ind w:left="447"/>
            <w:rPr>
              <w:rFonts w:ascii="宋体" w:hAnsi="宋体" w:eastAsia="宋体" w:cs="宋体"/>
              <w:sz w:val="21"/>
              <w:szCs w:val="21"/>
            </w:rPr>
          </w:pPr>
          <w:r>
            <w:fldChar w:fldCharType="begin"/>
          </w:r>
          <w:r>
            <w:instrText xml:space="preserve"> HYPERLINK \l "bookmark193" </w:instrText>
          </w:r>
          <w:r>
            <w:fldChar w:fldCharType="separate"/>
          </w:r>
          <w:r>
            <w:rPr>
              <w:rFonts w:ascii="宋体" w:hAnsi="宋体" w:eastAsia="宋体" w:cs="宋体"/>
              <w:spacing w:val="-4"/>
              <w:sz w:val="21"/>
              <w:szCs w:val="21"/>
            </w:rPr>
            <w:t>7.</w:t>
          </w:r>
          <w:r>
            <w:rPr>
              <w:rFonts w:ascii="宋体" w:hAnsi="宋体" w:eastAsia="宋体" w:cs="宋体"/>
              <w:spacing w:val="16"/>
              <w:sz w:val="21"/>
              <w:szCs w:val="21"/>
            </w:rPr>
            <w:t xml:space="preserve"> </w:t>
          </w:r>
          <w:r>
            <w:rPr>
              <w:rFonts w:ascii="宋体" w:hAnsi="宋体" w:eastAsia="宋体" w:cs="宋体"/>
              <w:spacing w:val="-4"/>
              <w:sz w:val="21"/>
              <w:szCs w:val="21"/>
            </w:rPr>
            <w:t>工期和进度</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99</w:t>
          </w:r>
          <w:r>
            <w:rPr>
              <w:rFonts w:ascii="宋体" w:hAnsi="宋体" w:eastAsia="宋体" w:cs="宋体"/>
              <w:spacing w:val="-2"/>
              <w:sz w:val="21"/>
              <w:szCs w:val="21"/>
            </w:rPr>
            <w:fldChar w:fldCharType="end"/>
          </w:r>
        </w:p>
        <w:p w14:paraId="0E757FBF">
          <w:pPr>
            <w:tabs>
              <w:tab w:val="right" w:leader="dot" w:pos="8312"/>
            </w:tabs>
            <w:spacing w:before="60" w:line="222" w:lineRule="auto"/>
            <w:ind w:left="867"/>
            <w:rPr>
              <w:rFonts w:ascii="宋体" w:hAnsi="宋体" w:eastAsia="宋体" w:cs="宋体"/>
              <w:sz w:val="21"/>
              <w:szCs w:val="21"/>
            </w:rPr>
          </w:pPr>
          <w:r>
            <w:fldChar w:fldCharType="begin"/>
          </w:r>
          <w:r>
            <w:instrText xml:space="preserve"> HYPERLINK \l "bookmark194" </w:instrText>
          </w:r>
          <w:r>
            <w:fldChar w:fldCharType="separate"/>
          </w:r>
          <w:r>
            <w:rPr>
              <w:rFonts w:ascii="宋体" w:hAnsi="宋体" w:eastAsia="宋体" w:cs="宋体"/>
              <w:spacing w:val="-3"/>
              <w:sz w:val="21"/>
              <w:szCs w:val="21"/>
            </w:rPr>
            <w:t>7.1</w:t>
          </w:r>
          <w:r>
            <w:rPr>
              <w:rFonts w:ascii="宋体" w:hAnsi="宋体" w:eastAsia="宋体" w:cs="宋体"/>
              <w:spacing w:val="-38"/>
              <w:sz w:val="21"/>
              <w:szCs w:val="21"/>
            </w:rPr>
            <w:t xml:space="preserve"> </w:t>
          </w:r>
          <w:r>
            <w:rPr>
              <w:rFonts w:ascii="宋体" w:hAnsi="宋体" w:eastAsia="宋体" w:cs="宋体"/>
              <w:spacing w:val="-3"/>
              <w:sz w:val="21"/>
              <w:szCs w:val="21"/>
            </w:rPr>
            <w:t>施工组织设计</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99</w:t>
          </w:r>
          <w:r>
            <w:rPr>
              <w:rFonts w:ascii="宋体" w:hAnsi="宋体" w:eastAsia="宋体" w:cs="宋体"/>
              <w:spacing w:val="-2"/>
              <w:sz w:val="21"/>
              <w:szCs w:val="21"/>
            </w:rPr>
            <w:fldChar w:fldCharType="end"/>
          </w:r>
        </w:p>
        <w:p w14:paraId="34049212">
          <w:pPr>
            <w:tabs>
              <w:tab w:val="right" w:leader="dot" w:pos="8312"/>
            </w:tabs>
            <w:spacing w:before="60" w:line="221" w:lineRule="auto"/>
            <w:ind w:left="867"/>
            <w:rPr>
              <w:rFonts w:ascii="宋体" w:hAnsi="宋体" w:eastAsia="宋体" w:cs="宋体"/>
              <w:sz w:val="21"/>
              <w:szCs w:val="21"/>
            </w:rPr>
          </w:pPr>
          <w:r>
            <w:fldChar w:fldCharType="begin"/>
          </w:r>
          <w:r>
            <w:instrText xml:space="preserve"> HYPERLINK \l "bookmark195" </w:instrText>
          </w:r>
          <w:r>
            <w:fldChar w:fldCharType="separate"/>
          </w:r>
          <w:r>
            <w:rPr>
              <w:rFonts w:ascii="宋体" w:hAnsi="宋体" w:eastAsia="宋体" w:cs="宋体"/>
              <w:spacing w:val="-2"/>
              <w:sz w:val="21"/>
              <w:szCs w:val="21"/>
            </w:rPr>
            <w:t>7.2 施工进度计划</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31"/>
              <w:sz w:val="21"/>
              <w:szCs w:val="21"/>
            </w:rPr>
            <w:t xml:space="preserve"> </w:t>
          </w:r>
          <w:r>
            <w:rPr>
              <w:rFonts w:ascii="宋体" w:hAnsi="宋体" w:eastAsia="宋体" w:cs="宋体"/>
              <w:spacing w:val="-2"/>
              <w:sz w:val="21"/>
              <w:szCs w:val="21"/>
            </w:rPr>
            <w:t>99</w:t>
          </w:r>
          <w:r>
            <w:rPr>
              <w:rFonts w:ascii="宋体" w:hAnsi="宋体" w:eastAsia="宋体" w:cs="宋体"/>
              <w:spacing w:val="-2"/>
              <w:sz w:val="21"/>
              <w:szCs w:val="21"/>
            </w:rPr>
            <w:fldChar w:fldCharType="end"/>
          </w:r>
        </w:p>
        <w:p w14:paraId="76E647A1">
          <w:pPr>
            <w:tabs>
              <w:tab w:val="right" w:leader="dot" w:pos="8315"/>
            </w:tabs>
            <w:spacing w:before="60" w:line="222" w:lineRule="auto"/>
            <w:ind w:left="867"/>
            <w:rPr>
              <w:rFonts w:ascii="宋体" w:hAnsi="宋体" w:eastAsia="宋体" w:cs="宋体"/>
              <w:sz w:val="21"/>
              <w:szCs w:val="21"/>
            </w:rPr>
          </w:pPr>
          <w:r>
            <w:fldChar w:fldCharType="begin"/>
          </w:r>
          <w:r>
            <w:instrText xml:space="preserve"> HYPERLINK \l "bookmark196" </w:instrText>
          </w:r>
          <w:r>
            <w:fldChar w:fldCharType="separate"/>
          </w:r>
          <w:r>
            <w:rPr>
              <w:rFonts w:ascii="宋体" w:hAnsi="宋体" w:eastAsia="宋体" w:cs="宋体"/>
              <w:spacing w:val="-5"/>
              <w:sz w:val="21"/>
              <w:szCs w:val="21"/>
            </w:rPr>
            <w:t>7.3</w:t>
          </w:r>
          <w:r>
            <w:rPr>
              <w:rFonts w:ascii="宋体" w:hAnsi="宋体" w:eastAsia="宋体" w:cs="宋体"/>
              <w:spacing w:val="13"/>
              <w:sz w:val="21"/>
              <w:szCs w:val="21"/>
            </w:rPr>
            <w:t xml:space="preserve"> </w:t>
          </w:r>
          <w:r>
            <w:rPr>
              <w:rFonts w:ascii="宋体" w:hAnsi="宋体" w:eastAsia="宋体" w:cs="宋体"/>
              <w:spacing w:val="-5"/>
              <w:sz w:val="21"/>
              <w:szCs w:val="21"/>
            </w:rPr>
            <w:t>开工</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100</w:t>
          </w:r>
          <w:r>
            <w:rPr>
              <w:rFonts w:ascii="宋体" w:hAnsi="宋体" w:eastAsia="宋体" w:cs="宋体"/>
              <w:spacing w:val="-5"/>
              <w:sz w:val="21"/>
              <w:szCs w:val="21"/>
            </w:rPr>
            <w:fldChar w:fldCharType="end"/>
          </w:r>
        </w:p>
        <w:p w14:paraId="45455EE1">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"bookmark197" </w:instrText>
          </w:r>
          <w:r>
            <w:fldChar w:fldCharType="separate"/>
          </w:r>
          <w:r>
            <w:rPr>
              <w:rFonts w:ascii="宋体" w:hAnsi="宋体" w:eastAsia="宋体" w:cs="宋体"/>
              <w:spacing w:val="-3"/>
              <w:sz w:val="21"/>
              <w:szCs w:val="21"/>
            </w:rPr>
            <w:t>7.4</w:t>
          </w:r>
          <w:r>
            <w:rPr>
              <w:rFonts w:ascii="宋体" w:hAnsi="宋体" w:eastAsia="宋体" w:cs="宋体"/>
              <w:spacing w:val="-44"/>
              <w:sz w:val="21"/>
              <w:szCs w:val="21"/>
            </w:rPr>
            <w:t xml:space="preserve"> </w:t>
          </w:r>
          <w:r>
            <w:rPr>
              <w:rFonts w:ascii="宋体" w:hAnsi="宋体" w:eastAsia="宋体" w:cs="宋体"/>
              <w:spacing w:val="-3"/>
              <w:sz w:val="21"/>
              <w:szCs w:val="21"/>
            </w:rPr>
            <w:t>测量放线</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100</w:t>
          </w:r>
          <w:r>
            <w:rPr>
              <w:rFonts w:ascii="宋体" w:hAnsi="宋体" w:eastAsia="宋体" w:cs="宋体"/>
              <w:spacing w:val="-5"/>
              <w:sz w:val="21"/>
              <w:szCs w:val="21"/>
            </w:rPr>
            <w:fldChar w:fldCharType="end"/>
          </w:r>
        </w:p>
        <w:p w14:paraId="6DB17267">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"bookmark198" </w:instrText>
          </w:r>
          <w:r>
            <w:fldChar w:fldCharType="separate"/>
          </w:r>
          <w:r>
            <w:rPr>
              <w:rFonts w:ascii="宋体" w:hAnsi="宋体" w:eastAsia="宋体" w:cs="宋体"/>
              <w:spacing w:val="-4"/>
              <w:sz w:val="21"/>
              <w:szCs w:val="21"/>
            </w:rPr>
            <w:t>7.5</w:t>
          </w:r>
          <w:r>
            <w:rPr>
              <w:rFonts w:ascii="宋体" w:hAnsi="宋体" w:eastAsia="宋体" w:cs="宋体"/>
              <w:spacing w:val="16"/>
              <w:sz w:val="21"/>
              <w:szCs w:val="21"/>
            </w:rPr>
            <w:t xml:space="preserve"> </w:t>
          </w:r>
          <w:r>
            <w:rPr>
              <w:rFonts w:ascii="宋体" w:hAnsi="宋体" w:eastAsia="宋体" w:cs="宋体"/>
              <w:spacing w:val="-4"/>
              <w:sz w:val="21"/>
              <w:szCs w:val="21"/>
            </w:rPr>
            <w:t>工期延误</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100</w:t>
          </w:r>
          <w:r>
            <w:rPr>
              <w:rFonts w:ascii="宋体" w:hAnsi="宋体" w:eastAsia="宋体" w:cs="宋体"/>
              <w:spacing w:val="-5"/>
              <w:sz w:val="21"/>
              <w:szCs w:val="21"/>
            </w:rPr>
            <w:fldChar w:fldCharType="end"/>
          </w:r>
        </w:p>
        <w:p w14:paraId="1FA4D12B">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"bookmark199" </w:instrText>
          </w:r>
          <w:r>
            <w:fldChar w:fldCharType="separate"/>
          </w:r>
          <w:r>
            <w:rPr>
              <w:rFonts w:ascii="宋体" w:hAnsi="宋体" w:eastAsia="宋体" w:cs="宋体"/>
              <w:spacing w:val="-2"/>
              <w:sz w:val="21"/>
              <w:szCs w:val="21"/>
            </w:rPr>
            <w:t>7.6 不利物质条件</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101</w:t>
          </w:r>
          <w:r>
            <w:rPr>
              <w:rFonts w:ascii="宋体" w:hAnsi="宋体" w:eastAsia="宋体" w:cs="宋体"/>
              <w:spacing w:val="-5"/>
              <w:sz w:val="21"/>
              <w:szCs w:val="21"/>
            </w:rPr>
            <w:fldChar w:fldCharType="end"/>
          </w:r>
        </w:p>
        <w:p w14:paraId="6D4E0CF9">
          <w:pPr>
            <w:tabs>
              <w:tab w:val="right" w:leader="dot" w:pos="8315"/>
            </w:tabs>
            <w:spacing w:before="61" w:line="221" w:lineRule="auto"/>
            <w:ind w:left="867"/>
            <w:rPr>
              <w:rFonts w:ascii="宋体" w:hAnsi="宋体" w:eastAsia="宋体" w:cs="宋体"/>
              <w:sz w:val="21"/>
              <w:szCs w:val="21"/>
            </w:rPr>
          </w:pPr>
          <w:r>
            <w:fldChar w:fldCharType="begin"/>
          </w:r>
          <w:r>
            <w:instrText xml:space="preserve"> HYPERLINK \l "bookmark200" </w:instrText>
          </w:r>
          <w:r>
            <w:fldChar w:fldCharType="separate"/>
          </w:r>
          <w:r>
            <w:rPr>
              <w:rFonts w:ascii="宋体" w:hAnsi="宋体" w:eastAsia="宋体" w:cs="宋体"/>
              <w:spacing w:val="-1"/>
              <w:sz w:val="21"/>
              <w:szCs w:val="21"/>
            </w:rPr>
            <w:t>7.7 异常恶劣的气候条件</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101</w:t>
          </w:r>
          <w:r>
            <w:rPr>
              <w:rFonts w:ascii="宋体" w:hAnsi="宋体" w:eastAsia="宋体" w:cs="宋体"/>
              <w:spacing w:val="-5"/>
              <w:sz w:val="21"/>
              <w:szCs w:val="21"/>
            </w:rPr>
            <w:fldChar w:fldCharType="end"/>
          </w:r>
        </w:p>
        <w:p w14:paraId="489BC100">
          <w:pPr>
            <w:tabs>
              <w:tab w:val="right" w:leader="dot" w:pos="8315"/>
            </w:tabs>
            <w:spacing w:before="61" w:line="221" w:lineRule="auto"/>
            <w:ind w:left="867"/>
            <w:rPr>
              <w:rFonts w:ascii="宋体" w:hAnsi="宋体" w:eastAsia="宋体" w:cs="宋体"/>
              <w:sz w:val="21"/>
              <w:szCs w:val="21"/>
            </w:rPr>
          </w:pPr>
          <w:r>
            <w:fldChar w:fldCharType="begin"/>
          </w:r>
          <w:r>
            <w:instrText xml:space="preserve"> HYPERLINK \l "bookmark201" </w:instrText>
          </w:r>
          <w:r>
            <w:fldChar w:fldCharType="separate"/>
          </w:r>
          <w:r>
            <w:rPr>
              <w:rFonts w:ascii="宋体" w:hAnsi="宋体" w:eastAsia="宋体" w:cs="宋体"/>
              <w:spacing w:val="-4"/>
              <w:sz w:val="21"/>
              <w:szCs w:val="21"/>
            </w:rPr>
            <w:t>7.8</w:t>
          </w:r>
          <w:r>
            <w:rPr>
              <w:rFonts w:ascii="宋体" w:hAnsi="宋体" w:eastAsia="宋体" w:cs="宋体"/>
              <w:spacing w:val="16"/>
              <w:sz w:val="21"/>
              <w:szCs w:val="21"/>
            </w:rPr>
            <w:t xml:space="preserve"> </w:t>
          </w:r>
          <w:r>
            <w:rPr>
              <w:rFonts w:ascii="宋体" w:hAnsi="宋体" w:eastAsia="宋体" w:cs="宋体"/>
              <w:spacing w:val="-4"/>
              <w:sz w:val="21"/>
              <w:szCs w:val="21"/>
            </w:rPr>
            <w:t>暂停施工</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101</w:t>
          </w:r>
          <w:r>
            <w:rPr>
              <w:rFonts w:ascii="宋体" w:hAnsi="宋体" w:eastAsia="宋体" w:cs="宋体"/>
              <w:spacing w:val="-5"/>
              <w:sz w:val="21"/>
              <w:szCs w:val="21"/>
            </w:rPr>
            <w:fldChar w:fldCharType="end"/>
          </w:r>
        </w:p>
        <w:p w14:paraId="226E6A93">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"bookmark202" </w:instrText>
          </w:r>
          <w:r>
            <w:fldChar w:fldCharType="separate"/>
          </w:r>
          <w:r>
            <w:rPr>
              <w:rFonts w:ascii="宋体" w:hAnsi="宋体" w:eastAsia="宋体" w:cs="宋体"/>
              <w:spacing w:val="-3"/>
              <w:sz w:val="21"/>
              <w:szCs w:val="21"/>
            </w:rPr>
            <w:t>7.9</w:t>
          </w:r>
          <w:r>
            <w:rPr>
              <w:rFonts w:ascii="宋体" w:hAnsi="宋体" w:eastAsia="宋体" w:cs="宋体"/>
              <w:spacing w:val="-44"/>
              <w:sz w:val="21"/>
              <w:szCs w:val="21"/>
            </w:rPr>
            <w:t xml:space="preserve"> </w:t>
          </w:r>
          <w:r>
            <w:rPr>
              <w:rFonts w:ascii="宋体" w:hAnsi="宋体" w:eastAsia="宋体" w:cs="宋体"/>
              <w:spacing w:val="-3"/>
              <w:sz w:val="21"/>
              <w:szCs w:val="21"/>
            </w:rPr>
            <w:t>提前竣工</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103</w:t>
          </w:r>
          <w:r>
            <w:rPr>
              <w:rFonts w:ascii="宋体" w:hAnsi="宋体" w:eastAsia="宋体" w:cs="宋体"/>
              <w:spacing w:val="-5"/>
              <w:sz w:val="21"/>
              <w:szCs w:val="21"/>
            </w:rPr>
            <w:fldChar w:fldCharType="end"/>
          </w:r>
        </w:p>
        <w:p w14:paraId="6B8D024A">
          <w:pPr>
            <w:tabs>
              <w:tab w:val="right" w:leader="dot" w:pos="8315"/>
            </w:tabs>
            <w:spacing w:before="61" w:line="220" w:lineRule="auto"/>
            <w:ind w:left="443"/>
            <w:rPr>
              <w:rFonts w:ascii="宋体" w:hAnsi="宋体" w:eastAsia="宋体" w:cs="宋体"/>
              <w:sz w:val="21"/>
              <w:szCs w:val="21"/>
            </w:rPr>
          </w:pPr>
          <w:r>
            <w:fldChar w:fldCharType="begin"/>
          </w:r>
          <w:r>
            <w:instrText xml:space="preserve"> HYPERLINK \l "bookmark203" </w:instrText>
          </w:r>
          <w:r>
            <w:fldChar w:fldCharType="separate"/>
          </w:r>
          <w:r>
            <w:rPr>
              <w:rFonts w:ascii="宋体" w:hAnsi="宋体" w:eastAsia="宋体" w:cs="宋体"/>
              <w:spacing w:val="-1"/>
              <w:sz w:val="21"/>
              <w:szCs w:val="21"/>
            </w:rPr>
            <w:t>8. 材料与设备</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103</w:t>
          </w:r>
          <w:r>
            <w:rPr>
              <w:rFonts w:ascii="宋体" w:hAnsi="宋体" w:eastAsia="宋体" w:cs="宋体"/>
              <w:spacing w:val="-5"/>
              <w:sz w:val="21"/>
              <w:szCs w:val="21"/>
            </w:rPr>
            <w:fldChar w:fldCharType="end"/>
          </w:r>
        </w:p>
        <w:p w14:paraId="61F94957">
          <w:pPr>
            <w:tabs>
              <w:tab w:val="right" w:leader="dot" w:pos="8315"/>
            </w:tabs>
            <w:spacing w:before="62" w:line="220" w:lineRule="auto"/>
            <w:ind w:left="863"/>
            <w:rPr>
              <w:rFonts w:ascii="宋体" w:hAnsi="宋体" w:eastAsia="宋体" w:cs="宋体"/>
              <w:sz w:val="21"/>
              <w:szCs w:val="21"/>
            </w:rPr>
          </w:pPr>
          <w:r>
            <w:fldChar w:fldCharType="begin"/>
          </w:r>
          <w:r>
            <w:instrText xml:space="preserve"> HYPERLINK \l "bookmark204" </w:instrText>
          </w:r>
          <w:r>
            <w:fldChar w:fldCharType="separate"/>
          </w:r>
          <w:r>
            <w:rPr>
              <w:rFonts w:ascii="宋体" w:hAnsi="宋体" w:eastAsia="宋体" w:cs="宋体"/>
              <w:spacing w:val="-2"/>
              <w:sz w:val="21"/>
              <w:szCs w:val="21"/>
            </w:rPr>
            <w:t>8.1</w:t>
          </w:r>
          <w:r>
            <w:rPr>
              <w:rFonts w:ascii="宋体" w:hAnsi="宋体" w:eastAsia="宋体" w:cs="宋体"/>
              <w:spacing w:val="-28"/>
              <w:sz w:val="21"/>
              <w:szCs w:val="21"/>
            </w:rPr>
            <w:t xml:space="preserve"> </w:t>
          </w:r>
          <w:r>
            <w:rPr>
              <w:rFonts w:ascii="宋体" w:hAnsi="宋体" w:eastAsia="宋体" w:cs="宋体"/>
              <w:spacing w:val="-2"/>
              <w:sz w:val="21"/>
              <w:szCs w:val="21"/>
            </w:rPr>
            <w:t>发包人供应材料与工程设备</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103</w:t>
          </w:r>
          <w:r>
            <w:rPr>
              <w:rFonts w:ascii="宋体" w:hAnsi="宋体" w:eastAsia="宋体" w:cs="宋体"/>
              <w:spacing w:val="-5"/>
              <w:sz w:val="21"/>
              <w:szCs w:val="21"/>
            </w:rPr>
            <w:fldChar w:fldCharType="end"/>
          </w:r>
        </w:p>
        <w:p w14:paraId="02AAA60D">
          <w:pPr>
            <w:tabs>
              <w:tab w:val="right" w:leader="dot" w:pos="8315"/>
            </w:tabs>
            <w:spacing w:before="62" w:line="220" w:lineRule="auto"/>
            <w:ind w:left="863"/>
            <w:rPr>
              <w:rFonts w:ascii="宋体" w:hAnsi="宋体" w:eastAsia="宋体" w:cs="宋体"/>
              <w:sz w:val="21"/>
              <w:szCs w:val="21"/>
            </w:rPr>
          </w:pPr>
          <w:r>
            <w:fldChar w:fldCharType="begin"/>
          </w:r>
          <w:r>
            <w:instrText xml:space="preserve"> HYPERLINK \l "bookmark205" </w:instrText>
          </w:r>
          <w:r>
            <w:fldChar w:fldCharType="separate"/>
          </w:r>
          <w:r>
            <w:rPr>
              <w:rFonts w:ascii="宋体" w:hAnsi="宋体" w:eastAsia="宋体" w:cs="宋体"/>
              <w:spacing w:val="-1"/>
              <w:sz w:val="21"/>
              <w:szCs w:val="21"/>
            </w:rPr>
            <w:t>8.2</w:t>
          </w:r>
          <w:r>
            <w:rPr>
              <w:rFonts w:ascii="宋体" w:hAnsi="宋体" w:eastAsia="宋体" w:cs="宋体"/>
              <w:spacing w:val="-43"/>
              <w:sz w:val="21"/>
              <w:szCs w:val="21"/>
            </w:rPr>
            <w:t xml:space="preserve"> </w:t>
          </w:r>
          <w:r>
            <w:rPr>
              <w:rFonts w:ascii="宋体" w:hAnsi="宋体" w:eastAsia="宋体" w:cs="宋体"/>
              <w:spacing w:val="-1"/>
              <w:sz w:val="21"/>
              <w:szCs w:val="21"/>
            </w:rPr>
            <w:t>承包人采购材料与工程设备</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103</w:t>
          </w:r>
          <w:r>
            <w:rPr>
              <w:rFonts w:ascii="宋体" w:hAnsi="宋体" w:eastAsia="宋体" w:cs="宋体"/>
              <w:spacing w:val="-5"/>
              <w:sz w:val="21"/>
              <w:szCs w:val="21"/>
            </w:rPr>
            <w:fldChar w:fldCharType="end"/>
          </w:r>
        </w:p>
        <w:p w14:paraId="135AAD58">
          <w:pPr>
            <w:tabs>
              <w:tab w:val="right" w:leader="dot" w:pos="8315"/>
            </w:tabs>
            <w:spacing w:before="62" w:line="220" w:lineRule="auto"/>
            <w:ind w:left="863"/>
            <w:rPr>
              <w:rFonts w:ascii="宋体" w:hAnsi="宋体" w:eastAsia="宋体" w:cs="宋体"/>
              <w:sz w:val="21"/>
              <w:szCs w:val="21"/>
            </w:rPr>
          </w:pPr>
          <w:r>
            <w:fldChar w:fldCharType="begin"/>
          </w:r>
          <w:r>
            <w:instrText xml:space="preserve"> HYPERLINK \l "bookmark206" </w:instrText>
          </w:r>
          <w:r>
            <w:fldChar w:fldCharType="separate"/>
          </w:r>
          <w:r>
            <w:rPr>
              <w:rFonts w:ascii="宋体" w:hAnsi="宋体" w:eastAsia="宋体" w:cs="宋体"/>
              <w:spacing w:val="-1"/>
              <w:sz w:val="21"/>
              <w:szCs w:val="21"/>
            </w:rPr>
            <w:t>8.3</w:t>
          </w:r>
          <w:r>
            <w:rPr>
              <w:rFonts w:ascii="宋体" w:hAnsi="宋体" w:eastAsia="宋体" w:cs="宋体"/>
              <w:spacing w:val="-43"/>
              <w:sz w:val="21"/>
              <w:szCs w:val="21"/>
            </w:rPr>
            <w:t xml:space="preserve"> </w:t>
          </w:r>
          <w:r>
            <w:rPr>
              <w:rFonts w:ascii="宋体" w:hAnsi="宋体" w:eastAsia="宋体" w:cs="宋体"/>
              <w:spacing w:val="-1"/>
              <w:sz w:val="21"/>
              <w:szCs w:val="21"/>
            </w:rPr>
            <w:t>材料与工程设备的接收与拒收</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103</w:t>
          </w:r>
          <w:r>
            <w:rPr>
              <w:rFonts w:ascii="宋体" w:hAnsi="宋体" w:eastAsia="宋体" w:cs="宋体"/>
              <w:spacing w:val="-5"/>
              <w:sz w:val="21"/>
              <w:szCs w:val="21"/>
            </w:rPr>
            <w:fldChar w:fldCharType="end"/>
          </w:r>
        </w:p>
        <w:p w14:paraId="4DA97EC0">
          <w:pPr>
            <w:tabs>
              <w:tab w:val="right" w:leader="dot" w:pos="8315"/>
            </w:tabs>
            <w:spacing w:before="61" w:line="220" w:lineRule="auto"/>
            <w:ind w:left="863"/>
            <w:rPr>
              <w:rFonts w:ascii="宋体" w:hAnsi="宋体" w:eastAsia="宋体" w:cs="宋体"/>
              <w:sz w:val="21"/>
              <w:szCs w:val="21"/>
            </w:rPr>
          </w:pPr>
          <w:r>
            <w:fldChar w:fldCharType="begin"/>
          </w:r>
          <w:r>
            <w:instrText xml:space="preserve"> HYPERLINK \l "bookmark207" </w:instrText>
          </w:r>
          <w:r>
            <w:fldChar w:fldCharType="separate"/>
          </w:r>
          <w:r>
            <w:rPr>
              <w:rFonts w:ascii="宋体" w:hAnsi="宋体" w:eastAsia="宋体" w:cs="宋体"/>
              <w:spacing w:val="-1"/>
              <w:sz w:val="21"/>
              <w:szCs w:val="21"/>
            </w:rPr>
            <w:t>8.4</w:t>
          </w:r>
          <w:r>
            <w:rPr>
              <w:rFonts w:ascii="宋体" w:hAnsi="宋体" w:eastAsia="宋体" w:cs="宋体"/>
              <w:spacing w:val="-43"/>
              <w:sz w:val="21"/>
              <w:szCs w:val="21"/>
            </w:rPr>
            <w:t xml:space="preserve"> </w:t>
          </w:r>
          <w:r>
            <w:rPr>
              <w:rFonts w:ascii="宋体" w:hAnsi="宋体" w:eastAsia="宋体" w:cs="宋体"/>
              <w:spacing w:val="-1"/>
              <w:sz w:val="21"/>
              <w:szCs w:val="21"/>
            </w:rPr>
            <w:t>材料与工程设备的保管与使用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104</w:t>
          </w:r>
          <w:r>
            <w:rPr>
              <w:rFonts w:ascii="宋体" w:hAnsi="宋体" w:eastAsia="宋体" w:cs="宋体"/>
              <w:spacing w:val="-5"/>
              <w:sz w:val="21"/>
              <w:szCs w:val="21"/>
            </w:rPr>
            <w:fldChar w:fldCharType="end"/>
          </w:r>
        </w:p>
        <w:p w14:paraId="310C0BB5">
          <w:pPr>
            <w:tabs>
              <w:tab w:val="right" w:leader="dot" w:pos="8315"/>
            </w:tabs>
            <w:spacing w:before="62" w:line="220" w:lineRule="auto"/>
            <w:ind w:left="863"/>
            <w:rPr>
              <w:rFonts w:ascii="宋体" w:hAnsi="宋体" w:eastAsia="宋体" w:cs="宋体"/>
              <w:sz w:val="21"/>
              <w:szCs w:val="21"/>
            </w:rPr>
          </w:pPr>
          <w:r>
            <w:fldChar w:fldCharType="begin"/>
          </w:r>
          <w:r>
            <w:instrText xml:space="preserve"> HYPERLINK \l "bookmark208" </w:instrText>
          </w:r>
          <w:r>
            <w:fldChar w:fldCharType="separate"/>
          </w:r>
          <w:r>
            <w:rPr>
              <w:rFonts w:ascii="宋体" w:hAnsi="宋体" w:eastAsia="宋体" w:cs="宋体"/>
              <w:spacing w:val="-1"/>
              <w:sz w:val="21"/>
              <w:szCs w:val="21"/>
            </w:rPr>
            <w:t>8.5</w:t>
          </w:r>
          <w:r>
            <w:rPr>
              <w:rFonts w:ascii="宋体" w:hAnsi="宋体" w:eastAsia="宋体" w:cs="宋体"/>
              <w:spacing w:val="-41"/>
              <w:sz w:val="21"/>
              <w:szCs w:val="21"/>
            </w:rPr>
            <w:t xml:space="preserve"> </w:t>
          </w:r>
          <w:r>
            <w:rPr>
              <w:rFonts w:ascii="宋体" w:hAnsi="宋体" w:eastAsia="宋体" w:cs="宋体"/>
              <w:spacing w:val="-1"/>
              <w:sz w:val="21"/>
              <w:szCs w:val="21"/>
            </w:rPr>
            <w:t>禁止使用不合格的材料和工程设备</w:t>
          </w:r>
          <w:r>
            <w:rPr>
              <w:rFonts w:ascii="宋体" w:hAnsi="宋体" w:eastAsia="宋体" w:cs="宋体"/>
              <w:spacing w:val="-22"/>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104</w:t>
          </w:r>
          <w:r>
            <w:rPr>
              <w:rFonts w:ascii="宋体" w:hAnsi="宋体" w:eastAsia="宋体" w:cs="宋体"/>
              <w:spacing w:val="-5"/>
              <w:sz w:val="21"/>
              <w:szCs w:val="21"/>
            </w:rPr>
            <w:fldChar w:fldCharType="end"/>
          </w:r>
        </w:p>
        <w:p w14:paraId="070545A1">
          <w:pPr>
            <w:tabs>
              <w:tab w:val="right" w:leader="dot" w:pos="8315"/>
            </w:tabs>
            <w:spacing w:before="62" w:line="221" w:lineRule="auto"/>
            <w:ind w:left="863"/>
            <w:rPr>
              <w:rFonts w:ascii="宋体" w:hAnsi="宋体" w:eastAsia="宋体" w:cs="宋体"/>
              <w:sz w:val="21"/>
              <w:szCs w:val="21"/>
            </w:rPr>
          </w:pPr>
          <w:r>
            <w:fldChar w:fldCharType="begin"/>
          </w:r>
          <w:r>
            <w:instrText xml:space="preserve"> HYPERLINK \l "bookmark209" </w:instrText>
          </w:r>
          <w:r>
            <w:fldChar w:fldCharType="separate"/>
          </w:r>
          <w:r>
            <w:rPr>
              <w:rFonts w:ascii="宋体" w:hAnsi="宋体" w:eastAsia="宋体" w:cs="宋体"/>
              <w:spacing w:val="-3"/>
              <w:sz w:val="21"/>
              <w:szCs w:val="21"/>
            </w:rPr>
            <w:t>8.6</w:t>
          </w:r>
          <w:r>
            <w:rPr>
              <w:rFonts w:ascii="宋体" w:hAnsi="宋体" w:eastAsia="宋体" w:cs="宋体"/>
              <w:spacing w:val="7"/>
              <w:sz w:val="21"/>
              <w:szCs w:val="21"/>
            </w:rPr>
            <w:t xml:space="preserve"> </w:t>
          </w:r>
          <w:r>
            <w:rPr>
              <w:rFonts w:ascii="宋体" w:hAnsi="宋体" w:eastAsia="宋体" w:cs="宋体"/>
              <w:spacing w:val="-3"/>
              <w:sz w:val="21"/>
              <w:szCs w:val="21"/>
            </w:rPr>
            <w:t>样品</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104</w:t>
          </w:r>
          <w:r>
            <w:rPr>
              <w:rFonts w:ascii="宋体" w:hAnsi="宋体" w:eastAsia="宋体" w:cs="宋体"/>
              <w:spacing w:val="-5"/>
              <w:sz w:val="21"/>
              <w:szCs w:val="21"/>
            </w:rPr>
            <w:fldChar w:fldCharType="end"/>
          </w:r>
        </w:p>
        <w:p w14:paraId="495C7532">
          <w:pPr>
            <w:tabs>
              <w:tab w:val="right" w:leader="dot" w:pos="8315"/>
            </w:tabs>
            <w:spacing w:before="61" w:line="220" w:lineRule="auto"/>
            <w:ind w:left="863"/>
            <w:rPr>
              <w:rFonts w:ascii="宋体" w:hAnsi="宋体" w:eastAsia="宋体" w:cs="宋体"/>
              <w:sz w:val="21"/>
              <w:szCs w:val="21"/>
            </w:rPr>
          </w:pPr>
          <w:r>
            <w:fldChar w:fldCharType="begin"/>
          </w:r>
          <w:r>
            <w:instrText xml:space="preserve"> HYPERLINK \l "bookmark210" </w:instrText>
          </w:r>
          <w:r>
            <w:fldChar w:fldCharType="separate"/>
          </w:r>
          <w:r>
            <w:rPr>
              <w:rFonts w:ascii="宋体" w:hAnsi="宋体" w:eastAsia="宋体" w:cs="宋体"/>
              <w:spacing w:val="-2"/>
              <w:sz w:val="21"/>
              <w:szCs w:val="21"/>
            </w:rPr>
            <w:t>8.7</w:t>
          </w:r>
          <w:r>
            <w:rPr>
              <w:rFonts w:ascii="宋体" w:hAnsi="宋体" w:eastAsia="宋体" w:cs="宋体"/>
              <w:spacing w:val="-35"/>
              <w:sz w:val="21"/>
              <w:szCs w:val="21"/>
            </w:rPr>
            <w:t xml:space="preserve"> </w:t>
          </w:r>
          <w:r>
            <w:rPr>
              <w:rFonts w:ascii="宋体" w:hAnsi="宋体" w:eastAsia="宋体" w:cs="宋体"/>
              <w:spacing w:val="-2"/>
              <w:sz w:val="21"/>
              <w:szCs w:val="21"/>
            </w:rPr>
            <w:t>材料与工程设备的替代</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105</w:t>
          </w:r>
          <w:r>
            <w:rPr>
              <w:rFonts w:ascii="宋体" w:hAnsi="宋体" w:eastAsia="宋体" w:cs="宋体"/>
              <w:spacing w:val="-5"/>
              <w:sz w:val="21"/>
              <w:szCs w:val="21"/>
            </w:rPr>
            <w:fldChar w:fldCharType="end"/>
          </w:r>
        </w:p>
        <w:p w14:paraId="3802CCAA">
          <w:pPr>
            <w:tabs>
              <w:tab w:val="right" w:leader="dot" w:pos="8315"/>
            </w:tabs>
            <w:spacing w:before="61" w:line="221" w:lineRule="auto"/>
            <w:ind w:left="863"/>
            <w:rPr>
              <w:rFonts w:ascii="宋体" w:hAnsi="宋体" w:eastAsia="宋体" w:cs="宋体"/>
              <w:sz w:val="21"/>
              <w:szCs w:val="21"/>
            </w:rPr>
          </w:pPr>
          <w:r>
            <w:fldChar w:fldCharType="begin"/>
          </w:r>
          <w:r>
            <w:instrText xml:space="preserve"> HYPERLINK \l "bookmark211" </w:instrText>
          </w:r>
          <w:r>
            <w:fldChar w:fldCharType="separate"/>
          </w:r>
          <w:r>
            <w:rPr>
              <w:rFonts w:ascii="宋体" w:hAnsi="宋体" w:eastAsia="宋体" w:cs="宋体"/>
              <w:spacing w:val="-2"/>
              <w:sz w:val="21"/>
              <w:szCs w:val="21"/>
            </w:rPr>
            <w:t>8.8</w:t>
          </w:r>
          <w:r>
            <w:rPr>
              <w:rFonts w:ascii="宋体" w:hAnsi="宋体" w:eastAsia="宋体" w:cs="宋体"/>
              <w:spacing w:val="-35"/>
              <w:sz w:val="21"/>
              <w:szCs w:val="21"/>
            </w:rPr>
            <w:t xml:space="preserve"> </w:t>
          </w:r>
          <w:r>
            <w:rPr>
              <w:rFonts w:ascii="宋体" w:hAnsi="宋体" w:eastAsia="宋体" w:cs="宋体"/>
              <w:spacing w:val="-2"/>
              <w:sz w:val="21"/>
              <w:szCs w:val="21"/>
            </w:rPr>
            <w:t>施工设备和临时设施</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105</w:t>
          </w:r>
          <w:r>
            <w:rPr>
              <w:rFonts w:ascii="宋体" w:hAnsi="宋体" w:eastAsia="宋体" w:cs="宋体"/>
              <w:spacing w:val="-5"/>
              <w:sz w:val="21"/>
              <w:szCs w:val="21"/>
            </w:rPr>
            <w:fldChar w:fldCharType="end"/>
          </w:r>
        </w:p>
        <w:p w14:paraId="1BD2685F">
          <w:pPr>
            <w:tabs>
              <w:tab w:val="right" w:leader="dot" w:pos="8315"/>
            </w:tabs>
            <w:spacing w:before="61" w:line="220" w:lineRule="auto"/>
            <w:ind w:left="863"/>
            <w:rPr>
              <w:rFonts w:ascii="宋体" w:hAnsi="宋体" w:eastAsia="宋体" w:cs="宋体"/>
              <w:sz w:val="21"/>
              <w:szCs w:val="21"/>
            </w:rPr>
          </w:pPr>
          <w:r>
            <w:fldChar w:fldCharType="begin"/>
          </w:r>
          <w:r>
            <w:instrText xml:space="preserve"> HYPERLINK \l "bookmark212" </w:instrText>
          </w:r>
          <w:r>
            <w:fldChar w:fldCharType="separate"/>
          </w:r>
          <w:r>
            <w:rPr>
              <w:rFonts w:ascii="宋体" w:hAnsi="宋体" w:eastAsia="宋体" w:cs="宋体"/>
              <w:spacing w:val="-2"/>
              <w:sz w:val="21"/>
              <w:szCs w:val="21"/>
            </w:rPr>
            <w:t>8.9</w:t>
          </w:r>
          <w:r>
            <w:rPr>
              <w:rFonts w:ascii="宋体" w:hAnsi="宋体" w:eastAsia="宋体" w:cs="宋体"/>
              <w:spacing w:val="-35"/>
              <w:sz w:val="21"/>
              <w:szCs w:val="21"/>
            </w:rPr>
            <w:t xml:space="preserve"> </w:t>
          </w:r>
          <w:r>
            <w:rPr>
              <w:rFonts w:ascii="宋体" w:hAnsi="宋体" w:eastAsia="宋体" w:cs="宋体"/>
              <w:spacing w:val="-2"/>
              <w:sz w:val="21"/>
              <w:szCs w:val="21"/>
            </w:rPr>
            <w:t>材料与设备专用要求</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67337D53">
          <w:pPr>
            <w:tabs>
              <w:tab w:val="right" w:leader="dot" w:pos="8315"/>
            </w:tabs>
            <w:spacing w:before="61" w:line="221" w:lineRule="auto"/>
            <w:ind w:left="443"/>
            <w:rPr>
              <w:rFonts w:ascii="宋体" w:hAnsi="宋体" w:eastAsia="宋体" w:cs="宋体"/>
              <w:sz w:val="21"/>
              <w:szCs w:val="21"/>
            </w:rPr>
          </w:pPr>
          <w:r>
            <w:fldChar w:fldCharType="begin"/>
          </w:r>
          <w:r>
            <w:instrText xml:space="preserve"> HYPERLINK \l "bookmark213" </w:instrText>
          </w:r>
          <w:r>
            <w:fldChar w:fldCharType="separate"/>
          </w:r>
          <w:r>
            <w:rPr>
              <w:rFonts w:ascii="宋体" w:hAnsi="宋体" w:eastAsia="宋体" w:cs="宋体"/>
              <w:spacing w:val="-1"/>
              <w:sz w:val="21"/>
              <w:szCs w:val="21"/>
            </w:rPr>
            <w:t>9. 试验与检验</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3EFA568E">
          <w:pPr>
            <w:tabs>
              <w:tab w:val="right" w:leader="dot" w:pos="8315"/>
            </w:tabs>
            <w:spacing w:before="62" w:line="222" w:lineRule="auto"/>
            <w:ind w:left="863"/>
            <w:rPr>
              <w:rFonts w:ascii="宋体" w:hAnsi="宋体" w:eastAsia="宋体" w:cs="宋体"/>
              <w:sz w:val="21"/>
              <w:szCs w:val="21"/>
            </w:rPr>
          </w:pPr>
          <w:r>
            <w:fldChar w:fldCharType="begin"/>
          </w:r>
          <w:r>
            <w:instrText xml:space="preserve"> HYPERLINK \l "bookmark214" </w:instrText>
          </w:r>
          <w:r>
            <w:fldChar w:fldCharType="separate"/>
          </w:r>
          <w:r>
            <w:rPr>
              <w:rFonts w:ascii="宋体" w:hAnsi="宋体" w:eastAsia="宋体" w:cs="宋体"/>
              <w:spacing w:val="-2"/>
              <w:sz w:val="21"/>
              <w:szCs w:val="21"/>
            </w:rPr>
            <w:t>9.1</w:t>
          </w:r>
          <w:r>
            <w:rPr>
              <w:rFonts w:ascii="宋体" w:hAnsi="宋体" w:eastAsia="宋体" w:cs="宋体"/>
              <w:spacing w:val="-35"/>
              <w:sz w:val="21"/>
              <w:szCs w:val="21"/>
            </w:rPr>
            <w:t xml:space="preserve"> </w:t>
          </w:r>
          <w:r>
            <w:rPr>
              <w:rFonts w:ascii="宋体" w:hAnsi="宋体" w:eastAsia="宋体" w:cs="宋体"/>
              <w:spacing w:val="-2"/>
              <w:sz w:val="21"/>
              <w:szCs w:val="21"/>
            </w:rPr>
            <w:t>试验设备与试验人员</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7B860D1B">
          <w:pPr>
            <w:tabs>
              <w:tab w:val="right" w:leader="dot" w:pos="8315"/>
            </w:tabs>
            <w:spacing w:before="59" w:line="221" w:lineRule="auto"/>
            <w:ind w:left="863"/>
            <w:rPr>
              <w:rFonts w:ascii="宋体" w:hAnsi="宋体" w:eastAsia="宋体" w:cs="宋体"/>
              <w:sz w:val="21"/>
              <w:szCs w:val="21"/>
            </w:rPr>
          </w:pPr>
          <w:r>
            <w:fldChar w:fldCharType="begin"/>
          </w:r>
          <w:r>
            <w:instrText xml:space="preserve"> HYPERLINK \l "bookmark215" </w:instrText>
          </w:r>
          <w:r>
            <w:fldChar w:fldCharType="separate"/>
          </w:r>
          <w:r>
            <w:rPr>
              <w:rFonts w:ascii="宋体" w:hAnsi="宋体" w:eastAsia="宋体" w:cs="宋体"/>
              <w:spacing w:val="-4"/>
              <w:sz w:val="21"/>
              <w:szCs w:val="21"/>
            </w:rPr>
            <w:t>9.2</w:t>
          </w:r>
          <w:r>
            <w:rPr>
              <w:rFonts w:ascii="宋体" w:hAnsi="宋体" w:eastAsia="宋体" w:cs="宋体"/>
              <w:spacing w:val="-41"/>
              <w:sz w:val="21"/>
              <w:szCs w:val="21"/>
            </w:rPr>
            <w:t xml:space="preserve"> </w:t>
          </w:r>
          <w:r>
            <w:rPr>
              <w:rFonts w:ascii="宋体" w:hAnsi="宋体" w:eastAsia="宋体" w:cs="宋体"/>
              <w:spacing w:val="-4"/>
              <w:sz w:val="21"/>
              <w:szCs w:val="21"/>
            </w:rPr>
            <w:t>取样</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sdtContent>
    </w:sdt>
    <w:p w14:paraId="0888227D">
      <w:pPr>
        <w:spacing w:line="221" w:lineRule="auto"/>
        <w:rPr>
          <w:rFonts w:ascii="宋体" w:hAnsi="宋体" w:eastAsia="宋体" w:cs="宋体"/>
          <w:sz w:val="21"/>
          <w:szCs w:val="21"/>
        </w:rPr>
        <w:sectPr>
          <w:footerReference r:id="rId10"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77439"/>
        <w:docPartObj>
          <w:docPartGallery w:val="Table of Contents"/>
          <w:docPartUnique/>
        </w:docPartObj>
      </w:sdtPr>
      <w:sdtEndPr>
        <w:rPr>
          <w:rFonts w:ascii="宋体" w:hAnsi="宋体" w:eastAsia="宋体" w:cs="宋体"/>
          <w:sz w:val="21"/>
          <w:szCs w:val="21"/>
        </w:rPr>
      </w:sdtEndPr>
      <w:sdtContent>
        <w:p w14:paraId="61DDC809">
          <w:pPr>
            <w:tabs>
              <w:tab w:val="right" w:leader="dot" w:pos="8315"/>
            </w:tabs>
            <w:spacing w:before="60" w:line="220" w:lineRule="auto"/>
            <w:ind w:left="863"/>
            <w:rPr>
              <w:rFonts w:ascii="宋体" w:hAnsi="宋体" w:eastAsia="宋体" w:cs="宋体"/>
              <w:sz w:val="21"/>
              <w:szCs w:val="21"/>
            </w:rPr>
          </w:pPr>
          <w:r>
            <w:fldChar w:fldCharType="begin"/>
          </w:r>
          <w:r>
            <w:instrText xml:space="preserve"> HYPERLINK \l "bookmark216" </w:instrText>
          </w:r>
          <w:r>
            <w:fldChar w:fldCharType="separate"/>
          </w:r>
          <w:r>
            <w:rPr>
              <w:rFonts w:ascii="宋体" w:hAnsi="宋体" w:eastAsia="宋体" w:cs="宋体"/>
              <w:spacing w:val="-1"/>
              <w:sz w:val="21"/>
              <w:szCs w:val="21"/>
            </w:rPr>
            <w:t>9.3</w:t>
          </w:r>
          <w:r>
            <w:rPr>
              <w:rFonts w:ascii="宋体" w:hAnsi="宋体" w:eastAsia="宋体" w:cs="宋体"/>
              <w:spacing w:val="-39"/>
              <w:sz w:val="21"/>
              <w:szCs w:val="21"/>
            </w:rPr>
            <w:t xml:space="preserve"> </w:t>
          </w:r>
          <w:r>
            <w:rPr>
              <w:rFonts w:ascii="宋体" w:hAnsi="宋体" w:eastAsia="宋体" w:cs="宋体"/>
              <w:spacing w:val="-1"/>
              <w:sz w:val="21"/>
              <w:szCs w:val="21"/>
            </w:rPr>
            <w:t>材料、工程设备和工程的试验和检验</w:t>
          </w:r>
          <w:r>
            <w:rPr>
              <w:rFonts w:ascii="宋体" w:hAnsi="宋体" w:eastAsia="宋体" w:cs="宋体"/>
              <w:spacing w:val="-2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0D2D8F2C">
          <w:pPr>
            <w:tabs>
              <w:tab w:val="right" w:leader="dot" w:pos="8315"/>
            </w:tabs>
            <w:spacing w:before="62" w:line="221" w:lineRule="auto"/>
            <w:ind w:left="863"/>
            <w:rPr>
              <w:rFonts w:ascii="宋体" w:hAnsi="宋体" w:eastAsia="宋体" w:cs="宋体"/>
              <w:sz w:val="21"/>
              <w:szCs w:val="21"/>
            </w:rPr>
          </w:pPr>
          <w:r>
            <w:fldChar w:fldCharType="begin"/>
          </w:r>
          <w:r>
            <w:instrText xml:space="preserve"> HYPERLINK \l "bookmark217" </w:instrText>
          </w:r>
          <w:r>
            <w:fldChar w:fldCharType="separate"/>
          </w:r>
          <w:r>
            <w:rPr>
              <w:rFonts w:ascii="宋体" w:hAnsi="宋体" w:eastAsia="宋体" w:cs="宋体"/>
              <w:spacing w:val="-2"/>
              <w:sz w:val="21"/>
              <w:szCs w:val="21"/>
            </w:rPr>
            <w:t>9.4</w:t>
          </w:r>
          <w:r>
            <w:rPr>
              <w:rFonts w:ascii="宋体" w:hAnsi="宋体" w:eastAsia="宋体" w:cs="宋体"/>
              <w:spacing w:val="-43"/>
              <w:sz w:val="21"/>
              <w:szCs w:val="21"/>
            </w:rPr>
            <w:t xml:space="preserve"> </w:t>
          </w:r>
          <w:r>
            <w:rPr>
              <w:rFonts w:ascii="宋体" w:hAnsi="宋体" w:eastAsia="宋体" w:cs="宋体"/>
              <w:spacing w:val="-2"/>
              <w:sz w:val="21"/>
              <w:szCs w:val="21"/>
            </w:rPr>
            <w:t>现场工艺试验</w:t>
          </w:r>
          <w:r>
            <w:rPr>
              <w:rFonts w:ascii="宋体" w:hAnsi="宋体" w:eastAsia="宋体" w:cs="宋体"/>
              <w:spacing w:val="-3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106</w:t>
          </w:r>
          <w:r>
            <w:rPr>
              <w:rFonts w:ascii="宋体" w:hAnsi="宋体" w:eastAsia="宋体" w:cs="宋体"/>
              <w:spacing w:val="-5"/>
              <w:sz w:val="21"/>
              <w:szCs w:val="21"/>
            </w:rPr>
            <w:fldChar w:fldCharType="end"/>
          </w:r>
        </w:p>
        <w:p w14:paraId="37CBF3B7">
          <w:pPr>
            <w:tabs>
              <w:tab w:val="right" w:leader="dot" w:pos="8315"/>
            </w:tabs>
            <w:spacing w:before="60" w:line="222" w:lineRule="auto"/>
            <w:ind w:left="458"/>
            <w:rPr>
              <w:rFonts w:ascii="宋体" w:hAnsi="宋体" w:eastAsia="宋体" w:cs="宋体"/>
              <w:sz w:val="21"/>
              <w:szCs w:val="21"/>
            </w:rPr>
          </w:pPr>
          <w:r>
            <w:fldChar w:fldCharType="begin"/>
          </w:r>
          <w:r>
            <w:instrText xml:space="preserve"> HYPERLINK \l "bookmark218" </w:instrText>
          </w:r>
          <w:r>
            <w:fldChar w:fldCharType="separate"/>
          </w:r>
          <w:r>
            <w:rPr>
              <w:rFonts w:ascii="宋体" w:hAnsi="宋体" w:eastAsia="宋体" w:cs="宋体"/>
              <w:spacing w:val="-7"/>
              <w:sz w:val="21"/>
              <w:szCs w:val="21"/>
            </w:rPr>
            <w:t>10.</w:t>
          </w:r>
          <w:r>
            <w:rPr>
              <w:rFonts w:ascii="宋体" w:hAnsi="宋体" w:eastAsia="宋体" w:cs="宋体"/>
              <w:spacing w:val="12"/>
              <w:sz w:val="21"/>
              <w:szCs w:val="21"/>
            </w:rPr>
            <w:t xml:space="preserve"> </w:t>
          </w:r>
          <w:r>
            <w:rPr>
              <w:rFonts w:ascii="宋体" w:hAnsi="宋体" w:eastAsia="宋体" w:cs="宋体"/>
              <w:spacing w:val="-7"/>
              <w:sz w:val="21"/>
              <w:szCs w:val="21"/>
            </w:rPr>
            <w:t>变更</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26132879">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"bookmark219" </w:instrText>
          </w:r>
          <w:r>
            <w:fldChar w:fldCharType="separate"/>
          </w:r>
          <w:r>
            <w:rPr>
              <w:rFonts w:ascii="宋体" w:hAnsi="宋体" w:eastAsia="宋体" w:cs="宋体"/>
              <w:spacing w:val="-4"/>
              <w:sz w:val="21"/>
              <w:szCs w:val="21"/>
            </w:rPr>
            <w:t>10.1</w:t>
          </w:r>
          <w:r>
            <w:rPr>
              <w:rFonts w:ascii="宋体" w:hAnsi="宋体" w:eastAsia="宋体" w:cs="宋体"/>
              <w:spacing w:val="-40"/>
              <w:sz w:val="21"/>
              <w:szCs w:val="21"/>
            </w:rPr>
            <w:t xml:space="preserve"> </w:t>
          </w:r>
          <w:r>
            <w:rPr>
              <w:rFonts w:ascii="宋体" w:hAnsi="宋体" w:eastAsia="宋体" w:cs="宋体"/>
              <w:spacing w:val="-4"/>
              <w:sz w:val="21"/>
              <w:szCs w:val="21"/>
            </w:rPr>
            <w:t>变更的范围</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1D1729ED">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"bookmark220" </w:instrText>
          </w:r>
          <w:r>
            <w:fldChar w:fldCharType="separate"/>
          </w:r>
          <w:r>
            <w:rPr>
              <w:rFonts w:ascii="宋体" w:hAnsi="宋体" w:eastAsia="宋体" w:cs="宋体"/>
              <w:spacing w:val="-5"/>
              <w:sz w:val="21"/>
              <w:szCs w:val="21"/>
            </w:rPr>
            <w:t>10.2</w:t>
          </w:r>
          <w:r>
            <w:rPr>
              <w:rFonts w:ascii="宋体" w:hAnsi="宋体" w:eastAsia="宋体" w:cs="宋体"/>
              <w:spacing w:val="-41"/>
              <w:sz w:val="21"/>
              <w:szCs w:val="21"/>
            </w:rPr>
            <w:t xml:space="preserve"> </w:t>
          </w:r>
          <w:r>
            <w:rPr>
              <w:rFonts w:ascii="宋体" w:hAnsi="宋体" w:eastAsia="宋体" w:cs="宋体"/>
              <w:spacing w:val="-5"/>
              <w:sz w:val="21"/>
              <w:szCs w:val="21"/>
            </w:rPr>
            <w:t>变更权</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3DE6F65E">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"bookmark221" </w:instrText>
          </w:r>
          <w:r>
            <w:fldChar w:fldCharType="separate"/>
          </w:r>
          <w:r>
            <w:rPr>
              <w:rFonts w:ascii="宋体" w:hAnsi="宋体" w:eastAsia="宋体" w:cs="宋体"/>
              <w:spacing w:val="-4"/>
              <w:sz w:val="21"/>
              <w:szCs w:val="21"/>
            </w:rPr>
            <w:t>10.3</w:t>
          </w:r>
          <w:r>
            <w:rPr>
              <w:rFonts w:ascii="宋体" w:hAnsi="宋体" w:eastAsia="宋体" w:cs="宋体"/>
              <w:spacing w:val="-43"/>
              <w:sz w:val="21"/>
              <w:szCs w:val="21"/>
            </w:rPr>
            <w:t xml:space="preserve"> </w:t>
          </w:r>
          <w:r>
            <w:rPr>
              <w:rFonts w:ascii="宋体" w:hAnsi="宋体" w:eastAsia="宋体" w:cs="宋体"/>
              <w:spacing w:val="-4"/>
              <w:sz w:val="21"/>
              <w:szCs w:val="21"/>
            </w:rPr>
            <w:t>变更程序</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54E10D30">
          <w:pPr>
            <w:tabs>
              <w:tab w:val="right" w:leader="dot" w:pos="8315"/>
            </w:tabs>
            <w:spacing w:before="61" w:line="219" w:lineRule="auto"/>
            <w:ind w:left="878"/>
            <w:rPr>
              <w:rFonts w:ascii="宋体" w:hAnsi="宋体" w:eastAsia="宋体" w:cs="宋体"/>
              <w:sz w:val="21"/>
              <w:szCs w:val="21"/>
            </w:rPr>
          </w:pPr>
          <w:r>
            <w:fldChar w:fldCharType="begin"/>
          </w:r>
          <w:r>
            <w:instrText xml:space="preserve"> HYPERLINK \l "bookmark222" </w:instrText>
          </w:r>
          <w:r>
            <w:fldChar w:fldCharType="separate"/>
          </w:r>
          <w:r>
            <w:rPr>
              <w:rFonts w:ascii="宋体" w:hAnsi="宋体" w:eastAsia="宋体" w:cs="宋体"/>
              <w:spacing w:val="-4"/>
              <w:sz w:val="21"/>
              <w:szCs w:val="21"/>
            </w:rPr>
            <w:t>10.4</w:t>
          </w:r>
          <w:r>
            <w:rPr>
              <w:rFonts w:ascii="宋体" w:hAnsi="宋体" w:eastAsia="宋体" w:cs="宋体"/>
              <w:spacing w:val="-43"/>
              <w:sz w:val="21"/>
              <w:szCs w:val="21"/>
            </w:rPr>
            <w:t xml:space="preserve"> </w:t>
          </w:r>
          <w:r>
            <w:rPr>
              <w:rFonts w:ascii="宋体" w:hAnsi="宋体" w:eastAsia="宋体" w:cs="宋体"/>
              <w:spacing w:val="-4"/>
              <w:sz w:val="21"/>
              <w:szCs w:val="21"/>
            </w:rPr>
            <w:t>变更估价</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107</w:t>
          </w:r>
          <w:r>
            <w:rPr>
              <w:rFonts w:ascii="宋体" w:hAnsi="宋体" w:eastAsia="宋体" w:cs="宋体"/>
              <w:spacing w:val="-5"/>
              <w:sz w:val="21"/>
              <w:szCs w:val="21"/>
            </w:rPr>
            <w:fldChar w:fldCharType="end"/>
          </w:r>
        </w:p>
        <w:p w14:paraId="657FE462">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"bookmark223" </w:instrText>
          </w:r>
          <w:r>
            <w:fldChar w:fldCharType="separate"/>
          </w:r>
          <w:r>
            <w:rPr>
              <w:rFonts w:ascii="宋体" w:hAnsi="宋体" w:eastAsia="宋体" w:cs="宋体"/>
              <w:spacing w:val="-3"/>
              <w:sz w:val="21"/>
              <w:szCs w:val="21"/>
            </w:rPr>
            <w:t>10.5</w:t>
          </w:r>
          <w:r>
            <w:rPr>
              <w:rFonts w:ascii="宋体" w:hAnsi="宋体" w:eastAsia="宋体" w:cs="宋体"/>
              <w:spacing w:val="-37"/>
              <w:sz w:val="21"/>
              <w:szCs w:val="21"/>
            </w:rPr>
            <w:t xml:space="preserve"> </w:t>
          </w:r>
          <w:r>
            <w:rPr>
              <w:rFonts w:ascii="宋体" w:hAnsi="宋体" w:eastAsia="宋体" w:cs="宋体"/>
              <w:spacing w:val="-3"/>
              <w:sz w:val="21"/>
              <w:szCs w:val="21"/>
            </w:rPr>
            <w:t>承包人的合理化建议</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108</w:t>
          </w:r>
          <w:r>
            <w:rPr>
              <w:rFonts w:ascii="宋体" w:hAnsi="宋体" w:eastAsia="宋体" w:cs="宋体"/>
              <w:spacing w:val="-5"/>
              <w:sz w:val="21"/>
              <w:szCs w:val="21"/>
            </w:rPr>
            <w:fldChar w:fldCharType="end"/>
          </w:r>
        </w:p>
        <w:p w14:paraId="3E5F730E">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"bookmark224" </w:instrText>
          </w:r>
          <w:r>
            <w:fldChar w:fldCharType="separate"/>
          </w:r>
          <w:r>
            <w:rPr>
              <w:rFonts w:ascii="宋体" w:hAnsi="宋体" w:eastAsia="宋体" w:cs="宋体"/>
              <w:spacing w:val="-3"/>
              <w:sz w:val="21"/>
              <w:szCs w:val="21"/>
            </w:rPr>
            <w:t>10.6</w:t>
          </w:r>
          <w:r>
            <w:rPr>
              <w:rFonts w:ascii="宋体" w:hAnsi="宋体" w:eastAsia="宋体" w:cs="宋体"/>
              <w:spacing w:val="-37"/>
              <w:sz w:val="21"/>
              <w:szCs w:val="21"/>
            </w:rPr>
            <w:t xml:space="preserve"> </w:t>
          </w:r>
          <w:r>
            <w:rPr>
              <w:rFonts w:ascii="宋体" w:hAnsi="宋体" w:eastAsia="宋体" w:cs="宋体"/>
              <w:spacing w:val="-3"/>
              <w:sz w:val="21"/>
              <w:szCs w:val="21"/>
            </w:rPr>
            <w:t>变更引起的工期调整</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108</w:t>
          </w:r>
          <w:r>
            <w:rPr>
              <w:rFonts w:ascii="宋体" w:hAnsi="宋体" w:eastAsia="宋体" w:cs="宋体"/>
              <w:spacing w:val="-5"/>
              <w:sz w:val="21"/>
              <w:szCs w:val="21"/>
            </w:rPr>
            <w:fldChar w:fldCharType="end"/>
          </w:r>
        </w:p>
        <w:p w14:paraId="1550AFDF">
          <w:pPr>
            <w:tabs>
              <w:tab w:val="right" w:leader="dot" w:pos="8315"/>
            </w:tabs>
            <w:spacing w:before="60" w:line="219" w:lineRule="auto"/>
            <w:ind w:left="878"/>
            <w:rPr>
              <w:rFonts w:ascii="宋体" w:hAnsi="宋体" w:eastAsia="宋体" w:cs="宋体"/>
              <w:sz w:val="21"/>
              <w:szCs w:val="21"/>
            </w:rPr>
          </w:pPr>
          <w:r>
            <w:fldChar w:fldCharType="begin"/>
          </w:r>
          <w:r>
            <w:instrText xml:space="preserve"> HYPERLINK \l "bookmark225" </w:instrText>
          </w:r>
          <w:r>
            <w:fldChar w:fldCharType="separate"/>
          </w:r>
          <w:r>
            <w:rPr>
              <w:rFonts w:ascii="宋体" w:hAnsi="宋体" w:eastAsia="宋体" w:cs="宋体"/>
              <w:spacing w:val="-5"/>
              <w:sz w:val="21"/>
              <w:szCs w:val="21"/>
            </w:rPr>
            <w:t>10.7</w:t>
          </w:r>
          <w:r>
            <w:rPr>
              <w:rFonts w:ascii="宋体" w:hAnsi="宋体" w:eastAsia="宋体" w:cs="宋体"/>
              <w:spacing w:val="-40"/>
              <w:sz w:val="21"/>
              <w:szCs w:val="21"/>
            </w:rPr>
            <w:t xml:space="preserve"> </w:t>
          </w:r>
          <w:r>
            <w:rPr>
              <w:rFonts w:ascii="宋体" w:hAnsi="宋体" w:eastAsia="宋体" w:cs="宋体"/>
              <w:spacing w:val="-5"/>
              <w:sz w:val="21"/>
              <w:szCs w:val="21"/>
            </w:rPr>
            <w:t>暂估价</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108</w:t>
          </w:r>
          <w:r>
            <w:rPr>
              <w:rFonts w:ascii="宋体" w:hAnsi="宋体" w:eastAsia="宋体" w:cs="宋体"/>
              <w:spacing w:val="-5"/>
              <w:sz w:val="21"/>
              <w:szCs w:val="21"/>
            </w:rPr>
            <w:fldChar w:fldCharType="end"/>
          </w:r>
        </w:p>
        <w:p w14:paraId="08350116">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"bookmark226" </w:instrText>
          </w:r>
          <w:r>
            <w:fldChar w:fldCharType="separate"/>
          </w:r>
          <w:r>
            <w:rPr>
              <w:rFonts w:ascii="宋体" w:hAnsi="宋体" w:eastAsia="宋体" w:cs="宋体"/>
              <w:spacing w:val="-5"/>
              <w:sz w:val="21"/>
              <w:szCs w:val="21"/>
            </w:rPr>
            <w:t>10.8</w:t>
          </w:r>
          <w:r>
            <w:rPr>
              <w:rFonts w:ascii="宋体" w:hAnsi="宋体" w:eastAsia="宋体" w:cs="宋体"/>
              <w:spacing w:val="-35"/>
              <w:sz w:val="21"/>
              <w:szCs w:val="21"/>
            </w:rPr>
            <w:t xml:space="preserve"> </w:t>
          </w:r>
          <w:r>
            <w:rPr>
              <w:rFonts w:ascii="宋体" w:hAnsi="宋体" w:eastAsia="宋体" w:cs="宋体"/>
              <w:spacing w:val="-5"/>
              <w:sz w:val="21"/>
              <w:szCs w:val="21"/>
            </w:rPr>
            <w:t>暂列金额</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109</w:t>
          </w:r>
          <w:r>
            <w:rPr>
              <w:rFonts w:ascii="宋体" w:hAnsi="宋体" w:eastAsia="宋体" w:cs="宋体"/>
              <w:spacing w:val="-5"/>
              <w:sz w:val="21"/>
              <w:szCs w:val="21"/>
            </w:rPr>
            <w:fldChar w:fldCharType="end"/>
          </w:r>
        </w:p>
        <w:p w14:paraId="2D7A47EE">
          <w:pPr>
            <w:tabs>
              <w:tab w:val="right" w:leader="dot" w:pos="8315"/>
            </w:tabs>
            <w:spacing w:before="62" w:line="222" w:lineRule="auto"/>
            <w:ind w:left="878"/>
            <w:rPr>
              <w:rFonts w:ascii="宋体" w:hAnsi="宋体" w:eastAsia="宋体" w:cs="宋体"/>
              <w:sz w:val="21"/>
              <w:szCs w:val="21"/>
            </w:rPr>
          </w:pPr>
          <w:r>
            <w:fldChar w:fldCharType="begin"/>
          </w:r>
          <w:r>
            <w:instrText xml:space="preserve"> HYPERLINK \l "bookmark227" </w:instrText>
          </w:r>
          <w:r>
            <w:fldChar w:fldCharType="separate"/>
          </w:r>
          <w:r>
            <w:rPr>
              <w:rFonts w:ascii="宋体" w:hAnsi="宋体" w:eastAsia="宋体" w:cs="宋体"/>
              <w:spacing w:val="-5"/>
              <w:sz w:val="21"/>
              <w:szCs w:val="21"/>
            </w:rPr>
            <w:t>10.9</w:t>
          </w:r>
          <w:r>
            <w:rPr>
              <w:rFonts w:ascii="宋体" w:hAnsi="宋体" w:eastAsia="宋体" w:cs="宋体"/>
              <w:spacing w:val="-41"/>
              <w:sz w:val="21"/>
              <w:szCs w:val="21"/>
            </w:rPr>
            <w:t xml:space="preserve"> </w:t>
          </w:r>
          <w:r>
            <w:rPr>
              <w:rFonts w:ascii="宋体" w:hAnsi="宋体" w:eastAsia="宋体" w:cs="宋体"/>
              <w:spacing w:val="-5"/>
              <w:sz w:val="21"/>
              <w:szCs w:val="21"/>
            </w:rPr>
            <w:t>计日工</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109</w:t>
          </w:r>
          <w:r>
            <w:rPr>
              <w:rFonts w:ascii="宋体" w:hAnsi="宋体" w:eastAsia="宋体" w:cs="宋体"/>
              <w:spacing w:val="-5"/>
              <w:sz w:val="21"/>
              <w:szCs w:val="21"/>
            </w:rPr>
            <w:fldChar w:fldCharType="end"/>
          </w:r>
        </w:p>
        <w:p w14:paraId="63B77D65">
          <w:pPr>
            <w:tabs>
              <w:tab w:val="right" w:leader="dot" w:pos="8315"/>
            </w:tabs>
            <w:spacing w:before="60" w:line="219" w:lineRule="auto"/>
            <w:ind w:left="458"/>
            <w:rPr>
              <w:rFonts w:ascii="宋体" w:hAnsi="宋体" w:eastAsia="宋体" w:cs="宋体"/>
              <w:sz w:val="21"/>
              <w:szCs w:val="21"/>
            </w:rPr>
          </w:pPr>
          <w:r>
            <w:fldChar w:fldCharType="begin"/>
          </w:r>
          <w:r>
            <w:instrText xml:space="preserve"> HYPERLINK \l "bookmark228" </w:instrText>
          </w:r>
          <w:r>
            <w:fldChar w:fldCharType="separate"/>
          </w:r>
          <w:r>
            <w:rPr>
              <w:rFonts w:ascii="宋体" w:hAnsi="宋体" w:eastAsia="宋体" w:cs="宋体"/>
              <w:spacing w:val="-5"/>
              <w:sz w:val="21"/>
              <w:szCs w:val="21"/>
            </w:rPr>
            <w:t>11.</w:t>
          </w:r>
          <w:r>
            <w:rPr>
              <w:rFonts w:ascii="宋体" w:hAnsi="宋体" w:eastAsia="宋体" w:cs="宋体"/>
              <w:spacing w:val="12"/>
              <w:sz w:val="21"/>
              <w:szCs w:val="21"/>
            </w:rPr>
            <w:t xml:space="preserve"> </w:t>
          </w:r>
          <w:r>
            <w:rPr>
              <w:rFonts w:ascii="宋体" w:hAnsi="宋体" w:eastAsia="宋体" w:cs="宋体"/>
              <w:spacing w:val="-5"/>
              <w:sz w:val="21"/>
              <w:szCs w:val="21"/>
            </w:rPr>
            <w:t>价格调整</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110</w:t>
          </w:r>
          <w:r>
            <w:rPr>
              <w:rFonts w:ascii="宋体" w:hAnsi="宋体" w:eastAsia="宋体" w:cs="宋体"/>
              <w:spacing w:val="-5"/>
              <w:sz w:val="21"/>
              <w:szCs w:val="21"/>
            </w:rPr>
            <w:fldChar w:fldCharType="end"/>
          </w:r>
        </w:p>
        <w:p w14:paraId="3A3C6960">
          <w:pPr>
            <w:tabs>
              <w:tab w:val="right" w:leader="dot" w:pos="8315"/>
            </w:tabs>
            <w:spacing w:before="62" w:line="219" w:lineRule="auto"/>
            <w:ind w:left="878"/>
            <w:rPr>
              <w:rFonts w:ascii="宋体" w:hAnsi="宋体" w:eastAsia="宋体" w:cs="宋体"/>
              <w:sz w:val="21"/>
              <w:szCs w:val="21"/>
            </w:rPr>
          </w:pPr>
          <w:r>
            <w:fldChar w:fldCharType="begin"/>
          </w:r>
          <w:r>
            <w:instrText xml:space="preserve"> HYPERLINK \l "bookmark229" </w:instrText>
          </w:r>
          <w:r>
            <w:fldChar w:fldCharType="separate"/>
          </w:r>
          <w:r>
            <w:rPr>
              <w:rFonts w:ascii="宋体" w:hAnsi="宋体" w:eastAsia="宋体" w:cs="宋体"/>
              <w:spacing w:val="-3"/>
              <w:sz w:val="21"/>
              <w:szCs w:val="21"/>
            </w:rPr>
            <w:t>11.1</w:t>
          </w:r>
          <w:r>
            <w:rPr>
              <w:rFonts w:ascii="宋体" w:hAnsi="宋体" w:eastAsia="宋体" w:cs="宋体"/>
              <w:spacing w:val="-31"/>
              <w:sz w:val="21"/>
              <w:szCs w:val="21"/>
            </w:rPr>
            <w:t xml:space="preserve"> </w:t>
          </w:r>
          <w:r>
            <w:rPr>
              <w:rFonts w:ascii="宋体" w:hAnsi="宋体" w:eastAsia="宋体" w:cs="宋体"/>
              <w:spacing w:val="-3"/>
              <w:sz w:val="21"/>
              <w:szCs w:val="21"/>
            </w:rPr>
            <w:t>市场价格波动引起的调整</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110</w:t>
          </w:r>
          <w:r>
            <w:rPr>
              <w:rFonts w:ascii="宋体" w:hAnsi="宋体" w:eastAsia="宋体" w:cs="宋体"/>
              <w:spacing w:val="-5"/>
              <w:sz w:val="21"/>
              <w:szCs w:val="21"/>
            </w:rPr>
            <w:fldChar w:fldCharType="end"/>
          </w:r>
        </w:p>
        <w:p w14:paraId="2E180020">
          <w:pPr>
            <w:tabs>
              <w:tab w:val="right" w:leader="dot" w:pos="8315"/>
            </w:tabs>
            <w:spacing w:before="63" w:line="221" w:lineRule="auto"/>
            <w:ind w:left="878"/>
            <w:rPr>
              <w:rFonts w:ascii="宋体" w:hAnsi="宋体" w:eastAsia="宋体" w:cs="宋体"/>
              <w:sz w:val="21"/>
              <w:szCs w:val="21"/>
            </w:rPr>
          </w:pPr>
          <w:r>
            <w:fldChar w:fldCharType="begin"/>
          </w:r>
          <w:r>
            <w:instrText xml:space="preserve"> HYPERLINK \l "bookmark230" </w:instrText>
          </w:r>
          <w:r>
            <w:fldChar w:fldCharType="separate"/>
          </w:r>
          <w:r>
            <w:rPr>
              <w:rFonts w:ascii="宋体" w:hAnsi="宋体" w:eastAsia="宋体" w:cs="宋体"/>
              <w:spacing w:val="-3"/>
              <w:sz w:val="21"/>
              <w:szCs w:val="21"/>
            </w:rPr>
            <w:t>11.2</w:t>
          </w:r>
          <w:r>
            <w:rPr>
              <w:rFonts w:ascii="宋体" w:hAnsi="宋体" w:eastAsia="宋体" w:cs="宋体"/>
              <w:spacing w:val="-37"/>
              <w:sz w:val="21"/>
              <w:szCs w:val="21"/>
            </w:rPr>
            <w:t xml:space="preserve"> </w:t>
          </w:r>
          <w:r>
            <w:rPr>
              <w:rFonts w:ascii="宋体" w:hAnsi="宋体" w:eastAsia="宋体" w:cs="宋体"/>
              <w:spacing w:val="-3"/>
              <w:sz w:val="21"/>
              <w:szCs w:val="21"/>
            </w:rPr>
            <w:t>法律变化引起的调整</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111</w:t>
          </w:r>
          <w:r>
            <w:rPr>
              <w:rFonts w:ascii="宋体" w:hAnsi="宋体" w:eastAsia="宋体" w:cs="宋体"/>
              <w:spacing w:val="-5"/>
              <w:sz w:val="21"/>
              <w:szCs w:val="21"/>
            </w:rPr>
            <w:fldChar w:fldCharType="end"/>
          </w:r>
        </w:p>
        <w:p w14:paraId="1D43635A">
          <w:pPr>
            <w:tabs>
              <w:tab w:val="right" w:leader="dot" w:pos="8315"/>
            </w:tabs>
            <w:spacing w:before="61" w:line="219" w:lineRule="auto"/>
            <w:ind w:left="458"/>
            <w:rPr>
              <w:rFonts w:ascii="宋体" w:hAnsi="宋体" w:eastAsia="宋体" w:cs="宋体"/>
              <w:sz w:val="21"/>
              <w:szCs w:val="21"/>
            </w:rPr>
          </w:pPr>
          <w:r>
            <w:fldChar w:fldCharType="begin"/>
          </w:r>
          <w:r>
            <w:instrText xml:space="preserve"> HYPERLINK \l "bookmark231" </w:instrText>
          </w:r>
          <w:r>
            <w:fldChar w:fldCharType="separate"/>
          </w:r>
          <w:r>
            <w:rPr>
              <w:rFonts w:ascii="宋体" w:hAnsi="宋体" w:eastAsia="宋体" w:cs="宋体"/>
              <w:spacing w:val="-2"/>
              <w:sz w:val="21"/>
              <w:szCs w:val="21"/>
            </w:rPr>
            <w:t>12. 合同价格、计量与支付</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40F18CEE">
          <w:pPr>
            <w:tabs>
              <w:tab w:val="right" w:leader="dot" w:pos="8315"/>
            </w:tabs>
            <w:spacing w:before="63" w:line="219" w:lineRule="auto"/>
            <w:ind w:left="878"/>
            <w:rPr>
              <w:rFonts w:ascii="宋体" w:hAnsi="宋体" w:eastAsia="宋体" w:cs="宋体"/>
              <w:sz w:val="21"/>
              <w:szCs w:val="21"/>
            </w:rPr>
          </w:pPr>
          <w:r>
            <w:fldChar w:fldCharType="begin"/>
          </w:r>
          <w:r>
            <w:instrText xml:space="preserve"> HYPERLINK \l "bookmark232" </w:instrText>
          </w:r>
          <w:r>
            <w:fldChar w:fldCharType="separate"/>
          </w:r>
          <w:r>
            <w:rPr>
              <w:rFonts w:ascii="宋体" w:hAnsi="宋体" w:eastAsia="宋体" w:cs="宋体"/>
              <w:spacing w:val="-2"/>
              <w:sz w:val="21"/>
              <w:szCs w:val="21"/>
            </w:rPr>
            <w:t>12.1 合同价格形式</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7D955203">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"bookmark233" </w:instrText>
          </w:r>
          <w:r>
            <w:fldChar w:fldCharType="separate"/>
          </w:r>
          <w:r>
            <w:rPr>
              <w:rFonts w:ascii="宋体" w:hAnsi="宋体" w:eastAsia="宋体" w:cs="宋体"/>
              <w:spacing w:val="-5"/>
              <w:sz w:val="21"/>
              <w:szCs w:val="21"/>
            </w:rPr>
            <w:t>12.2</w:t>
          </w:r>
          <w:r>
            <w:rPr>
              <w:rFonts w:ascii="宋体" w:hAnsi="宋体" w:eastAsia="宋体" w:cs="宋体"/>
              <w:spacing w:val="-41"/>
              <w:sz w:val="21"/>
              <w:szCs w:val="21"/>
            </w:rPr>
            <w:t xml:space="preserve"> </w:t>
          </w:r>
          <w:r>
            <w:rPr>
              <w:rFonts w:ascii="宋体" w:hAnsi="宋体" w:eastAsia="宋体" w:cs="宋体"/>
              <w:spacing w:val="-5"/>
              <w:sz w:val="21"/>
              <w:szCs w:val="21"/>
            </w:rPr>
            <w:t>预付款</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112</w:t>
          </w:r>
          <w:r>
            <w:rPr>
              <w:rFonts w:ascii="宋体" w:hAnsi="宋体" w:eastAsia="宋体" w:cs="宋体"/>
              <w:spacing w:val="-5"/>
              <w:sz w:val="21"/>
              <w:szCs w:val="21"/>
            </w:rPr>
            <w:fldChar w:fldCharType="end"/>
          </w:r>
        </w:p>
        <w:p w14:paraId="2E6A459A">
          <w:pPr>
            <w:tabs>
              <w:tab w:val="right" w:leader="dot" w:pos="8315"/>
            </w:tabs>
            <w:spacing w:before="61" w:line="222" w:lineRule="auto"/>
            <w:ind w:left="878"/>
            <w:rPr>
              <w:rFonts w:ascii="宋体" w:hAnsi="宋体" w:eastAsia="宋体" w:cs="宋体"/>
              <w:sz w:val="21"/>
              <w:szCs w:val="21"/>
            </w:rPr>
          </w:pPr>
          <w:r>
            <w:fldChar w:fldCharType="begin"/>
          </w:r>
          <w:r>
            <w:instrText xml:space="preserve"> HYPERLINK \l "bookmark234" </w:instrText>
          </w:r>
          <w:r>
            <w:fldChar w:fldCharType="separate"/>
          </w:r>
          <w:r>
            <w:rPr>
              <w:rFonts w:ascii="宋体" w:hAnsi="宋体" w:eastAsia="宋体" w:cs="宋体"/>
              <w:spacing w:val="-5"/>
              <w:sz w:val="21"/>
              <w:szCs w:val="21"/>
            </w:rPr>
            <w:t>12.3</w:t>
          </w:r>
          <w:r>
            <w:rPr>
              <w:rFonts w:ascii="宋体" w:hAnsi="宋体" w:eastAsia="宋体" w:cs="宋体"/>
              <w:spacing w:val="-45"/>
              <w:sz w:val="21"/>
              <w:szCs w:val="21"/>
            </w:rPr>
            <w:t xml:space="preserve"> </w:t>
          </w:r>
          <w:r>
            <w:rPr>
              <w:rFonts w:ascii="宋体" w:hAnsi="宋体" w:eastAsia="宋体" w:cs="宋体"/>
              <w:spacing w:val="-5"/>
              <w:sz w:val="21"/>
              <w:szCs w:val="21"/>
            </w:rPr>
            <w:t>计量</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113</w:t>
          </w:r>
          <w:r>
            <w:rPr>
              <w:rFonts w:ascii="宋体" w:hAnsi="宋体" w:eastAsia="宋体" w:cs="宋体"/>
              <w:spacing w:val="-5"/>
              <w:sz w:val="21"/>
              <w:szCs w:val="21"/>
            </w:rPr>
            <w:fldChar w:fldCharType="end"/>
          </w:r>
        </w:p>
        <w:p w14:paraId="13283942">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"bookmark235" </w:instrText>
          </w:r>
          <w:r>
            <w:fldChar w:fldCharType="separate"/>
          </w:r>
          <w:r>
            <w:rPr>
              <w:rFonts w:ascii="宋体" w:hAnsi="宋体" w:eastAsia="宋体" w:cs="宋体"/>
              <w:spacing w:val="-3"/>
              <w:sz w:val="21"/>
              <w:szCs w:val="21"/>
            </w:rPr>
            <w:t>12.4</w:t>
          </w:r>
          <w:r>
            <w:rPr>
              <w:rFonts w:ascii="宋体" w:hAnsi="宋体" w:eastAsia="宋体" w:cs="宋体"/>
              <w:spacing w:val="-43"/>
              <w:sz w:val="21"/>
              <w:szCs w:val="21"/>
            </w:rPr>
            <w:t xml:space="preserve"> </w:t>
          </w:r>
          <w:r>
            <w:rPr>
              <w:rFonts w:ascii="宋体" w:hAnsi="宋体" w:eastAsia="宋体" w:cs="宋体"/>
              <w:spacing w:val="-3"/>
              <w:sz w:val="21"/>
              <w:szCs w:val="21"/>
            </w:rPr>
            <w:t>工程进度款支付</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114</w:t>
          </w:r>
          <w:r>
            <w:rPr>
              <w:rFonts w:ascii="宋体" w:hAnsi="宋体" w:eastAsia="宋体" w:cs="宋体"/>
              <w:spacing w:val="-5"/>
              <w:sz w:val="21"/>
              <w:szCs w:val="21"/>
            </w:rPr>
            <w:fldChar w:fldCharType="end"/>
          </w:r>
        </w:p>
        <w:p w14:paraId="00EAE960">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"bookmark236" </w:instrText>
          </w:r>
          <w:r>
            <w:fldChar w:fldCharType="separate"/>
          </w:r>
          <w:r>
            <w:rPr>
              <w:rFonts w:ascii="宋体" w:hAnsi="宋体" w:eastAsia="宋体" w:cs="宋体"/>
              <w:spacing w:val="-4"/>
              <w:sz w:val="21"/>
              <w:szCs w:val="21"/>
            </w:rPr>
            <w:t>12.5</w:t>
          </w:r>
          <w:r>
            <w:rPr>
              <w:rFonts w:ascii="宋体" w:hAnsi="宋体" w:eastAsia="宋体" w:cs="宋体"/>
              <w:spacing w:val="-43"/>
              <w:sz w:val="21"/>
              <w:szCs w:val="21"/>
            </w:rPr>
            <w:t xml:space="preserve"> </w:t>
          </w:r>
          <w:r>
            <w:rPr>
              <w:rFonts w:ascii="宋体" w:hAnsi="宋体" w:eastAsia="宋体" w:cs="宋体"/>
              <w:spacing w:val="-4"/>
              <w:sz w:val="21"/>
              <w:szCs w:val="21"/>
            </w:rPr>
            <w:t>支付账户</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115</w:t>
          </w:r>
          <w:r>
            <w:rPr>
              <w:rFonts w:ascii="宋体" w:hAnsi="宋体" w:eastAsia="宋体" w:cs="宋体"/>
              <w:spacing w:val="-5"/>
              <w:sz w:val="21"/>
              <w:szCs w:val="21"/>
            </w:rPr>
            <w:fldChar w:fldCharType="end"/>
          </w:r>
        </w:p>
        <w:p w14:paraId="2A1C90AB">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"bookmark237" </w:instrText>
          </w:r>
          <w:r>
            <w:fldChar w:fldCharType="separate"/>
          </w:r>
          <w:r>
            <w:rPr>
              <w:rFonts w:ascii="宋体" w:hAnsi="宋体" w:eastAsia="宋体" w:cs="宋体"/>
              <w:spacing w:val="-2"/>
              <w:sz w:val="21"/>
              <w:szCs w:val="21"/>
            </w:rPr>
            <w:t>13. 验收和工程试车</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115</w:t>
          </w:r>
          <w:r>
            <w:rPr>
              <w:rFonts w:ascii="宋体" w:hAnsi="宋体" w:eastAsia="宋体" w:cs="宋体"/>
              <w:spacing w:val="-5"/>
              <w:sz w:val="21"/>
              <w:szCs w:val="21"/>
            </w:rPr>
            <w:fldChar w:fldCharType="end"/>
          </w:r>
        </w:p>
        <w:p w14:paraId="134C5CD1">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"bookmark238" </w:instrText>
          </w:r>
          <w:r>
            <w:fldChar w:fldCharType="separate"/>
          </w:r>
          <w:r>
            <w:rPr>
              <w:rFonts w:ascii="宋体" w:hAnsi="宋体" w:eastAsia="宋体" w:cs="宋体"/>
              <w:spacing w:val="-3"/>
              <w:sz w:val="21"/>
              <w:szCs w:val="21"/>
            </w:rPr>
            <w:t>13.1</w:t>
          </w:r>
          <w:r>
            <w:rPr>
              <w:rFonts w:ascii="宋体" w:hAnsi="宋体" w:eastAsia="宋体" w:cs="宋体"/>
              <w:spacing w:val="-39"/>
              <w:sz w:val="21"/>
              <w:szCs w:val="21"/>
            </w:rPr>
            <w:t xml:space="preserve"> </w:t>
          </w:r>
          <w:r>
            <w:rPr>
              <w:rFonts w:ascii="宋体" w:hAnsi="宋体" w:eastAsia="宋体" w:cs="宋体"/>
              <w:spacing w:val="-3"/>
              <w:sz w:val="21"/>
              <w:szCs w:val="21"/>
            </w:rPr>
            <w:t>分部分项工程验收</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115</w:t>
          </w:r>
          <w:r>
            <w:rPr>
              <w:rFonts w:ascii="宋体" w:hAnsi="宋体" w:eastAsia="宋体" w:cs="宋体"/>
              <w:spacing w:val="-5"/>
              <w:sz w:val="21"/>
              <w:szCs w:val="21"/>
            </w:rPr>
            <w:fldChar w:fldCharType="end"/>
          </w:r>
        </w:p>
        <w:p w14:paraId="489362F5">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"bookmark239" </w:instrText>
          </w:r>
          <w:r>
            <w:fldChar w:fldCharType="separate"/>
          </w:r>
          <w:r>
            <w:rPr>
              <w:rFonts w:ascii="宋体" w:hAnsi="宋体" w:eastAsia="宋体" w:cs="宋体"/>
              <w:spacing w:val="-4"/>
              <w:sz w:val="21"/>
              <w:szCs w:val="21"/>
            </w:rPr>
            <w:t>13.2</w:t>
          </w:r>
          <w:r>
            <w:rPr>
              <w:rFonts w:ascii="宋体" w:hAnsi="宋体" w:eastAsia="宋体" w:cs="宋体"/>
              <w:spacing w:val="-43"/>
              <w:sz w:val="21"/>
              <w:szCs w:val="21"/>
            </w:rPr>
            <w:t xml:space="preserve"> </w:t>
          </w:r>
          <w:r>
            <w:rPr>
              <w:rFonts w:ascii="宋体" w:hAnsi="宋体" w:eastAsia="宋体" w:cs="宋体"/>
              <w:spacing w:val="-4"/>
              <w:sz w:val="21"/>
              <w:szCs w:val="21"/>
            </w:rPr>
            <w:t>竣工验收</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116</w:t>
          </w:r>
          <w:r>
            <w:rPr>
              <w:rFonts w:ascii="宋体" w:hAnsi="宋体" w:eastAsia="宋体" w:cs="宋体"/>
              <w:spacing w:val="-5"/>
              <w:sz w:val="21"/>
              <w:szCs w:val="21"/>
            </w:rPr>
            <w:fldChar w:fldCharType="end"/>
          </w:r>
        </w:p>
        <w:p w14:paraId="1D0CEC9C">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"bookmark240" </w:instrText>
          </w:r>
          <w:r>
            <w:fldChar w:fldCharType="separate"/>
          </w:r>
          <w:r>
            <w:rPr>
              <w:rFonts w:ascii="宋体" w:hAnsi="宋体" w:eastAsia="宋体" w:cs="宋体"/>
              <w:spacing w:val="-4"/>
              <w:sz w:val="21"/>
              <w:szCs w:val="21"/>
            </w:rPr>
            <w:t>13.3</w:t>
          </w:r>
          <w:r>
            <w:rPr>
              <w:rFonts w:ascii="宋体" w:hAnsi="宋体" w:eastAsia="宋体" w:cs="宋体"/>
              <w:spacing w:val="-43"/>
              <w:sz w:val="21"/>
              <w:szCs w:val="21"/>
            </w:rPr>
            <w:t xml:space="preserve"> </w:t>
          </w:r>
          <w:r>
            <w:rPr>
              <w:rFonts w:ascii="宋体" w:hAnsi="宋体" w:eastAsia="宋体" w:cs="宋体"/>
              <w:spacing w:val="-4"/>
              <w:sz w:val="21"/>
              <w:szCs w:val="21"/>
            </w:rPr>
            <w:t>工程试车</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117</w:t>
          </w:r>
          <w:r>
            <w:rPr>
              <w:rFonts w:ascii="宋体" w:hAnsi="宋体" w:eastAsia="宋体" w:cs="宋体"/>
              <w:spacing w:val="-5"/>
              <w:sz w:val="21"/>
              <w:szCs w:val="21"/>
            </w:rPr>
            <w:fldChar w:fldCharType="end"/>
          </w:r>
        </w:p>
        <w:p w14:paraId="1C040104">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"bookmark241" </w:instrText>
          </w:r>
          <w:r>
            <w:fldChar w:fldCharType="separate"/>
          </w:r>
          <w:r>
            <w:rPr>
              <w:rFonts w:ascii="宋体" w:hAnsi="宋体" w:eastAsia="宋体" w:cs="宋体"/>
              <w:spacing w:val="-2"/>
              <w:sz w:val="21"/>
              <w:szCs w:val="21"/>
            </w:rPr>
            <w:t>13.4</w:t>
          </w:r>
          <w:r>
            <w:rPr>
              <w:rFonts w:ascii="宋体" w:hAnsi="宋体" w:eastAsia="宋体" w:cs="宋体"/>
              <w:spacing w:val="-46"/>
              <w:sz w:val="21"/>
              <w:szCs w:val="21"/>
            </w:rPr>
            <w:t xml:space="preserve"> </w:t>
          </w:r>
          <w:r>
            <w:rPr>
              <w:rFonts w:ascii="宋体" w:hAnsi="宋体" w:eastAsia="宋体" w:cs="宋体"/>
              <w:spacing w:val="-2"/>
              <w:sz w:val="21"/>
              <w:szCs w:val="21"/>
            </w:rPr>
            <w:t>提前交付单位工程的验收</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118</w:t>
          </w:r>
          <w:r>
            <w:rPr>
              <w:rFonts w:ascii="宋体" w:hAnsi="宋体" w:eastAsia="宋体" w:cs="宋体"/>
              <w:spacing w:val="-5"/>
              <w:sz w:val="21"/>
              <w:szCs w:val="21"/>
            </w:rPr>
            <w:fldChar w:fldCharType="end"/>
          </w:r>
        </w:p>
        <w:p w14:paraId="41A11534">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"bookmark242" </w:instrText>
          </w:r>
          <w:r>
            <w:fldChar w:fldCharType="separate"/>
          </w:r>
          <w:r>
            <w:rPr>
              <w:rFonts w:ascii="宋体" w:hAnsi="宋体" w:eastAsia="宋体" w:cs="宋体"/>
              <w:spacing w:val="-3"/>
              <w:sz w:val="21"/>
              <w:szCs w:val="21"/>
            </w:rPr>
            <w:t>13.5 施工期运行</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118</w:t>
          </w:r>
          <w:r>
            <w:rPr>
              <w:rFonts w:ascii="宋体" w:hAnsi="宋体" w:eastAsia="宋体" w:cs="宋体"/>
              <w:spacing w:val="-5"/>
              <w:sz w:val="21"/>
              <w:szCs w:val="21"/>
            </w:rPr>
            <w:fldChar w:fldCharType="end"/>
          </w:r>
        </w:p>
        <w:p w14:paraId="0A470DAF">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"bookmark243" </w:instrText>
          </w:r>
          <w:r>
            <w:fldChar w:fldCharType="separate"/>
          </w:r>
          <w:r>
            <w:rPr>
              <w:rFonts w:ascii="宋体" w:hAnsi="宋体" w:eastAsia="宋体" w:cs="宋体"/>
              <w:spacing w:val="-3"/>
              <w:sz w:val="21"/>
              <w:szCs w:val="21"/>
            </w:rPr>
            <w:t>13.6 竣工退场</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118</w:t>
          </w:r>
          <w:r>
            <w:rPr>
              <w:rFonts w:ascii="宋体" w:hAnsi="宋体" w:eastAsia="宋体" w:cs="宋体"/>
              <w:spacing w:val="-5"/>
              <w:sz w:val="21"/>
              <w:szCs w:val="21"/>
            </w:rPr>
            <w:fldChar w:fldCharType="end"/>
          </w:r>
        </w:p>
        <w:p w14:paraId="2E83E369">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"bookmark244" </w:instrText>
          </w:r>
          <w:r>
            <w:fldChar w:fldCharType="separate"/>
          </w:r>
          <w:r>
            <w:rPr>
              <w:rFonts w:ascii="宋体" w:hAnsi="宋体" w:eastAsia="宋体" w:cs="宋体"/>
              <w:spacing w:val="-5"/>
              <w:sz w:val="21"/>
              <w:szCs w:val="21"/>
            </w:rPr>
            <w:t>14.</w:t>
          </w:r>
          <w:r>
            <w:rPr>
              <w:rFonts w:ascii="宋体" w:hAnsi="宋体" w:eastAsia="宋体" w:cs="宋体"/>
              <w:spacing w:val="12"/>
              <w:sz w:val="21"/>
              <w:szCs w:val="21"/>
            </w:rPr>
            <w:t xml:space="preserve"> </w:t>
          </w:r>
          <w:r>
            <w:rPr>
              <w:rFonts w:ascii="宋体" w:hAnsi="宋体" w:eastAsia="宋体" w:cs="宋体"/>
              <w:spacing w:val="-5"/>
              <w:sz w:val="21"/>
              <w:szCs w:val="21"/>
            </w:rPr>
            <w:t>竣工结算</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69E38485">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"bookmark245" </w:instrText>
          </w:r>
          <w:r>
            <w:fldChar w:fldCharType="separate"/>
          </w:r>
          <w:r>
            <w:rPr>
              <w:rFonts w:ascii="宋体" w:hAnsi="宋体" w:eastAsia="宋体" w:cs="宋体"/>
              <w:spacing w:val="-2"/>
              <w:sz w:val="21"/>
              <w:szCs w:val="21"/>
            </w:rPr>
            <w:t>14.1 竣工结算申请</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76A7C0B6">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"bookmark246" </w:instrText>
          </w:r>
          <w:r>
            <w:fldChar w:fldCharType="separate"/>
          </w:r>
          <w:r>
            <w:rPr>
              <w:rFonts w:ascii="宋体" w:hAnsi="宋体" w:eastAsia="宋体" w:cs="宋体"/>
              <w:spacing w:val="-2"/>
              <w:sz w:val="21"/>
              <w:szCs w:val="21"/>
            </w:rPr>
            <w:t>14.2 竣工结算审核</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446C27FE">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"bookmark247" </w:instrText>
          </w:r>
          <w:r>
            <w:fldChar w:fldCharType="separate"/>
          </w:r>
          <w:r>
            <w:rPr>
              <w:rFonts w:ascii="宋体" w:hAnsi="宋体" w:eastAsia="宋体" w:cs="宋体"/>
              <w:spacing w:val="-2"/>
              <w:sz w:val="21"/>
              <w:szCs w:val="21"/>
            </w:rPr>
            <w:t>14.3 甩项竣工协议</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119</w:t>
          </w:r>
          <w:r>
            <w:rPr>
              <w:rFonts w:ascii="宋体" w:hAnsi="宋体" w:eastAsia="宋体" w:cs="宋体"/>
              <w:spacing w:val="-5"/>
              <w:sz w:val="21"/>
              <w:szCs w:val="21"/>
            </w:rPr>
            <w:fldChar w:fldCharType="end"/>
          </w:r>
        </w:p>
        <w:p w14:paraId="49BA3BD7">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"bookmark248" </w:instrText>
          </w:r>
          <w:r>
            <w:fldChar w:fldCharType="separate"/>
          </w:r>
          <w:r>
            <w:rPr>
              <w:rFonts w:ascii="宋体" w:hAnsi="宋体" w:eastAsia="宋体" w:cs="宋体"/>
              <w:spacing w:val="-3"/>
              <w:sz w:val="21"/>
              <w:szCs w:val="21"/>
            </w:rPr>
            <w:t>14.4 最终结清</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120</w:t>
          </w:r>
          <w:r>
            <w:rPr>
              <w:rFonts w:ascii="宋体" w:hAnsi="宋体" w:eastAsia="宋体" w:cs="宋体"/>
              <w:spacing w:val="-5"/>
              <w:sz w:val="21"/>
              <w:szCs w:val="21"/>
            </w:rPr>
            <w:fldChar w:fldCharType="end"/>
          </w:r>
        </w:p>
        <w:p w14:paraId="546836A5">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"bookmark249" </w:instrText>
          </w:r>
          <w:r>
            <w:fldChar w:fldCharType="separate"/>
          </w:r>
          <w:r>
            <w:rPr>
              <w:rFonts w:ascii="宋体" w:hAnsi="宋体" w:eastAsia="宋体" w:cs="宋体"/>
              <w:spacing w:val="-2"/>
              <w:sz w:val="21"/>
              <w:szCs w:val="21"/>
            </w:rPr>
            <w:t>15. 缺陷责任与保修</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120</w:t>
          </w:r>
          <w:r>
            <w:rPr>
              <w:rFonts w:ascii="宋体" w:hAnsi="宋体" w:eastAsia="宋体" w:cs="宋体"/>
              <w:spacing w:val="-5"/>
              <w:sz w:val="21"/>
              <w:szCs w:val="21"/>
            </w:rPr>
            <w:fldChar w:fldCharType="end"/>
          </w:r>
        </w:p>
        <w:p w14:paraId="7E36B267">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"bookmark250" </w:instrText>
          </w:r>
          <w:r>
            <w:fldChar w:fldCharType="separate"/>
          </w:r>
          <w:r>
            <w:rPr>
              <w:rFonts w:ascii="宋体" w:hAnsi="宋体" w:eastAsia="宋体" w:cs="宋体"/>
              <w:spacing w:val="-2"/>
              <w:sz w:val="21"/>
              <w:szCs w:val="21"/>
            </w:rPr>
            <w:t>15.1 工程保修的原则</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120</w:t>
          </w:r>
          <w:r>
            <w:rPr>
              <w:rFonts w:ascii="宋体" w:hAnsi="宋体" w:eastAsia="宋体" w:cs="宋体"/>
              <w:spacing w:val="-5"/>
              <w:sz w:val="21"/>
              <w:szCs w:val="21"/>
            </w:rPr>
            <w:fldChar w:fldCharType="end"/>
          </w:r>
        </w:p>
        <w:p w14:paraId="04326B6B">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"bookmark251" </w:instrText>
          </w:r>
          <w:r>
            <w:fldChar w:fldCharType="separate"/>
          </w:r>
          <w:r>
            <w:rPr>
              <w:rFonts w:ascii="宋体" w:hAnsi="宋体" w:eastAsia="宋体" w:cs="宋体"/>
              <w:spacing w:val="-3"/>
              <w:sz w:val="21"/>
              <w:szCs w:val="21"/>
            </w:rPr>
            <w:t>15.2 缺陷责任期</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120</w:t>
          </w:r>
          <w:r>
            <w:rPr>
              <w:rFonts w:ascii="宋体" w:hAnsi="宋体" w:eastAsia="宋体" w:cs="宋体"/>
              <w:spacing w:val="-5"/>
              <w:sz w:val="21"/>
              <w:szCs w:val="21"/>
            </w:rPr>
            <w:fldChar w:fldCharType="end"/>
          </w:r>
        </w:p>
        <w:p w14:paraId="6ED93471">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"bookmark252" </w:instrText>
          </w:r>
          <w:r>
            <w:fldChar w:fldCharType="separate"/>
          </w:r>
          <w:r>
            <w:rPr>
              <w:rFonts w:ascii="宋体" w:hAnsi="宋体" w:eastAsia="宋体" w:cs="宋体"/>
              <w:spacing w:val="-3"/>
              <w:sz w:val="21"/>
              <w:szCs w:val="21"/>
            </w:rPr>
            <w:t>15.3 质量保证金</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121</w:t>
          </w:r>
          <w:r>
            <w:rPr>
              <w:rFonts w:ascii="宋体" w:hAnsi="宋体" w:eastAsia="宋体" w:cs="宋体"/>
              <w:spacing w:val="-5"/>
              <w:sz w:val="21"/>
              <w:szCs w:val="21"/>
            </w:rPr>
            <w:fldChar w:fldCharType="end"/>
          </w:r>
        </w:p>
        <w:p w14:paraId="59532D57">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"bookmark253" </w:instrText>
          </w:r>
          <w:r>
            <w:fldChar w:fldCharType="separate"/>
          </w:r>
          <w:r>
            <w:rPr>
              <w:rFonts w:ascii="宋体" w:hAnsi="宋体" w:eastAsia="宋体" w:cs="宋体"/>
              <w:spacing w:val="-5"/>
              <w:sz w:val="21"/>
              <w:szCs w:val="21"/>
            </w:rPr>
            <w:t>15.4</w:t>
          </w:r>
          <w:r>
            <w:rPr>
              <w:rFonts w:ascii="宋体" w:hAnsi="宋体" w:eastAsia="宋体" w:cs="宋体"/>
              <w:spacing w:val="8"/>
              <w:sz w:val="21"/>
              <w:szCs w:val="21"/>
            </w:rPr>
            <w:t xml:space="preserve"> </w:t>
          </w:r>
          <w:r>
            <w:rPr>
              <w:rFonts w:ascii="宋体" w:hAnsi="宋体" w:eastAsia="宋体" w:cs="宋体"/>
              <w:spacing w:val="-5"/>
              <w:sz w:val="21"/>
              <w:szCs w:val="21"/>
            </w:rPr>
            <w:t>保修</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122</w:t>
          </w:r>
          <w:r>
            <w:rPr>
              <w:rFonts w:ascii="宋体" w:hAnsi="宋体" w:eastAsia="宋体" w:cs="宋体"/>
              <w:spacing w:val="-5"/>
              <w:sz w:val="21"/>
              <w:szCs w:val="21"/>
            </w:rPr>
            <w:fldChar w:fldCharType="end"/>
          </w:r>
        </w:p>
        <w:p w14:paraId="3C49D249">
          <w:pPr>
            <w:tabs>
              <w:tab w:val="right" w:leader="dot" w:pos="8315"/>
            </w:tabs>
            <w:spacing w:before="61" w:line="226" w:lineRule="auto"/>
            <w:ind w:left="458"/>
            <w:rPr>
              <w:rFonts w:ascii="宋体" w:hAnsi="宋体" w:eastAsia="宋体" w:cs="宋体"/>
              <w:sz w:val="21"/>
              <w:szCs w:val="21"/>
            </w:rPr>
          </w:pPr>
          <w:r>
            <w:fldChar w:fldCharType="begin"/>
          </w:r>
          <w:r>
            <w:instrText xml:space="preserve"> HYPERLINK \l "bookmark254" </w:instrText>
          </w:r>
          <w:r>
            <w:fldChar w:fldCharType="separate"/>
          </w:r>
          <w:r>
            <w:rPr>
              <w:rFonts w:ascii="宋体" w:hAnsi="宋体" w:eastAsia="宋体" w:cs="宋体"/>
              <w:spacing w:val="-7"/>
              <w:sz w:val="21"/>
              <w:szCs w:val="21"/>
            </w:rPr>
            <w:t>16.</w:t>
          </w:r>
          <w:r>
            <w:rPr>
              <w:rFonts w:ascii="宋体" w:hAnsi="宋体" w:eastAsia="宋体" w:cs="宋体"/>
              <w:spacing w:val="12"/>
              <w:sz w:val="21"/>
              <w:szCs w:val="21"/>
            </w:rPr>
            <w:t xml:space="preserve"> </w:t>
          </w:r>
          <w:r>
            <w:rPr>
              <w:rFonts w:ascii="宋体" w:hAnsi="宋体" w:eastAsia="宋体" w:cs="宋体"/>
              <w:spacing w:val="-7"/>
              <w:sz w:val="21"/>
              <w:szCs w:val="21"/>
            </w:rPr>
            <w:t>违约</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122</w:t>
          </w:r>
          <w:r>
            <w:rPr>
              <w:rFonts w:ascii="宋体" w:hAnsi="宋体" w:eastAsia="宋体" w:cs="宋体"/>
              <w:spacing w:val="-5"/>
              <w:sz w:val="21"/>
              <w:szCs w:val="21"/>
            </w:rPr>
            <w:fldChar w:fldCharType="end"/>
          </w:r>
        </w:p>
        <w:p w14:paraId="66FCFB31">
          <w:pPr>
            <w:tabs>
              <w:tab w:val="right" w:leader="dot" w:pos="8315"/>
            </w:tabs>
            <w:spacing w:before="56" w:line="221" w:lineRule="auto"/>
            <w:ind w:left="878"/>
            <w:rPr>
              <w:rFonts w:ascii="宋体" w:hAnsi="宋体" w:eastAsia="宋体" w:cs="宋体"/>
              <w:sz w:val="21"/>
              <w:szCs w:val="21"/>
            </w:rPr>
          </w:pPr>
          <w:r>
            <w:fldChar w:fldCharType="begin"/>
          </w:r>
          <w:r>
            <w:instrText xml:space="preserve"> HYPERLINK \l "bookmark255" </w:instrText>
          </w:r>
          <w:r>
            <w:fldChar w:fldCharType="separate"/>
          </w:r>
          <w:r>
            <w:rPr>
              <w:rFonts w:ascii="宋体" w:hAnsi="宋体" w:eastAsia="宋体" w:cs="宋体"/>
              <w:spacing w:val="-3"/>
              <w:sz w:val="21"/>
              <w:szCs w:val="21"/>
            </w:rPr>
            <w:t>16.1 发包人违约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122</w:t>
          </w:r>
          <w:r>
            <w:rPr>
              <w:rFonts w:ascii="宋体" w:hAnsi="宋体" w:eastAsia="宋体" w:cs="宋体"/>
              <w:spacing w:val="-5"/>
              <w:sz w:val="21"/>
              <w:szCs w:val="21"/>
            </w:rPr>
            <w:fldChar w:fldCharType="end"/>
          </w:r>
        </w:p>
        <w:p w14:paraId="3FAAD1D0">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"bookmark256" </w:instrText>
          </w:r>
          <w:r>
            <w:fldChar w:fldCharType="separate"/>
          </w:r>
          <w:r>
            <w:rPr>
              <w:rFonts w:ascii="宋体" w:hAnsi="宋体" w:eastAsia="宋体" w:cs="宋体"/>
              <w:spacing w:val="-3"/>
              <w:sz w:val="21"/>
              <w:szCs w:val="21"/>
            </w:rPr>
            <w:t>16.2 承包人违约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124</w:t>
          </w:r>
          <w:r>
            <w:rPr>
              <w:rFonts w:ascii="宋体" w:hAnsi="宋体" w:eastAsia="宋体" w:cs="宋体"/>
              <w:spacing w:val="-5"/>
              <w:sz w:val="21"/>
              <w:szCs w:val="21"/>
            </w:rPr>
            <w:fldChar w:fldCharType="end"/>
          </w:r>
        </w:p>
        <w:p w14:paraId="758F78AA">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"bookmark257" </w:instrText>
          </w:r>
          <w:r>
            <w:fldChar w:fldCharType="separate"/>
          </w:r>
          <w:r>
            <w:rPr>
              <w:rFonts w:ascii="宋体" w:hAnsi="宋体" w:eastAsia="宋体" w:cs="宋体"/>
              <w:spacing w:val="-2"/>
              <w:sz w:val="21"/>
              <w:szCs w:val="21"/>
            </w:rPr>
            <w:t>16.3 第三人造成的违约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p w14:paraId="415B9AF0">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"bookmark258" </w:instrText>
          </w:r>
          <w:r>
            <w:fldChar w:fldCharType="separate"/>
          </w:r>
          <w:r>
            <w:rPr>
              <w:rFonts w:ascii="宋体" w:hAnsi="宋体" w:eastAsia="宋体" w:cs="宋体"/>
              <w:spacing w:val="-5"/>
              <w:sz w:val="21"/>
              <w:szCs w:val="21"/>
            </w:rPr>
            <w:t>17.</w:t>
          </w:r>
          <w:r>
            <w:rPr>
              <w:rFonts w:ascii="宋体" w:hAnsi="宋体" w:eastAsia="宋体" w:cs="宋体"/>
              <w:spacing w:val="12"/>
              <w:sz w:val="21"/>
              <w:szCs w:val="21"/>
            </w:rPr>
            <w:t xml:space="preserve"> </w:t>
          </w:r>
          <w:r>
            <w:rPr>
              <w:rFonts w:ascii="宋体" w:hAnsi="宋体" w:eastAsia="宋体" w:cs="宋体"/>
              <w:spacing w:val="-5"/>
              <w:sz w:val="21"/>
              <w:szCs w:val="21"/>
            </w:rPr>
            <w:t>不可抗力</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p w14:paraId="169436FD">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"bookmark259" </w:instrText>
          </w:r>
          <w:r>
            <w:fldChar w:fldCharType="separate"/>
          </w:r>
          <w:r>
            <w:rPr>
              <w:rFonts w:ascii="宋体" w:hAnsi="宋体" w:eastAsia="宋体" w:cs="宋体"/>
              <w:spacing w:val="-2"/>
              <w:sz w:val="21"/>
              <w:szCs w:val="21"/>
            </w:rPr>
            <w:t>17.1 不可抗力的确认</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sdtContent>
    </w:sdt>
    <w:p w14:paraId="39B7BF4B">
      <w:pPr>
        <w:spacing w:line="221" w:lineRule="auto"/>
        <w:rPr>
          <w:rFonts w:ascii="宋体" w:hAnsi="宋体" w:eastAsia="宋体" w:cs="宋体"/>
          <w:sz w:val="21"/>
          <w:szCs w:val="21"/>
        </w:rPr>
        <w:sectPr>
          <w:footerReference r:id="rId11"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83427"/>
        <w:docPartObj>
          <w:docPartGallery w:val="Table of Contents"/>
          <w:docPartUnique/>
        </w:docPartObj>
      </w:sdtPr>
      <w:sdtEndPr>
        <w:rPr>
          <w:rFonts w:ascii="宋体" w:hAnsi="宋体" w:eastAsia="宋体" w:cs="宋体"/>
          <w:sz w:val="21"/>
          <w:szCs w:val="21"/>
        </w:rPr>
      </w:sdtEndPr>
      <w:sdtContent>
        <w:p w14:paraId="4C168122">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"bookmark260" </w:instrText>
          </w:r>
          <w:r>
            <w:fldChar w:fldCharType="separate"/>
          </w:r>
          <w:r>
            <w:rPr>
              <w:rFonts w:ascii="宋体" w:hAnsi="宋体" w:eastAsia="宋体" w:cs="宋体"/>
              <w:spacing w:val="-2"/>
              <w:sz w:val="21"/>
              <w:szCs w:val="21"/>
            </w:rPr>
            <w:t>17.2 不可抗力的通知</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p w14:paraId="06B46855">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"bookmark261" </w:instrText>
          </w:r>
          <w:r>
            <w:fldChar w:fldCharType="separate"/>
          </w:r>
          <w:r>
            <w:rPr>
              <w:rFonts w:ascii="宋体" w:hAnsi="宋体" w:eastAsia="宋体" w:cs="宋体"/>
              <w:spacing w:val="-2"/>
              <w:sz w:val="21"/>
              <w:szCs w:val="21"/>
            </w:rPr>
            <w:t>17.3 不可抗力后果的承担</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125</w:t>
          </w:r>
          <w:r>
            <w:rPr>
              <w:rFonts w:ascii="宋体" w:hAnsi="宋体" w:eastAsia="宋体" w:cs="宋体"/>
              <w:spacing w:val="-5"/>
              <w:sz w:val="21"/>
              <w:szCs w:val="21"/>
            </w:rPr>
            <w:fldChar w:fldCharType="end"/>
          </w:r>
        </w:p>
        <w:p w14:paraId="37D9C1CD">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"bookmark262" </w:instrText>
          </w:r>
          <w:r>
            <w:fldChar w:fldCharType="separate"/>
          </w:r>
          <w:r>
            <w:rPr>
              <w:rFonts w:ascii="宋体" w:hAnsi="宋体" w:eastAsia="宋体" w:cs="宋体"/>
              <w:spacing w:val="-4"/>
              <w:sz w:val="21"/>
              <w:szCs w:val="21"/>
            </w:rPr>
            <w:t>17.4</w:t>
          </w:r>
          <w:r>
            <w:rPr>
              <w:rFonts w:ascii="宋体" w:hAnsi="宋体" w:eastAsia="宋体" w:cs="宋体"/>
              <w:spacing w:val="29"/>
              <w:sz w:val="21"/>
              <w:szCs w:val="21"/>
            </w:rPr>
            <w:t xml:space="preserve"> </w:t>
          </w:r>
          <w:r>
            <w:rPr>
              <w:rFonts w:ascii="宋体" w:hAnsi="宋体" w:eastAsia="宋体" w:cs="宋体"/>
              <w:spacing w:val="-4"/>
              <w:sz w:val="21"/>
              <w:szCs w:val="21"/>
            </w:rPr>
            <w:t>因不可抗力解除合同</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71DA43AA">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"bookmark263" </w:instrText>
          </w:r>
          <w:r>
            <w:fldChar w:fldCharType="separate"/>
          </w:r>
          <w:r>
            <w:rPr>
              <w:rFonts w:ascii="宋体" w:hAnsi="宋体" w:eastAsia="宋体" w:cs="宋体"/>
              <w:spacing w:val="-7"/>
              <w:sz w:val="21"/>
              <w:szCs w:val="21"/>
            </w:rPr>
            <w:t>18.</w:t>
          </w:r>
          <w:r>
            <w:rPr>
              <w:rFonts w:ascii="宋体" w:hAnsi="宋体" w:eastAsia="宋体" w:cs="宋体"/>
              <w:spacing w:val="12"/>
              <w:sz w:val="21"/>
              <w:szCs w:val="21"/>
            </w:rPr>
            <w:t xml:space="preserve"> </w:t>
          </w:r>
          <w:r>
            <w:rPr>
              <w:rFonts w:ascii="宋体" w:hAnsi="宋体" w:eastAsia="宋体" w:cs="宋体"/>
              <w:spacing w:val="-7"/>
              <w:sz w:val="21"/>
              <w:szCs w:val="21"/>
            </w:rPr>
            <w:t>保险</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432D8816">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"bookmark264" </w:instrText>
          </w:r>
          <w:r>
            <w:fldChar w:fldCharType="separate"/>
          </w:r>
          <w:r>
            <w:rPr>
              <w:rFonts w:ascii="宋体" w:hAnsi="宋体" w:eastAsia="宋体" w:cs="宋体"/>
              <w:spacing w:val="-3"/>
              <w:sz w:val="21"/>
              <w:szCs w:val="21"/>
            </w:rPr>
            <w:t>18.1 工程保险</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227591E9">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"bookmark265" </w:instrText>
          </w:r>
          <w:r>
            <w:fldChar w:fldCharType="separate"/>
          </w:r>
          <w:r>
            <w:rPr>
              <w:rFonts w:ascii="宋体" w:hAnsi="宋体" w:eastAsia="宋体" w:cs="宋体"/>
              <w:spacing w:val="-3"/>
              <w:sz w:val="21"/>
              <w:szCs w:val="21"/>
            </w:rPr>
            <w:t>18.2 工伤保险</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16F4374A">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"bookmark266" </w:instrText>
          </w:r>
          <w:r>
            <w:fldChar w:fldCharType="separate"/>
          </w:r>
          <w:r>
            <w:rPr>
              <w:rFonts w:ascii="宋体" w:hAnsi="宋体" w:eastAsia="宋体" w:cs="宋体"/>
              <w:spacing w:val="-4"/>
              <w:sz w:val="21"/>
              <w:szCs w:val="21"/>
            </w:rPr>
            <w:t>18.3</w:t>
          </w:r>
          <w:r>
            <w:rPr>
              <w:rFonts w:ascii="宋体" w:hAnsi="宋体" w:eastAsia="宋体" w:cs="宋体"/>
              <w:spacing w:val="-43"/>
              <w:sz w:val="21"/>
              <w:szCs w:val="21"/>
            </w:rPr>
            <w:t xml:space="preserve"> </w:t>
          </w:r>
          <w:r>
            <w:rPr>
              <w:rFonts w:ascii="宋体" w:hAnsi="宋体" w:eastAsia="宋体" w:cs="宋体"/>
              <w:spacing w:val="-4"/>
              <w:sz w:val="21"/>
              <w:szCs w:val="21"/>
            </w:rPr>
            <w:t>其他保险</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126</w:t>
          </w:r>
          <w:r>
            <w:rPr>
              <w:rFonts w:ascii="宋体" w:hAnsi="宋体" w:eastAsia="宋体" w:cs="宋体"/>
              <w:spacing w:val="-5"/>
              <w:sz w:val="21"/>
              <w:szCs w:val="21"/>
            </w:rPr>
            <w:fldChar w:fldCharType="end"/>
          </w:r>
        </w:p>
        <w:p w14:paraId="0858BC77">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"bookmark267" </w:instrText>
          </w:r>
          <w:r>
            <w:fldChar w:fldCharType="separate"/>
          </w:r>
          <w:r>
            <w:rPr>
              <w:rFonts w:ascii="宋体" w:hAnsi="宋体" w:eastAsia="宋体" w:cs="宋体"/>
              <w:spacing w:val="-4"/>
              <w:sz w:val="21"/>
              <w:szCs w:val="21"/>
            </w:rPr>
            <w:t>18.4</w:t>
          </w:r>
          <w:r>
            <w:rPr>
              <w:rFonts w:ascii="宋体" w:hAnsi="宋体" w:eastAsia="宋体" w:cs="宋体"/>
              <w:spacing w:val="-43"/>
              <w:sz w:val="21"/>
              <w:szCs w:val="21"/>
            </w:rPr>
            <w:t xml:space="preserve"> </w:t>
          </w:r>
          <w:r>
            <w:rPr>
              <w:rFonts w:ascii="宋体" w:hAnsi="宋体" w:eastAsia="宋体" w:cs="宋体"/>
              <w:spacing w:val="-4"/>
              <w:sz w:val="21"/>
              <w:szCs w:val="21"/>
            </w:rPr>
            <w:t>持续保险</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331840BB">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"bookmark268" </w:instrText>
          </w:r>
          <w:r>
            <w:fldChar w:fldCharType="separate"/>
          </w:r>
          <w:r>
            <w:rPr>
              <w:rFonts w:ascii="宋体" w:hAnsi="宋体" w:eastAsia="宋体" w:cs="宋体"/>
              <w:spacing w:val="-3"/>
              <w:sz w:val="21"/>
              <w:szCs w:val="21"/>
            </w:rPr>
            <w:t>18.5 保险凭证</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7264441E">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"bookmark269" </w:instrText>
          </w:r>
          <w:r>
            <w:fldChar w:fldCharType="separate"/>
          </w:r>
          <w:r>
            <w:rPr>
              <w:rFonts w:ascii="宋体" w:hAnsi="宋体" w:eastAsia="宋体" w:cs="宋体"/>
              <w:spacing w:val="-2"/>
              <w:sz w:val="21"/>
              <w:szCs w:val="21"/>
            </w:rPr>
            <w:t>18.6 未按约定投保的补救</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7527B951">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"bookmark270" </w:instrText>
          </w:r>
          <w:r>
            <w:fldChar w:fldCharType="separate"/>
          </w:r>
          <w:r>
            <w:rPr>
              <w:rFonts w:ascii="宋体" w:hAnsi="宋体" w:eastAsia="宋体" w:cs="宋体"/>
              <w:spacing w:val="-3"/>
              <w:sz w:val="21"/>
              <w:szCs w:val="21"/>
            </w:rPr>
            <w:t>18.7 通知义务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54F45A27">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"bookmark271" </w:instrText>
          </w:r>
          <w:r>
            <w:fldChar w:fldCharType="separate"/>
          </w:r>
          <w:r>
            <w:rPr>
              <w:rFonts w:ascii="宋体" w:hAnsi="宋体" w:eastAsia="宋体" w:cs="宋体"/>
              <w:spacing w:val="-7"/>
              <w:sz w:val="21"/>
              <w:szCs w:val="21"/>
            </w:rPr>
            <w:t>19.</w:t>
          </w:r>
          <w:r>
            <w:rPr>
              <w:rFonts w:ascii="宋体" w:hAnsi="宋体" w:eastAsia="宋体" w:cs="宋体"/>
              <w:spacing w:val="13"/>
              <w:sz w:val="21"/>
              <w:szCs w:val="21"/>
            </w:rPr>
            <w:t xml:space="preserve"> </w:t>
          </w:r>
          <w:r>
            <w:rPr>
              <w:rFonts w:ascii="宋体" w:hAnsi="宋体" w:eastAsia="宋体" w:cs="宋体"/>
              <w:spacing w:val="-7"/>
              <w:sz w:val="21"/>
              <w:szCs w:val="21"/>
            </w:rPr>
            <w:t>索赔</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04415F55">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"bookmark272" </w:instrText>
          </w:r>
          <w:r>
            <w:fldChar w:fldCharType="separate"/>
          </w:r>
          <w:r>
            <w:rPr>
              <w:rFonts w:ascii="宋体" w:hAnsi="宋体" w:eastAsia="宋体" w:cs="宋体"/>
              <w:spacing w:val="-3"/>
              <w:sz w:val="21"/>
              <w:szCs w:val="21"/>
            </w:rPr>
            <w:t>19.1</w:t>
          </w:r>
          <w:r>
            <w:rPr>
              <w:rFonts w:ascii="宋体" w:hAnsi="宋体" w:eastAsia="宋体" w:cs="宋体"/>
              <w:spacing w:val="-45"/>
              <w:sz w:val="21"/>
              <w:szCs w:val="21"/>
            </w:rPr>
            <w:t xml:space="preserve"> </w:t>
          </w:r>
          <w:r>
            <w:rPr>
              <w:rFonts w:ascii="宋体" w:hAnsi="宋体" w:eastAsia="宋体" w:cs="宋体"/>
              <w:spacing w:val="-3"/>
              <w:sz w:val="21"/>
              <w:szCs w:val="21"/>
            </w:rPr>
            <w:t>承包人的索赔</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61C62414">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"bookmark273" </w:instrText>
          </w:r>
          <w:r>
            <w:fldChar w:fldCharType="separate"/>
          </w:r>
          <w:r>
            <w:rPr>
              <w:rFonts w:ascii="宋体" w:hAnsi="宋体" w:eastAsia="宋体" w:cs="宋体"/>
              <w:spacing w:val="-2"/>
              <w:sz w:val="21"/>
              <w:szCs w:val="21"/>
            </w:rPr>
            <w:t>19.2 对承包人索赔的处理</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127</w:t>
          </w:r>
          <w:r>
            <w:rPr>
              <w:rFonts w:ascii="宋体" w:hAnsi="宋体" w:eastAsia="宋体" w:cs="宋体"/>
              <w:spacing w:val="-5"/>
              <w:sz w:val="21"/>
              <w:szCs w:val="21"/>
            </w:rPr>
            <w:fldChar w:fldCharType="end"/>
          </w:r>
        </w:p>
        <w:p w14:paraId="1B314810">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"bookmark274" </w:instrText>
          </w:r>
          <w:r>
            <w:fldChar w:fldCharType="separate"/>
          </w:r>
          <w:r>
            <w:rPr>
              <w:rFonts w:ascii="宋体" w:hAnsi="宋体" w:eastAsia="宋体" w:cs="宋体"/>
              <w:spacing w:val="-4"/>
              <w:sz w:val="21"/>
              <w:szCs w:val="21"/>
            </w:rPr>
            <w:t>19.3</w:t>
          </w:r>
          <w:r>
            <w:rPr>
              <w:rFonts w:ascii="宋体" w:hAnsi="宋体" w:eastAsia="宋体" w:cs="宋体"/>
              <w:spacing w:val="-35"/>
              <w:sz w:val="21"/>
              <w:szCs w:val="21"/>
            </w:rPr>
            <w:t xml:space="preserve"> </w:t>
          </w:r>
          <w:r>
            <w:rPr>
              <w:rFonts w:ascii="宋体" w:hAnsi="宋体" w:eastAsia="宋体" w:cs="宋体"/>
              <w:spacing w:val="-4"/>
              <w:sz w:val="21"/>
              <w:szCs w:val="21"/>
            </w:rPr>
            <w:t>发包人的索赔</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2993B38F">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"bookmark275" </w:instrText>
          </w:r>
          <w:r>
            <w:fldChar w:fldCharType="separate"/>
          </w:r>
          <w:r>
            <w:rPr>
              <w:rFonts w:ascii="宋体" w:hAnsi="宋体" w:eastAsia="宋体" w:cs="宋体"/>
              <w:spacing w:val="-2"/>
              <w:sz w:val="21"/>
              <w:szCs w:val="21"/>
            </w:rPr>
            <w:t>19.4 对发包人索赔的处理</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618E036B">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"bookmark276" </w:instrText>
          </w:r>
          <w:r>
            <w:fldChar w:fldCharType="separate"/>
          </w:r>
          <w:r>
            <w:rPr>
              <w:rFonts w:ascii="宋体" w:hAnsi="宋体" w:eastAsia="宋体" w:cs="宋体"/>
              <w:spacing w:val="-2"/>
              <w:sz w:val="21"/>
              <w:szCs w:val="21"/>
            </w:rPr>
            <w:t>19.5 提出索赔的期限</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02B77A29">
          <w:pPr>
            <w:tabs>
              <w:tab w:val="right" w:leader="dot" w:pos="8315"/>
            </w:tabs>
            <w:spacing w:before="61" w:line="221" w:lineRule="auto"/>
            <w:ind w:left="445"/>
            <w:rPr>
              <w:rFonts w:ascii="宋体" w:hAnsi="宋体" w:eastAsia="宋体" w:cs="宋体"/>
              <w:sz w:val="21"/>
              <w:szCs w:val="21"/>
            </w:rPr>
          </w:pPr>
          <w:r>
            <w:fldChar w:fldCharType="begin"/>
          </w:r>
          <w:r>
            <w:instrText xml:space="preserve"> HYPERLINK \l "bookmark277" </w:instrText>
          </w:r>
          <w:r>
            <w:fldChar w:fldCharType="separate"/>
          </w:r>
          <w:r>
            <w:rPr>
              <w:rFonts w:ascii="宋体" w:hAnsi="宋体" w:eastAsia="宋体" w:cs="宋体"/>
              <w:spacing w:val="-4"/>
              <w:sz w:val="21"/>
              <w:szCs w:val="21"/>
            </w:rPr>
            <w:t>20.</w:t>
          </w:r>
          <w:r>
            <w:rPr>
              <w:rFonts w:ascii="宋体" w:hAnsi="宋体" w:eastAsia="宋体" w:cs="宋体"/>
              <w:spacing w:val="18"/>
              <w:sz w:val="21"/>
              <w:szCs w:val="21"/>
            </w:rPr>
            <w:t xml:space="preserve"> </w:t>
          </w:r>
          <w:r>
            <w:rPr>
              <w:rFonts w:ascii="宋体" w:hAnsi="宋体" w:eastAsia="宋体" w:cs="宋体"/>
              <w:spacing w:val="-4"/>
              <w:sz w:val="21"/>
              <w:szCs w:val="21"/>
            </w:rPr>
            <w:t>争议解决</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30574267">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"bookmark278" </w:instrText>
          </w:r>
          <w:r>
            <w:fldChar w:fldCharType="separate"/>
          </w:r>
          <w:r>
            <w:rPr>
              <w:rFonts w:ascii="宋体" w:hAnsi="宋体" w:eastAsia="宋体" w:cs="宋体"/>
              <w:spacing w:val="-3"/>
              <w:sz w:val="21"/>
              <w:szCs w:val="21"/>
            </w:rPr>
            <w:t>20.1</w:t>
          </w:r>
          <w:r>
            <w:rPr>
              <w:rFonts w:ascii="宋体" w:hAnsi="宋体" w:eastAsia="宋体" w:cs="宋体"/>
              <w:spacing w:val="-44"/>
              <w:sz w:val="21"/>
              <w:szCs w:val="21"/>
            </w:rPr>
            <w:t xml:space="preserve"> </w:t>
          </w:r>
          <w:r>
            <w:rPr>
              <w:rFonts w:ascii="宋体" w:hAnsi="宋体" w:eastAsia="宋体" w:cs="宋体"/>
              <w:spacing w:val="-3"/>
              <w:sz w:val="21"/>
              <w:szCs w:val="21"/>
            </w:rPr>
            <w:t>和解</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5C66FEE7">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"bookmark279" </w:instrText>
          </w:r>
          <w:r>
            <w:fldChar w:fldCharType="separate"/>
          </w:r>
          <w:r>
            <w:rPr>
              <w:rFonts w:ascii="宋体" w:hAnsi="宋体" w:eastAsia="宋体" w:cs="宋体"/>
              <w:spacing w:val="-3"/>
              <w:sz w:val="21"/>
              <w:szCs w:val="21"/>
            </w:rPr>
            <w:t>20.2</w:t>
          </w:r>
          <w:r>
            <w:rPr>
              <w:rFonts w:ascii="宋体" w:hAnsi="宋体" w:eastAsia="宋体" w:cs="宋体"/>
              <w:spacing w:val="-44"/>
              <w:sz w:val="21"/>
              <w:szCs w:val="21"/>
            </w:rPr>
            <w:t xml:space="preserve"> </w:t>
          </w:r>
          <w:r>
            <w:rPr>
              <w:rFonts w:ascii="宋体" w:hAnsi="宋体" w:eastAsia="宋体" w:cs="宋体"/>
              <w:spacing w:val="-3"/>
              <w:sz w:val="21"/>
              <w:szCs w:val="21"/>
            </w:rPr>
            <w:t>调解</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4690E02A">
          <w:pPr>
            <w:tabs>
              <w:tab w:val="right" w:leader="dot" w:pos="8315"/>
            </w:tabs>
            <w:spacing w:before="59" w:line="221" w:lineRule="auto"/>
            <w:ind w:left="865"/>
            <w:rPr>
              <w:rFonts w:ascii="宋体" w:hAnsi="宋体" w:eastAsia="宋体" w:cs="宋体"/>
              <w:sz w:val="21"/>
              <w:szCs w:val="21"/>
            </w:rPr>
          </w:pPr>
          <w:r>
            <w:fldChar w:fldCharType="begin"/>
          </w:r>
          <w:r>
            <w:instrText xml:space="preserve"> HYPERLINK \l "bookmark280" </w:instrText>
          </w:r>
          <w:r>
            <w:fldChar w:fldCharType="separate"/>
          </w:r>
          <w:r>
            <w:rPr>
              <w:rFonts w:ascii="宋体" w:hAnsi="宋体" w:eastAsia="宋体" w:cs="宋体"/>
              <w:spacing w:val="-3"/>
              <w:sz w:val="21"/>
              <w:szCs w:val="21"/>
            </w:rPr>
            <w:t>20.3</w:t>
          </w:r>
          <w:r>
            <w:rPr>
              <w:rFonts w:ascii="宋体" w:hAnsi="宋体" w:eastAsia="宋体" w:cs="宋体"/>
              <w:spacing w:val="-38"/>
              <w:sz w:val="21"/>
              <w:szCs w:val="21"/>
            </w:rPr>
            <w:t xml:space="preserve"> </w:t>
          </w:r>
          <w:r>
            <w:rPr>
              <w:rFonts w:ascii="宋体" w:hAnsi="宋体" w:eastAsia="宋体" w:cs="宋体"/>
              <w:spacing w:val="-3"/>
              <w:sz w:val="21"/>
              <w:szCs w:val="21"/>
            </w:rPr>
            <w:t>争议评审</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128</w:t>
          </w:r>
          <w:r>
            <w:rPr>
              <w:rFonts w:ascii="宋体" w:hAnsi="宋体" w:eastAsia="宋体" w:cs="宋体"/>
              <w:spacing w:val="-5"/>
              <w:sz w:val="21"/>
              <w:szCs w:val="21"/>
            </w:rPr>
            <w:fldChar w:fldCharType="end"/>
          </w:r>
        </w:p>
        <w:p w14:paraId="5276B99C">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"bookmark281" </w:instrText>
          </w:r>
          <w:r>
            <w:fldChar w:fldCharType="separate"/>
          </w:r>
          <w:r>
            <w:rPr>
              <w:rFonts w:ascii="宋体" w:hAnsi="宋体" w:eastAsia="宋体" w:cs="宋体"/>
              <w:spacing w:val="-2"/>
              <w:sz w:val="21"/>
              <w:szCs w:val="21"/>
            </w:rPr>
            <w:t>20.4</w:t>
          </w:r>
          <w:r>
            <w:rPr>
              <w:rFonts w:ascii="宋体" w:hAnsi="宋体" w:eastAsia="宋体" w:cs="宋体"/>
              <w:spacing w:val="-45"/>
              <w:sz w:val="21"/>
              <w:szCs w:val="21"/>
            </w:rPr>
            <w:t xml:space="preserve"> </w:t>
          </w:r>
          <w:r>
            <w:rPr>
              <w:rFonts w:ascii="宋体" w:hAnsi="宋体" w:eastAsia="宋体" w:cs="宋体"/>
              <w:spacing w:val="-2"/>
              <w:sz w:val="21"/>
              <w:szCs w:val="21"/>
            </w:rPr>
            <w:t>仲裁或诉讼</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129</w:t>
          </w:r>
          <w:r>
            <w:rPr>
              <w:rFonts w:ascii="宋体" w:hAnsi="宋体" w:eastAsia="宋体" w:cs="宋体"/>
              <w:spacing w:val="-5"/>
              <w:sz w:val="21"/>
              <w:szCs w:val="21"/>
            </w:rPr>
            <w:fldChar w:fldCharType="end"/>
          </w:r>
        </w:p>
        <w:p w14:paraId="64A7713B">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"bookmark282" </w:instrText>
          </w:r>
          <w:r>
            <w:fldChar w:fldCharType="separate"/>
          </w:r>
          <w:r>
            <w:rPr>
              <w:rFonts w:ascii="宋体" w:hAnsi="宋体" w:eastAsia="宋体" w:cs="宋体"/>
              <w:spacing w:val="-2"/>
              <w:sz w:val="21"/>
              <w:szCs w:val="21"/>
            </w:rPr>
            <w:t>20.5</w:t>
          </w:r>
          <w:r>
            <w:rPr>
              <w:rFonts w:ascii="宋体" w:hAnsi="宋体" w:eastAsia="宋体" w:cs="宋体"/>
              <w:spacing w:val="-38"/>
              <w:sz w:val="21"/>
              <w:szCs w:val="21"/>
            </w:rPr>
            <w:t xml:space="preserve"> </w:t>
          </w:r>
          <w:r>
            <w:rPr>
              <w:rFonts w:ascii="宋体" w:hAnsi="宋体" w:eastAsia="宋体" w:cs="宋体"/>
              <w:spacing w:val="-2"/>
              <w:sz w:val="21"/>
              <w:szCs w:val="21"/>
            </w:rPr>
            <w:t>争议解决条款效力</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129</w:t>
          </w:r>
          <w:r>
            <w:rPr>
              <w:rFonts w:ascii="宋体" w:hAnsi="宋体" w:eastAsia="宋体" w:cs="宋体"/>
              <w:spacing w:val="-5"/>
              <w:sz w:val="21"/>
              <w:szCs w:val="21"/>
            </w:rPr>
            <w:fldChar w:fldCharType="end"/>
          </w:r>
        </w:p>
        <w:p w14:paraId="4D233650">
          <w:pPr>
            <w:tabs>
              <w:tab w:val="right" w:leader="dot" w:pos="8315"/>
            </w:tabs>
            <w:spacing w:before="61" w:line="221" w:lineRule="auto"/>
            <w:ind w:left="442"/>
            <w:rPr>
              <w:rFonts w:ascii="宋体" w:hAnsi="宋体" w:eastAsia="宋体" w:cs="宋体"/>
              <w:sz w:val="21"/>
              <w:szCs w:val="21"/>
            </w:rPr>
          </w:pPr>
          <w:r>
            <w:fldChar w:fldCharType="begin"/>
          </w:r>
          <w:r>
            <w:instrText xml:space="preserve"> HYPERLINK \l "bookmark283" </w:instrText>
          </w:r>
          <w:r>
            <w:fldChar w:fldCharType="separate"/>
          </w:r>
          <w:r>
            <w:rPr>
              <w:rFonts w:ascii="宋体" w:hAnsi="宋体" w:eastAsia="宋体" w:cs="宋体"/>
              <w:spacing w:val="-1"/>
              <w:sz w:val="21"/>
              <w:szCs w:val="21"/>
            </w:rPr>
            <w:t>第三部分 专用合同条款</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130</w:t>
          </w:r>
          <w:r>
            <w:rPr>
              <w:rFonts w:ascii="宋体" w:hAnsi="宋体" w:eastAsia="宋体" w:cs="宋体"/>
              <w:spacing w:val="-5"/>
              <w:sz w:val="21"/>
              <w:szCs w:val="21"/>
            </w:rPr>
            <w:fldChar w:fldCharType="end"/>
          </w:r>
        </w:p>
        <w:p w14:paraId="51F7311C">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"bookmark284" </w:instrText>
          </w:r>
          <w:r>
            <w:fldChar w:fldCharType="separate"/>
          </w:r>
          <w:r>
            <w:rPr>
              <w:rFonts w:ascii="宋体" w:hAnsi="宋体" w:eastAsia="宋体" w:cs="宋体"/>
              <w:spacing w:val="-6"/>
              <w:sz w:val="21"/>
              <w:szCs w:val="21"/>
            </w:rPr>
            <w:t>1.</w:t>
          </w:r>
          <w:r>
            <w:rPr>
              <w:rFonts w:ascii="宋体" w:hAnsi="宋体" w:eastAsia="宋体" w:cs="宋体"/>
              <w:spacing w:val="13"/>
              <w:sz w:val="21"/>
              <w:szCs w:val="21"/>
            </w:rPr>
            <w:t xml:space="preserve"> </w:t>
          </w:r>
          <w:r>
            <w:rPr>
              <w:rFonts w:ascii="宋体" w:hAnsi="宋体" w:eastAsia="宋体" w:cs="宋体"/>
              <w:spacing w:val="-6"/>
              <w:sz w:val="21"/>
              <w:szCs w:val="21"/>
            </w:rPr>
            <w:t>一般约定</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131</w:t>
          </w:r>
          <w:r>
            <w:rPr>
              <w:rFonts w:ascii="宋体" w:hAnsi="宋体" w:eastAsia="宋体" w:cs="宋体"/>
              <w:spacing w:val="-5"/>
              <w:sz w:val="21"/>
              <w:szCs w:val="21"/>
            </w:rPr>
            <w:fldChar w:fldCharType="end"/>
          </w:r>
        </w:p>
        <w:p w14:paraId="777CD711">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"bookmark285" </w:instrText>
          </w:r>
          <w:r>
            <w:fldChar w:fldCharType="separate"/>
          </w:r>
          <w:r>
            <w:rPr>
              <w:rFonts w:ascii="宋体" w:hAnsi="宋体" w:eastAsia="宋体" w:cs="宋体"/>
              <w:spacing w:val="-5"/>
              <w:sz w:val="21"/>
              <w:szCs w:val="21"/>
            </w:rPr>
            <w:t>1.1</w:t>
          </w:r>
          <w:r>
            <w:rPr>
              <w:rFonts w:ascii="宋体" w:hAnsi="宋体" w:eastAsia="宋体" w:cs="宋体"/>
              <w:spacing w:val="12"/>
              <w:sz w:val="21"/>
              <w:szCs w:val="21"/>
            </w:rPr>
            <w:t xml:space="preserve"> </w:t>
          </w:r>
          <w:r>
            <w:rPr>
              <w:rFonts w:ascii="宋体" w:hAnsi="宋体" w:eastAsia="宋体" w:cs="宋体"/>
              <w:spacing w:val="-5"/>
              <w:sz w:val="21"/>
              <w:szCs w:val="21"/>
            </w:rPr>
            <w:t>词语定义</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131</w:t>
          </w:r>
          <w:r>
            <w:rPr>
              <w:rFonts w:ascii="宋体" w:hAnsi="宋体" w:eastAsia="宋体" w:cs="宋体"/>
              <w:spacing w:val="-5"/>
              <w:sz w:val="21"/>
              <w:szCs w:val="21"/>
            </w:rPr>
            <w:fldChar w:fldCharType="end"/>
          </w:r>
        </w:p>
        <w:p w14:paraId="331D5A29">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"bookmark286" </w:instrText>
          </w:r>
          <w:r>
            <w:fldChar w:fldCharType="separate"/>
          </w:r>
          <w:r>
            <w:rPr>
              <w:rFonts w:ascii="宋体" w:hAnsi="宋体" w:eastAsia="宋体" w:cs="宋体"/>
              <w:spacing w:val="-7"/>
              <w:sz w:val="21"/>
              <w:szCs w:val="21"/>
            </w:rPr>
            <w:t>1.3</w:t>
          </w:r>
          <w:r>
            <w:rPr>
              <w:rFonts w:ascii="宋体" w:hAnsi="宋体" w:eastAsia="宋体" w:cs="宋体"/>
              <w:spacing w:val="-41"/>
              <w:sz w:val="21"/>
              <w:szCs w:val="21"/>
            </w:rPr>
            <w:t xml:space="preserve"> </w:t>
          </w:r>
          <w:r>
            <w:rPr>
              <w:rFonts w:ascii="宋体" w:hAnsi="宋体" w:eastAsia="宋体" w:cs="宋体"/>
              <w:spacing w:val="-7"/>
              <w:sz w:val="21"/>
              <w:szCs w:val="21"/>
            </w:rPr>
            <w:t>法律</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131</w:t>
          </w:r>
          <w:r>
            <w:rPr>
              <w:rFonts w:ascii="宋体" w:hAnsi="宋体" w:eastAsia="宋体" w:cs="宋体"/>
              <w:spacing w:val="-5"/>
              <w:sz w:val="21"/>
              <w:szCs w:val="21"/>
            </w:rPr>
            <w:fldChar w:fldCharType="end"/>
          </w:r>
        </w:p>
        <w:p w14:paraId="010D64EB">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"bookmark287" </w:instrText>
          </w:r>
          <w:r>
            <w:fldChar w:fldCharType="separate"/>
          </w:r>
          <w:r>
            <w:rPr>
              <w:rFonts w:ascii="宋体" w:hAnsi="宋体" w:eastAsia="宋体" w:cs="宋体"/>
              <w:spacing w:val="-3"/>
              <w:sz w:val="21"/>
              <w:szCs w:val="21"/>
            </w:rPr>
            <w:t>1.4 标准和规范</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131</w:t>
          </w:r>
          <w:r>
            <w:rPr>
              <w:rFonts w:ascii="宋体" w:hAnsi="宋体" w:eastAsia="宋体" w:cs="宋体"/>
              <w:spacing w:val="-5"/>
              <w:sz w:val="21"/>
              <w:szCs w:val="21"/>
            </w:rPr>
            <w:fldChar w:fldCharType="end"/>
          </w:r>
        </w:p>
        <w:p w14:paraId="7AAFAADB">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"bookmark288" </w:instrText>
          </w:r>
          <w:r>
            <w:fldChar w:fldCharType="separate"/>
          </w:r>
          <w:r>
            <w:rPr>
              <w:rFonts w:ascii="宋体" w:hAnsi="宋体" w:eastAsia="宋体" w:cs="宋体"/>
              <w:spacing w:val="-2"/>
              <w:sz w:val="21"/>
              <w:szCs w:val="21"/>
            </w:rPr>
            <w:t>1.5 合同文件的优先顺序</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132</w:t>
          </w:r>
          <w:r>
            <w:rPr>
              <w:rFonts w:ascii="宋体" w:hAnsi="宋体" w:eastAsia="宋体" w:cs="宋体"/>
              <w:spacing w:val="-5"/>
              <w:sz w:val="21"/>
              <w:szCs w:val="21"/>
            </w:rPr>
            <w:fldChar w:fldCharType="end"/>
          </w:r>
        </w:p>
        <w:p w14:paraId="0B9B90F0">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"bookmark289" </w:instrText>
          </w:r>
          <w:r>
            <w:fldChar w:fldCharType="separate"/>
          </w:r>
          <w:r>
            <w:rPr>
              <w:rFonts w:ascii="宋体" w:hAnsi="宋体" w:eastAsia="宋体" w:cs="宋体"/>
              <w:spacing w:val="-5"/>
              <w:sz w:val="21"/>
              <w:szCs w:val="21"/>
            </w:rPr>
            <w:t>1.6</w:t>
          </w:r>
          <w:r>
            <w:rPr>
              <w:rFonts w:ascii="宋体" w:hAnsi="宋体" w:eastAsia="宋体" w:cs="宋体"/>
              <w:spacing w:val="32"/>
              <w:sz w:val="21"/>
              <w:szCs w:val="21"/>
            </w:rPr>
            <w:t xml:space="preserve"> </w:t>
          </w:r>
          <w:r>
            <w:rPr>
              <w:rFonts w:ascii="宋体" w:hAnsi="宋体" w:eastAsia="宋体" w:cs="宋体"/>
              <w:spacing w:val="-5"/>
              <w:sz w:val="21"/>
              <w:szCs w:val="21"/>
            </w:rPr>
            <w:t>图纸和承包人文件</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132</w:t>
          </w:r>
          <w:r>
            <w:rPr>
              <w:rFonts w:ascii="宋体" w:hAnsi="宋体" w:eastAsia="宋体" w:cs="宋体"/>
              <w:spacing w:val="-5"/>
              <w:sz w:val="21"/>
              <w:szCs w:val="21"/>
            </w:rPr>
            <w:fldChar w:fldCharType="end"/>
          </w:r>
        </w:p>
        <w:p w14:paraId="1FDF3C47">
          <w:pPr>
            <w:tabs>
              <w:tab w:val="right" w:leader="dot" w:pos="8315"/>
            </w:tabs>
            <w:spacing w:before="61" w:line="223" w:lineRule="auto"/>
            <w:ind w:left="878"/>
            <w:rPr>
              <w:rFonts w:ascii="宋体" w:hAnsi="宋体" w:eastAsia="宋体" w:cs="宋体"/>
              <w:sz w:val="21"/>
              <w:szCs w:val="21"/>
            </w:rPr>
          </w:pPr>
          <w:r>
            <w:fldChar w:fldCharType="begin"/>
          </w:r>
          <w:r>
            <w:instrText xml:space="preserve"> HYPERLINK \l "bookmark290" </w:instrText>
          </w:r>
          <w:r>
            <w:fldChar w:fldCharType="separate"/>
          </w:r>
          <w:r>
            <w:rPr>
              <w:rFonts w:ascii="宋体" w:hAnsi="宋体" w:eastAsia="宋体" w:cs="宋体"/>
              <w:spacing w:val="-7"/>
              <w:sz w:val="21"/>
              <w:szCs w:val="21"/>
            </w:rPr>
            <w:t>1.7</w:t>
          </w:r>
          <w:r>
            <w:rPr>
              <w:rFonts w:ascii="宋体" w:hAnsi="宋体" w:eastAsia="宋体" w:cs="宋体"/>
              <w:spacing w:val="12"/>
              <w:sz w:val="21"/>
              <w:szCs w:val="21"/>
            </w:rPr>
            <w:t xml:space="preserve"> </w:t>
          </w:r>
          <w:r>
            <w:rPr>
              <w:rFonts w:ascii="宋体" w:hAnsi="宋体" w:eastAsia="宋体" w:cs="宋体"/>
              <w:spacing w:val="-7"/>
              <w:sz w:val="21"/>
              <w:szCs w:val="21"/>
            </w:rPr>
            <w:t>联络</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132</w:t>
          </w:r>
          <w:r>
            <w:rPr>
              <w:rFonts w:ascii="宋体" w:hAnsi="宋体" w:eastAsia="宋体" w:cs="宋体"/>
              <w:spacing w:val="-5"/>
              <w:sz w:val="21"/>
              <w:szCs w:val="21"/>
            </w:rPr>
            <w:fldChar w:fldCharType="end"/>
          </w:r>
        </w:p>
        <w:p w14:paraId="75D2BD40">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"bookmark291" </w:instrText>
          </w:r>
          <w:r>
            <w:fldChar w:fldCharType="separate"/>
          </w:r>
          <w:r>
            <w:rPr>
              <w:rFonts w:ascii="宋体" w:hAnsi="宋体" w:eastAsia="宋体" w:cs="宋体"/>
              <w:spacing w:val="-4"/>
              <w:sz w:val="21"/>
              <w:szCs w:val="21"/>
            </w:rPr>
            <w:t>1.10</w:t>
          </w:r>
          <w:r>
            <w:rPr>
              <w:rFonts w:ascii="宋体" w:hAnsi="宋体" w:eastAsia="宋体" w:cs="宋体"/>
              <w:spacing w:val="10"/>
              <w:sz w:val="21"/>
              <w:szCs w:val="21"/>
            </w:rPr>
            <w:t xml:space="preserve"> </w:t>
          </w:r>
          <w:r>
            <w:rPr>
              <w:rFonts w:ascii="宋体" w:hAnsi="宋体" w:eastAsia="宋体" w:cs="宋体"/>
              <w:spacing w:val="-4"/>
              <w:sz w:val="21"/>
              <w:szCs w:val="21"/>
            </w:rPr>
            <w:t>交通运输</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132</w:t>
          </w:r>
          <w:r>
            <w:rPr>
              <w:rFonts w:ascii="宋体" w:hAnsi="宋体" w:eastAsia="宋体" w:cs="宋体"/>
              <w:spacing w:val="-5"/>
              <w:sz w:val="21"/>
              <w:szCs w:val="21"/>
            </w:rPr>
            <w:fldChar w:fldCharType="end"/>
          </w:r>
        </w:p>
        <w:p w14:paraId="40AEABB8">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"bookmark292" </w:instrText>
          </w:r>
          <w:r>
            <w:fldChar w:fldCharType="separate"/>
          </w:r>
          <w:r>
            <w:rPr>
              <w:rFonts w:ascii="宋体" w:hAnsi="宋体" w:eastAsia="宋体" w:cs="宋体"/>
              <w:spacing w:val="-4"/>
              <w:sz w:val="21"/>
              <w:szCs w:val="21"/>
            </w:rPr>
            <w:t>1.11</w:t>
          </w:r>
          <w:r>
            <w:rPr>
              <w:rFonts w:ascii="宋体" w:hAnsi="宋体" w:eastAsia="宋体" w:cs="宋体"/>
              <w:spacing w:val="10"/>
              <w:sz w:val="21"/>
              <w:szCs w:val="21"/>
            </w:rPr>
            <w:t xml:space="preserve"> </w:t>
          </w:r>
          <w:r>
            <w:rPr>
              <w:rFonts w:ascii="宋体" w:hAnsi="宋体" w:eastAsia="宋体" w:cs="宋体"/>
              <w:spacing w:val="-4"/>
              <w:sz w:val="21"/>
              <w:szCs w:val="21"/>
            </w:rPr>
            <w:t>知识产权</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133</w:t>
          </w:r>
          <w:r>
            <w:rPr>
              <w:rFonts w:ascii="宋体" w:hAnsi="宋体" w:eastAsia="宋体" w:cs="宋体"/>
              <w:spacing w:val="-5"/>
              <w:sz w:val="21"/>
              <w:szCs w:val="21"/>
            </w:rPr>
            <w:fldChar w:fldCharType="end"/>
          </w:r>
        </w:p>
        <w:p w14:paraId="67805445">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"bookmark293" </w:instrText>
          </w:r>
          <w:r>
            <w:fldChar w:fldCharType="separate"/>
          </w:r>
          <w:r>
            <w:rPr>
              <w:rFonts w:ascii="宋体" w:hAnsi="宋体" w:eastAsia="宋体" w:cs="宋体"/>
              <w:spacing w:val="-3"/>
              <w:sz w:val="21"/>
              <w:szCs w:val="21"/>
            </w:rPr>
            <w:t>1.13</w:t>
          </w:r>
          <w:r>
            <w:rPr>
              <w:rFonts w:ascii="宋体" w:hAnsi="宋体" w:eastAsia="宋体" w:cs="宋体"/>
              <w:spacing w:val="-35"/>
              <w:sz w:val="21"/>
              <w:szCs w:val="21"/>
            </w:rPr>
            <w:t xml:space="preserve"> </w:t>
          </w:r>
          <w:r>
            <w:rPr>
              <w:rFonts w:ascii="宋体" w:hAnsi="宋体" w:eastAsia="宋体" w:cs="宋体"/>
              <w:spacing w:val="-3"/>
              <w:sz w:val="21"/>
              <w:szCs w:val="21"/>
            </w:rPr>
            <w:t>工程量清单错误的修正</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133</w:t>
          </w:r>
          <w:r>
            <w:rPr>
              <w:rFonts w:ascii="宋体" w:hAnsi="宋体" w:eastAsia="宋体" w:cs="宋体"/>
              <w:spacing w:val="-5"/>
              <w:sz w:val="21"/>
              <w:szCs w:val="21"/>
            </w:rPr>
            <w:fldChar w:fldCharType="end"/>
          </w:r>
        </w:p>
        <w:p w14:paraId="1B8404C0">
          <w:pPr>
            <w:tabs>
              <w:tab w:val="right" w:leader="dot" w:pos="8315"/>
            </w:tabs>
            <w:spacing w:before="61" w:line="221" w:lineRule="auto"/>
            <w:ind w:left="445"/>
            <w:rPr>
              <w:rFonts w:ascii="宋体" w:hAnsi="宋体" w:eastAsia="宋体" w:cs="宋体"/>
              <w:sz w:val="21"/>
              <w:szCs w:val="21"/>
            </w:rPr>
          </w:pPr>
          <w:r>
            <w:fldChar w:fldCharType="begin"/>
          </w:r>
          <w:r>
            <w:instrText xml:space="preserve"> HYPERLINK \l "bookmark294" </w:instrText>
          </w:r>
          <w:r>
            <w:fldChar w:fldCharType="separate"/>
          </w:r>
          <w:r>
            <w:rPr>
              <w:rFonts w:ascii="宋体" w:hAnsi="宋体" w:eastAsia="宋体" w:cs="宋体"/>
              <w:spacing w:val="-4"/>
              <w:sz w:val="21"/>
              <w:szCs w:val="21"/>
            </w:rPr>
            <w:t>2.</w:t>
          </w:r>
          <w:r>
            <w:rPr>
              <w:rFonts w:ascii="宋体" w:hAnsi="宋体" w:eastAsia="宋体" w:cs="宋体"/>
              <w:spacing w:val="12"/>
              <w:sz w:val="21"/>
              <w:szCs w:val="21"/>
            </w:rPr>
            <w:t xml:space="preserve"> </w:t>
          </w:r>
          <w:r>
            <w:rPr>
              <w:rFonts w:ascii="宋体" w:hAnsi="宋体" w:eastAsia="宋体" w:cs="宋体"/>
              <w:spacing w:val="-4"/>
              <w:sz w:val="21"/>
              <w:szCs w:val="21"/>
            </w:rPr>
            <w:t>发包人</w:t>
          </w:r>
          <w:r>
            <w:rPr>
              <w:rFonts w:ascii="宋体" w:hAnsi="宋体" w:eastAsia="宋体" w:cs="宋体"/>
              <w:spacing w:val="-9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1868C7FF">
          <w:pPr>
            <w:tabs>
              <w:tab w:val="right" w:leader="dot" w:pos="8315"/>
            </w:tabs>
            <w:spacing w:before="60" w:line="221" w:lineRule="auto"/>
            <w:ind w:left="865"/>
            <w:rPr>
              <w:rFonts w:ascii="宋体" w:hAnsi="宋体" w:eastAsia="宋体" w:cs="宋体"/>
              <w:sz w:val="21"/>
              <w:szCs w:val="21"/>
            </w:rPr>
          </w:pPr>
          <w:r>
            <w:fldChar w:fldCharType="begin"/>
          </w:r>
          <w:r>
            <w:instrText xml:space="preserve"> HYPERLINK \l "bookmark295" </w:instrText>
          </w:r>
          <w:r>
            <w:fldChar w:fldCharType="separate"/>
          </w:r>
          <w:r>
            <w:rPr>
              <w:rFonts w:ascii="宋体" w:hAnsi="宋体" w:eastAsia="宋体" w:cs="宋体"/>
              <w:spacing w:val="-3"/>
              <w:sz w:val="21"/>
              <w:szCs w:val="21"/>
            </w:rPr>
            <w:t>2.2</w:t>
          </w:r>
          <w:r>
            <w:rPr>
              <w:rFonts w:ascii="宋体" w:hAnsi="宋体" w:eastAsia="宋体" w:cs="宋体"/>
              <w:spacing w:val="15"/>
              <w:sz w:val="21"/>
              <w:szCs w:val="21"/>
            </w:rPr>
            <w:t xml:space="preserve"> </w:t>
          </w:r>
          <w:r>
            <w:rPr>
              <w:rFonts w:ascii="宋体" w:hAnsi="宋体" w:eastAsia="宋体" w:cs="宋体"/>
              <w:spacing w:val="-3"/>
              <w:sz w:val="21"/>
              <w:szCs w:val="21"/>
            </w:rPr>
            <w:t>发包人代表</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3614D25E">
          <w:pPr>
            <w:tabs>
              <w:tab w:val="right" w:leader="dot" w:pos="8315"/>
            </w:tabs>
            <w:spacing w:before="61" w:line="220" w:lineRule="auto"/>
            <w:ind w:left="865"/>
            <w:rPr>
              <w:rFonts w:ascii="宋体" w:hAnsi="宋体" w:eastAsia="宋体" w:cs="宋体"/>
              <w:sz w:val="21"/>
              <w:szCs w:val="21"/>
            </w:rPr>
          </w:pPr>
          <w:r>
            <w:fldChar w:fldCharType="begin"/>
          </w:r>
          <w:r>
            <w:instrText xml:space="preserve"> HYPERLINK \l "bookmark296" </w:instrText>
          </w:r>
          <w:r>
            <w:fldChar w:fldCharType="separate"/>
          </w:r>
          <w:r>
            <w:rPr>
              <w:rFonts w:ascii="宋体" w:hAnsi="宋体" w:eastAsia="宋体" w:cs="宋体"/>
              <w:spacing w:val="-1"/>
              <w:sz w:val="21"/>
              <w:szCs w:val="21"/>
            </w:rPr>
            <w:t>2.4 施工现场、施工条件和基础资料的提供</w:t>
          </w:r>
          <w:r>
            <w:rPr>
              <w:rFonts w:ascii="宋体" w:hAnsi="宋体" w:eastAsia="宋体" w:cs="宋体"/>
              <w:spacing w:val="-5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01349B5C">
          <w:pPr>
            <w:tabs>
              <w:tab w:val="right" w:leader="dot" w:pos="8315"/>
            </w:tabs>
            <w:spacing w:before="62" w:line="221" w:lineRule="auto"/>
            <w:ind w:left="865"/>
            <w:rPr>
              <w:rFonts w:ascii="宋体" w:hAnsi="宋体" w:eastAsia="宋体" w:cs="宋体"/>
              <w:sz w:val="21"/>
              <w:szCs w:val="21"/>
            </w:rPr>
          </w:pPr>
          <w:r>
            <w:fldChar w:fldCharType="begin"/>
          </w:r>
          <w:r>
            <w:instrText xml:space="preserve"> HYPERLINK \l "bookmark297" </w:instrText>
          </w:r>
          <w:r>
            <w:fldChar w:fldCharType="separate"/>
          </w:r>
          <w:r>
            <w:rPr>
              <w:rFonts w:ascii="宋体" w:hAnsi="宋体" w:eastAsia="宋体" w:cs="宋体"/>
              <w:spacing w:val="-1"/>
              <w:sz w:val="21"/>
              <w:szCs w:val="21"/>
            </w:rPr>
            <w:t>2.5 资金来源证明及支付担保</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502FF0CA">
          <w:pPr>
            <w:tabs>
              <w:tab w:val="right" w:leader="dot" w:pos="8315"/>
            </w:tabs>
            <w:spacing w:before="60" w:line="221" w:lineRule="auto"/>
            <w:ind w:left="446"/>
            <w:rPr>
              <w:rFonts w:ascii="宋体" w:hAnsi="宋体" w:eastAsia="宋体" w:cs="宋体"/>
              <w:sz w:val="21"/>
              <w:szCs w:val="21"/>
            </w:rPr>
          </w:pPr>
          <w:r>
            <w:fldChar w:fldCharType="begin"/>
          </w:r>
          <w:r>
            <w:instrText xml:space="preserve"> HYPERLINK \l "bookmark298" </w:instrText>
          </w:r>
          <w:r>
            <w:fldChar w:fldCharType="separate"/>
          </w:r>
          <w:r>
            <w:rPr>
              <w:rFonts w:ascii="宋体" w:hAnsi="宋体" w:eastAsia="宋体" w:cs="宋体"/>
              <w:spacing w:val="-4"/>
              <w:sz w:val="21"/>
              <w:szCs w:val="21"/>
            </w:rPr>
            <w:t>3.</w:t>
          </w:r>
          <w:r>
            <w:rPr>
              <w:rFonts w:ascii="宋体" w:hAnsi="宋体" w:eastAsia="宋体" w:cs="宋体"/>
              <w:spacing w:val="9"/>
              <w:sz w:val="21"/>
              <w:szCs w:val="21"/>
            </w:rPr>
            <w:t xml:space="preserve"> </w:t>
          </w:r>
          <w:r>
            <w:rPr>
              <w:rFonts w:ascii="宋体" w:hAnsi="宋体" w:eastAsia="宋体" w:cs="宋体"/>
              <w:spacing w:val="-4"/>
              <w:sz w:val="21"/>
              <w:szCs w:val="21"/>
            </w:rPr>
            <w:t>承包人</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7C26F3E3">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"bookmark299" </w:instrText>
          </w:r>
          <w:r>
            <w:fldChar w:fldCharType="separate"/>
          </w:r>
          <w:r>
            <w:rPr>
              <w:rFonts w:ascii="宋体" w:hAnsi="宋体" w:eastAsia="宋体" w:cs="宋体"/>
              <w:spacing w:val="-1"/>
              <w:sz w:val="21"/>
              <w:szCs w:val="21"/>
            </w:rPr>
            <w:t>3.1 承包人的一般义务</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134</w:t>
          </w:r>
          <w:r>
            <w:rPr>
              <w:rFonts w:ascii="宋体" w:hAnsi="宋体" w:eastAsia="宋体" w:cs="宋体"/>
              <w:spacing w:val="-5"/>
              <w:sz w:val="21"/>
              <w:szCs w:val="21"/>
            </w:rPr>
            <w:fldChar w:fldCharType="end"/>
          </w:r>
        </w:p>
        <w:p w14:paraId="563D4305">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"bookmark300" </w:instrText>
          </w:r>
          <w:r>
            <w:fldChar w:fldCharType="separate"/>
          </w:r>
          <w:r>
            <w:rPr>
              <w:rFonts w:ascii="宋体" w:hAnsi="宋体" w:eastAsia="宋体" w:cs="宋体"/>
              <w:spacing w:val="-4"/>
              <w:sz w:val="21"/>
              <w:szCs w:val="21"/>
            </w:rPr>
            <w:t>3.2</w:t>
          </w:r>
          <w:r>
            <w:rPr>
              <w:rFonts w:ascii="宋体" w:hAnsi="宋体" w:eastAsia="宋体" w:cs="宋体"/>
              <w:spacing w:val="17"/>
              <w:sz w:val="21"/>
              <w:szCs w:val="21"/>
            </w:rPr>
            <w:t xml:space="preserve"> </w:t>
          </w:r>
          <w:r>
            <w:rPr>
              <w:rFonts w:ascii="宋体" w:hAnsi="宋体" w:eastAsia="宋体" w:cs="宋体"/>
              <w:spacing w:val="-4"/>
              <w:sz w:val="21"/>
              <w:szCs w:val="21"/>
            </w:rPr>
            <w:t>项目经理</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135</w:t>
          </w:r>
          <w:r>
            <w:rPr>
              <w:rFonts w:ascii="宋体" w:hAnsi="宋体" w:eastAsia="宋体" w:cs="宋体"/>
              <w:spacing w:val="-5"/>
              <w:sz w:val="21"/>
              <w:szCs w:val="21"/>
            </w:rPr>
            <w:fldChar w:fldCharType="end"/>
          </w:r>
        </w:p>
        <w:p w14:paraId="7458E9CF">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"bookmark301" </w:instrText>
          </w:r>
          <w:r>
            <w:fldChar w:fldCharType="separate"/>
          </w:r>
          <w:r>
            <w:rPr>
              <w:rFonts w:ascii="宋体" w:hAnsi="宋体" w:eastAsia="宋体" w:cs="宋体"/>
              <w:spacing w:val="-1"/>
              <w:sz w:val="21"/>
              <w:szCs w:val="21"/>
            </w:rPr>
            <w:t>3.3 承包人人员</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135</w:t>
          </w:r>
          <w:r>
            <w:rPr>
              <w:rFonts w:ascii="宋体" w:hAnsi="宋体" w:eastAsia="宋体" w:cs="宋体"/>
              <w:spacing w:val="-5"/>
              <w:sz w:val="21"/>
              <w:szCs w:val="21"/>
            </w:rPr>
            <w:fldChar w:fldCharType="end"/>
          </w:r>
        </w:p>
        <w:p w14:paraId="27710825">
          <w:pPr>
            <w:tabs>
              <w:tab w:val="right" w:leader="dot" w:pos="8315"/>
            </w:tabs>
            <w:spacing w:before="62" w:line="221" w:lineRule="auto"/>
            <w:ind w:left="866"/>
            <w:rPr>
              <w:rFonts w:ascii="宋体" w:hAnsi="宋体" w:eastAsia="宋体" w:cs="宋体"/>
              <w:sz w:val="21"/>
              <w:szCs w:val="21"/>
            </w:rPr>
          </w:pPr>
          <w:r>
            <w:fldChar w:fldCharType="begin"/>
          </w:r>
          <w:r>
            <w:instrText xml:space="preserve"> HYPERLINK \l "bookmark302" </w:instrText>
          </w:r>
          <w:r>
            <w:fldChar w:fldCharType="separate"/>
          </w:r>
          <w:r>
            <w:rPr>
              <w:rFonts w:ascii="宋体" w:hAnsi="宋体" w:eastAsia="宋体" w:cs="宋体"/>
              <w:spacing w:val="-5"/>
              <w:sz w:val="21"/>
              <w:szCs w:val="21"/>
            </w:rPr>
            <w:t>3.5</w:t>
          </w:r>
          <w:r>
            <w:rPr>
              <w:rFonts w:ascii="宋体" w:hAnsi="宋体" w:eastAsia="宋体" w:cs="宋体"/>
              <w:spacing w:val="13"/>
              <w:sz w:val="21"/>
              <w:szCs w:val="21"/>
            </w:rPr>
            <w:t xml:space="preserve"> </w:t>
          </w:r>
          <w:r>
            <w:rPr>
              <w:rFonts w:ascii="宋体" w:hAnsi="宋体" w:eastAsia="宋体" w:cs="宋体"/>
              <w:spacing w:val="-5"/>
              <w:sz w:val="21"/>
              <w:szCs w:val="21"/>
            </w:rPr>
            <w:t>分包</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136</w:t>
          </w:r>
          <w:r>
            <w:rPr>
              <w:rFonts w:ascii="宋体" w:hAnsi="宋体" w:eastAsia="宋体" w:cs="宋体"/>
              <w:spacing w:val="-5"/>
              <w:sz w:val="21"/>
              <w:szCs w:val="21"/>
            </w:rPr>
            <w:fldChar w:fldCharType="end"/>
          </w:r>
        </w:p>
        <w:p w14:paraId="627638ED">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"bookmark303" </w:instrText>
          </w:r>
          <w:r>
            <w:fldChar w:fldCharType="separate"/>
          </w:r>
          <w:r>
            <w:rPr>
              <w:rFonts w:ascii="宋体" w:hAnsi="宋体" w:eastAsia="宋体" w:cs="宋体"/>
              <w:spacing w:val="-1"/>
              <w:sz w:val="21"/>
              <w:szCs w:val="21"/>
            </w:rPr>
            <w:t>3.6 工程照管与成品、半成品保护</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136</w:t>
          </w:r>
          <w:r>
            <w:rPr>
              <w:rFonts w:ascii="宋体" w:hAnsi="宋体" w:eastAsia="宋体" w:cs="宋体"/>
              <w:spacing w:val="-5"/>
              <w:sz w:val="21"/>
              <w:szCs w:val="21"/>
            </w:rPr>
            <w:fldChar w:fldCharType="end"/>
          </w:r>
        </w:p>
      </w:sdtContent>
    </w:sdt>
    <w:p w14:paraId="7010B84E">
      <w:pPr>
        <w:spacing w:line="221" w:lineRule="auto"/>
        <w:rPr>
          <w:rFonts w:ascii="宋体" w:hAnsi="宋体" w:eastAsia="宋体" w:cs="宋体"/>
          <w:sz w:val="21"/>
          <w:szCs w:val="21"/>
        </w:rPr>
        <w:sectPr>
          <w:footerReference r:id="rId12"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76226"/>
        <w:docPartObj>
          <w:docPartGallery w:val="Table of Contents"/>
          <w:docPartUnique/>
        </w:docPartObj>
      </w:sdtPr>
      <w:sdtEndPr>
        <w:rPr>
          <w:rFonts w:ascii="宋体" w:hAnsi="宋体" w:eastAsia="宋体" w:cs="宋体"/>
          <w:sz w:val="21"/>
          <w:szCs w:val="21"/>
        </w:rPr>
      </w:sdtEndPr>
      <w:sdtContent>
        <w:p w14:paraId="3F532742">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"bookmark304" </w:instrText>
          </w:r>
          <w:r>
            <w:fldChar w:fldCharType="separate"/>
          </w:r>
          <w:r>
            <w:rPr>
              <w:rFonts w:ascii="宋体" w:hAnsi="宋体" w:eastAsia="宋体" w:cs="宋体"/>
              <w:spacing w:val="-4"/>
              <w:sz w:val="21"/>
              <w:szCs w:val="21"/>
            </w:rPr>
            <w:t>3.7</w:t>
          </w:r>
          <w:r>
            <w:rPr>
              <w:rFonts w:ascii="宋体" w:hAnsi="宋体" w:eastAsia="宋体" w:cs="宋体"/>
              <w:spacing w:val="17"/>
              <w:sz w:val="21"/>
              <w:szCs w:val="21"/>
            </w:rPr>
            <w:t xml:space="preserve"> </w:t>
          </w:r>
          <w:r>
            <w:rPr>
              <w:rFonts w:ascii="宋体" w:hAnsi="宋体" w:eastAsia="宋体" w:cs="宋体"/>
              <w:spacing w:val="-4"/>
              <w:sz w:val="21"/>
              <w:szCs w:val="21"/>
            </w:rPr>
            <w:t>履约担保</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136</w:t>
          </w:r>
          <w:r>
            <w:rPr>
              <w:rFonts w:ascii="宋体" w:hAnsi="宋体" w:eastAsia="宋体" w:cs="宋体"/>
              <w:spacing w:val="-5"/>
              <w:sz w:val="21"/>
              <w:szCs w:val="21"/>
            </w:rPr>
            <w:fldChar w:fldCharType="end"/>
          </w:r>
        </w:p>
        <w:p w14:paraId="53CE9715">
          <w:pPr>
            <w:tabs>
              <w:tab w:val="right" w:leader="dot" w:pos="8315"/>
            </w:tabs>
            <w:spacing w:before="60" w:line="223" w:lineRule="auto"/>
            <w:ind w:left="441"/>
            <w:rPr>
              <w:rFonts w:ascii="宋体" w:hAnsi="宋体" w:eastAsia="宋体" w:cs="宋体"/>
              <w:sz w:val="21"/>
              <w:szCs w:val="21"/>
            </w:rPr>
          </w:pPr>
          <w:r>
            <w:fldChar w:fldCharType="begin"/>
          </w:r>
          <w:r>
            <w:instrText xml:space="preserve"> HYPERLINK \l "bookmark305" </w:instrText>
          </w:r>
          <w:r>
            <w:fldChar w:fldCharType="separate"/>
          </w:r>
          <w:r>
            <w:rPr>
              <w:rFonts w:ascii="宋体" w:hAnsi="宋体" w:eastAsia="宋体" w:cs="宋体"/>
              <w:spacing w:val="-3"/>
              <w:sz w:val="21"/>
              <w:szCs w:val="21"/>
            </w:rPr>
            <w:t>4.</w:t>
          </w:r>
          <w:r>
            <w:rPr>
              <w:rFonts w:ascii="宋体" w:hAnsi="宋体" w:eastAsia="宋体" w:cs="宋体"/>
              <w:spacing w:val="9"/>
              <w:sz w:val="21"/>
              <w:szCs w:val="21"/>
            </w:rPr>
            <w:t xml:space="preserve"> </w:t>
          </w:r>
          <w:r>
            <w:rPr>
              <w:rFonts w:ascii="宋体" w:hAnsi="宋体" w:eastAsia="宋体" w:cs="宋体"/>
              <w:spacing w:val="-3"/>
              <w:sz w:val="21"/>
              <w:szCs w:val="21"/>
            </w:rPr>
            <w:t>监理人</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3A2B6921">
          <w:pPr>
            <w:tabs>
              <w:tab w:val="right" w:leader="dot" w:pos="8315"/>
            </w:tabs>
            <w:spacing w:before="58" w:line="221" w:lineRule="auto"/>
            <w:ind w:left="861"/>
            <w:rPr>
              <w:rFonts w:ascii="宋体" w:hAnsi="宋体" w:eastAsia="宋体" w:cs="宋体"/>
              <w:sz w:val="21"/>
              <w:szCs w:val="21"/>
            </w:rPr>
          </w:pPr>
          <w:r>
            <w:fldChar w:fldCharType="begin"/>
          </w:r>
          <w:r>
            <w:instrText xml:space="preserve"> HYPERLINK \l "bookmark306" </w:instrText>
          </w:r>
          <w:r>
            <w:fldChar w:fldCharType="separate"/>
          </w:r>
          <w:r>
            <w:rPr>
              <w:rFonts w:ascii="宋体" w:hAnsi="宋体" w:eastAsia="宋体" w:cs="宋体"/>
              <w:spacing w:val="-2"/>
              <w:sz w:val="21"/>
              <w:szCs w:val="21"/>
            </w:rPr>
            <w:t>4.1</w:t>
          </w:r>
          <w:r>
            <w:rPr>
              <w:rFonts w:ascii="宋体" w:hAnsi="宋体" w:eastAsia="宋体" w:cs="宋体"/>
              <w:spacing w:val="-37"/>
              <w:sz w:val="21"/>
              <w:szCs w:val="21"/>
            </w:rPr>
            <w:t xml:space="preserve"> </w:t>
          </w:r>
          <w:r>
            <w:rPr>
              <w:rFonts w:ascii="宋体" w:hAnsi="宋体" w:eastAsia="宋体" w:cs="宋体"/>
              <w:spacing w:val="-2"/>
              <w:sz w:val="21"/>
              <w:szCs w:val="21"/>
            </w:rPr>
            <w:t>监理人的一般规定</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62080752">
          <w:pPr>
            <w:tabs>
              <w:tab w:val="right" w:leader="dot" w:pos="8315"/>
            </w:tabs>
            <w:spacing w:before="60" w:line="222" w:lineRule="auto"/>
            <w:ind w:left="861"/>
            <w:rPr>
              <w:rFonts w:ascii="宋体" w:hAnsi="宋体" w:eastAsia="宋体" w:cs="宋体"/>
              <w:sz w:val="21"/>
              <w:szCs w:val="21"/>
            </w:rPr>
          </w:pPr>
          <w:r>
            <w:fldChar w:fldCharType="begin"/>
          </w:r>
          <w:r>
            <w:instrText xml:space="preserve"> HYPERLINK \l "bookmark307" </w:instrText>
          </w:r>
          <w:r>
            <w:fldChar w:fldCharType="separate"/>
          </w:r>
          <w:r>
            <w:rPr>
              <w:rFonts w:ascii="宋体" w:hAnsi="宋体" w:eastAsia="宋体" w:cs="宋体"/>
              <w:spacing w:val="-1"/>
              <w:sz w:val="21"/>
              <w:szCs w:val="21"/>
            </w:rPr>
            <w:t>4.2 监理人员</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513BC9F4">
          <w:pPr>
            <w:tabs>
              <w:tab w:val="right" w:leader="dot" w:pos="8315"/>
            </w:tabs>
            <w:spacing w:before="59" w:line="221" w:lineRule="auto"/>
            <w:ind w:left="861"/>
            <w:rPr>
              <w:rFonts w:ascii="宋体" w:hAnsi="宋体" w:eastAsia="宋体" w:cs="宋体"/>
              <w:sz w:val="21"/>
              <w:szCs w:val="21"/>
            </w:rPr>
          </w:pPr>
          <w:r>
            <w:fldChar w:fldCharType="begin"/>
          </w:r>
          <w:r>
            <w:instrText xml:space="preserve"> HYPERLINK \l "bookmark308" </w:instrText>
          </w:r>
          <w:r>
            <w:fldChar w:fldCharType="separate"/>
          </w:r>
          <w:r>
            <w:rPr>
              <w:rFonts w:ascii="宋体" w:hAnsi="宋体" w:eastAsia="宋体" w:cs="宋体"/>
              <w:spacing w:val="-3"/>
              <w:sz w:val="21"/>
              <w:szCs w:val="21"/>
            </w:rPr>
            <w:t>4.4</w:t>
          </w:r>
          <w:r>
            <w:rPr>
              <w:rFonts w:ascii="宋体" w:hAnsi="宋体" w:eastAsia="宋体" w:cs="宋体"/>
              <w:spacing w:val="19"/>
              <w:sz w:val="21"/>
              <w:szCs w:val="21"/>
            </w:rPr>
            <w:t xml:space="preserve"> </w:t>
          </w:r>
          <w:r>
            <w:rPr>
              <w:rFonts w:ascii="宋体" w:hAnsi="宋体" w:eastAsia="宋体" w:cs="宋体"/>
              <w:spacing w:val="-3"/>
              <w:sz w:val="21"/>
              <w:szCs w:val="21"/>
            </w:rPr>
            <w:t>商定或确定</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7C16AE41">
          <w:pPr>
            <w:tabs>
              <w:tab w:val="right" w:leader="dot" w:pos="8315"/>
            </w:tabs>
            <w:spacing w:before="61" w:line="221" w:lineRule="auto"/>
            <w:ind w:left="446"/>
            <w:rPr>
              <w:rFonts w:ascii="宋体" w:hAnsi="宋体" w:eastAsia="宋体" w:cs="宋体"/>
              <w:sz w:val="21"/>
              <w:szCs w:val="21"/>
            </w:rPr>
          </w:pPr>
          <w:r>
            <w:fldChar w:fldCharType="begin"/>
          </w:r>
          <w:r>
            <w:instrText xml:space="preserve"> HYPERLINK \l "bookmark309" </w:instrText>
          </w:r>
          <w:r>
            <w:fldChar w:fldCharType="separate"/>
          </w:r>
          <w:r>
            <w:rPr>
              <w:rFonts w:ascii="宋体" w:hAnsi="宋体" w:eastAsia="宋体" w:cs="宋体"/>
              <w:spacing w:val="-4"/>
              <w:sz w:val="21"/>
              <w:szCs w:val="21"/>
            </w:rPr>
            <w:t>5.</w:t>
          </w:r>
          <w:r>
            <w:rPr>
              <w:rFonts w:ascii="宋体" w:hAnsi="宋体" w:eastAsia="宋体" w:cs="宋体"/>
              <w:spacing w:val="12"/>
              <w:sz w:val="21"/>
              <w:szCs w:val="21"/>
            </w:rPr>
            <w:t xml:space="preserve"> </w:t>
          </w:r>
          <w:r>
            <w:rPr>
              <w:rFonts w:ascii="宋体" w:hAnsi="宋体" w:eastAsia="宋体" w:cs="宋体"/>
              <w:spacing w:val="-4"/>
              <w:sz w:val="21"/>
              <w:szCs w:val="21"/>
            </w:rPr>
            <w:t>工程质量</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6BDADBFB">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"bookmark310" </w:instrText>
          </w:r>
          <w:r>
            <w:fldChar w:fldCharType="separate"/>
          </w:r>
          <w:r>
            <w:rPr>
              <w:rFonts w:ascii="宋体" w:hAnsi="宋体" w:eastAsia="宋体" w:cs="宋体"/>
              <w:spacing w:val="-3"/>
              <w:sz w:val="21"/>
              <w:szCs w:val="21"/>
            </w:rPr>
            <w:t>5.1</w:t>
          </w:r>
          <w:r>
            <w:rPr>
              <w:rFonts w:ascii="宋体" w:hAnsi="宋体" w:eastAsia="宋体" w:cs="宋体"/>
              <w:spacing w:val="10"/>
              <w:sz w:val="21"/>
              <w:szCs w:val="21"/>
            </w:rPr>
            <w:t xml:space="preserve"> </w:t>
          </w:r>
          <w:r>
            <w:rPr>
              <w:rFonts w:ascii="宋体" w:hAnsi="宋体" w:eastAsia="宋体" w:cs="宋体"/>
              <w:spacing w:val="-3"/>
              <w:sz w:val="21"/>
              <w:szCs w:val="21"/>
            </w:rPr>
            <w:t>质量要求</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55F1D31D">
          <w:pPr>
            <w:tabs>
              <w:tab w:val="right" w:leader="dot" w:pos="8315"/>
            </w:tabs>
            <w:spacing w:before="59" w:line="221" w:lineRule="auto"/>
            <w:ind w:left="866"/>
            <w:rPr>
              <w:rFonts w:ascii="宋体" w:hAnsi="宋体" w:eastAsia="宋体" w:cs="宋体"/>
              <w:sz w:val="21"/>
              <w:szCs w:val="21"/>
            </w:rPr>
          </w:pPr>
          <w:r>
            <w:fldChar w:fldCharType="begin"/>
          </w:r>
          <w:r>
            <w:instrText xml:space="preserve"> HYPERLINK \l "bookmark311" </w:instrText>
          </w:r>
          <w:r>
            <w:fldChar w:fldCharType="separate"/>
          </w:r>
          <w:r>
            <w:rPr>
              <w:rFonts w:ascii="宋体" w:hAnsi="宋体" w:eastAsia="宋体" w:cs="宋体"/>
              <w:spacing w:val="-4"/>
              <w:sz w:val="21"/>
              <w:szCs w:val="21"/>
            </w:rPr>
            <w:t>5.3</w:t>
          </w:r>
          <w:r>
            <w:rPr>
              <w:rFonts w:ascii="宋体" w:hAnsi="宋体" w:eastAsia="宋体" w:cs="宋体"/>
              <w:spacing w:val="25"/>
              <w:sz w:val="21"/>
              <w:szCs w:val="21"/>
            </w:rPr>
            <w:t xml:space="preserve"> </w:t>
          </w:r>
          <w:r>
            <w:rPr>
              <w:rFonts w:ascii="宋体" w:hAnsi="宋体" w:eastAsia="宋体" w:cs="宋体"/>
              <w:spacing w:val="-4"/>
              <w:sz w:val="21"/>
              <w:szCs w:val="21"/>
            </w:rPr>
            <w:t>隐蔽工程检查</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137</w:t>
          </w:r>
          <w:r>
            <w:rPr>
              <w:rFonts w:ascii="宋体" w:hAnsi="宋体" w:eastAsia="宋体" w:cs="宋体"/>
              <w:spacing w:val="-5"/>
              <w:sz w:val="21"/>
              <w:szCs w:val="21"/>
            </w:rPr>
            <w:fldChar w:fldCharType="end"/>
          </w:r>
        </w:p>
        <w:p w14:paraId="45B5E96A">
          <w:pPr>
            <w:tabs>
              <w:tab w:val="right" w:leader="dot" w:pos="8315"/>
            </w:tabs>
            <w:spacing w:before="61" w:line="221" w:lineRule="auto"/>
            <w:ind w:left="444"/>
            <w:rPr>
              <w:rFonts w:ascii="宋体" w:hAnsi="宋体" w:eastAsia="宋体" w:cs="宋体"/>
              <w:sz w:val="21"/>
              <w:szCs w:val="21"/>
            </w:rPr>
          </w:pPr>
          <w:r>
            <w:fldChar w:fldCharType="begin"/>
          </w:r>
          <w:r>
            <w:instrText xml:space="preserve"> HYPERLINK \l "bookmark312" </w:instrText>
          </w:r>
          <w:r>
            <w:fldChar w:fldCharType="separate"/>
          </w:r>
          <w:r>
            <w:rPr>
              <w:rFonts w:ascii="宋体" w:hAnsi="宋体" w:eastAsia="宋体" w:cs="宋体"/>
              <w:spacing w:val="-1"/>
              <w:sz w:val="21"/>
              <w:szCs w:val="21"/>
            </w:rPr>
            <w:t>6. 安全文明施工与环境保护</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19AE4B76">
          <w:pPr>
            <w:tabs>
              <w:tab w:val="right" w:leader="dot" w:pos="8315"/>
            </w:tabs>
            <w:spacing w:before="61" w:line="221" w:lineRule="auto"/>
            <w:ind w:left="864"/>
            <w:rPr>
              <w:rFonts w:ascii="宋体" w:hAnsi="宋体" w:eastAsia="宋体" w:cs="宋体"/>
              <w:sz w:val="21"/>
              <w:szCs w:val="21"/>
            </w:rPr>
          </w:pPr>
          <w:r>
            <w:fldChar w:fldCharType="begin"/>
          </w:r>
          <w:r>
            <w:instrText xml:space="preserve"> HYPERLINK \l "bookmark313" </w:instrText>
          </w:r>
          <w:r>
            <w:fldChar w:fldCharType="separate"/>
          </w:r>
          <w:r>
            <w:rPr>
              <w:rFonts w:ascii="宋体" w:hAnsi="宋体" w:eastAsia="宋体" w:cs="宋体"/>
              <w:spacing w:val="-3"/>
              <w:sz w:val="21"/>
              <w:szCs w:val="21"/>
            </w:rPr>
            <w:t>6.1</w:t>
          </w:r>
          <w:r>
            <w:rPr>
              <w:rFonts w:ascii="宋体" w:hAnsi="宋体" w:eastAsia="宋体" w:cs="宋体"/>
              <w:spacing w:val="-35"/>
              <w:sz w:val="21"/>
              <w:szCs w:val="21"/>
            </w:rPr>
            <w:t xml:space="preserve"> </w:t>
          </w:r>
          <w:r>
            <w:rPr>
              <w:rFonts w:ascii="宋体" w:hAnsi="宋体" w:eastAsia="宋体" w:cs="宋体"/>
              <w:spacing w:val="-3"/>
              <w:sz w:val="21"/>
              <w:szCs w:val="21"/>
            </w:rPr>
            <w:t>安全文明施工</w:t>
          </w:r>
          <w:r>
            <w:rPr>
              <w:rFonts w:ascii="宋体" w:hAnsi="宋体" w:eastAsia="宋体" w:cs="宋体"/>
              <w:spacing w:val="-3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1185F9E3">
          <w:pPr>
            <w:tabs>
              <w:tab w:val="right" w:leader="dot" w:pos="8315"/>
            </w:tabs>
            <w:spacing w:before="61" w:line="221" w:lineRule="auto"/>
            <w:ind w:left="447"/>
            <w:rPr>
              <w:rFonts w:ascii="宋体" w:hAnsi="宋体" w:eastAsia="宋体" w:cs="宋体"/>
              <w:sz w:val="21"/>
              <w:szCs w:val="21"/>
            </w:rPr>
          </w:pPr>
          <w:r>
            <w:fldChar w:fldCharType="begin"/>
          </w:r>
          <w:r>
            <w:instrText xml:space="preserve"> HYPERLINK \l "bookmark314" </w:instrText>
          </w:r>
          <w:r>
            <w:fldChar w:fldCharType="separate"/>
          </w:r>
          <w:r>
            <w:rPr>
              <w:rFonts w:ascii="宋体" w:hAnsi="宋体" w:eastAsia="宋体" w:cs="宋体"/>
              <w:spacing w:val="-4"/>
              <w:sz w:val="21"/>
              <w:szCs w:val="21"/>
            </w:rPr>
            <w:t>7.</w:t>
          </w:r>
          <w:r>
            <w:rPr>
              <w:rFonts w:ascii="宋体" w:hAnsi="宋体" w:eastAsia="宋体" w:cs="宋体"/>
              <w:spacing w:val="16"/>
              <w:sz w:val="21"/>
              <w:szCs w:val="21"/>
            </w:rPr>
            <w:t xml:space="preserve"> </w:t>
          </w:r>
          <w:r>
            <w:rPr>
              <w:rFonts w:ascii="宋体" w:hAnsi="宋体" w:eastAsia="宋体" w:cs="宋体"/>
              <w:spacing w:val="-4"/>
              <w:sz w:val="21"/>
              <w:szCs w:val="21"/>
            </w:rPr>
            <w:t>工期和进度</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1A933456">
          <w:pPr>
            <w:tabs>
              <w:tab w:val="right" w:leader="dot" w:pos="8315"/>
            </w:tabs>
            <w:spacing w:before="61" w:line="222" w:lineRule="auto"/>
            <w:ind w:left="867"/>
            <w:rPr>
              <w:rFonts w:ascii="宋体" w:hAnsi="宋体" w:eastAsia="宋体" w:cs="宋体"/>
              <w:sz w:val="21"/>
              <w:szCs w:val="21"/>
            </w:rPr>
          </w:pPr>
          <w:r>
            <w:fldChar w:fldCharType="begin"/>
          </w:r>
          <w:r>
            <w:instrText xml:space="preserve"> HYPERLINK \l "bookmark315" </w:instrText>
          </w:r>
          <w:r>
            <w:fldChar w:fldCharType="separate"/>
          </w:r>
          <w:r>
            <w:rPr>
              <w:rFonts w:ascii="宋体" w:hAnsi="宋体" w:eastAsia="宋体" w:cs="宋体"/>
              <w:spacing w:val="-2"/>
              <w:sz w:val="21"/>
              <w:szCs w:val="21"/>
            </w:rPr>
            <w:t>7.1 施工组织设计</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56E58794">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"bookmark316" </w:instrText>
          </w:r>
          <w:r>
            <w:fldChar w:fldCharType="separate"/>
          </w:r>
          <w:r>
            <w:rPr>
              <w:rFonts w:ascii="宋体" w:hAnsi="宋体" w:eastAsia="宋体" w:cs="宋体"/>
              <w:spacing w:val="-2"/>
              <w:sz w:val="21"/>
              <w:szCs w:val="21"/>
            </w:rPr>
            <w:t>7.2 施工进度计划</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1033F99D">
          <w:pPr>
            <w:tabs>
              <w:tab w:val="right" w:leader="dot" w:pos="8315"/>
            </w:tabs>
            <w:spacing w:before="60" w:line="222" w:lineRule="auto"/>
            <w:ind w:left="867"/>
            <w:rPr>
              <w:rFonts w:ascii="宋体" w:hAnsi="宋体" w:eastAsia="宋体" w:cs="宋体"/>
              <w:sz w:val="21"/>
              <w:szCs w:val="21"/>
            </w:rPr>
          </w:pPr>
          <w:r>
            <w:fldChar w:fldCharType="begin"/>
          </w:r>
          <w:r>
            <w:instrText xml:space="preserve"> HYPERLINK \l "bookmark317" </w:instrText>
          </w:r>
          <w:r>
            <w:fldChar w:fldCharType="separate"/>
          </w:r>
          <w:r>
            <w:rPr>
              <w:rFonts w:ascii="宋体" w:hAnsi="宋体" w:eastAsia="宋体" w:cs="宋体"/>
              <w:spacing w:val="-5"/>
              <w:sz w:val="21"/>
              <w:szCs w:val="21"/>
            </w:rPr>
            <w:t>7.3</w:t>
          </w:r>
          <w:r>
            <w:rPr>
              <w:rFonts w:ascii="宋体" w:hAnsi="宋体" w:eastAsia="宋体" w:cs="宋体"/>
              <w:spacing w:val="13"/>
              <w:sz w:val="21"/>
              <w:szCs w:val="21"/>
            </w:rPr>
            <w:t xml:space="preserve"> </w:t>
          </w:r>
          <w:r>
            <w:rPr>
              <w:rFonts w:ascii="宋体" w:hAnsi="宋体" w:eastAsia="宋体" w:cs="宋体"/>
              <w:spacing w:val="-5"/>
              <w:sz w:val="21"/>
              <w:szCs w:val="21"/>
            </w:rPr>
            <w:t>开工</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138</w:t>
          </w:r>
          <w:r>
            <w:rPr>
              <w:rFonts w:ascii="宋体" w:hAnsi="宋体" w:eastAsia="宋体" w:cs="宋体"/>
              <w:spacing w:val="-5"/>
              <w:sz w:val="21"/>
              <w:szCs w:val="21"/>
            </w:rPr>
            <w:fldChar w:fldCharType="end"/>
          </w:r>
        </w:p>
        <w:p w14:paraId="4954E560">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"bookmark318" </w:instrText>
          </w:r>
          <w:r>
            <w:fldChar w:fldCharType="separate"/>
          </w:r>
          <w:r>
            <w:rPr>
              <w:rFonts w:ascii="宋体" w:hAnsi="宋体" w:eastAsia="宋体" w:cs="宋体"/>
              <w:spacing w:val="-3"/>
              <w:sz w:val="21"/>
              <w:szCs w:val="21"/>
            </w:rPr>
            <w:t>7.4</w:t>
          </w:r>
          <w:r>
            <w:rPr>
              <w:rFonts w:ascii="宋体" w:hAnsi="宋体" w:eastAsia="宋体" w:cs="宋体"/>
              <w:spacing w:val="9"/>
              <w:sz w:val="21"/>
              <w:szCs w:val="21"/>
            </w:rPr>
            <w:t xml:space="preserve"> </w:t>
          </w:r>
          <w:r>
            <w:rPr>
              <w:rFonts w:ascii="宋体" w:hAnsi="宋体" w:eastAsia="宋体" w:cs="宋体"/>
              <w:spacing w:val="-3"/>
              <w:sz w:val="21"/>
              <w:szCs w:val="21"/>
            </w:rPr>
            <w:t>测量放线</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16FC4CA6">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"bookmark319" </w:instrText>
          </w:r>
          <w:r>
            <w:fldChar w:fldCharType="separate"/>
          </w:r>
          <w:r>
            <w:rPr>
              <w:rFonts w:ascii="宋体" w:hAnsi="宋体" w:eastAsia="宋体" w:cs="宋体"/>
              <w:spacing w:val="-4"/>
              <w:sz w:val="21"/>
              <w:szCs w:val="21"/>
            </w:rPr>
            <w:t>7.5</w:t>
          </w:r>
          <w:r>
            <w:rPr>
              <w:rFonts w:ascii="宋体" w:hAnsi="宋体" w:eastAsia="宋体" w:cs="宋体"/>
              <w:spacing w:val="16"/>
              <w:sz w:val="21"/>
              <w:szCs w:val="21"/>
            </w:rPr>
            <w:t xml:space="preserve"> </w:t>
          </w:r>
          <w:r>
            <w:rPr>
              <w:rFonts w:ascii="宋体" w:hAnsi="宋体" w:eastAsia="宋体" w:cs="宋体"/>
              <w:spacing w:val="-4"/>
              <w:sz w:val="21"/>
              <w:szCs w:val="21"/>
            </w:rPr>
            <w:t>工期延误</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22B07507">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"bookmark320" </w:instrText>
          </w:r>
          <w:r>
            <w:fldChar w:fldCharType="separate"/>
          </w:r>
          <w:r>
            <w:rPr>
              <w:rFonts w:ascii="宋体" w:hAnsi="宋体" w:eastAsia="宋体" w:cs="宋体"/>
              <w:spacing w:val="-2"/>
              <w:sz w:val="21"/>
              <w:szCs w:val="21"/>
            </w:rPr>
            <w:t>7.6 不利物质条件</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1474BE85">
          <w:pPr>
            <w:tabs>
              <w:tab w:val="right" w:leader="dot" w:pos="8315"/>
            </w:tabs>
            <w:spacing w:before="61" w:line="221" w:lineRule="auto"/>
            <w:ind w:left="867"/>
            <w:rPr>
              <w:rFonts w:ascii="宋体" w:hAnsi="宋体" w:eastAsia="宋体" w:cs="宋体"/>
              <w:sz w:val="21"/>
              <w:szCs w:val="21"/>
            </w:rPr>
          </w:pPr>
          <w:r>
            <w:fldChar w:fldCharType="begin"/>
          </w:r>
          <w:r>
            <w:instrText xml:space="preserve"> HYPERLINK \l "bookmark321" </w:instrText>
          </w:r>
          <w:r>
            <w:fldChar w:fldCharType="separate"/>
          </w:r>
          <w:r>
            <w:rPr>
              <w:rFonts w:ascii="宋体" w:hAnsi="宋体" w:eastAsia="宋体" w:cs="宋体"/>
              <w:spacing w:val="-2"/>
              <w:sz w:val="21"/>
              <w:szCs w:val="21"/>
            </w:rPr>
            <w:t>7.7</w:t>
          </w:r>
          <w:r>
            <w:rPr>
              <w:rFonts w:ascii="宋体" w:hAnsi="宋体" w:eastAsia="宋体" w:cs="宋体"/>
              <w:spacing w:val="-40"/>
              <w:sz w:val="21"/>
              <w:szCs w:val="21"/>
            </w:rPr>
            <w:t xml:space="preserve"> </w:t>
          </w:r>
          <w:r>
            <w:rPr>
              <w:rFonts w:ascii="宋体" w:hAnsi="宋体" w:eastAsia="宋体" w:cs="宋体"/>
              <w:spacing w:val="-2"/>
              <w:sz w:val="21"/>
              <w:szCs w:val="21"/>
            </w:rPr>
            <w:t>异常恶劣的气候条件</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0A263FD6">
          <w:pPr>
            <w:tabs>
              <w:tab w:val="right" w:leader="dot" w:pos="8315"/>
            </w:tabs>
            <w:spacing w:before="60" w:line="221" w:lineRule="auto"/>
            <w:ind w:left="867"/>
            <w:rPr>
              <w:rFonts w:ascii="宋体" w:hAnsi="宋体" w:eastAsia="宋体" w:cs="宋体"/>
              <w:sz w:val="21"/>
              <w:szCs w:val="21"/>
            </w:rPr>
          </w:pPr>
          <w:r>
            <w:fldChar w:fldCharType="begin"/>
          </w:r>
          <w:r>
            <w:instrText xml:space="preserve"> HYPERLINK \l "bookmark322" </w:instrText>
          </w:r>
          <w:r>
            <w:fldChar w:fldCharType="separate"/>
          </w:r>
          <w:r>
            <w:rPr>
              <w:rFonts w:ascii="宋体" w:hAnsi="宋体" w:eastAsia="宋体" w:cs="宋体"/>
              <w:spacing w:val="-1"/>
              <w:sz w:val="21"/>
              <w:szCs w:val="21"/>
            </w:rPr>
            <w:t>7.9 提前竣工的奖励</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2ABAB157">
          <w:pPr>
            <w:tabs>
              <w:tab w:val="right" w:leader="dot" w:pos="8315"/>
            </w:tabs>
            <w:spacing w:before="61" w:line="220" w:lineRule="auto"/>
            <w:ind w:left="443"/>
            <w:rPr>
              <w:rFonts w:ascii="宋体" w:hAnsi="宋体" w:eastAsia="宋体" w:cs="宋体"/>
              <w:sz w:val="21"/>
              <w:szCs w:val="21"/>
            </w:rPr>
          </w:pPr>
          <w:r>
            <w:fldChar w:fldCharType="begin"/>
          </w:r>
          <w:r>
            <w:instrText xml:space="preserve"> HYPERLINK \l "bookmark323" </w:instrText>
          </w:r>
          <w:r>
            <w:fldChar w:fldCharType="separate"/>
          </w:r>
          <w:r>
            <w:rPr>
              <w:rFonts w:ascii="宋体" w:hAnsi="宋体" w:eastAsia="宋体" w:cs="宋体"/>
              <w:spacing w:val="-1"/>
              <w:sz w:val="21"/>
              <w:szCs w:val="21"/>
            </w:rPr>
            <w:t>8. 材料与设备</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6E87C1C2">
          <w:pPr>
            <w:tabs>
              <w:tab w:val="right" w:leader="dot" w:pos="8315"/>
            </w:tabs>
            <w:spacing w:before="62" w:line="220" w:lineRule="auto"/>
            <w:ind w:left="863"/>
            <w:rPr>
              <w:rFonts w:ascii="宋体" w:hAnsi="宋体" w:eastAsia="宋体" w:cs="宋体"/>
              <w:sz w:val="21"/>
              <w:szCs w:val="21"/>
            </w:rPr>
          </w:pPr>
          <w:r>
            <w:fldChar w:fldCharType="begin"/>
          </w:r>
          <w:r>
            <w:instrText xml:space="preserve"> HYPERLINK \l "bookmark324" </w:instrText>
          </w:r>
          <w:r>
            <w:fldChar w:fldCharType="separate"/>
          </w:r>
          <w:r>
            <w:rPr>
              <w:rFonts w:ascii="宋体" w:hAnsi="宋体" w:eastAsia="宋体" w:cs="宋体"/>
              <w:spacing w:val="-1"/>
              <w:sz w:val="21"/>
              <w:szCs w:val="21"/>
            </w:rPr>
            <w:t>8.4</w:t>
          </w:r>
          <w:r>
            <w:rPr>
              <w:rFonts w:ascii="宋体" w:hAnsi="宋体" w:eastAsia="宋体" w:cs="宋体"/>
              <w:spacing w:val="-43"/>
              <w:sz w:val="21"/>
              <w:szCs w:val="21"/>
            </w:rPr>
            <w:t xml:space="preserve"> </w:t>
          </w:r>
          <w:r>
            <w:rPr>
              <w:rFonts w:ascii="宋体" w:hAnsi="宋体" w:eastAsia="宋体" w:cs="宋体"/>
              <w:spacing w:val="-1"/>
              <w:sz w:val="21"/>
              <w:szCs w:val="21"/>
            </w:rPr>
            <w:t>材料与工程设备的保管与使用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2B081366">
          <w:pPr>
            <w:tabs>
              <w:tab w:val="right" w:leader="dot" w:pos="8315"/>
            </w:tabs>
            <w:spacing w:before="62" w:line="221" w:lineRule="auto"/>
            <w:ind w:left="863"/>
            <w:rPr>
              <w:rFonts w:ascii="宋体" w:hAnsi="宋体" w:eastAsia="宋体" w:cs="宋体"/>
              <w:sz w:val="21"/>
              <w:szCs w:val="21"/>
            </w:rPr>
          </w:pPr>
          <w:r>
            <w:fldChar w:fldCharType="begin"/>
          </w:r>
          <w:r>
            <w:instrText xml:space="preserve"> HYPERLINK \l "bookmark325" </w:instrText>
          </w:r>
          <w:r>
            <w:fldChar w:fldCharType="separate"/>
          </w:r>
          <w:r>
            <w:rPr>
              <w:rFonts w:ascii="宋体" w:hAnsi="宋体" w:eastAsia="宋体" w:cs="宋体"/>
              <w:spacing w:val="-3"/>
              <w:sz w:val="21"/>
              <w:szCs w:val="21"/>
            </w:rPr>
            <w:t>8.6</w:t>
          </w:r>
          <w:r>
            <w:rPr>
              <w:rFonts w:ascii="宋体" w:hAnsi="宋体" w:eastAsia="宋体" w:cs="宋体"/>
              <w:spacing w:val="7"/>
              <w:sz w:val="21"/>
              <w:szCs w:val="21"/>
            </w:rPr>
            <w:t xml:space="preserve"> </w:t>
          </w:r>
          <w:r>
            <w:rPr>
              <w:rFonts w:ascii="宋体" w:hAnsi="宋体" w:eastAsia="宋体" w:cs="宋体"/>
              <w:spacing w:val="-3"/>
              <w:sz w:val="21"/>
              <w:szCs w:val="21"/>
            </w:rPr>
            <w:t>样品</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139</w:t>
          </w:r>
          <w:r>
            <w:rPr>
              <w:rFonts w:ascii="宋体" w:hAnsi="宋体" w:eastAsia="宋体" w:cs="宋体"/>
              <w:spacing w:val="-5"/>
              <w:sz w:val="21"/>
              <w:szCs w:val="21"/>
            </w:rPr>
            <w:fldChar w:fldCharType="end"/>
          </w:r>
        </w:p>
        <w:p w14:paraId="0B51F77E">
          <w:pPr>
            <w:tabs>
              <w:tab w:val="right" w:leader="dot" w:pos="8315"/>
            </w:tabs>
            <w:spacing w:before="61" w:line="221" w:lineRule="auto"/>
            <w:ind w:left="863"/>
            <w:rPr>
              <w:rFonts w:ascii="宋体" w:hAnsi="宋体" w:eastAsia="宋体" w:cs="宋体"/>
              <w:sz w:val="21"/>
              <w:szCs w:val="21"/>
            </w:rPr>
          </w:pPr>
          <w:r>
            <w:fldChar w:fldCharType="begin"/>
          </w:r>
          <w:r>
            <w:instrText xml:space="preserve"> HYPERLINK \l "bookmark326" </w:instrText>
          </w:r>
          <w:r>
            <w:fldChar w:fldCharType="separate"/>
          </w:r>
          <w:r>
            <w:rPr>
              <w:rFonts w:ascii="宋体" w:hAnsi="宋体" w:eastAsia="宋体" w:cs="宋体"/>
              <w:spacing w:val="-1"/>
              <w:sz w:val="21"/>
              <w:szCs w:val="21"/>
            </w:rPr>
            <w:t>8.8 施工设备和临时设施</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0897281A">
          <w:pPr>
            <w:tabs>
              <w:tab w:val="right" w:leader="dot" w:pos="8315"/>
            </w:tabs>
            <w:spacing w:before="60" w:line="221" w:lineRule="auto"/>
            <w:ind w:left="443"/>
            <w:rPr>
              <w:rFonts w:ascii="宋体" w:hAnsi="宋体" w:eastAsia="宋体" w:cs="宋体"/>
              <w:sz w:val="21"/>
              <w:szCs w:val="21"/>
            </w:rPr>
          </w:pPr>
          <w:r>
            <w:fldChar w:fldCharType="begin"/>
          </w:r>
          <w:r>
            <w:instrText xml:space="preserve"> HYPERLINK \l "bookmark327" </w:instrText>
          </w:r>
          <w:r>
            <w:fldChar w:fldCharType="separate"/>
          </w:r>
          <w:r>
            <w:rPr>
              <w:rFonts w:ascii="宋体" w:hAnsi="宋体" w:eastAsia="宋体" w:cs="宋体"/>
              <w:spacing w:val="-1"/>
              <w:sz w:val="21"/>
              <w:szCs w:val="21"/>
            </w:rPr>
            <w:t>9. 试验与检验</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3E7B3B87">
          <w:pPr>
            <w:tabs>
              <w:tab w:val="right" w:leader="dot" w:pos="8315"/>
            </w:tabs>
            <w:spacing w:before="61" w:line="222" w:lineRule="auto"/>
            <w:ind w:left="863"/>
            <w:rPr>
              <w:rFonts w:ascii="宋体" w:hAnsi="宋体" w:eastAsia="宋体" w:cs="宋体"/>
              <w:sz w:val="21"/>
              <w:szCs w:val="21"/>
            </w:rPr>
          </w:pPr>
          <w:r>
            <w:fldChar w:fldCharType="begin"/>
          </w:r>
          <w:r>
            <w:instrText xml:space="preserve"> HYPERLINK \l "bookmark328" </w:instrText>
          </w:r>
          <w:r>
            <w:fldChar w:fldCharType="separate"/>
          </w:r>
          <w:r>
            <w:rPr>
              <w:rFonts w:ascii="宋体" w:hAnsi="宋体" w:eastAsia="宋体" w:cs="宋体"/>
              <w:spacing w:val="-2"/>
              <w:sz w:val="21"/>
              <w:szCs w:val="21"/>
            </w:rPr>
            <w:t>9.1</w:t>
          </w:r>
          <w:r>
            <w:rPr>
              <w:rFonts w:ascii="宋体" w:hAnsi="宋体" w:eastAsia="宋体" w:cs="宋体"/>
              <w:spacing w:val="-35"/>
              <w:sz w:val="21"/>
              <w:szCs w:val="21"/>
            </w:rPr>
            <w:t xml:space="preserve"> </w:t>
          </w:r>
          <w:r>
            <w:rPr>
              <w:rFonts w:ascii="宋体" w:hAnsi="宋体" w:eastAsia="宋体" w:cs="宋体"/>
              <w:spacing w:val="-2"/>
              <w:sz w:val="21"/>
              <w:szCs w:val="21"/>
            </w:rPr>
            <w:t>试验设备与试验人员</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352105DB">
          <w:pPr>
            <w:tabs>
              <w:tab w:val="right" w:leader="dot" w:pos="8315"/>
            </w:tabs>
            <w:spacing w:before="60" w:line="221" w:lineRule="auto"/>
            <w:ind w:left="863"/>
            <w:rPr>
              <w:rFonts w:ascii="宋体" w:hAnsi="宋体" w:eastAsia="宋体" w:cs="宋体"/>
              <w:sz w:val="21"/>
              <w:szCs w:val="21"/>
            </w:rPr>
          </w:pPr>
          <w:r>
            <w:fldChar w:fldCharType="begin"/>
          </w:r>
          <w:r>
            <w:instrText xml:space="preserve"> HYPERLINK \l "bookmark329" </w:instrText>
          </w:r>
          <w:r>
            <w:fldChar w:fldCharType="separate"/>
          </w:r>
          <w:r>
            <w:rPr>
              <w:rFonts w:ascii="宋体" w:hAnsi="宋体" w:eastAsia="宋体" w:cs="宋体"/>
              <w:spacing w:val="-1"/>
              <w:sz w:val="21"/>
              <w:szCs w:val="21"/>
            </w:rPr>
            <w:t>9.4 现场工艺试验</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1956BB04">
          <w:pPr>
            <w:tabs>
              <w:tab w:val="right" w:leader="dot" w:pos="8315"/>
            </w:tabs>
            <w:spacing w:before="60" w:line="222" w:lineRule="auto"/>
            <w:ind w:left="458"/>
            <w:rPr>
              <w:rFonts w:ascii="宋体" w:hAnsi="宋体" w:eastAsia="宋体" w:cs="宋体"/>
              <w:sz w:val="21"/>
              <w:szCs w:val="21"/>
            </w:rPr>
          </w:pPr>
          <w:r>
            <w:fldChar w:fldCharType="begin"/>
          </w:r>
          <w:r>
            <w:instrText xml:space="preserve"> HYPERLINK \l "bookmark330" </w:instrText>
          </w:r>
          <w:r>
            <w:fldChar w:fldCharType="separate"/>
          </w:r>
          <w:r>
            <w:rPr>
              <w:rFonts w:ascii="宋体" w:hAnsi="宋体" w:eastAsia="宋体" w:cs="宋体"/>
              <w:spacing w:val="-7"/>
              <w:sz w:val="21"/>
              <w:szCs w:val="21"/>
            </w:rPr>
            <w:t>10.</w:t>
          </w:r>
          <w:r>
            <w:rPr>
              <w:rFonts w:ascii="宋体" w:hAnsi="宋体" w:eastAsia="宋体" w:cs="宋体"/>
              <w:spacing w:val="12"/>
              <w:sz w:val="21"/>
              <w:szCs w:val="21"/>
            </w:rPr>
            <w:t xml:space="preserve"> </w:t>
          </w:r>
          <w:r>
            <w:rPr>
              <w:rFonts w:ascii="宋体" w:hAnsi="宋体" w:eastAsia="宋体" w:cs="宋体"/>
              <w:spacing w:val="-7"/>
              <w:sz w:val="21"/>
              <w:szCs w:val="21"/>
            </w:rPr>
            <w:t>变更</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447C4BD1">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"bookmark331" </w:instrText>
          </w:r>
          <w:r>
            <w:fldChar w:fldCharType="separate"/>
          </w:r>
          <w:r>
            <w:rPr>
              <w:rFonts w:ascii="宋体" w:hAnsi="宋体" w:eastAsia="宋体" w:cs="宋体"/>
              <w:spacing w:val="-4"/>
              <w:sz w:val="21"/>
              <w:szCs w:val="21"/>
            </w:rPr>
            <w:t>10.1</w:t>
          </w:r>
          <w:r>
            <w:rPr>
              <w:rFonts w:ascii="宋体" w:hAnsi="宋体" w:eastAsia="宋体" w:cs="宋体"/>
              <w:spacing w:val="-40"/>
              <w:sz w:val="21"/>
              <w:szCs w:val="21"/>
            </w:rPr>
            <w:t xml:space="preserve"> </w:t>
          </w:r>
          <w:r>
            <w:rPr>
              <w:rFonts w:ascii="宋体" w:hAnsi="宋体" w:eastAsia="宋体" w:cs="宋体"/>
              <w:spacing w:val="-4"/>
              <w:sz w:val="21"/>
              <w:szCs w:val="21"/>
            </w:rPr>
            <w:t>变更的范围</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2B170D1A">
          <w:pPr>
            <w:tabs>
              <w:tab w:val="right" w:leader="dot" w:pos="8315"/>
            </w:tabs>
            <w:spacing w:before="61" w:line="219" w:lineRule="auto"/>
            <w:ind w:left="878"/>
            <w:rPr>
              <w:rFonts w:ascii="宋体" w:hAnsi="宋体" w:eastAsia="宋体" w:cs="宋体"/>
              <w:sz w:val="21"/>
              <w:szCs w:val="21"/>
            </w:rPr>
          </w:pPr>
          <w:r>
            <w:fldChar w:fldCharType="begin"/>
          </w:r>
          <w:r>
            <w:instrText xml:space="preserve"> HYPERLINK \l "bookmark332" </w:instrText>
          </w:r>
          <w:r>
            <w:fldChar w:fldCharType="separate"/>
          </w:r>
          <w:r>
            <w:rPr>
              <w:rFonts w:ascii="宋体" w:hAnsi="宋体" w:eastAsia="宋体" w:cs="宋体"/>
              <w:spacing w:val="-3"/>
              <w:sz w:val="21"/>
              <w:szCs w:val="21"/>
            </w:rPr>
            <w:t>10.4 变更估价</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5FB3C485">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"bookmark333" </w:instrText>
          </w:r>
          <w:r>
            <w:fldChar w:fldCharType="separate"/>
          </w:r>
          <w:r>
            <w:rPr>
              <w:rFonts w:ascii="宋体" w:hAnsi="宋体" w:eastAsia="宋体" w:cs="宋体"/>
              <w:spacing w:val="-3"/>
              <w:sz w:val="21"/>
              <w:szCs w:val="21"/>
            </w:rPr>
            <w:t>10.5</w:t>
          </w:r>
          <w:r>
            <w:rPr>
              <w:rFonts w:ascii="宋体" w:hAnsi="宋体" w:eastAsia="宋体" w:cs="宋体"/>
              <w:spacing w:val="-37"/>
              <w:sz w:val="21"/>
              <w:szCs w:val="21"/>
            </w:rPr>
            <w:t xml:space="preserve"> </w:t>
          </w:r>
          <w:r>
            <w:rPr>
              <w:rFonts w:ascii="宋体" w:hAnsi="宋体" w:eastAsia="宋体" w:cs="宋体"/>
              <w:spacing w:val="-3"/>
              <w:sz w:val="21"/>
              <w:szCs w:val="21"/>
            </w:rPr>
            <w:t>承包人的合理化建议</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158F2700">
          <w:pPr>
            <w:tabs>
              <w:tab w:val="right" w:leader="dot" w:pos="8315"/>
            </w:tabs>
            <w:spacing w:before="61" w:line="219" w:lineRule="auto"/>
            <w:ind w:left="878"/>
            <w:rPr>
              <w:rFonts w:ascii="宋体" w:hAnsi="宋体" w:eastAsia="宋体" w:cs="宋体"/>
              <w:sz w:val="21"/>
              <w:szCs w:val="21"/>
            </w:rPr>
          </w:pPr>
          <w:r>
            <w:fldChar w:fldCharType="begin"/>
          </w:r>
          <w:r>
            <w:instrText xml:space="preserve"> HYPERLINK \l "bookmark334" </w:instrText>
          </w:r>
          <w:r>
            <w:fldChar w:fldCharType="separate"/>
          </w:r>
          <w:r>
            <w:rPr>
              <w:rFonts w:ascii="宋体" w:hAnsi="宋体" w:eastAsia="宋体" w:cs="宋体"/>
              <w:spacing w:val="-5"/>
              <w:sz w:val="21"/>
              <w:szCs w:val="21"/>
            </w:rPr>
            <w:t>10.7</w:t>
          </w:r>
          <w:r>
            <w:rPr>
              <w:rFonts w:ascii="宋体" w:hAnsi="宋体" w:eastAsia="宋体" w:cs="宋体"/>
              <w:spacing w:val="12"/>
              <w:sz w:val="21"/>
              <w:szCs w:val="21"/>
            </w:rPr>
            <w:t xml:space="preserve"> </w:t>
          </w:r>
          <w:r>
            <w:rPr>
              <w:rFonts w:ascii="宋体" w:hAnsi="宋体" w:eastAsia="宋体" w:cs="宋体"/>
              <w:spacing w:val="-5"/>
              <w:sz w:val="21"/>
              <w:szCs w:val="21"/>
            </w:rPr>
            <w:t>暂估价</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140</w:t>
          </w:r>
          <w:r>
            <w:rPr>
              <w:rFonts w:ascii="宋体" w:hAnsi="宋体" w:eastAsia="宋体" w:cs="宋体"/>
              <w:spacing w:val="-5"/>
              <w:sz w:val="21"/>
              <w:szCs w:val="21"/>
            </w:rPr>
            <w:fldChar w:fldCharType="end"/>
          </w:r>
        </w:p>
        <w:p w14:paraId="7410423F">
          <w:pPr>
            <w:tabs>
              <w:tab w:val="right" w:leader="dot" w:pos="8315"/>
            </w:tabs>
            <w:spacing w:before="63" w:line="221" w:lineRule="auto"/>
            <w:ind w:left="878"/>
            <w:rPr>
              <w:rFonts w:ascii="宋体" w:hAnsi="宋体" w:eastAsia="宋体" w:cs="宋体"/>
              <w:sz w:val="21"/>
              <w:szCs w:val="21"/>
            </w:rPr>
          </w:pPr>
          <w:r>
            <w:fldChar w:fldCharType="begin"/>
          </w:r>
          <w:r>
            <w:instrText xml:space="preserve"> HYPERLINK \l "bookmark335" </w:instrText>
          </w:r>
          <w:r>
            <w:fldChar w:fldCharType="separate"/>
          </w:r>
          <w:r>
            <w:rPr>
              <w:rFonts w:ascii="宋体" w:hAnsi="宋体" w:eastAsia="宋体" w:cs="宋体"/>
              <w:spacing w:val="-5"/>
              <w:sz w:val="21"/>
              <w:szCs w:val="21"/>
            </w:rPr>
            <w:t>10.8</w:t>
          </w:r>
          <w:r>
            <w:rPr>
              <w:rFonts w:ascii="宋体" w:hAnsi="宋体" w:eastAsia="宋体" w:cs="宋体"/>
              <w:spacing w:val="18"/>
              <w:sz w:val="21"/>
              <w:szCs w:val="21"/>
            </w:rPr>
            <w:t xml:space="preserve"> </w:t>
          </w:r>
          <w:r>
            <w:rPr>
              <w:rFonts w:ascii="宋体" w:hAnsi="宋体" w:eastAsia="宋体" w:cs="宋体"/>
              <w:spacing w:val="-5"/>
              <w:sz w:val="21"/>
              <w:szCs w:val="21"/>
            </w:rPr>
            <w:t>暂列金额</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141</w:t>
          </w:r>
          <w:r>
            <w:rPr>
              <w:rFonts w:ascii="宋体" w:hAnsi="宋体" w:eastAsia="宋体" w:cs="宋体"/>
              <w:spacing w:val="-5"/>
              <w:sz w:val="21"/>
              <w:szCs w:val="21"/>
            </w:rPr>
            <w:fldChar w:fldCharType="end"/>
          </w:r>
        </w:p>
        <w:p w14:paraId="57C9DA28">
          <w:pPr>
            <w:tabs>
              <w:tab w:val="right" w:leader="dot" w:pos="8315"/>
            </w:tabs>
            <w:spacing w:before="61" w:line="219" w:lineRule="auto"/>
            <w:ind w:left="458"/>
            <w:rPr>
              <w:rFonts w:ascii="宋体" w:hAnsi="宋体" w:eastAsia="宋体" w:cs="宋体"/>
              <w:sz w:val="21"/>
              <w:szCs w:val="21"/>
            </w:rPr>
          </w:pPr>
          <w:r>
            <w:fldChar w:fldCharType="begin"/>
          </w:r>
          <w:r>
            <w:instrText xml:space="preserve"> HYPERLINK \l "bookmark336" </w:instrText>
          </w:r>
          <w:r>
            <w:fldChar w:fldCharType="separate"/>
          </w:r>
          <w:r>
            <w:rPr>
              <w:rFonts w:ascii="宋体" w:hAnsi="宋体" w:eastAsia="宋体" w:cs="宋体"/>
              <w:spacing w:val="-5"/>
              <w:sz w:val="21"/>
              <w:szCs w:val="21"/>
            </w:rPr>
            <w:t>11.</w:t>
          </w:r>
          <w:r>
            <w:rPr>
              <w:rFonts w:ascii="宋体" w:hAnsi="宋体" w:eastAsia="宋体" w:cs="宋体"/>
              <w:spacing w:val="12"/>
              <w:sz w:val="21"/>
              <w:szCs w:val="21"/>
            </w:rPr>
            <w:t xml:space="preserve"> </w:t>
          </w:r>
          <w:r>
            <w:rPr>
              <w:rFonts w:ascii="宋体" w:hAnsi="宋体" w:eastAsia="宋体" w:cs="宋体"/>
              <w:spacing w:val="-5"/>
              <w:sz w:val="21"/>
              <w:szCs w:val="21"/>
            </w:rPr>
            <w:t>价格调整</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141</w:t>
          </w:r>
          <w:r>
            <w:rPr>
              <w:rFonts w:ascii="宋体" w:hAnsi="宋体" w:eastAsia="宋体" w:cs="宋体"/>
              <w:spacing w:val="-5"/>
              <w:sz w:val="21"/>
              <w:szCs w:val="21"/>
            </w:rPr>
            <w:fldChar w:fldCharType="end"/>
          </w:r>
        </w:p>
        <w:p w14:paraId="1B646918">
          <w:pPr>
            <w:tabs>
              <w:tab w:val="right" w:leader="dot" w:pos="8315"/>
            </w:tabs>
            <w:spacing w:before="63" w:line="219" w:lineRule="auto"/>
            <w:ind w:left="878"/>
            <w:rPr>
              <w:rFonts w:ascii="宋体" w:hAnsi="宋体" w:eastAsia="宋体" w:cs="宋体"/>
              <w:sz w:val="21"/>
              <w:szCs w:val="21"/>
            </w:rPr>
          </w:pPr>
          <w:r>
            <w:fldChar w:fldCharType="begin"/>
          </w:r>
          <w:r>
            <w:instrText xml:space="preserve"> HYPERLINK \l "bookmark337" </w:instrText>
          </w:r>
          <w:r>
            <w:fldChar w:fldCharType="separate"/>
          </w:r>
          <w:r>
            <w:rPr>
              <w:rFonts w:ascii="宋体" w:hAnsi="宋体" w:eastAsia="宋体" w:cs="宋体"/>
              <w:spacing w:val="-2"/>
              <w:sz w:val="21"/>
              <w:szCs w:val="21"/>
            </w:rPr>
            <w:t>11.1 市场价格波动引起的调整</w:t>
          </w:r>
          <w:r>
            <w:rPr>
              <w:rFonts w:ascii="宋体" w:hAnsi="宋体" w:eastAsia="宋体" w:cs="宋体"/>
              <w:spacing w:val="-68"/>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141</w:t>
          </w:r>
          <w:r>
            <w:rPr>
              <w:rFonts w:ascii="宋体" w:hAnsi="宋体" w:eastAsia="宋体" w:cs="宋体"/>
              <w:spacing w:val="-5"/>
              <w:sz w:val="21"/>
              <w:szCs w:val="21"/>
            </w:rPr>
            <w:fldChar w:fldCharType="end"/>
          </w:r>
        </w:p>
        <w:p w14:paraId="50B440DD">
          <w:pPr>
            <w:tabs>
              <w:tab w:val="right" w:leader="dot" w:pos="8315"/>
            </w:tabs>
            <w:spacing w:before="63" w:line="219" w:lineRule="auto"/>
            <w:ind w:left="458"/>
            <w:rPr>
              <w:rFonts w:ascii="宋体" w:hAnsi="宋体" w:eastAsia="宋体" w:cs="宋体"/>
              <w:sz w:val="21"/>
              <w:szCs w:val="21"/>
            </w:rPr>
          </w:pPr>
          <w:r>
            <w:fldChar w:fldCharType="begin"/>
          </w:r>
          <w:r>
            <w:instrText xml:space="preserve"> HYPERLINK \l "bookmark338" </w:instrText>
          </w:r>
          <w:r>
            <w:fldChar w:fldCharType="separate"/>
          </w:r>
          <w:r>
            <w:rPr>
              <w:rFonts w:ascii="宋体" w:hAnsi="宋体" w:eastAsia="宋体" w:cs="宋体"/>
              <w:spacing w:val="-2"/>
              <w:sz w:val="21"/>
              <w:szCs w:val="21"/>
            </w:rPr>
            <w:t>12. 合同价格、计量与支付</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141</w:t>
          </w:r>
          <w:r>
            <w:rPr>
              <w:rFonts w:ascii="宋体" w:hAnsi="宋体" w:eastAsia="宋体" w:cs="宋体"/>
              <w:spacing w:val="-5"/>
              <w:sz w:val="21"/>
              <w:szCs w:val="21"/>
            </w:rPr>
            <w:fldChar w:fldCharType="end"/>
          </w:r>
        </w:p>
        <w:p w14:paraId="01A6B7BB">
          <w:pPr>
            <w:tabs>
              <w:tab w:val="right" w:leader="dot" w:pos="8315"/>
            </w:tabs>
            <w:spacing w:before="63" w:line="219" w:lineRule="auto"/>
            <w:ind w:left="878"/>
            <w:rPr>
              <w:rFonts w:ascii="宋体" w:hAnsi="宋体" w:eastAsia="宋体" w:cs="宋体"/>
              <w:sz w:val="21"/>
              <w:szCs w:val="21"/>
            </w:rPr>
          </w:pPr>
          <w:r>
            <w:fldChar w:fldCharType="begin"/>
          </w:r>
          <w:r>
            <w:instrText xml:space="preserve"> HYPERLINK \l "bookmark339" </w:instrText>
          </w:r>
          <w:r>
            <w:fldChar w:fldCharType="separate"/>
          </w:r>
          <w:r>
            <w:rPr>
              <w:rFonts w:ascii="宋体" w:hAnsi="宋体" w:eastAsia="宋体" w:cs="宋体"/>
              <w:spacing w:val="-2"/>
              <w:sz w:val="21"/>
              <w:szCs w:val="21"/>
            </w:rPr>
            <w:t>12.1 合同价格形式</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141</w:t>
          </w:r>
          <w:r>
            <w:rPr>
              <w:rFonts w:ascii="宋体" w:hAnsi="宋体" w:eastAsia="宋体" w:cs="宋体"/>
              <w:spacing w:val="-5"/>
              <w:sz w:val="21"/>
              <w:szCs w:val="21"/>
            </w:rPr>
            <w:fldChar w:fldCharType="end"/>
          </w:r>
        </w:p>
        <w:p w14:paraId="5C6BDF83">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"bookmark340" </w:instrText>
          </w:r>
          <w:r>
            <w:fldChar w:fldCharType="separate"/>
          </w:r>
          <w:r>
            <w:rPr>
              <w:rFonts w:ascii="宋体" w:hAnsi="宋体" w:eastAsia="宋体" w:cs="宋体"/>
              <w:spacing w:val="-5"/>
              <w:sz w:val="21"/>
              <w:szCs w:val="21"/>
            </w:rPr>
            <w:t>12.2</w:t>
          </w:r>
          <w:r>
            <w:rPr>
              <w:rFonts w:ascii="宋体" w:hAnsi="宋体" w:eastAsia="宋体" w:cs="宋体"/>
              <w:spacing w:val="12"/>
              <w:sz w:val="21"/>
              <w:szCs w:val="21"/>
            </w:rPr>
            <w:t xml:space="preserve"> </w:t>
          </w:r>
          <w:r>
            <w:rPr>
              <w:rFonts w:ascii="宋体" w:hAnsi="宋体" w:eastAsia="宋体" w:cs="宋体"/>
              <w:spacing w:val="-5"/>
              <w:sz w:val="21"/>
              <w:szCs w:val="21"/>
            </w:rPr>
            <w:t>预付款</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142</w:t>
          </w:r>
          <w:r>
            <w:rPr>
              <w:rFonts w:ascii="宋体" w:hAnsi="宋体" w:eastAsia="宋体" w:cs="宋体"/>
              <w:spacing w:val="-5"/>
              <w:sz w:val="21"/>
              <w:szCs w:val="21"/>
            </w:rPr>
            <w:fldChar w:fldCharType="end"/>
          </w:r>
        </w:p>
        <w:p w14:paraId="7EC60B5F">
          <w:pPr>
            <w:tabs>
              <w:tab w:val="right" w:leader="dot" w:pos="8315"/>
            </w:tabs>
            <w:spacing w:before="61" w:line="222" w:lineRule="auto"/>
            <w:ind w:left="878"/>
            <w:rPr>
              <w:rFonts w:ascii="宋体" w:hAnsi="宋体" w:eastAsia="宋体" w:cs="宋体"/>
              <w:sz w:val="21"/>
              <w:szCs w:val="21"/>
            </w:rPr>
          </w:pPr>
          <w:r>
            <w:fldChar w:fldCharType="begin"/>
          </w:r>
          <w:r>
            <w:instrText xml:space="preserve"> HYPERLINK \l "bookmark341" </w:instrText>
          </w:r>
          <w:r>
            <w:fldChar w:fldCharType="separate"/>
          </w:r>
          <w:r>
            <w:rPr>
              <w:rFonts w:ascii="宋体" w:hAnsi="宋体" w:eastAsia="宋体" w:cs="宋体"/>
              <w:spacing w:val="-5"/>
              <w:sz w:val="21"/>
              <w:szCs w:val="21"/>
            </w:rPr>
            <w:t>12.3</w:t>
          </w:r>
          <w:r>
            <w:rPr>
              <w:rFonts w:ascii="宋体" w:hAnsi="宋体" w:eastAsia="宋体" w:cs="宋体"/>
              <w:spacing w:val="8"/>
              <w:sz w:val="21"/>
              <w:szCs w:val="21"/>
            </w:rPr>
            <w:t xml:space="preserve"> </w:t>
          </w:r>
          <w:r>
            <w:rPr>
              <w:rFonts w:ascii="宋体" w:hAnsi="宋体" w:eastAsia="宋体" w:cs="宋体"/>
              <w:spacing w:val="-5"/>
              <w:sz w:val="21"/>
              <w:szCs w:val="21"/>
            </w:rPr>
            <w:t>计量</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142</w:t>
          </w:r>
          <w:r>
            <w:rPr>
              <w:rFonts w:ascii="宋体" w:hAnsi="宋体" w:eastAsia="宋体" w:cs="宋体"/>
              <w:spacing w:val="-5"/>
              <w:sz w:val="21"/>
              <w:szCs w:val="21"/>
            </w:rPr>
            <w:fldChar w:fldCharType="end"/>
          </w:r>
        </w:p>
        <w:p w14:paraId="023F8D77">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"bookmark342" </w:instrText>
          </w:r>
          <w:r>
            <w:fldChar w:fldCharType="separate"/>
          </w:r>
          <w:r>
            <w:rPr>
              <w:rFonts w:ascii="宋体" w:hAnsi="宋体" w:eastAsia="宋体" w:cs="宋体"/>
              <w:spacing w:val="-2"/>
              <w:sz w:val="21"/>
              <w:szCs w:val="21"/>
            </w:rPr>
            <w:t>12.4 工程进度款支付</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142</w:t>
          </w:r>
          <w:r>
            <w:rPr>
              <w:rFonts w:ascii="宋体" w:hAnsi="宋体" w:eastAsia="宋体" w:cs="宋体"/>
              <w:spacing w:val="-5"/>
              <w:sz w:val="21"/>
              <w:szCs w:val="21"/>
            </w:rPr>
            <w:fldChar w:fldCharType="end"/>
          </w:r>
        </w:p>
        <w:p w14:paraId="55B1E12A">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"bookmark343" </w:instrText>
          </w:r>
          <w:r>
            <w:fldChar w:fldCharType="separate"/>
          </w:r>
          <w:r>
            <w:rPr>
              <w:rFonts w:ascii="宋体" w:hAnsi="宋体" w:eastAsia="宋体" w:cs="宋体"/>
              <w:spacing w:val="-2"/>
              <w:sz w:val="21"/>
              <w:szCs w:val="21"/>
            </w:rPr>
            <w:t>13. 验收和工程试车</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143</w:t>
          </w:r>
          <w:r>
            <w:rPr>
              <w:rFonts w:ascii="宋体" w:hAnsi="宋体" w:eastAsia="宋体" w:cs="宋体"/>
              <w:spacing w:val="-5"/>
              <w:sz w:val="21"/>
              <w:szCs w:val="21"/>
            </w:rPr>
            <w:fldChar w:fldCharType="end"/>
          </w:r>
        </w:p>
        <w:p w14:paraId="037E0E43">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"bookmark344" </w:instrText>
          </w:r>
          <w:r>
            <w:fldChar w:fldCharType="separate"/>
          </w:r>
          <w:r>
            <w:rPr>
              <w:rFonts w:ascii="宋体" w:hAnsi="宋体" w:eastAsia="宋体" w:cs="宋体"/>
              <w:spacing w:val="-2"/>
              <w:sz w:val="21"/>
              <w:szCs w:val="21"/>
            </w:rPr>
            <w:t>13.1 分部分项工程验收</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143</w:t>
          </w:r>
          <w:r>
            <w:rPr>
              <w:rFonts w:ascii="宋体" w:hAnsi="宋体" w:eastAsia="宋体" w:cs="宋体"/>
              <w:spacing w:val="-5"/>
              <w:sz w:val="21"/>
              <w:szCs w:val="21"/>
            </w:rPr>
            <w:fldChar w:fldCharType="end"/>
          </w:r>
        </w:p>
        <w:p w14:paraId="27F34CE3">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"bookmark345" </w:instrText>
          </w:r>
          <w:r>
            <w:fldChar w:fldCharType="separate"/>
          </w:r>
          <w:r>
            <w:rPr>
              <w:rFonts w:ascii="宋体" w:hAnsi="宋体" w:eastAsia="宋体" w:cs="宋体"/>
              <w:spacing w:val="-3"/>
              <w:sz w:val="21"/>
              <w:szCs w:val="21"/>
            </w:rPr>
            <w:t>13.2 竣工验收</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143</w:t>
          </w:r>
          <w:r>
            <w:rPr>
              <w:rFonts w:ascii="宋体" w:hAnsi="宋体" w:eastAsia="宋体" w:cs="宋体"/>
              <w:spacing w:val="-5"/>
              <w:sz w:val="21"/>
              <w:szCs w:val="21"/>
            </w:rPr>
            <w:fldChar w:fldCharType="end"/>
          </w:r>
        </w:p>
        <w:p w14:paraId="54B41AEA">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"bookmark346" </w:instrText>
          </w:r>
          <w:r>
            <w:fldChar w:fldCharType="separate"/>
          </w:r>
          <w:r>
            <w:rPr>
              <w:rFonts w:ascii="宋体" w:hAnsi="宋体" w:eastAsia="宋体" w:cs="宋体"/>
              <w:spacing w:val="-3"/>
              <w:sz w:val="21"/>
              <w:szCs w:val="21"/>
            </w:rPr>
            <w:t>13.3 工程试车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p w14:paraId="2C552D28">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"bookmark347" </w:instrText>
          </w:r>
          <w:r>
            <w:fldChar w:fldCharType="separate"/>
          </w:r>
          <w:r>
            <w:rPr>
              <w:rFonts w:ascii="宋体" w:hAnsi="宋体" w:eastAsia="宋体" w:cs="宋体"/>
              <w:spacing w:val="-3"/>
              <w:sz w:val="21"/>
              <w:szCs w:val="21"/>
            </w:rPr>
            <w:t>13.6 竣工退场</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sdtContent>
    </w:sdt>
    <w:p w14:paraId="53EB53E0">
      <w:pPr>
        <w:spacing w:line="221" w:lineRule="auto"/>
        <w:rPr>
          <w:rFonts w:ascii="宋体" w:hAnsi="宋体" w:eastAsia="宋体" w:cs="宋体"/>
          <w:sz w:val="21"/>
          <w:szCs w:val="21"/>
        </w:rPr>
        <w:sectPr>
          <w:footerReference r:id="rId13"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68436"/>
        <w:docPartObj>
          <w:docPartGallery w:val="Table of Contents"/>
          <w:docPartUnique/>
        </w:docPartObj>
      </w:sdtPr>
      <w:sdtEndPr>
        <w:rPr>
          <w:rFonts w:ascii="宋体" w:hAnsi="宋体" w:eastAsia="宋体" w:cs="宋体"/>
          <w:sz w:val="21"/>
          <w:szCs w:val="21"/>
        </w:rPr>
      </w:sdtEndPr>
      <w:sdtContent>
        <w:p w14:paraId="0FB39AC2">
          <w:pPr>
            <w:tabs>
              <w:tab w:val="right" w:leader="dot" w:pos="8315"/>
            </w:tabs>
            <w:spacing w:before="60" w:line="221" w:lineRule="auto"/>
            <w:ind w:left="458"/>
            <w:rPr>
              <w:rFonts w:ascii="宋体" w:hAnsi="宋体" w:eastAsia="宋体" w:cs="宋体"/>
              <w:sz w:val="21"/>
              <w:szCs w:val="21"/>
            </w:rPr>
          </w:pPr>
          <w:bookmarkStart w:id="2" w:name="bookmark348"/>
          <w:bookmarkEnd w:id="2"/>
          <w:r>
            <w:fldChar w:fldCharType="begin"/>
          </w:r>
          <w:r>
            <w:instrText xml:space="preserve"> HYPERLINK \l "bookmark349" </w:instrText>
          </w:r>
          <w:r>
            <w:fldChar w:fldCharType="separate"/>
          </w:r>
          <w:r>
            <w:rPr>
              <w:rFonts w:ascii="宋体" w:hAnsi="宋体" w:eastAsia="宋体" w:cs="宋体"/>
              <w:spacing w:val="-5"/>
              <w:sz w:val="21"/>
              <w:szCs w:val="21"/>
            </w:rPr>
            <w:t>14.</w:t>
          </w:r>
          <w:r>
            <w:rPr>
              <w:rFonts w:ascii="宋体" w:hAnsi="宋体" w:eastAsia="宋体" w:cs="宋体"/>
              <w:spacing w:val="12"/>
              <w:sz w:val="21"/>
              <w:szCs w:val="21"/>
            </w:rPr>
            <w:t xml:space="preserve"> </w:t>
          </w:r>
          <w:r>
            <w:rPr>
              <w:rFonts w:ascii="宋体" w:hAnsi="宋体" w:eastAsia="宋体" w:cs="宋体"/>
              <w:spacing w:val="-5"/>
              <w:sz w:val="21"/>
              <w:szCs w:val="21"/>
            </w:rPr>
            <w:t>竣工结算</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p w14:paraId="6C02E4DC">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"bookmark350" </w:instrText>
          </w:r>
          <w:r>
            <w:fldChar w:fldCharType="separate"/>
          </w:r>
          <w:r>
            <w:rPr>
              <w:rFonts w:ascii="宋体" w:hAnsi="宋体" w:eastAsia="宋体" w:cs="宋体"/>
              <w:spacing w:val="-2"/>
              <w:sz w:val="21"/>
              <w:szCs w:val="21"/>
            </w:rPr>
            <w:t>14.1 竣工结算申请</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p w14:paraId="7C049BDE">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"bookmark351" </w:instrText>
          </w:r>
          <w:r>
            <w:fldChar w:fldCharType="separate"/>
          </w:r>
          <w:r>
            <w:rPr>
              <w:rFonts w:ascii="宋体" w:hAnsi="宋体" w:eastAsia="宋体" w:cs="宋体"/>
              <w:spacing w:val="-2"/>
              <w:sz w:val="21"/>
              <w:szCs w:val="21"/>
            </w:rPr>
            <w:t>14.2 竣工结算审核</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p w14:paraId="02D874A5">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"bookmark352" </w:instrText>
          </w:r>
          <w:r>
            <w:fldChar w:fldCharType="separate"/>
          </w:r>
          <w:r>
            <w:rPr>
              <w:rFonts w:ascii="宋体" w:hAnsi="宋体" w:eastAsia="宋体" w:cs="宋体"/>
              <w:spacing w:val="-3"/>
              <w:sz w:val="21"/>
              <w:szCs w:val="21"/>
            </w:rPr>
            <w:t>14.4 最终结清</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144</w:t>
          </w:r>
          <w:r>
            <w:rPr>
              <w:rFonts w:ascii="宋体" w:hAnsi="宋体" w:eastAsia="宋体" w:cs="宋体"/>
              <w:spacing w:val="-5"/>
              <w:sz w:val="21"/>
              <w:szCs w:val="21"/>
            </w:rPr>
            <w:fldChar w:fldCharType="end"/>
          </w:r>
        </w:p>
        <w:p w14:paraId="1BACFCE3">
          <w:pPr>
            <w:tabs>
              <w:tab w:val="right" w:leader="dot" w:pos="8315"/>
            </w:tabs>
            <w:spacing w:before="60" w:line="221" w:lineRule="auto"/>
            <w:ind w:left="458"/>
            <w:rPr>
              <w:rFonts w:ascii="宋体" w:hAnsi="宋体" w:eastAsia="宋体" w:cs="宋体"/>
              <w:sz w:val="21"/>
              <w:szCs w:val="21"/>
            </w:rPr>
          </w:pPr>
          <w:r>
            <w:fldChar w:fldCharType="begin"/>
          </w:r>
          <w:r>
            <w:instrText xml:space="preserve"> HYPERLINK \l "bookmark353" </w:instrText>
          </w:r>
          <w:r>
            <w:fldChar w:fldCharType="separate"/>
          </w:r>
          <w:r>
            <w:rPr>
              <w:rFonts w:ascii="宋体" w:hAnsi="宋体" w:eastAsia="宋体" w:cs="宋体"/>
              <w:spacing w:val="-2"/>
              <w:sz w:val="21"/>
              <w:szCs w:val="21"/>
            </w:rPr>
            <w:t>15. 缺陷责任期与保修</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145</w:t>
          </w:r>
          <w:r>
            <w:rPr>
              <w:rFonts w:ascii="宋体" w:hAnsi="宋体" w:eastAsia="宋体" w:cs="宋体"/>
              <w:spacing w:val="-5"/>
              <w:sz w:val="21"/>
              <w:szCs w:val="21"/>
            </w:rPr>
            <w:fldChar w:fldCharType="end"/>
          </w:r>
        </w:p>
        <w:p w14:paraId="0B3AE808">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"bookmark354" </w:instrText>
          </w:r>
          <w:r>
            <w:fldChar w:fldCharType="separate"/>
          </w:r>
          <w:r>
            <w:rPr>
              <w:rFonts w:ascii="宋体" w:hAnsi="宋体" w:eastAsia="宋体" w:cs="宋体"/>
              <w:spacing w:val="-4"/>
              <w:sz w:val="21"/>
              <w:szCs w:val="21"/>
            </w:rPr>
            <w:t>15.2</w:t>
          </w:r>
          <w:r>
            <w:rPr>
              <w:rFonts w:ascii="宋体" w:hAnsi="宋体" w:eastAsia="宋体" w:cs="宋体"/>
              <w:spacing w:val="-40"/>
              <w:sz w:val="21"/>
              <w:szCs w:val="21"/>
            </w:rPr>
            <w:t xml:space="preserve"> </w:t>
          </w:r>
          <w:r>
            <w:rPr>
              <w:rFonts w:ascii="宋体" w:hAnsi="宋体" w:eastAsia="宋体" w:cs="宋体"/>
              <w:spacing w:val="-4"/>
              <w:sz w:val="21"/>
              <w:szCs w:val="21"/>
            </w:rPr>
            <w:t>缺陷责任期</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145</w:t>
          </w:r>
          <w:r>
            <w:rPr>
              <w:rFonts w:ascii="宋体" w:hAnsi="宋体" w:eastAsia="宋体" w:cs="宋体"/>
              <w:spacing w:val="-5"/>
              <w:sz w:val="21"/>
              <w:szCs w:val="21"/>
            </w:rPr>
            <w:fldChar w:fldCharType="end"/>
          </w:r>
        </w:p>
        <w:p w14:paraId="7D670214">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"bookmark355" </w:instrText>
          </w:r>
          <w:r>
            <w:fldChar w:fldCharType="separate"/>
          </w:r>
          <w:r>
            <w:rPr>
              <w:rFonts w:ascii="宋体" w:hAnsi="宋体" w:eastAsia="宋体" w:cs="宋体"/>
              <w:spacing w:val="-3"/>
              <w:sz w:val="21"/>
              <w:szCs w:val="21"/>
            </w:rPr>
            <w:t>15.3 质量保证金</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145</w:t>
          </w:r>
          <w:r>
            <w:rPr>
              <w:rFonts w:ascii="宋体" w:hAnsi="宋体" w:eastAsia="宋体" w:cs="宋体"/>
              <w:spacing w:val="-5"/>
              <w:sz w:val="21"/>
              <w:szCs w:val="21"/>
            </w:rPr>
            <w:fldChar w:fldCharType="end"/>
          </w:r>
        </w:p>
        <w:p w14:paraId="2D14D4A8">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"bookmark356" </w:instrText>
          </w:r>
          <w:r>
            <w:fldChar w:fldCharType="separate"/>
          </w:r>
          <w:r>
            <w:rPr>
              <w:rFonts w:ascii="宋体" w:hAnsi="宋体" w:eastAsia="宋体" w:cs="宋体"/>
              <w:spacing w:val="-5"/>
              <w:sz w:val="21"/>
              <w:szCs w:val="21"/>
            </w:rPr>
            <w:t>15.4</w:t>
          </w:r>
          <w:r>
            <w:rPr>
              <w:rFonts w:ascii="宋体" w:hAnsi="宋体" w:eastAsia="宋体" w:cs="宋体"/>
              <w:spacing w:val="-45"/>
              <w:sz w:val="21"/>
              <w:szCs w:val="21"/>
            </w:rPr>
            <w:t xml:space="preserve"> </w:t>
          </w:r>
          <w:r>
            <w:rPr>
              <w:rFonts w:ascii="宋体" w:hAnsi="宋体" w:eastAsia="宋体" w:cs="宋体"/>
              <w:spacing w:val="-5"/>
              <w:sz w:val="21"/>
              <w:szCs w:val="21"/>
            </w:rPr>
            <w:t>保修</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145</w:t>
          </w:r>
          <w:r>
            <w:rPr>
              <w:rFonts w:ascii="宋体" w:hAnsi="宋体" w:eastAsia="宋体" w:cs="宋体"/>
              <w:spacing w:val="-5"/>
              <w:sz w:val="21"/>
              <w:szCs w:val="21"/>
            </w:rPr>
            <w:fldChar w:fldCharType="end"/>
          </w:r>
        </w:p>
        <w:p w14:paraId="7C89F573">
          <w:pPr>
            <w:tabs>
              <w:tab w:val="right" w:leader="dot" w:pos="8315"/>
            </w:tabs>
            <w:spacing w:before="60" w:line="226" w:lineRule="auto"/>
            <w:ind w:left="458"/>
            <w:rPr>
              <w:rFonts w:ascii="宋体" w:hAnsi="宋体" w:eastAsia="宋体" w:cs="宋体"/>
              <w:sz w:val="21"/>
              <w:szCs w:val="21"/>
            </w:rPr>
          </w:pPr>
          <w:r>
            <w:fldChar w:fldCharType="begin"/>
          </w:r>
          <w:r>
            <w:instrText xml:space="preserve"> HYPERLINK \l "bookmark357" </w:instrText>
          </w:r>
          <w:r>
            <w:fldChar w:fldCharType="separate"/>
          </w:r>
          <w:r>
            <w:rPr>
              <w:rFonts w:ascii="宋体" w:hAnsi="宋体" w:eastAsia="宋体" w:cs="宋体"/>
              <w:spacing w:val="-7"/>
              <w:sz w:val="21"/>
              <w:szCs w:val="21"/>
            </w:rPr>
            <w:t>16.</w:t>
          </w:r>
          <w:r>
            <w:rPr>
              <w:rFonts w:ascii="宋体" w:hAnsi="宋体" w:eastAsia="宋体" w:cs="宋体"/>
              <w:spacing w:val="12"/>
              <w:sz w:val="21"/>
              <w:szCs w:val="21"/>
            </w:rPr>
            <w:t xml:space="preserve"> </w:t>
          </w:r>
          <w:r>
            <w:rPr>
              <w:rFonts w:ascii="宋体" w:hAnsi="宋体" w:eastAsia="宋体" w:cs="宋体"/>
              <w:spacing w:val="-7"/>
              <w:sz w:val="21"/>
              <w:szCs w:val="21"/>
            </w:rPr>
            <w:t>违约</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146</w:t>
          </w:r>
          <w:r>
            <w:rPr>
              <w:rFonts w:ascii="宋体" w:hAnsi="宋体" w:eastAsia="宋体" w:cs="宋体"/>
              <w:spacing w:val="-5"/>
              <w:sz w:val="21"/>
              <w:szCs w:val="21"/>
            </w:rPr>
            <w:fldChar w:fldCharType="end"/>
          </w:r>
        </w:p>
        <w:p w14:paraId="6F490F9D">
          <w:pPr>
            <w:tabs>
              <w:tab w:val="right" w:leader="dot" w:pos="8315"/>
            </w:tabs>
            <w:spacing w:before="56" w:line="221" w:lineRule="auto"/>
            <w:ind w:left="878"/>
            <w:rPr>
              <w:rFonts w:ascii="宋体" w:hAnsi="宋体" w:eastAsia="宋体" w:cs="宋体"/>
              <w:sz w:val="21"/>
              <w:szCs w:val="21"/>
            </w:rPr>
          </w:pPr>
          <w:r>
            <w:fldChar w:fldCharType="begin"/>
          </w:r>
          <w:r>
            <w:instrText xml:space="preserve"> HYPERLINK \l "bookmark358" </w:instrText>
          </w:r>
          <w:r>
            <w:fldChar w:fldCharType="separate"/>
          </w:r>
          <w:r>
            <w:rPr>
              <w:rFonts w:ascii="宋体" w:hAnsi="宋体" w:eastAsia="宋体" w:cs="宋体"/>
              <w:spacing w:val="-3"/>
              <w:sz w:val="21"/>
              <w:szCs w:val="21"/>
            </w:rPr>
            <w:t>16.1 发包人违约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146</w:t>
          </w:r>
          <w:r>
            <w:rPr>
              <w:rFonts w:ascii="宋体" w:hAnsi="宋体" w:eastAsia="宋体" w:cs="宋体"/>
              <w:spacing w:val="-5"/>
              <w:sz w:val="21"/>
              <w:szCs w:val="21"/>
            </w:rPr>
            <w:fldChar w:fldCharType="end"/>
          </w:r>
        </w:p>
        <w:p w14:paraId="3C664EEF">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"bookmark359" </w:instrText>
          </w:r>
          <w:r>
            <w:fldChar w:fldCharType="separate"/>
          </w:r>
          <w:r>
            <w:rPr>
              <w:rFonts w:ascii="宋体" w:hAnsi="宋体" w:eastAsia="宋体" w:cs="宋体"/>
              <w:spacing w:val="-3"/>
              <w:sz w:val="21"/>
              <w:szCs w:val="21"/>
            </w:rPr>
            <w:t>16.2 承包人违约</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146</w:t>
          </w:r>
          <w:r>
            <w:rPr>
              <w:rFonts w:ascii="宋体" w:hAnsi="宋体" w:eastAsia="宋体" w:cs="宋体"/>
              <w:spacing w:val="-5"/>
              <w:sz w:val="21"/>
              <w:szCs w:val="21"/>
            </w:rPr>
            <w:fldChar w:fldCharType="end"/>
          </w:r>
        </w:p>
        <w:p w14:paraId="744D4B2D">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"bookmark360" </w:instrText>
          </w:r>
          <w:r>
            <w:fldChar w:fldCharType="separate"/>
          </w:r>
          <w:r>
            <w:rPr>
              <w:rFonts w:ascii="宋体" w:hAnsi="宋体" w:eastAsia="宋体" w:cs="宋体"/>
              <w:spacing w:val="-5"/>
              <w:sz w:val="21"/>
              <w:szCs w:val="21"/>
            </w:rPr>
            <w:t>17.</w:t>
          </w:r>
          <w:r>
            <w:rPr>
              <w:rFonts w:ascii="宋体" w:hAnsi="宋体" w:eastAsia="宋体" w:cs="宋体"/>
              <w:spacing w:val="12"/>
              <w:sz w:val="21"/>
              <w:szCs w:val="21"/>
            </w:rPr>
            <w:t xml:space="preserve"> </w:t>
          </w:r>
          <w:r>
            <w:rPr>
              <w:rFonts w:ascii="宋体" w:hAnsi="宋体" w:eastAsia="宋体" w:cs="宋体"/>
              <w:spacing w:val="-5"/>
              <w:sz w:val="21"/>
              <w:szCs w:val="21"/>
            </w:rPr>
            <w:t>不可抗力</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3239EA87">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"bookmark361" </w:instrText>
          </w:r>
          <w:r>
            <w:fldChar w:fldCharType="separate"/>
          </w:r>
          <w:r>
            <w:rPr>
              <w:rFonts w:ascii="宋体" w:hAnsi="宋体" w:eastAsia="宋体" w:cs="宋体"/>
              <w:spacing w:val="-2"/>
              <w:sz w:val="21"/>
              <w:szCs w:val="21"/>
            </w:rPr>
            <w:t>17.1 不可抗力的确认</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38FCCECC">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"bookmark362" </w:instrText>
          </w:r>
          <w:r>
            <w:fldChar w:fldCharType="separate"/>
          </w:r>
          <w:r>
            <w:rPr>
              <w:rFonts w:ascii="宋体" w:hAnsi="宋体" w:eastAsia="宋体" w:cs="宋体"/>
              <w:spacing w:val="-4"/>
              <w:sz w:val="21"/>
              <w:szCs w:val="21"/>
            </w:rPr>
            <w:t>17.4</w:t>
          </w:r>
          <w:r>
            <w:rPr>
              <w:rFonts w:ascii="宋体" w:hAnsi="宋体" w:eastAsia="宋体" w:cs="宋体"/>
              <w:spacing w:val="29"/>
              <w:sz w:val="21"/>
              <w:szCs w:val="21"/>
            </w:rPr>
            <w:t xml:space="preserve"> </w:t>
          </w:r>
          <w:r>
            <w:rPr>
              <w:rFonts w:ascii="宋体" w:hAnsi="宋体" w:eastAsia="宋体" w:cs="宋体"/>
              <w:spacing w:val="-4"/>
              <w:sz w:val="21"/>
              <w:szCs w:val="21"/>
            </w:rPr>
            <w:t>因不可抗力解除合同</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0DAE0507">
          <w:pPr>
            <w:tabs>
              <w:tab w:val="right" w:leader="dot" w:pos="8315"/>
            </w:tabs>
            <w:spacing w:before="62" w:line="221" w:lineRule="auto"/>
            <w:ind w:left="458"/>
            <w:rPr>
              <w:rFonts w:ascii="宋体" w:hAnsi="宋体" w:eastAsia="宋体" w:cs="宋体"/>
              <w:sz w:val="21"/>
              <w:szCs w:val="21"/>
            </w:rPr>
          </w:pPr>
          <w:r>
            <w:fldChar w:fldCharType="begin"/>
          </w:r>
          <w:r>
            <w:instrText xml:space="preserve"> HYPERLINK \l "bookmark363" </w:instrText>
          </w:r>
          <w:r>
            <w:fldChar w:fldCharType="separate"/>
          </w:r>
          <w:r>
            <w:rPr>
              <w:rFonts w:ascii="宋体" w:hAnsi="宋体" w:eastAsia="宋体" w:cs="宋体"/>
              <w:spacing w:val="-7"/>
              <w:sz w:val="21"/>
              <w:szCs w:val="21"/>
            </w:rPr>
            <w:t>18.</w:t>
          </w:r>
          <w:r>
            <w:rPr>
              <w:rFonts w:ascii="宋体" w:hAnsi="宋体" w:eastAsia="宋体" w:cs="宋体"/>
              <w:spacing w:val="12"/>
              <w:sz w:val="21"/>
              <w:szCs w:val="21"/>
            </w:rPr>
            <w:t xml:space="preserve"> </w:t>
          </w:r>
          <w:r>
            <w:rPr>
              <w:rFonts w:ascii="宋体" w:hAnsi="宋体" w:eastAsia="宋体" w:cs="宋体"/>
              <w:spacing w:val="-7"/>
              <w:sz w:val="21"/>
              <w:szCs w:val="21"/>
            </w:rPr>
            <w:t>保险</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053F24BC">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"bookmark364" </w:instrText>
          </w:r>
          <w:r>
            <w:fldChar w:fldCharType="separate"/>
          </w:r>
          <w:r>
            <w:rPr>
              <w:rFonts w:ascii="宋体" w:hAnsi="宋体" w:eastAsia="宋体" w:cs="宋体"/>
              <w:spacing w:val="-3"/>
              <w:sz w:val="21"/>
              <w:szCs w:val="21"/>
            </w:rPr>
            <w:t>18.1 工程保险</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26059157">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"bookmark365" </w:instrText>
          </w:r>
          <w:r>
            <w:fldChar w:fldCharType="separate"/>
          </w:r>
          <w:r>
            <w:rPr>
              <w:rFonts w:ascii="宋体" w:hAnsi="宋体" w:eastAsia="宋体" w:cs="宋体"/>
              <w:spacing w:val="-3"/>
              <w:sz w:val="21"/>
              <w:szCs w:val="21"/>
            </w:rPr>
            <w:t>18.3 其他保险</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015D911B">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"bookmark366" </w:instrText>
          </w:r>
          <w:r>
            <w:fldChar w:fldCharType="separate"/>
          </w:r>
          <w:r>
            <w:rPr>
              <w:rFonts w:ascii="宋体" w:hAnsi="宋体" w:eastAsia="宋体" w:cs="宋体"/>
              <w:spacing w:val="-3"/>
              <w:sz w:val="21"/>
              <w:szCs w:val="21"/>
            </w:rPr>
            <w:t>18.7 通知义务</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667FD1F3">
          <w:pPr>
            <w:tabs>
              <w:tab w:val="right" w:leader="dot" w:pos="8315"/>
            </w:tabs>
            <w:spacing w:before="60" w:line="221" w:lineRule="auto"/>
            <w:ind w:left="445"/>
            <w:rPr>
              <w:rFonts w:ascii="宋体" w:hAnsi="宋体" w:eastAsia="宋体" w:cs="宋体"/>
              <w:sz w:val="21"/>
              <w:szCs w:val="21"/>
            </w:rPr>
          </w:pPr>
          <w:r>
            <w:fldChar w:fldCharType="begin"/>
          </w:r>
          <w:r>
            <w:instrText xml:space="preserve"> HYPERLINK \l "bookmark367" </w:instrText>
          </w:r>
          <w:r>
            <w:fldChar w:fldCharType="separate"/>
          </w:r>
          <w:r>
            <w:rPr>
              <w:rFonts w:ascii="宋体" w:hAnsi="宋体" w:eastAsia="宋体" w:cs="宋体"/>
              <w:spacing w:val="-4"/>
              <w:sz w:val="21"/>
              <w:szCs w:val="21"/>
            </w:rPr>
            <w:t>20.</w:t>
          </w:r>
          <w:r>
            <w:rPr>
              <w:rFonts w:ascii="宋体" w:hAnsi="宋体" w:eastAsia="宋体" w:cs="宋体"/>
              <w:spacing w:val="18"/>
              <w:sz w:val="21"/>
              <w:szCs w:val="21"/>
            </w:rPr>
            <w:t xml:space="preserve"> </w:t>
          </w:r>
          <w:r>
            <w:rPr>
              <w:rFonts w:ascii="宋体" w:hAnsi="宋体" w:eastAsia="宋体" w:cs="宋体"/>
              <w:spacing w:val="-4"/>
              <w:sz w:val="21"/>
              <w:szCs w:val="21"/>
            </w:rPr>
            <w:t>争议解决</w:t>
          </w:r>
          <w:r>
            <w:rPr>
              <w:rFonts w:ascii="宋体" w:hAnsi="宋体" w:eastAsia="宋体" w:cs="宋体"/>
              <w:spacing w:val="-8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53C8B259">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"bookmark368" </w:instrText>
          </w:r>
          <w:r>
            <w:fldChar w:fldCharType="separate"/>
          </w:r>
          <w:r>
            <w:rPr>
              <w:rFonts w:ascii="宋体" w:hAnsi="宋体" w:eastAsia="宋体" w:cs="宋体"/>
              <w:spacing w:val="-1"/>
              <w:sz w:val="21"/>
              <w:szCs w:val="21"/>
            </w:rPr>
            <w:t>20.3 争议评审</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147</w:t>
          </w:r>
          <w:r>
            <w:rPr>
              <w:rFonts w:ascii="宋体" w:hAnsi="宋体" w:eastAsia="宋体" w:cs="宋体"/>
              <w:spacing w:val="-5"/>
              <w:sz w:val="21"/>
              <w:szCs w:val="21"/>
            </w:rPr>
            <w:fldChar w:fldCharType="end"/>
          </w:r>
        </w:p>
        <w:p w14:paraId="24B04B48">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"bookmark369" </w:instrText>
          </w:r>
          <w:r>
            <w:fldChar w:fldCharType="separate"/>
          </w:r>
          <w:r>
            <w:rPr>
              <w:rFonts w:ascii="宋体" w:hAnsi="宋体" w:eastAsia="宋体" w:cs="宋体"/>
              <w:spacing w:val="-2"/>
              <w:sz w:val="21"/>
              <w:szCs w:val="21"/>
            </w:rPr>
            <w:t>20.4</w:t>
          </w:r>
          <w:r>
            <w:rPr>
              <w:rFonts w:ascii="宋体" w:hAnsi="宋体" w:eastAsia="宋体" w:cs="宋体"/>
              <w:spacing w:val="-45"/>
              <w:sz w:val="21"/>
              <w:szCs w:val="21"/>
            </w:rPr>
            <w:t xml:space="preserve"> </w:t>
          </w:r>
          <w:r>
            <w:rPr>
              <w:rFonts w:ascii="宋体" w:hAnsi="宋体" w:eastAsia="宋体" w:cs="宋体"/>
              <w:spacing w:val="-2"/>
              <w:sz w:val="21"/>
              <w:szCs w:val="21"/>
            </w:rPr>
            <w:t>仲裁或诉讼</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148</w:t>
          </w:r>
          <w:r>
            <w:rPr>
              <w:rFonts w:ascii="宋体" w:hAnsi="宋体" w:eastAsia="宋体" w:cs="宋体"/>
              <w:spacing w:val="-5"/>
              <w:sz w:val="21"/>
              <w:szCs w:val="21"/>
            </w:rPr>
            <w:fldChar w:fldCharType="end"/>
          </w:r>
        </w:p>
        <w:p w14:paraId="053FE243">
          <w:pPr>
            <w:tabs>
              <w:tab w:val="right" w:leader="dot" w:pos="8315"/>
            </w:tabs>
            <w:spacing w:before="61" w:line="220" w:lineRule="auto"/>
            <w:ind w:left="459"/>
            <w:rPr>
              <w:rFonts w:ascii="宋体" w:hAnsi="宋体" w:eastAsia="宋体" w:cs="宋体"/>
              <w:sz w:val="21"/>
              <w:szCs w:val="21"/>
            </w:rPr>
          </w:pPr>
          <w:r>
            <w:fldChar w:fldCharType="begin"/>
          </w:r>
          <w:r>
            <w:instrText xml:space="preserve"> HYPERLINK \l "bookmark370" </w:instrText>
          </w:r>
          <w:r>
            <w:fldChar w:fldCharType="separate"/>
          </w:r>
          <w:r>
            <w:rPr>
              <w:rFonts w:ascii="宋体" w:hAnsi="宋体" w:eastAsia="宋体" w:cs="宋体"/>
              <w:spacing w:val="-12"/>
              <w:sz w:val="21"/>
              <w:szCs w:val="21"/>
            </w:rPr>
            <w:t>附件</w:t>
          </w:r>
          <w:r>
            <w:rPr>
              <w:rFonts w:ascii="宋体" w:hAnsi="宋体" w:eastAsia="宋体" w:cs="宋体"/>
              <w:spacing w:val="-93"/>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149</w:t>
          </w:r>
          <w:r>
            <w:rPr>
              <w:rFonts w:ascii="宋体" w:hAnsi="宋体" w:eastAsia="宋体" w:cs="宋体"/>
              <w:spacing w:val="-5"/>
              <w:sz w:val="21"/>
              <w:szCs w:val="21"/>
            </w:rPr>
            <w:fldChar w:fldCharType="end"/>
          </w:r>
        </w:p>
        <w:p w14:paraId="1EE27901">
          <w:pPr>
            <w:tabs>
              <w:tab w:val="right" w:leader="dot" w:pos="8312"/>
            </w:tabs>
            <w:spacing w:before="62" w:line="220" w:lineRule="auto"/>
            <w:ind w:left="22"/>
            <w:rPr>
              <w:rFonts w:ascii="宋体" w:hAnsi="宋体" w:eastAsia="宋体" w:cs="宋体"/>
              <w:sz w:val="21"/>
              <w:szCs w:val="21"/>
            </w:rPr>
          </w:pPr>
          <w:r>
            <w:fldChar w:fldCharType="begin"/>
          </w:r>
          <w:r>
            <w:instrText xml:space="preserve"> HYPERLINK \l "bookmark371" </w:instrText>
          </w:r>
          <w:r>
            <w:fldChar w:fldCharType="separate"/>
          </w:r>
          <w:r>
            <w:rPr>
              <w:rFonts w:ascii="宋体" w:hAnsi="宋体" w:eastAsia="宋体" w:cs="宋体"/>
              <w:b/>
              <w:bCs/>
              <w:spacing w:val="-3"/>
              <w:sz w:val="21"/>
              <w:szCs w:val="21"/>
            </w:rPr>
            <w:t>第五章</w:t>
          </w:r>
          <w:r>
            <w:rPr>
              <w:rFonts w:ascii="宋体" w:hAnsi="宋体" w:eastAsia="宋体" w:cs="宋体"/>
              <w:spacing w:val="-3"/>
              <w:sz w:val="21"/>
              <w:szCs w:val="21"/>
            </w:rPr>
            <w:t xml:space="preserve">  </w:t>
          </w:r>
          <w:r>
            <w:rPr>
              <w:rFonts w:ascii="宋体" w:hAnsi="宋体" w:eastAsia="宋体" w:cs="宋体"/>
              <w:b/>
              <w:bCs/>
              <w:spacing w:val="-3"/>
              <w:sz w:val="21"/>
              <w:szCs w:val="21"/>
            </w:rPr>
            <w:t>工程量清单</w:t>
          </w:r>
          <w:r>
            <w:rPr>
              <w:rFonts w:ascii="宋体" w:hAnsi="宋体" w:eastAsia="宋体" w:cs="宋体"/>
              <w:spacing w:val="-3"/>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17"/>
              <w:sz w:val="21"/>
              <w:szCs w:val="21"/>
            </w:rPr>
            <w:t xml:space="preserve"> </w:t>
          </w:r>
          <w:r>
            <w:rPr>
              <w:rFonts w:ascii="宋体" w:hAnsi="宋体" w:eastAsia="宋体" w:cs="宋体"/>
              <w:b/>
              <w:bCs/>
              <w:spacing w:val="-8"/>
              <w:sz w:val="21"/>
              <w:szCs w:val="21"/>
            </w:rPr>
            <w:t>165</w:t>
          </w:r>
          <w:r>
            <w:rPr>
              <w:rFonts w:ascii="宋体" w:hAnsi="宋体" w:eastAsia="宋体" w:cs="宋体"/>
              <w:b/>
              <w:bCs/>
              <w:spacing w:val="-8"/>
              <w:sz w:val="21"/>
              <w:szCs w:val="21"/>
            </w:rPr>
            <w:fldChar w:fldCharType="end"/>
          </w:r>
        </w:p>
        <w:p w14:paraId="0B0B51EA">
          <w:pPr>
            <w:tabs>
              <w:tab w:val="right" w:leader="dot" w:pos="8315"/>
            </w:tabs>
            <w:spacing w:before="61" w:line="221" w:lineRule="auto"/>
            <w:ind w:left="458"/>
            <w:rPr>
              <w:rFonts w:ascii="宋体" w:hAnsi="宋体" w:eastAsia="宋体" w:cs="宋体"/>
              <w:sz w:val="21"/>
              <w:szCs w:val="21"/>
            </w:rPr>
          </w:pPr>
          <w:r>
            <w:fldChar w:fldCharType="begin"/>
          </w:r>
          <w:r>
            <w:instrText xml:space="preserve"> HYPERLINK \l "bookmark372" </w:instrText>
          </w:r>
          <w:r>
            <w:fldChar w:fldCharType="separate"/>
          </w:r>
          <w:r>
            <w:rPr>
              <w:rFonts w:ascii="宋体" w:hAnsi="宋体" w:eastAsia="宋体" w:cs="宋体"/>
              <w:spacing w:val="-2"/>
              <w:sz w:val="21"/>
              <w:szCs w:val="21"/>
            </w:rPr>
            <w:t>1、招标工程量清单说明</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166</w:t>
          </w:r>
          <w:r>
            <w:rPr>
              <w:rFonts w:ascii="宋体" w:hAnsi="宋体" w:eastAsia="宋体" w:cs="宋体"/>
              <w:spacing w:val="-5"/>
              <w:sz w:val="21"/>
              <w:szCs w:val="21"/>
            </w:rPr>
            <w:fldChar w:fldCharType="end"/>
          </w:r>
        </w:p>
        <w:p w14:paraId="5D042C28">
          <w:pPr>
            <w:tabs>
              <w:tab w:val="right" w:leader="dot" w:pos="8315"/>
            </w:tabs>
            <w:spacing w:before="61" w:line="219" w:lineRule="auto"/>
            <w:ind w:left="445"/>
            <w:rPr>
              <w:rFonts w:ascii="宋体" w:hAnsi="宋体" w:eastAsia="宋体" w:cs="宋体"/>
              <w:sz w:val="21"/>
              <w:szCs w:val="21"/>
            </w:rPr>
          </w:pPr>
          <w:r>
            <w:fldChar w:fldCharType="begin"/>
          </w:r>
          <w:r>
            <w:instrText xml:space="preserve"> HYPERLINK \l "bookmark373" </w:instrText>
          </w:r>
          <w:r>
            <w:fldChar w:fldCharType="separate"/>
          </w:r>
          <w:r>
            <w:rPr>
              <w:rFonts w:ascii="宋体" w:hAnsi="宋体" w:eastAsia="宋体" w:cs="宋体"/>
              <w:spacing w:val="-2"/>
              <w:sz w:val="21"/>
              <w:szCs w:val="21"/>
            </w:rPr>
            <w:t>2、投标报价说明</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166</w:t>
          </w:r>
          <w:r>
            <w:rPr>
              <w:rFonts w:ascii="宋体" w:hAnsi="宋体" w:eastAsia="宋体" w:cs="宋体"/>
              <w:spacing w:val="-5"/>
              <w:sz w:val="21"/>
              <w:szCs w:val="21"/>
            </w:rPr>
            <w:fldChar w:fldCharType="end"/>
          </w:r>
        </w:p>
        <w:p w14:paraId="73C2CC08">
          <w:pPr>
            <w:tabs>
              <w:tab w:val="right" w:leader="dot" w:pos="8315"/>
            </w:tabs>
            <w:spacing w:before="63" w:line="219" w:lineRule="auto"/>
            <w:ind w:left="446"/>
            <w:rPr>
              <w:rFonts w:ascii="宋体" w:hAnsi="宋体" w:eastAsia="宋体" w:cs="宋体"/>
              <w:sz w:val="21"/>
              <w:szCs w:val="21"/>
            </w:rPr>
          </w:pPr>
          <w:r>
            <w:fldChar w:fldCharType="begin"/>
          </w:r>
          <w:r>
            <w:instrText xml:space="preserve"> HYPERLINK \l "bookmark374" </w:instrText>
          </w:r>
          <w:r>
            <w:fldChar w:fldCharType="separate"/>
          </w:r>
          <w:r>
            <w:rPr>
              <w:rFonts w:ascii="宋体" w:hAnsi="宋体" w:eastAsia="宋体" w:cs="宋体"/>
              <w:spacing w:val="-1"/>
              <w:sz w:val="21"/>
              <w:szCs w:val="21"/>
            </w:rPr>
            <w:t>3、工程量清单与计价表</w:t>
          </w:r>
          <w:r>
            <w:rPr>
              <w:rFonts w:ascii="宋体" w:hAnsi="宋体" w:eastAsia="宋体" w:cs="宋体"/>
              <w:spacing w:val="-8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167</w:t>
          </w:r>
          <w:r>
            <w:rPr>
              <w:rFonts w:ascii="宋体" w:hAnsi="宋体" w:eastAsia="宋体" w:cs="宋体"/>
              <w:spacing w:val="-5"/>
              <w:sz w:val="21"/>
              <w:szCs w:val="21"/>
            </w:rPr>
            <w:fldChar w:fldCharType="end"/>
          </w:r>
        </w:p>
        <w:p w14:paraId="23306C17">
          <w:pPr>
            <w:tabs>
              <w:tab w:val="right" w:leader="dot" w:pos="8315"/>
            </w:tabs>
            <w:spacing w:before="63" w:line="221" w:lineRule="auto"/>
            <w:ind w:left="866"/>
            <w:rPr>
              <w:rFonts w:ascii="宋体" w:hAnsi="宋体" w:eastAsia="宋体" w:cs="宋体"/>
              <w:sz w:val="21"/>
              <w:szCs w:val="21"/>
            </w:rPr>
          </w:pPr>
          <w:r>
            <w:fldChar w:fldCharType="begin"/>
          </w:r>
          <w:r>
            <w:instrText xml:space="preserve"> HYPERLINK \l "bookmark375" </w:instrText>
          </w:r>
          <w:r>
            <w:fldChar w:fldCharType="separate"/>
          </w:r>
          <w:r>
            <w:rPr>
              <w:rFonts w:ascii="宋体" w:hAnsi="宋体" w:eastAsia="宋体" w:cs="宋体"/>
              <w:spacing w:val="-2"/>
              <w:sz w:val="21"/>
              <w:szCs w:val="21"/>
            </w:rPr>
            <w:t>3.1</w:t>
          </w:r>
          <w:r>
            <w:rPr>
              <w:rFonts w:ascii="宋体" w:hAnsi="宋体" w:eastAsia="宋体" w:cs="宋体"/>
              <w:spacing w:val="-39"/>
              <w:sz w:val="21"/>
              <w:szCs w:val="21"/>
            </w:rPr>
            <w:t xml:space="preserve"> </w:t>
          </w:r>
          <w:r>
            <w:rPr>
              <w:rFonts w:ascii="宋体" w:hAnsi="宋体" w:eastAsia="宋体" w:cs="宋体"/>
              <w:spacing w:val="-2"/>
              <w:sz w:val="21"/>
              <w:szCs w:val="21"/>
            </w:rPr>
            <w:t>招标工程量清单封面</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168</w:t>
          </w:r>
          <w:r>
            <w:rPr>
              <w:rFonts w:ascii="宋体" w:hAnsi="宋体" w:eastAsia="宋体" w:cs="宋体"/>
              <w:spacing w:val="-5"/>
              <w:sz w:val="21"/>
              <w:szCs w:val="21"/>
            </w:rPr>
            <w:fldChar w:fldCharType="end"/>
          </w:r>
        </w:p>
        <w:p w14:paraId="32E26147">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"bookmark376" </w:instrText>
          </w:r>
          <w:r>
            <w:fldChar w:fldCharType="separate"/>
          </w:r>
          <w:r>
            <w:rPr>
              <w:rFonts w:ascii="宋体" w:hAnsi="宋体" w:eastAsia="宋体" w:cs="宋体"/>
              <w:spacing w:val="-4"/>
              <w:sz w:val="21"/>
              <w:szCs w:val="21"/>
            </w:rPr>
            <w:t>3.2</w:t>
          </w:r>
          <w:r>
            <w:rPr>
              <w:rFonts w:ascii="宋体" w:hAnsi="宋体" w:eastAsia="宋体" w:cs="宋体"/>
              <w:spacing w:val="-39"/>
              <w:sz w:val="21"/>
              <w:szCs w:val="21"/>
            </w:rPr>
            <w:t xml:space="preserve"> </w:t>
          </w:r>
          <w:r>
            <w:rPr>
              <w:rFonts w:ascii="宋体" w:hAnsi="宋体" w:eastAsia="宋体" w:cs="宋体"/>
              <w:spacing w:val="-4"/>
              <w:sz w:val="21"/>
              <w:szCs w:val="21"/>
            </w:rPr>
            <w:t>总说明</w:t>
          </w:r>
          <w:r>
            <w:rPr>
              <w:rFonts w:ascii="宋体" w:hAnsi="宋体" w:eastAsia="宋体" w:cs="宋体"/>
              <w:spacing w:val="-3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169</w:t>
          </w:r>
          <w:r>
            <w:rPr>
              <w:rFonts w:ascii="宋体" w:hAnsi="宋体" w:eastAsia="宋体" w:cs="宋体"/>
              <w:spacing w:val="-5"/>
              <w:sz w:val="21"/>
              <w:szCs w:val="21"/>
            </w:rPr>
            <w:fldChar w:fldCharType="end"/>
          </w:r>
        </w:p>
        <w:p w14:paraId="481E514B">
          <w:pPr>
            <w:tabs>
              <w:tab w:val="right" w:leader="dot" w:pos="8315"/>
            </w:tabs>
            <w:spacing w:before="61" w:line="219" w:lineRule="auto"/>
            <w:ind w:left="866"/>
            <w:rPr>
              <w:rFonts w:ascii="宋体" w:hAnsi="宋体" w:eastAsia="宋体" w:cs="宋体"/>
              <w:sz w:val="21"/>
              <w:szCs w:val="21"/>
            </w:rPr>
          </w:pPr>
          <w:r>
            <w:fldChar w:fldCharType="begin"/>
          </w:r>
          <w:r>
            <w:instrText xml:space="preserve"> HYPERLINK \l "bookmark377" </w:instrText>
          </w:r>
          <w:r>
            <w:fldChar w:fldCharType="separate"/>
          </w:r>
          <w:r>
            <w:rPr>
              <w:rFonts w:ascii="宋体" w:hAnsi="宋体" w:eastAsia="宋体" w:cs="宋体"/>
              <w:spacing w:val="-3"/>
              <w:sz w:val="21"/>
              <w:szCs w:val="21"/>
            </w:rPr>
            <w:t>3.3</w:t>
          </w:r>
          <w:r>
            <w:rPr>
              <w:rFonts w:ascii="宋体" w:hAnsi="宋体" w:eastAsia="宋体" w:cs="宋体"/>
              <w:spacing w:val="-37"/>
              <w:sz w:val="21"/>
              <w:szCs w:val="21"/>
            </w:rPr>
            <w:t xml:space="preserve"> </w:t>
          </w:r>
          <w:r>
            <w:rPr>
              <w:rFonts w:ascii="宋体" w:hAnsi="宋体" w:eastAsia="宋体" w:cs="宋体"/>
              <w:spacing w:val="-3"/>
              <w:sz w:val="21"/>
              <w:szCs w:val="21"/>
            </w:rPr>
            <w:t>投标总价封面</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170</w:t>
          </w:r>
          <w:r>
            <w:rPr>
              <w:rFonts w:ascii="宋体" w:hAnsi="宋体" w:eastAsia="宋体" w:cs="宋体"/>
              <w:spacing w:val="-5"/>
              <w:sz w:val="21"/>
              <w:szCs w:val="21"/>
            </w:rPr>
            <w:fldChar w:fldCharType="end"/>
          </w:r>
        </w:p>
        <w:p w14:paraId="3CA4D2CF">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"bookmark378" </w:instrText>
          </w:r>
          <w:r>
            <w:fldChar w:fldCharType="separate"/>
          </w:r>
          <w:r>
            <w:rPr>
              <w:rFonts w:ascii="宋体" w:hAnsi="宋体" w:eastAsia="宋体" w:cs="宋体"/>
              <w:spacing w:val="-4"/>
              <w:sz w:val="21"/>
              <w:szCs w:val="21"/>
            </w:rPr>
            <w:t>3.4</w:t>
          </w:r>
          <w:r>
            <w:rPr>
              <w:rFonts w:ascii="宋体" w:hAnsi="宋体" w:eastAsia="宋体" w:cs="宋体"/>
              <w:spacing w:val="-36"/>
              <w:sz w:val="21"/>
              <w:szCs w:val="21"/>
            </w:rPr>
            <w:t xml:space="preserve"> </w:t>
          </w:r>
          <w:r>
            <w:rPr>
              <w:rFonts w:ascii="宋体" w:hAnsi="宋体" w:eastAsia="宋体" w:cs="宋体"/>
              <w:spacing w:val="-4"/>
              <w:sz w:val="21"/>
              <w:szCs w:val="21"/>
            </w:rPr>
            <w:t>投标总价</w:t>
          </w:r>
          <w:r>
            <w:rPr>
              <w:rFonts w:ascii="宋体" w:hAnsi="宋体" w:eastAsia="宋体" w:cs="宋体"/>
              <w:spacing w:val="-3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171</w:t>
          </w:r>
          <w:r>
            <w:rPr>
              <w:rFonts w:ascii="宋体" w:hAnsi="宋体" w:eastAsia="宋体" w:cs="宋体"/>
              <w:spacing w:val="-5"/>
              <w:sz w:val="21"/>
              <w:szCs w:val="21"/>
            </w:rPr>
            <w:fldChar w:fldCharType="end"/>
          </w:r>
        </w:p>
        <w:p w14:paraId="0ED747D3">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"bookmark379" </w:instrText>
          </w:r>
          <w:r>
            <w:fldChar w:fldCharType="separate"/>
          </w:r>
          <w:r>
            <w:rPr>
              <w:rFonts w:ascii="宋体" w:hAnsi="宋体" w:eastAsia="宋体" w:cs="宋体"/>
              <w:spacing w:val="-3"/>
              <w:sz w:val="21"/>
              <w:szCs w:val="21"/>
            </w:rPr>
            <w:t>3.5</w:t>
          </w:r>
          <w:r>
            <w:rPr>
              <w:rFonts w:ascii="宋体" w:hAnsi="宋体" w:eastAsia="宋体" w:cs="宋体"/>
              <w:spacing w:val="-33"/>
              <w:sz w:val="21"/>
              <w:szCs w:val="21"/>
            </w:rPr>
            <w:t xml:space="preserve"> </w:t>
          </w:r>
          <w:r>
            <w:rPr>
              <w:rFonts w:ascii="宋体" w:hAnsi="宋体" w:eastAsia="宋体" w:cs="宋体"/>
              <w:spacing w:val="-3"/>
              <w:sz w:val="21"/>
              <w:szCs w:val="21"/>
            </w:rPr>
            <w:t>工程项目总价表</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172</w:t>
          </w:r>
          <w:r>
            <w:rPr>
              <w:rFonts w:ascii="宋体" w:hAnsi="宋体" w:eastAsia="宋体" w:cs="宋体"/>
              <w:spacing w:val="-5"/>
              <w:sz w:val="21"/>
              <w:szCs w:val="21"/>
            </w:rPr>
            <w:fldChar w:fldCharType="end"/>
          </w:r>
        </w:p>
        <w:p w14:paraId="0F24DFA9">
          <w:pPr>
            <w:tabs>
              <w:tab w:val="right" w:leader="dot" w:pos="8315"/>
            </w:tabs>
            <w:spacing w:before="64" w:line="219" w:lineRule="auto"/>
            <w:ind w:left="866"/>
            <w:rPr>
              <w:rFonts w:ascii="宋体" w:hAnsi="宋体" w:eastAsia="宋体" w:cs="宋体"/>
              <w:sz w:val="21"/>
              <w:szCs w:val="21"/>
            </w:rPr>
          </w:pPr>
          <w:r>
            <w:fldChar w:fldCharType="begin"/>
          </w:r>
          <w:r>
            <w:instrText xml:space="preserve"> HYPERLINK \l "bookmark380" </w:instrText>
          </w:r>
          <w:r>
            <w:fldChar w:fldCharType="separate"/>
          </w:r>
          <w:r>
            <w:rPr>
              <w:rFonts w:ascii="宋体" w:hAnsi="宋体" w:eastAsia="宋体" w:cs="宋体"/>
              <w:spacing w:val="-2"/>
              <w:sz w:val="21"/>
              <w:szCs w:val="21"/>
            </w:rPr>
            <w:t>3.6</w:t>
          </w:r>
          <w:r>
            <w:rPr>
              <w:rFonts w:ascii="宋体" w:hAnsi="宋体" w:eastAsia="宋体" w:cs="宋体"/>
              <w:spacing w:val="-32"/>
              <w:sz w:val="21"/>
              <w:szCs w:val="21"/>
            </w:rPr>
            <w:t xml:space="preserve"> </w:t>
          </w:r>
          <w:r>
            <w:rPr>
              <w:rFonts w:ascii="宋体" w:hAnsi="宋体" w:eastAsia="宋体" w:cs="宋体"/>
              <w:spacing w:val="-2"/>
              <w:sz w:val="21"/>
              <w:szCs w:val="21"/>
            </w:rPr>
            <w:t>分类分项工程量清单计价表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173</w:t>
          </w:r>
          <w:r>
            <w:rPr>
              <w:rFonts w:ascii="宋体" w:hAnsi="宋体" w:eastAsia="宋体" w:cs="宋体"/>
              <w:spacing w:val="-5"/>
              <w:sz w:val="21"/>
              <w:szCs w:val="21"/>
            </w:rPr>
            <w:fldChar w:fldCharType="end"/>
          </w:r>
        </w:p>
        <w:p w14:paraId="3487532F">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"bookmark381" </w:instrText>
          </w:r>
          <w:r>
            <w:fldChar w:fldCharType="separate"/>
          </w:r>
          <w:r>
            <w:rPr>
              <w:rFonts w:ascii="宋体" w:hAnsi="宋体" w:eastAsia="宋体" w:cs="宋体"/>
              <w:spacing w:val="-2"/>
              <w:sz w:val="21"/>
              <w:szCs w:val="21"/>
            </w:rPr>
            <w:t>3.7</w:t>
          </w:r>
          <w:r>
            <w:rPr>
              <w:rFonts w:ascii="宋体" w:hAnsi="宋体" w:eastAsia="宋体" w:cs="宋体"/>
              <w:spacing w:val="-39"/>
              <w:sz w:val="21"/>
              <w:szCs w:val="21"/>
            </w:rPr>
            <w:t xml:space="preserve"> </w:t>
          </w:r>
          <w:r>
            <w:rPr>
              <w:rFonts w:ascii="宋体" w:hAnsi="宋体" w:eastAsia="宋体" w:cs="宋体"/>
              <w:spacing w:val="-2"/>
              <w:sz w:val="21"/>
              <w:szCs w:val="21"/>
            </w:rPr>
            <w:t>措施项目清单计价表</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174</w:t>
          </w:r>
          <w:r>
            <w:rPr>
              <w:rFonts w:ascii="宋体" w:hAnsi="宋体" w:eastAsia="宋体" w:cs="宋体"/>
              <w:spacing w:val="-5"/>
              <w:sz w:val="21"/>
              <w:szCs w:val="21"/>
            </w:rPr>
            <w:fldChar w:fldCharType="end"/>
          </w:r>
        </w:p>
        <w:p w14:paraId="3CDE4173">
          <w:pPr>
            <w:tabs>
              <w:tab w:val="right" w:leader="dot" w:pos="8315"/>
            </w:tabs>
            <w:spacing w:before="62" w:line="219" w:lineRule="auto"/>
            <w:ind w:left="866"/>
            <w:rPr>
              <w:rFonts w:ascii="宋体" w:hAnsi="宋体" w:eastAsia="宋体" w:cs="宋体"/>
              <w:sz w:val="21"/>
              <w:szCs w:val="21"/>
            </w:rPr>
          </w:pPr>
          <w:r>
            <w:fldChar w:fldCharType="begin"/>
          </w:r>
          <w:r>
            <w:instrText xml:space="preserve"> HYPERLINK \l "bookmark382" </w:instrText>
          </w:r>
          <w:r>
            <w:fldChar w:fldCharType="separate"/>
          </w:r>
          <w:r>
            <w:rPr>
              <w:rFonts w:ascii="宋体" w:hAnsi="宋体" w:eastAsia="宋体" w:cs="宋体"/>
              <w:spacing w:val="-2"/>
              <w:sz w:val="21"/>
              <w:szCs w:val="21"/>
            </w:rPr>
            <w:t>3.8</w:t>
          </w:r>
          <w:r>
            <w:rPr>
              <w:rFonts w:ascii="宋体" w:hAnsi="宋体" w:eastAsia="宋体" w:cs="宋体"/>
              <w:spacing w:val="-31"/>
              <w:sz w:val="21"/>
              <w:szCs w:val="21"/>
            </w:rPr>
            <w:t xml:space="preserve"> </w:t>
          </w:r>
          <w:r>
            <w:rPr>
              <w:rFonts w:ascii="宋体" w:hAnsi="宋体" w:eastAsia="宋体" w:cs="宋体"/>
              <w:spacing w:val="-2"/>
              <w:sz w:val="21"/>
              <w:szCs w:val="21"/>
            </w:rPr>
            <w:t>不可计量措施项目清单计价表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175</w:t>
          </w:r>
          <w:r>
            <w:rPr>
              <w:rFonts w:ascii="宋体" w:hAnsi="宋体" w:eastAsia="宋体" w:cs="宋体"/>
              <w:spacing w:val="-5"/>
              <w:sz w:val="21"/>
              <w:szCs w:val="21"/>
            </w:rPr>
            <w:fldChar w:fldCharType="end"/>
          </w:r>
        </w:p>
        <w:p w14:paraId="73C05744">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"bookmark383" </w:instrText>
          </w:r>
          <w:r>
            <w:fldChar w:fldCharType="separate"/>
          </w:r>
          <w:r>
            <w:rPr>
              <w:rFonts w:ascii="宋体" w:hAnsi="宋体" w:eastAsia="宋体" w:cs="宋体"/>
              <w:spacing w:val="-2"/>
              <w:sz w:val="21"/>
              <w:szCs w:val="21"/>
            </w:rPr>
            <w:t>3.9</w:t>
          </w:r>
          <w:r>
            <w:rPr>
              <w:rFonts w:ascii="宋体" w:hAnsi="宋体" w:eastAsia="宋体" w:cs="宋体"/>
              <w:spacing w:val="-32"/>
              <w:sz w:val="21"/>
              <w:szCs w:val="21"/>
            </w:rPr>
            <w:t xml:space="preserve"> </w:t>
          </w:r>
          <w:r>
            <w:rPr>
              <w:rFonts w:ascii="宋体" w:hAnsi="宋体" w:eastAsia="宋体" w:cs="宋体"/>
              <w:spacing w:val="-2"/>
              <w:sz w:val="21"/>
              <w:szCs w:val="21"/>
            </w:rPr>
            <w:t>可计量措施项目清单计价表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176</w:t>
          </w:r>
          <w:r>
            <w:rPr>
              <w:rFonts w:ascii="宋体" w:hAnsi="宋体" w:eastAsia="宋体" w:cs="宋体"/>
              <w:spacing w:val="-5"/>
              <w:sz w:val="21"/>
              <w:szCs w:val="21"/>
            </w:rPr>
            <w:fldChar w:fldCharType="end"/>
          </w:r>
        </w:p>
        <w:p w14:paraId="224B2AD9">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"bookmark384" </w:instrText>
          </w:r>
          <w:r>
            <w:fldChar w:fldCharType="separate"/>
          </w:r>
          <w:r>
            <w:rPr>
              <w:rFonts w:ascii="宋体" w:hAnsi="宋体" w:eastAsia="宋体" w:cs="宋体"/>
              <w:spacing w:val="-2"/>
              <w:sz w:val="21"/>
              <w:szCs w:val="21"/>
            </w:rPr>
            <w:t>3.10</w:t>
          </w:r>
          <w:r>
            <w:rPr>
              <w:rFonts w:ascii="宋体" w:hAnsi="宋体" w:eastAsia="宋体" w:cs="宋体"/>
              <w:spacing w:val="-39"/>
              <w:sz w:val="21"/>
              <w:szCs w:val="21"/>
            </w:rPr>
            <w:t xml:space="preserve"> </w:t>
          </w:r>
          <w:r>
            <w:rPr>
              <w:rFonts w:ascii="宋体" w:hAnsi="宋体" w:eastAsia="宋体" w:cs="宋体"/>
              <w:spacing w:val="-2"/>
              <w:sz w:val="21"/>
              <w:szCs w:val="21"/>
            </w:rPr>
            <w:t>其他项目清单计价表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177</w:t>
          </w:r>
          <w:r>
            <w:rPr>
              <w:rFonts w:ascii="宋体" w:hAnsi="宋体" w:eastAsia="宋体" w:cs="宋体"/>
              <w:spacing w:val="-5"/>
              <w:sz w:val="21"/>
              <w:szCs w:val="21"/>
            </w:rPr>
            <w:fldChar w:fldCharType="end"/>
          </w:r>
        </w:p>
        <w:p w14:paraId="0A028D6F">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"bookmark385" </w:instrText>
          </w:r>
          <w:r>
            <w:fldChar w:fldCharType="separate"/>
          </w:r>
          <w:r>
            <w:rPr>
              <w:rFonts w:ascii="宋体" w:hAnsi="宋体" w:eastAsia="宋体" w:cs="宋体"/>
              <w:spacing w:val="-2"/>
              <w:sz w:val="21"/>
              <w:szCs w:val="21"/>
            </w:rPr>
            <w:t>3.11</w:t>
          </w:r>
          <w:r>
            <w:rPr>
              <w:rFonts w:ascii="宋体" w:hAnsi="宋体" w:eastAsia="宋体" w:cs="宋体"/>
              <w:spacing w:val="-39"/>
              <w:sz w:val="21"/>
              <w:szCs w:val="21"/>
            </w:rPr>
            <w:t xml:space="preserve"> </w:t>
          </w:r>
          <w:r>
            <w:rPr>
              <w:rFonts w:ascii="宋体" w:hAnsi="宋体" w:eastAsia="宋体" w:cs="宋体"/>
              <w:spacing w:val="-2"/>
              <w:sz w:val="21"/>
              <w:szCs w:val="21"/>
            </w:rPr>
            <w:t>零星工作项目计价表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178</w:t>
          </w:r>
          <w:r>
            <w:rPr>
              <w:rFonts w:ascii="宋体" w:hAnsi="宋体" w:eastAsia="宋体" w:cs="宋体"/>
              <w:spacing w:val="-5"/>
              <w:sz w:val="21"/>
              <w:szCs w:val="21"/>
            </w:rPr>
            <w:fldChar w:fldCharType="end"/>
          </w:r>
        </w:p>
        <w:p w14:paraId="59F331B8">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"bookmark386" </w:instrText>
          </w:r>
          <w:r>
            <w:fldChar w:fldCharType="separate"/>
          </w:r>
          <w:r>
            <w:rPr>
              <w:rFonts w:ascii="宋体" w:hAnsi="宋体" w:eastAsia="宋体" w:cs="宋体"/>
              <w:spacing w:val="-2"/>
              <w:sz w:val="21"/>
              <w:szCs w:val="21"/>
            </w:rPr>
            <w:t>3.12</w:t>
          </w:r>
          <w:r>
            <w:rPr>
              <w:rFonts w:ascii="宋体" w:hAnsi="宋体" w:eastAsia="宋体" w:cs="宋体"/>
              <w:spacing w:val="-39"/>
              <w:sz w:val="21"/>
              <w:szCs w:val="21"/>
            </w:rPr>
            <w:t xml:space="preserve"> </w:t>
          </w:r>
          <w:r>
            <w:rPr>
              <w:rFonts w:ascii="宋体" w:hAnsi="宋体" w:eastAsia="宋体" w:cs="宋体"/>
              <w:spacing w:val="-2"/>
              <w:sz w:val="21"/>
              <w:szCs w:val="21"/>
            </w:rPr>
            <w:t>材料和设备暂估价表</w:t>
          </w:r>
          <w:r>
            <w:rPr>
              <w:rFonts w:ascii="宋体" w:hAnsi="宋体" w:eastAsia="宋体" w:cs="宋体"/>
              <w:spacing w:val="-2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179</w:t>
          </w:r>
          <w:r>
            <w:rPr>
              <w:rFonts w:ascii="宋体" w:hAnsi="宋体" w:eastAsia="宋体" w:cs="宋体"/>
              <w:spacing w:val="-5"/>
              <w:sz w:val="21"/>
              <w:szCs w:val="21"/>
            </w:rPr>
            <w:fldChar w:fldCharType="end"/>
          </w:r>
        </w:p>
        <w:p w14:paraId="59C2E4A9">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"bookmark387" </w:instrText>
          </w:r>
          <w:r>
            <w:fldChar w:fldCharType="separate"/>
          </w:r>
          <w:r>
            <w:rPr>
              <w:rFonts w:ascii="宋体" w:hAnsi="宋体" w:eastAsia="宋体" w:cs="宋体"/>
              <w:spacing w:val="-2"/>
              <w:sz w:val="21"/>
              <w:szCs w:val="21"/>
            </w:rPr>
            <w:t>3.13</w:t>
          </w:r>
          <w:r>
            <w:rPr>
              <w:rFonts w:ascii="宋体" w:hAnsi="宋体" w:eastAsia="宋体" w:cs="宋体"/>
              <w:spacing w:val="-43"/>
              <w:sz w:val="21"/>
              <w:szCs w:val="21"/>
            </w:rPr>
            <w:t xml:space="preserve"> </w:t>
          </w:r>
          <w:r>
            <w:rPr>
              <w:rFonts w:ascii="宋体" w:hAnsi="宋体" w:eastAsia="宋体" w:cs="宋体"/>
              <w:spacing w:val="-2"/>
              <w:sz w:val="21"/>
              <w:szCs w:val="21"/>
            </w:rPr>
            <w:t>工程单价汇总表</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180</w:t>
          </w:r>
          <w:r>
            <w:rPr>
              <w:rFonts w:ascii="宋体" w:hAnsi="宋体" w:eastAsia="宋体" w:cs="宋体"/>
              <w:spacing w:val="-5"/>
              <w:sz w:val="21"/>
              <w:szCs w:val="21"/>
            </w:rPr>
            <w:fldChar w:fldCharType="end"/>
          </w:r>
        </w:p>
        <w:p w14:paraId="32624284">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"bookmark388" </w:instrText>
          </w:r>
          <w:r>
            <w:fldChar w:fldCharType="separate"/>
          </w:r>
          <w:r>
            <w:rPr>
              <w:rFonts w:ascii="宋体" w:hAnsi="宋体" w:eastAsia="宋体" w:cs="宋体"/>
              <w:spacing w:val="-2"/>
              <w:sz w:val="21"/>
              <w:szCs w:val="21"/>
            </w:rPr>
            <w:t>3.14</w:t>
          </w:r>
          <w:r>
            <w:rPr>
              <w:rFonts w:ascii="宋体" w:hAnsi="宋体" w:eastAsia="宋体" w:cs="宋体"/>
              <w:spacing w:val="-31"/>
              <w:sz w:val="21"/>
              <w:szCs w:val="21"/>
            </w:rPr>
            <w:t xml:space="preserve"> </w:t>
          </w:r>
          <w:r>
            <w:rPr>
              <w:rFonts w:ascii="宋体" w:hAnsi="宋体" w:eastAsia="宋体" w:cs="宋体"/>
              <w:spacing w:val="-2"/>
              <w:sz w:val="21"/>
              <w:szCs w:val="21"/>
            </w:rPr>
            <w:t>工程单价费（税）率汇总表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181</w:t>
          </w:r>
          <w:r>
            <w:rPr>
              <w:rFonts w:ascii="宋体" w:hAnsi="宋体" w:eastAsia="宋体" w:cs="宋体"/>
              <w:spacing w:val="-5"/>
              <w:sz w:val="21"/>
              <w:szCs w:val="21"/>
            </w:rPr>
            <w:fldChar w:fldCharType="end"/>
          </w:r>
        </w:p>
        <w:p w14:paraId="5FF752C0">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"bookmark389" </w:instrText>
          </w:r>
          <w:r>
            <w:fldChar w:fldCharType="separate"/>
          </w:r>
          <w:r>
            <w:rPr>
              <w:rFonts w:ascii="宋体" w:hAnsi="宋体" w:eastAsia="宋体" w:cs="宋体"/>
              <w:spacing w:val="-2"/>
              <w:sz w:val="21"/>
              <w:szCs w:val="21"/>
            </w:rPr>
            <w:t>3.15</w:t>
          </w:r>
          <w:r>
            <w:rPr>
              <w:rFonts w:ascii="宋体" w:hAnsi="宋体" w:eastAsia="宋体" w:cs="宋体"/>
              <w:spacing w:val="-27"/>
              <w:sz w:val="21"/>
              <w:szCs w:val="21"/>
            </w:rPr>
            <w:t xml:space="preserve"> </w:t>
          </w:r>
          <w:r>
            <w:rPr>
              <w:rFonts w:ascii="宋体" w:hAnsi="宋体" w:eastAsia="宋体" w:cs="宋体"/>
              <w:spacing w:val="-2"/>
              <w:sz w:val="21"/>
              <w:szCs w:val="21"/>
            </w:rPr>
            <w:t xml:space="preserve">投标人生产电、风、水、砂石基础单价汇总表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182</w:t>
          </w:r>
          <w:r>
            <w:rPr>
              <w:rFonts w:ascii="宋体" w:hAnsi="宋体" w:eastAsia="宋体" w:cs="宋体"/>
              <w:spacing w:val="-5"/>
              <w:sz w:val="21"/>
              <w:szCs w:val="21"/>
            </w:rPr>
            <w:fldChar w:fldCharType="end"/>
          </w:r>
        </w:p>
        <w:p w14:paraId="3B16DC6A">
          <w:pPr>
            <w:tabs>
              <w:tab w:val="right" w:leader="dot" w:pos="8315"/>
            </w:tabs>
            <w:spacing w:before="62" w:line="220" w:lineRule="auto"/>
            <w:ind w:left="866"/>
            <w:rPr>
              <w:rFonts w:ascii="宋体" w:hAnsi="宋体" w:eastAsia="宋体" w:cs="宋体"/>
              <w:sz w:val="21"/>
              <w:szCs w:val="21"/>
            </w:rPr>
          </w:pPr>
          <w:r>
            <w:fldChar w:fldCharType="begin"/>
          </w:r>
          <w:r>
            <w:instrText xml:space="preserve"> HYPERLINK \l "bookmark390" </w:instrText>
          </w:r>
          <w:r>
            <w:fldChar w:fldCharType="separate"/>
          </w:r>
          <w:r>
            <w:rPr>
              <w:rFonts w:ascii="宋体" w:hAnsi="宋体" w:eastAsia="宋体" w:cs="宋体"/>
              <w:spacing w:val="-2"/>
              <w:sz w:val="21"/>
              <w:szCs w:val="21"/>
            </w:rPr>
            <w:t>3.16</w:t>
          </w:r>
          <w:r>
            <w:rPr>
              <w:rFonts w:ascii="宋体" w:hAnsi="宋体" w:eastAsia="宋体" w:cs="宋体"/>
              <w:spacing w:val="-26"/>
              <w:sz w:val="21"/>
              <w:szCs w:val="21"/>
            </w:rPr>
            <w:t xml:space="preserve"> </w:t>
          </w:r>
          <w:r>
            <w:rPr>
              <w:rFonts w:ascii="宋体" w:hAnsi="宋体" w:eastAsia="宋体" w:cs="宋体"/>
              <w:spacing w:val="-2"/>
              <w:sz w:val="21"/>
              <w:szCs w:val="21"/>
            </w:rPr>
            <w:t>投标人生产混凝土配合比材料费表</w:t>
          </w:r>
          <w:r>
            <w:rPr>
              <w:rFonts w:ascii="宋体" w:hAnsi="宋体" w:eastAsia="宋体" w:cs="宋体"/>
              <w:spacing w:val="-19"/>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183</w:t>
          </w:r>
          <w:r>
            <w:rPr>
              <w:rFonts w:ascii="宋体" w:hAnsi="宋体" w:eastAsia="宋体" w:cs="宋体"/>
              <w:spacing w:val="-5"/>
              <w:sz w:val="21"/>
              <w:szCs w:val="21"/>
            </w:rPr>
            <w:fldChar w:fldCharType="end"/>
          </w:r>
        </w:p>
        <w:p w14:paraId="5C2A5879">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"bookmark391" </w:instrText>
          </w:r>
          <w:r>
            <w:fldChar w:fldCharType="separate"/>
          </w:r>
          <w:r>
            <w:rPr>
              <w:rFonts w:ascii="宋体" w:hAnsi="宋体" w:eastAsia="宋体" w:cs="宋体"/>
              <w:spacing w:val="-2"/>
              <w:sz w:val="21"/>
              <w:szCs w:val="21"/>
            </w:rPr>
            <w:t>3.17</w:t>
          </w:r>
          <w:r>
            <w:rPr>
              <w:rFonts w:ascii="宋体" w:hAnsi="宋体" w:eastAsia="宋体" w:cs="宋体"/>
              <w:spacing w:val="-31"/>
              <w:sz w:val="21"/>
              <w:szCs w:val="21"/>
            </w:rPr>
            <w:t xml:space="preserve"> </w:t>
          </w:r>
          <w:r>
            <w:rPr>
              <w:rFonts w:ascii="宋体" w:hAnsi="宋体" w:eastAsia="宋体" w:cs="宋体"/>
              <w:spacing w:val="-2"/>
              <w:sz w:val="21"/>
              <w:szCs w:val="21"/>
            </w:rPr>
            <w:t>招标人供应材料价格汇总表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184</w:t>
          </w:r>
          <w:r>
            <w:rPr>
              <w:rFonts w:ascii="宋体" w:hAnsi="宋体" w:eastAsia="宋体" w:cs="宋体"/>
              <w:spacing w:val="-5"/>
              <w:sz w:val="21"/>
              <w:szCs w:val="21"/>
            </w:rPr>
            <w:fldChar w:fldCharType="end"/>
          </w:r>
        </w:p>
        <w:p w14:paraId="151C4AFC">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"bookmark392" </w:instrText>
          </w:r>
          <w:r>
            <w:fldChar w:fldCharType="separate"/>
          </w:r>
          <w:r>
            <w:rPr>
              <w:rFonts w:ascii="宋体" w:hAnsi="宋体" w:eastAsia="宋体" w:cs="宋体"/>
              <w:spacing w:val="-2"/>
              <w:sz w:val="21"/>
              <w:szCs w:val="21"/>
            </w:rPr>
            <w:t>3.18</w:t>
          </w:r>
          <w:r>
            <w:rPr>
              <w:rFonts w:ascii="宋体" w:hAnsi="宋体" w:eastAsia="宋体" w:cs="宋体"/>
              <w:spacing w:val="-33"/>
              <w:sz w:val="21"/>
              <w:szCs w:val="21"/>
            </w:rPr>
            <w:t xml:space="preserve"> </w:t>
          </w:r>
          <w:r>
            <w:rPr>
              <w:rFonts w:ascii="宋体" w:hAnsi="宋体" w:eastAsia="宋体" w:cs="宋体"/>
              <w:spacing w:val="-2"/>
              <w:sz w:val="21"/>
              <w:szCs w:val="21"/>
            </w:rPr>
            <w:t xml:space="preserve">投标人自行采购主要材料预算价格汇总表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185</w:t>
          </w:r>
          <w:r>
            <w:rPr>
              <w:rFonts w:ascii="宋体" w:hAnsi="宋体" w:eastAsia="宋体" w:cs="宋体"/>
              <w:spacing w:val="-5"/>
              <w:sz w:val="21"/>
              <w:szCs w:val="21"/>
            </w:rPr>
            <w:fldChar w:fldCharType="end"/>
          </w:r>
        </w:p>
      </w:sdtContent>
    </w:sdt>
    <w:p w14:paraId="59101FD9">
      <w:pPr>
        <w:spacing w:line="219" w:lineRule="auto"/>
        <w:rPr>
          <w:rFonts w:ascii="宋体" w:hAnsi="宋体" w:eastAsia="宋体" w:cs="宋体"/>
          <w:sz w:val="21"/>
          <w:szCs w:val="21"/>
        </w:rPr>
        <w:sectPr>
          <w:footerReference r:id="rId14"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56605"/>
        <w:docPartObj>
          <w:docPartGallery w:val="Table of Contents"/>
          <w:docPartUnique/>
        </w:docPartObj>
      </w:sdtPr>
      <w:sdtEndPr>
        <w:rPr>
          <w:rFonts w:ascii="宋体" w:hAnsi="宋体" w:eastAsia="宋体" w:cs="宋体"/>
          <w:sz w:val="21"/>
          <w:szCs w:val="21"/>
        </w:rPr>
      </w:sdtEndPr>
      <w:sdtContent>
        <w:p w14:paraId="3BB92E4E">
          <w:pPr>
            <w:tabs>
              <w:tab w:val="right" w:leader="dot" w:pos="8315"/>
            </w:tabs>
            <w:spacing w:before="60" w:line="219" w:lineRule="auto"/>
            <w:ind w:left="866"/>
            <w:rPr>
              <w:rFonts w:ascii="宋体" w:hAnsi="宋体" w:eastAsia="宋体" w:cs="宋体"/>
              <w:sz w:val="21"/>
              <w:szCs w:val="21"/>
            </w:rPr>
          </w:pPr>
          <w:bookmarkStart w:id="3" w:name="bookmark393"/>
          <w:bookmarkEnd w:id="3"/>
          <w:r>
            <w:fldChar w:fldCharType="begin"/>
          </w:r>
          <w:r>
            <w:instrText xml:space="preserve"> HYPERLINK \l "bookmark394" </w:instrText>
          </w:r>
          <w:r>
            <w:fldChar w:fldCharType="separate"/>
          </w:r>
          <w:r>
            <w:rPr>
              <w:rFonts w:ascii="宋体" w:hAnsi="宋体" w:eastAsia="宋体" w:cs="宋体"/>
              <w:spacing w:val="-2"/>
              <w:sz w:val="21"/>
              <w:szCs w:val="21"/>
            </w:rPr>
            <w:t>3.19</w:t>
          </w:r>
          <w:r>
            <w:rPr>
              <w:rFonts w:ascii="宋体" w:hAnsi="宋体" w:eastAsia="宋体" w:cs="宋体"/>
              <w:spacing w:val="-31"/>
              <w:sz w:val="21"/>
              <w:szCs w:val="21"/>
            </w:rPr>
            <w:t xml:space="preserve"> </w:t>
          </w:r>
          <w:r>
            <w:rPr>
              <w:rFonts w:ascii="宋体" w:hAnsi="宋体" w:eastAsia="宋体" w:cs="宋体"/>
              <w:spacing w:val="-2"/>
              <w:sz w:val="21"/>
              <w:szCs w:val="21"/>
            </w:rPr>
            <w:t>招标人供应材料价格汇总表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186</w:t>
          </w:r>
          <w:r>
            <w:rPr>
              <w:rFonts w:ascii="宋体" w:hAnsi="宋体" w:eastAsia="宋体" w:cs="宋体"/>
              <w:spacing w:val="-5"/>
              <w:sz w:val="21"/>
              <w:szCs w:val="21"/>
            </w:rPr>
            <w:fldChar w:fldCharType="end"/>
          </w:r>
        </w:p>
        <w:p w14:paraId="09159A36">
          <w:pPr>
            <w:tabs>
              <w:tab w:val="right" w:leader="dot" w:pos="8315"/>
            </w:tabs>
            <w:spacing w:before="62" w:line="220" w:lineRule="auto"/>
            <w:ind w:left="866"/>
            <w:rPr>
              <w:rFonts w:ascii="宋体" w:hAnsi="宋体" w:eastAsia="宋体" w:cs="宋体"/>
              <w:sz w:val="21"/>
              <w:szCs w:val="21"/>
            </w:rPr>
          </w:pPr>
          <w:r>
            <w:fldChar w:fldCharType="begin"/>
          </w:r>
          <w:r>
            <w:instrText xml:space="preserve"> HYPERLINK \l "bookmark395" </w:instrText>
          </w:r>
          <w:r>
            <w:fldChar w:fldCharType="separate"/>
          </w:r>
          <w:r>
            <w:rPr>
              <w:rFonts w:ascii="宋体" w:hAnsi="宋体" w:eastAsia="宋体" w:cs="宋体"/>
              <w:spacing w:val="-2"/>
              <w:sz w:val="21"/>
              <w:szCs w:val="21"/>
            </w:rPr>
            <w:t>3.20</w:t>
          </w:r>
          <w:r>
            <w:rPr>
              <w:rFonts w:ascii="宋体" w:hAnsi="宋体" w:eastAsia="宋体" w:cs="宋体"/>
              <w:spacing w:val="-33"/>
              <w:sz w:val="21"/>
              <w:szCs w:val="21"/>
            </w:rPr>
            <w:t xml:space="preserve"> </w:t>
          </w:r>
          <w:r>
            <w:rPr>
              <w:rFonts w:ascii="宋体" w:hAnsi="宋体" w:eastAsia="宋体" w:cs="宋体"/>
              <w:spacing w:val="-2"/>
              <w:sz w:val="21"/>
              <w:szCs w:val="21"/>
            </w:rPr>
            <w:t xml:space="preserve">投标人自备施工机械台时（班）费汇总表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187</w:t>
          </w:r>
          <w:r>
            <w:rPr>
              <w:rFonts w:ascii="宋体" w:hAnsi="宋体" w:eastAsia="宋体" w:cs="宋体"/>
              <w:spacing w:val="-5"/>
              <w:sz w:val="21"/>
              <w:szCs w:val="21"/>
            </w:rPr>
            <w:fldChar w:fldCharType="end"/>
          </w:r>
        </w:p>
        <w:p w14:paraId="2588D8BE">
          <w:pPr>
            <w:tabs>
              <w:tab w:val="right" w:leader="dot" w:pos="8315"/>
            </w:tabs>
            <w:spacing w:before="61" w:line="220" w:lineRule="auto"/>
            <w:ind w:left="866"/>
            <w:rPr>
              <w:rFonts w:ascii="宋体" w:hAnsi="宋体" w:eastAsia="宋体" w:cs="宋体"/>
              <w:sz w:val="21"/>
              <w:szCs w:val="21"/>
            </w:rPr>
          </w:pPr>
          <w:r>
            <w:fldChar w:fldCharType="begin"/>
          </w:r>
          <w:r>
            <w:instrText xml:space="preserve"> HYPERLINK \l "bookmark396" </w:instrText>
          </w:r>
          <w:r>
            <w:fldChar w:fldCharType="separate"/>
          </w:r>
          <w:r>
            <w:rPr>
              <w:rFonts w:ascii="宋体" w:hAnsi="宋体" w:eastAsia="宋体" w:cs="宋体"/>
              <w:spacing w:val="-2"/>
              <w:sz w:val="21"/>
              <w:szCs w:val="21"/>
            </w:rPr>
            <w:t>3.21</w:t>
          </w:r>
          <w:r>
            <w:rPr>
              <w:rFonts w:ascii="宋体" w:hAnsi="宋体" w:eastAsia="宋体" w:cs="宋体"/>
              <w:spacing w:val="-38"/>
              <w:sz w:val="21"/>
              <w:szCs w:val="21"/>
            </w:rPr>
            <w:t xml:space="preserve"> </w:t>
          </w:r>
          <w:r>
            <w:rPr>
              <w:rFonts w:ascii="宋体" w:hAnsi="宋体" w:eastAsia="宋体" w:cs="宋体"/>
              <w:spacing w:val="-2"/>
              <w:sz w:val="21"/>
              <w:szCs w:val="21"/>
            </w:rPr>
            <w:t>招标人提供施工设备表</w:t>
          </w:r>
          <w:r>
            <w:rPr>
              <w:rFonts w:ascii="宋体" w:hAnsi="宋体" w:eastAsia="宋体" w:cs="宋体"/>
              <w:spacing w:val="-23"/>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188</w:t>
          </w:r>
          <w:r>
            <w:rPr>
              <w:rFonts w:ascii="宋体" w:hAnsi="宋体" w:eastAsia="宋体" w:cs="宋体"/>
              <w:spacing w:val="-5"/>
              <w:sz w:val="21"/>
              <w:szCs w:val="21"/>
            </w:rPr>
            <w:fldChar w:fldCharType="end"/>
          </w:r>
        </w:p>
        <w:p w14:paraId="0D93E0DB">
          <w:pPr>
            <w:tabs>
              <w:tab w:val="right" w:leader="dot" w:pos="8315"/>
            </w:tabs>
            <w:spacing w:before="62" w:line="219" w:lineRule="auto"/>
            <w:ind w:left="866"/>
            <w:rPr>
              <w:rFonts w:ascii="宋体" w:hAnsi="宋体" w:eastAsia="宋体" w:cs="宋体"/>
              <w:sz w:val="21"/>
              <w:szCs w:val="21"/>
            </w:rPr>
          </w:pPr>
          <w:r>
            <w:fldChar w:fldCharType="begin"/>
          </w:r>
          <w:r>
            <w:instrText xml:space="preserve"> HYPERLINK \l "bookmark397" </w:instrText>
          </w:r>
          <w:r>
            <w:fldChar w:fldCharType="separate"/>
          </w:r>
          <w:r>
            <w:rPr>
              <w:rFonts w:ascii="宋体" w:hAnsi="宋体" w:eastAsia="宋体" w:cs="宋体"/>
              <w:spacing w:val="-2"/>
              <w:sz w:val="21"/>
              <w:szCs w:val="21"/>
            </w:rPr>
            <w:t>3.22</w:t>
          </w:r>
          <w:r>
            <w:rPr>
              <w:rFonts w:ascii="宋体" w:hAnsi="宋体" w:eastAsia="宋体" w:cs="宋体"/>
              <w:spacing w:val="-31"/>
              <w:sz w:val="21"/>
              <w:szCs w:val="21"/>
            </w:rPr>
            <w:t xml:space="preserve"> </w:t>
          </w:r>
          <w:r>
            <w:rPr>
              <w:rFonts w:ascii="宋体" w:hAnsi="宋体" w:eastAsia="宋体" w:cs="宋体"/>
              <w:spacing w:val="-2"/>
              <w:sz w:val="21"/>
              <w:szCs w:val="21"/>
            </w:rPr>
            <w:t>总价项目分类分项工程分解表</w:t>
          </w:r>
          <w:r>
            <w:rPr>
              <w:rFonts w:ascii="宋体" w:hAnsi="宋体" w:eastAsia="宋体" w:cs="宋体"/>
              <w:spacing w:val="-21"/>
              <w:sz w:val="21"/>
              <w:szCs w:val="21"/>
            </w:rPr>
            <w:t xml:space="preserve"> </w:t>
          </w:r>
          <w:r>
            <w:rPr>
              <w:rFonts w:ascii="宋体" w:hAnsi="宋体" w:eastAsia="宋体" w:cs="宋体"/>
              <w:sz w:val="21"/>
              <w:szCs w:val="21"/>
            </w:rPr>
            <w:tab/>
          </w:r>
          <w:r>
            <w:rPr>
              <w:rFonts w:ascii="宋体" w:hAnsi="宋体" w:eastAsia="宋体" w:cs="宋体"/>
              <w:spacing w:val="-14"/>
              <w:sz w:val="21"/>
              <w:szCs w:val="21"/>
            </w:rPr>
            <w:t xml:space="preserve"> </w:t>
          </w:r>
          <w:r>
            <w:rPr>
              <w:rFonts w:ascii="宋体" w:hAnsi="宋体" w:eastAsia="宋体" w:cs="宋体"/>
              <w:spacing w:val="-5"/>
              <w:sz w:val="21"/>
              <w:szCs w:val="21"/>
            </w:rPr>
            <w:t>189</w:t>
          </w:r>
          <w:r>
            <w:rPr>
              <w:rFonts w:ascii="宋体" w:hAnsi="宋体" w:eastAsia="宋体" w:cs="宋体"/>
              <w:spacing w:val="-5"/>
              <w:sz w:val="21"/>
              <w:szCs w:val="21"/>
            </w:rPr>
            <w:fldChar w:fldCharType="end"/>
          </w:r>
        </w:p>
        <w:p w14:paraId="0B589681">
          <w:pPr>
            <w:tabs>
              <w:tab w:val="right" w:leader="dot" w:pos="8315"/>
            </w:tabs>
            <w:spacing w:before="62" w:line="219" w:lineRule="auto"/>
            <w:ind w:left="866"/>
            <w:rPr>
              <w:rFonts w:ascii="宋体" w:hAnsi="宋体" w:eastAsia="宋体" w:cs="宋体"/>
              <w:sz w:val="21"/>
              <w:szCs w:val="21"/>
            </w:rPr>
          </w:pPr>
          <w:r>
            <w:fldChar w:fldCharType="begin"/>
          </w:r>
          <w:r>
            <w:instrText xml:space="preserve"> HYPERLINK \l "bookmark398" </w:instrText>
          </w:r>
          <w:r>
            <w:fldChar w:fldCharType="separate"/>
          </w:r>
          <w:r>
            <w:rPr>
              <w:rFonts w:ascii="宋体" w:hAnsi="宋体" w:eastAsia="宋体" w:cs="宋体"/>
              <w:spacing w:val="-2"/>
              <w:sz w:val="21"/>
              <w:szCs w:val="21"/>
            </w:rPr>
            <w:t>3.23</w:t>
          </w:r>
          <w:r>
            <w:rPr>
              <w:rFonts w:ascii="宋体" w:hAnsi="宋体" w:eastAsia="宋体" w:cs="宋体"/>
              <w:spacing w:val="-43"/>
              <w:sz w:val="21"/>
              <w:szCs w:val="21"/>
            </w:rPr>
            <w:t xml:space="preserve"> </w:t>
          </w:r>
          <w:r>
            <w:rPr>
              <w:rFonts w:ascii="宋体" w:hAnsi="宋体" w:eastAsia="宋体" w:cs="宋体"/>
              <w:spacing w:val="-2"/>
              <w:sz w:val="21"/>
              <w:szCs w:val="21"/>
            </w:rPr>
            <w:t>工程单价计算表</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190</w:t>
          </w:r>
          <w:r>
            <w:rPr>
              <w:rFonts w:ascii="宋体" w:hAnsi="宋体" w:eastAsia="宋体" w:cs="宋体"/>
              <w:spacing w:val="-5"/>
              <w:sz w:val="21"/>
              <w:szCs w:val="21"/>
            </w:rPr>
            <w:fldChar w:fldCharType="end"/>
          </w:r>
        </w:p>
        <w:p w14:paraId="2E81CD1E">
          <w:pPr>
            <w:tabs>
              <w:tab w:val="right" w:leader="dot" w:pos="8315"/>
            </w:tabs>
            <w:spacing w:before="63" w:line="219" w:lineRule="auto"/>
            <w:ind w:left="866"/>
            <w:rPr>
              <w:rFonts w:ascii="宋体" w:hAnsi="宋体" w:eastAsia="宋体" w:cs="宋体"/>
              <w:sz w:val="21"/>
              <w:szCs w:val="21"/>
            </w:rPr>
          </w:pPr>
          <w:r>
            <w:fldChar w:fldCharType="begin"/>
          </w:r>
          <w:r>
            <w:instrText xml:space="preserve"> HYPERLINK \l "bookmark399" </w:instrText>
          </w:r>
          <w:r>
            <w:fldChar w:fldCharType="separate"/>
          </w:r>
          <w:r>
            <w:rPr>
              <w:rFonts w:ascii="宋体" w:hAnsi="宋体" w:eastAsia="宋体" w:cs="宋体"/>
              <w:spacing w:val="-2"/>
              <w:sz w:val="21"/>
              <w:szCs w:val="21"/>
            </w:rPr>
            <w:t>3.24</w:t>
          </w:r>
          <w:r>
            <w:rPr>
              <w:rFonts w:ascii="宋体" w:hAnsi="宋体" w:eastAsia="宋体" w:cs="宋体"/>
              <w:spacing w:val="-40"/>
              <w:sz w:val="21"/>
              <w:szCs w:val="21"/>
            </w:rPr>
            <w:t xml:space="preserve"> </w:t>
          </w:r>
          <w:r>
            <w:rPr>
              <w:rFonts w:ascii="宋体" w:hAnsi="宋体" w:eastAsia="宋体" w:cs="宋体"/>
              <w:spacing w:val="-2"/>
              <w:sz w:val="21"/>
              <w:szCs w:val="21"/>
            </w:rPr>
            <w:t>人工费单价汇总表</w:t>
          </w:r>
          <w:r>
            <w:rPr>
              <w:rFonts w:ascii="宋体" w:hAnsi="宋体" w:eastAsia="宋体" w:cs="宋体"/>
              <w:spacing w:val="-2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191</w:t>
          </w:r>
          <w:r>
            <w:rPr>
              <w:rFonts w:ascii="宋体" w:hAnsi="宋体" w:eastAsia="宋体" w:cs="宋体"/>
              <w:spacing w:val="-5"/>
              <w:sz w:val="21"/>
              <w:szCs w:val="21"/>
            </w:rPr>
            <w:fldChar w:fldCharType="end"/>
          </w:r>
        </w:p>
        <w:p w14:paraId="6AC5DFEC">
          <w:pPr>
            <w:tabs>
              <w:tab w:val="right" w:leader="dot" w:pos="8312"/>
            </w:tabs>
            <w:spacing w:before="63" w:line="221" w:lineRule="auto"/>
            <w:ind w:left="22"/>
            <w:rPr>
              <w:rFonts w:ascii="宋体" w:hAnsi="宋体" w:eastAsia="宋体" w:cs="宋体"/>
              <w:sz w:val="21"/>
              <w:szCs w:val="21"/>
            </w:rPr>
          </w:pPr>
          <w:r>
            <w:fldChar w:fldCharType="begin"/>
          </w:r>
          <w:r>
            <w:instrText xml:space="preserve"> HYPERLINK \l "bookmark400" </w:instrText>
          </w:r>
          <w:r>
            <w:fldChar w:fldCharType="separate"/>
          </w:r>
          <w:r>
            <w:rPr>
              <w:rFonts w:ascii="宋体" w:hAnsi="宋体" w:eastAsia="宋体" w:cs="宋体"/>
              <w:b/>
              <w:bCs/>
              <w:spacing w:val="-4"/>
              <w:sz w:val="21"/>
              <w:szCs w:val="21"/>
            </w:rPr>
            <w:t>第二卷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17"/>
              <w:sz w:val="21"/>
              <w:szCs w:val="21"/>
            </w:rPr>
            <w:t xml:space="preserve"> </w:t>
          </w:r>
          <w:r>
            <w:rPr>
              <w:rFonts w:ascii="宋体" w:hAnsi="宋体" w:eastAsia="宋体" w:cs="宋体"/>
              <w:b/>
              <w:bCs/>
              <w:spacing w:val="-8"/>
              <w:sz w:val="21"/>
              <w:szCs w:val="21"/>
            </w:rPr>
            <w:t>192</w:t>
          </w:r>
          <w:r>
            <w:rPr>
              <w:rFonts w:ascii="宋体" w:hAnsi="宋体" w:eastAsia="宋体" w:cs="宋体"/>
              <w:b/>
              <w:bCs/>
              <w:spacing w:val="-8"/>
              <w:sz w:val="21"/>
              <w:szCs w:val="21"/>
            </w:rPr>
            <w:fldChar w:fldCharType="end"/>
          </w:r>
        </w:p>
        <w:p w14:paraId="63F84D0C">
          <w:pPr>
            <w:tabs>
              <w:tab w:val="right" w:leader="dot" w:pos="8312"/>
            </w:tabs>
            <w:spacing w:before="61" w:line="220" w:lineRule="auto"/>
            <w:ind w:left="22"/>
            <w:rPr>
              <w:rFonts w:ascii="宋体" w:hAnsi="宋体" w:eastAsia="宋体" w:cs="宋体"/>
              <w:sz w:val="21"/>
              <w:szCs w:val="21"/>
            </w:rPr>
          </w:pPr>
          <w:r>
            <w:fldChar w:fldCharType="begin"/>
          </w:r>
          <w:r>
            <w:instrText xml:space="preserve"> HYPERLINK \l "bookmark401" </w:instrText>
          </w:r>
          <w:r>
            <w:fldChar w:fldCharType="separate"/>
          </w:r>
          <w:r>
            <w:rPr>
              <w:rFonts w:ascii="宋体" w:hAnsi="宋体" w:eastAsia="宋体" w:cs="宋体"/>
              <w:b/>
              <w:bCs/>
              <w:spacing w:val="-11"/>
              <w:sz w:val="21"/>
              <w:szCs w:val="21"/>
            </w:rPr>
            <w:t>第六章</w:t>
          </w:r>
          <w:r>
            <w:rPr>
              <w:rFonts w:ascii="宋体" w:hAnsi="宋体" w:eastAsia="宋体" w:cs="宋体"/>
              <w:spacing w:val="15"/>
              <w:sz w:val="21"/>
              <w:szCs w:val="21"/>
            </w:rPr>
            <w:t xml:space="preserve">  </w:t>
          </w:r>
          <w:r>
            <w:rPr>
              <w:rFonts w:ascii="宋体" w:hAnsi="宋体" w:eastAsia="宋体" w:cs="宋体"/>
              <w:b/>
              <w:bCs/>
              <w:spacing w:val="-11"/>
              <w:sz w:val="21"/>
              <w:szCs w:val="21"/>
            </w:rPr>
            <w:t>图</w:t>
          </w:r>
          <w:r>
            <w:rPr>
              <w:rFonts w:ascii="宋体" w:hAnsi="宋体" w:eastAsia="宋体" w:cs="宋体"/>
              <w:spacing w:val="6"/>
              <w:sz w:val="21"/>
              <w:szCs w:val="21"/>
            </w:rPr>
            <w:t xml:space="preserve">  </w:t>
          </w:r>
          <w:r>
            <w:rPr>
              <w:rFonts w:ascii="宋体" w:hAnsi="宋体" w:eastAsia="宋体" w:cs="宋体"/>
              <w:b/>
              <w:bCs/>
              <w:spacing w:val="-11"/>
              <w:sz w:val="21"/>
              <w:szCs w:val="21"/>
            </w:rPr>
            <w:t>纸</w:t>
          </w:r>
          <w:r>
            <w:rPr>
              <w:rFonts w:ascii="宋体" w:hAnsi="宋体" w:eastAsia="宋体" w:cs="宋体"/>
              <w:spacing w:val="-2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17"/>
              <w:sz w:val="21"/>
              <w:szCs w:val="21"/>
            </w:rPr>
            <w:t xml:space="preserve"> </w:t>
          </w:r>
          <w:r>
            <w:rPr>
              <w:rFonts w:ascii="宋体" w:hAnsi="宋体" w:eastAsia="宋体" w:cs="宋体"/>
              <w:b/>
              <w:bCs/>
              <w:spacing w:val="-8"/>
              <w:sz w:val="21"/>
              <w:szCs w:val="21"/>
            </w:rPr>
            <w:t>193</w:t>
          </w:r>
          <w:r>
            <w:rPr>
              <w:rFonts w:ascii="宋体" w:hAnsi="宋体" w:eastAsia="宋体" w:cs="宋体"/>
              <w:b/>
              <w:bCs/>
              <w:spacing w:val="-8"/>
              <w:sz w:val="21"/>
              <w:szCs w:val="21"/>
            </w:rPr>
            <w:fldChar w:fldCharType="end"/>
          </w:r>
        </w:p>
        <w:p w14:paraId="49E78BF4">
          <w:pPr>
            <w:tabs>
              <w:tab w:val="right" w:leader="dot" w:pos="8315"/>
            </w:tabs>
            <w:spacing w:before="61" w:line="222" w:lineRule="auto"/>
            <w:ind w:left="458"/>
            <w:rPr>
              <w:rFonts w:ascii="宋体" w:hAnsi="宋体" w:eastAsia="宋体" w:cs="宋体"/>
              <w:sz w:val="21"/>
              <w:szCs w:val="21"/>
            </w:rPr>
          </w:pPr>
          <w:r>
            <w:fldChar w:fldCharType="begin"/>
          </w:r>
          <w:r>
            <w:instrText xml:space="preserve"> HYPERLINK \l "bookmark402" </w:instrText>
          </w:r>
          <w:r>
            <w:fldChar w:fldCharType="separate"/>
          </w:r>
          <w:r>
            <w:rPr>
              <w:rFonts w:ascii="宋体" w:hAnsi="宋体" w:eastAsia="宋体" w:cs="宋体"/>
              <w:spacing w:val="-4"/>
              <w:sz w:val="21"/>
              <w:szCs w:val="21"/>
            </w:rPr>
            <w:t>1．图纸目录</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194</w:t>
          </w:r>
          <w:r>
            <w:rPr>
              <w:rFonts w:ascii="宋体" w:hAnsi="宋体" w:eastAsia="宋体" w:cs="宋体"/>
              <w:spacing w:val="-5"/>
              <w:sz w:val="21"/>
              <w:szCs w:val="21"/>
            </w:rPr>
            <w:fldChar w:fldCharType="end"/>
          </w:r>
        </w:p>
        <w:p w14:paraId="5DB80DFC">
          <w:pPr>
            <w:tabs>
              <w:tab w:val="right" w:leader="dot" w:pos="8315"/>
            </w:tabs>
            <w:spacing w:before="60" w:line="222" w:lineRule="auto"/>
            <w:ind w:left="445"/>
            <w:rPr>
              <w:rFonts w:ascii="宋体" w:hAnsi="宋体" w:eastAsia="宋体" w:cs="宋体"/>
              <w:sz w:val="21"/>
              <w:szCs w:val="21"/>
            </w:rPr>
          </w:pPr>
          <w:r>
            <w:fldChar w:fldCharType="begin"/>
          </w:r>
          <w:r>
            <w:instrText xml:space="preserve"> HYPERLINK \l "bookmark403" </w:instrText>
          </w:r>
          <w:r>
            <w:fldChar w:fldCharType="separate"/>
          </w:r>
          <w:r>
            <w:rPr>
              <w:rFonts w:ascii="宋体" w:hAnsi="宋体" w:eastAsia="宋体" w:cs="宋体"/>
              <w:spacing w:val="-5"/>
              <w:sz w:val="21"/>
              <w:szCs w:val="21"/>
            </w:rPr>
            <w:t>2．图</w:t>
          </w:r>
          <w:r>
            <w:rPr>
              <w:rFonts w:ascii="宋体" w:hAnsi="宋体" w:eastAsia="宋体" w:cs="宋体"/>
              <w:spacing w:val="5"/>
              <w:sz w:val="21"/>
              <w:szCs w:val="21"/>
            </w:rPr>
            <w:t xml:space="preserve">  </w:t>
          </w:r>
          <w:r>
            <w:rPr>
              <w:rFonts w:ascii="宋体" w:hAnsi="宋体" w:eastAsia="宋体" w:cs="宋体"/>
              <w:spacing w:val="-5"/>
              <w:sz w:val="21"/>
              <w:szCs w:val="21"/>
            </w:rPr>
            <w:t>纸</w:t>
          </w:r>
          <w:r>
            <w:rPr>
              <w:rFonts w:ascii="宋体" w:hAnsi="宋体" w:eastAsia="宋体" w:cs="宋体"/>
              <w:spacing w:val="-90"/>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195</w:t>
          </w:r>
          <w:r>
            <w:rPr>
              <w:rFonts w:ascii="宋体" w:hAnsi="宋体" w:eastAsia="宋体" w:cs="宋体"/>
              <w:spacing w:val="-5"/>
              <w:sz w:val="21"/>
              <w:szCs w:val="21"/>
            </w:rPr>
            <w:fldChar w:fldCharType="end"/>
          </w:r>
        </w:p>
        <w:p w14:paraId="085A8C74">
          <w:pPr>
            <w:tabs>
              <w:tab w:val="right" w:leader="dot" w:pos="8312"/>
            </w:tabs>
            <w:spacing w:before="59" w:line="221" w:lineRule="auto"/>
            <w:ind w:left="22"/>
            <w:rPr>
              <w:rFonts w:ascii="宋体" w:hAnsi="宋体" w:eastAsia="宋体" w:cs="宋体"/>
              <w:sz w:val="21"/>
              <w:szCs w:val="21"/>
            </w:rPr>
          </w:pPr>
          <w:r>
            <w:fldChar w:fldCharType="begin"/>
          </w:r>
          <w:r>
            <w:instrText xml:space="preserve"> HYPERLINK \l "bookmark404" </w:instrText>
          </w:r>
          <w:r>
            <w:fldChar w:fldCharType="separate"/>
          </w:r>
          <w:r>
            <w:rPr>
              <w:rFonts w:ascii="宋体" w:hAnsi="宋体" w:eastAsia="宋体" w:cs="宋体"/>
              <w:b/>
              <w:bCs/>
              <w:spacing w:val="-4"/>
              <w:sz w:val="21"/>
              <w:szCs w:val="21"/>
            </w:rPr>
            <w:t>第三卷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17"/>
              <w:sz w:val="21"/>
              <w:szCs w:val="21"/>
            </w:rPr>
            <w:t xml:space="preserve"> </w:t>
          </w:r>
          <w:r>
            <w:rPr>
              <w:rFonts w:ascii="宋体" w:hAnsi="宋体" w:eastAsia="宋体" w:cs="宋体"/>
              <w:b/>
              <w:bCs/>
              <w:spacing w:val="-8"/>
              <w:sz w:val="21"/>
              <w:szCs w:val="21"/>
            </w:rPr>
            <w:t>196</w:t>
          </w:r>
          <w:r>
            <w:rPr>
              <w:rFonts w:ascii="宋体" w:hAnsi="宋体" w:eastAsia="宋体" w:cs="宋体"/>
              <w:b/>
              <w:bCs/>
              <w:spacing w:val="-8"/>
              <w:sz w:val="21"/>
              <w:szCs w:val="21"/>
            </w:rPr>
            <w:fldChar w:fldCharType="end"/>
          </w:r>
        </w:p>
        <w:p w14:paraId="6FAEBD5D">
          <w:pPr>
            <w:tabs>
              <w:tab w:val="right" w:leader="dot" w:pos="8312"/>
            </w:tabs>
            <w:spacing w:before="61" w:line="220" w:lineRule="auto"/>
            <w:ind w:left="22"/>
            <w:rPr>
              <w:rFonts w:ascii="宋体" w:hAnsi="宋体" w:eastAsia="宋体" w:cs="宋体"/>
              <w:sz w:val="21"/>
              <w:szCs w:val="21"/>
            </w:rPr>
          </w:pPr>
          <w:r>
            <w:fldChar w:fldCharType="begin"/>
          </w:r>
          <w:r>
            <w:instrText xml:space="preserve"> HYPERLINK \l "bookmark405" </w:instrText>
          </w:r>
          <w:r>
            <w:fldChar w:fldCharType="separate"/>
          </w: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技术标准和要求</w:t>
          </w:r>
          <w:r>
            <w:rPr>
              <w:rFonts w:ascii="宋体" w:hAnsi="宋体" w:eastAsia="宋体" w:cs="宋体"/>
              <w:spacing w:val="-2"/>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17"/>
              <w:sz w:val="21"/>
              <w:szCs w:val="21"/>
            </w:rPr>
            <w:t xml:space="preserve"> </w:t>
          </w:r>
          <w:r>
            <w:rPr>
              <w:rFonts w:ascii="宋体" w:hAnsi="宋体" w:eastAsia="宋体" w:cs="宋体"/>
              <w:b/>
              <w:bCs/>
              <w:spacing w:val="-8"/>
              <w:sz w:val="21"/>
              <w:szCs w:val="21"/>
            </w:rPr>
            <w:t>197</w:t>
          </w:r>
          <w:r>
            <w:rPr>
              <w:rFonts w:ascii="宋体" w:hAnsi="宋体" w:eastAsia="宋体" w:cs="宋体"/>
              <w:b/>
              <w:bCs/>
              <w:spacing w:val="-8"/>
              <w:sz w:val="21"/>
              <w:szCs w:val="21"/>
            </w:rPr>
            <w:fldChar w:fldCharType="end"/>
          </w:r>
        </w:p>
        <w:p w14:paraId="640D3307">
          <w:pPr>
            <w:tabs>
              <w:tab w:val="right" w:leader="dot" w:pos="8315"/>
            </w:tabs>
            <w:spacing w:before="62" w:line="221" w:lineRule="auto"/>
            <w:ind w:left="442"/>
            <w:rPr>
              <w:rFonts w:ascii="宋体" w:hAnsi="宋体" w:eastAsia="宋体" w:cs="宋体"/>
              <w:sz w:val="21"/>
              <w:szCs w:val="21"/>
            </w:rPr>
          </w:pPr>
          <w:r>
            <w:fldChar w:fldCharType="begin"/>
          </w:r>
          <w:r>
            <w:instrText xml:space="preserve"> HYPERLINK \l "bookmark406" </w:instrText>
          </w:r>
          <w:r>
            <w:fldChar w:fldCharType="separate"/>
          </w:r>
          <w:r>
            <w:rPr>
              <w:rFonts w:ascii="宋体" w:hAnsi="宋体" w:eastAsia="宋体" w:cs="宋体"/>
              <w:spacing w:val="-1"/>
              <w:sz w:val="21"/>
              <w:szCs w:val="21"/>
            </w:rPr>
            <w:t>第一节 一般要求</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198</w:t>
          </w:r>
          <w:r>
            <w:rPr>
              <w:rFonts w:ascii="宋体" w:hAnsi="宋体" w:eastAsia="宋体" w:cs="宋体"/>
              <w:spacing w:val="-5"/>
              <w:sz w:val="21"/>
              <w:szCs w:val="21"/>
            </w:rPr>
            <w:fldChar w:fldCharType="end"/>
          </w:r>
        </w:p>
        <w:p w14:paraId="6B6BA990">
          <w:pPr>
            <w:tabs>
              <w:tab w:val="right" w:leader="dot" w:pos="8315"/>
            </w:tabs>
            <w:spacing w:before="60" w:line="221" w:lineRule="auto"/>
            <w:ind w:left="878"/>
            <w:rPr>
              <w:rFonts w:ascii="宋体" w:hAnsi="宋体" w:eastAsia="宋体" w:cs="宋体"/>
              <w:sz w:val="21"/>
              <w:szCs w:val="21"/>
            </w:rPr>
          </w:pPr>
          <w:r>
            <w:fldChar w:fldCharType="begin"/>
          </w:r>
          <w:r>
            <w:instrText xml:space="preserve"> HYPERLINK \l "bookmark407" </w:instrText>
          </w:r>
          <w:r>
            <w:fldChar w:fldCharType="separate"/>
          </w:r>
          <w:r>
            <w:rPr>
              <w:rFonts w:ascii="宋体" w:hAnsi="宋体" w:eastAsia="宋体" w:cs="宋体"/>
              <w:spacing w:val="-4"/>
              <w:sz w:val="21"/>
              <w:szCs w:val="21"/>
            </w:rPr>
            <w:t>1.工程说明</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198</w:t>
          </w:r>
          <w:r>
            <w:rPr>
              <w:rFonts w:ascii="宋体" w:hAnsi="宋体" w:eastAsia="宋体" w:cs="宋体"/>
              <w:spacing w:val="-5"/>
              <w:sz w:val="21"/>
              <w:szCs w:val="21"/>
            </w:rPr>
            <w:fldChar w:fldCharType="end"/>
          </w:r>
        </w:p>
        <w:p w14:paraId="69BA45B8">
          <w:pPr>
            <w:tabs>
              <w:tab w:val="right" w:leader="dot" w:pos="8315"/>
            </w:tabs>
            <w:spacing w:before="61" w:line="221" w:lineRule="auto"/>
            <w:ind w:left="865"/>
            <w:rPr>
              <w:rFonts w:ascii="宋体" w:hAnsi="宋体" w:eastAsia="宋体" w:cs="宋体"/>
              <w:sz w:val="21"/>
              <w:szCs w:val="21"/>
            </w:rPr>
          </w:pPr>
          <w:r>
            <w:fldChar w:fldCharType="begin"/>
          </w:r>
          <w:r>
            <w:instrText xml:space="preserve"> HYPERLINK \l "bookmark408" </w:instrText>
          </w:r>
          <w:r>
            <w:fldChar w:fldCharType="separate"/>
          </w:r>
          <w:r>
            <w:rPr>
              <w:rFonts w:ascii="宋体" w:hAnsi="宋体" w:eastAsia="宋体" w:cs="宋体"/>
              <w:spacing w:val="-2"/>
              <w:sz w:val="21"/>
              <w:szCs w:val="21"/>
            </w:rPr>
            <w:t>2.承包范围</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13"/>
              <w:sz w:val="21"/>
              <w:szCs w:val="21"/>
            </w:rPr>
            <w:t xml:space="preserve"> </w:t>
          </w:r>
          <w:r>
            <w:rPr>
              <w:rFonts w:ascii="宋体" w:hAnsi="宋体" w:eastAsia="宋体" w:cs="宋体"/>
              <w:spacing w:val="-5"/>
              <w:sz w:val="21"/>
              <w:szCs w:val="21"/>
            </w:rPr>
            <w:t>199</w:t>
          </w:r>
          <w:r>
            <w:rPr>
              <w:rFonts w:ascii="宋体" w:hAnsi="宋体" w:eastAsia="宋体" w:cs="宋体"/>
              <w:spacing w:val="-5"/>
              <w:sz w:val="21"/>
              <w:szCs w:val="21"/>
            </w:rPr>
            <w:fldChar w:fldCharType="end"/>
          </w:r>
        </w:p>
        <w:p w14:paraId="6DFBE0AE">
          <w:pPr>
            <w:tabs>
              <w:tab w:val="right" w:leader="dot" w:pos="8315"/>
            </w:tabs>
            <w:spacing w:before="62" w:line="221" w:lineRule="auto"/>
            <w:ind w:left="866"/>
            <w:rPr>
              <w:rFonts w:ascii="宋体" w:hAnsi="宋体" w:eastAsia="宋体" w:cs="宋体"/>
              <w:sz w:val="21"/>
              <w:szCs w:val="21"/>
            </w:rPr>
          </w:pPr>
          <w:r>
            <w:fldChar w:fldCharType="begin"/>
          </w:r>
          <w:r>
            <w:instrText xml:space="preserve"> HYPERLINK \l "bookmark409" </w:instrText>
          </w:r>
          <w:r>
            <w:fldChar w:fldCharType="separate"/>
          </w:r>
          <w:r>
            <w:rPr>
              <w:rFonts w:ascii="宋体" w:hAnsi="宋体" w:eastAsia="宋体" w:cs="宋体"/>
              <w:spacing w:val="-2"/>
              <w:sz w:val="21"/>
              <w:szCs w:val="21"/>
            </w:rPr>
            <w:t>3.工期要求</w:t>
          </w:r>
          <w:r>
            <w:rPr>
              <w:rFonts w:ascii="宋体" w:hAnsi="宋体" w:eastAsia="宋体" w:cs="宋体"/>
              <w:spacing w:val="-87"/>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200</w:t>
          </w:r>
          <w:r>
            <w:rPr>
              <w:rFonts w:ascii="宋体" w:hAnsi="宋体" w:eastAsia="宋体" w:cs="宋体"/>
              <w:spacing w:val="-2"/>
              <w:sz w:val="21"/>
              <w:szCs w:val="21"/>
            </w:rPr>
            <w:fldChar w:fldCharType="end"/>
          </w:r>
        </w:p>
        <w:p w14:paraId="7E8625E0">
          <w:pPr>
            <w:tabs>
              <w:tab w:val="right" w:leader="dot" w:pos="8315"/>
            </w:tabs>
            <w:spacing w:before="60" w:line="221" w:lineRule="auto"/>
            <w:ind w:left="861"/>
            <w:rPr>
              <w:rFonts w:ascii="宋体" w:hAnsi="宋体" w:eastAsia="宋体" w:cs="宋体"/>
              <w:sz w:val="21"/>
              <w:szCs w:val="21"/>
            </w:rPr>
          </w:pPr>
          <w:r>
            <w:fldChar w:fldCharType="begin"/>
          </w:r>
          <w:r>
            <w:instrText xml:space="preserve"> HYPERLINK \l "bookmark410" </w:instrText>
          </w:r>
          <w:r>
            <w:fldChar w:fldCharType="separate"/>
          </w:r>
          <w:r>
            <w:rPr>
              <w:rFonts w:ascii="宋体" w:hAnsi="宋体" w:eastAsia="宋体" w:cs="宋体"/>
              <w:spacing w:val="-1"/>
              <w:sz w:val="21"/>
              <w:szCs w:val="21"/>
            </w:rPr>
            <w:t>4.质量要求</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200</w:t>
          </w:r>
          <w:r>
            <w:rPr>
              <w:rFonts w:ascii="宋体" w:hAnsi="宋体" w:eastAsia="宋体" w:cs="宋体"/>
              <w:spacing w:val="-2"/>
              <w:sz w:val="21"/>
              <w:szCs w:val="21"/>
            </w:rPr>
            <w:fldChar w:fldCharType="end"/>
          </w:r>
        </w:p>
        <w:p w14:paraId="40E7BFA6">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"bookmark411" </w:instrText>
          </w:r>
          <w:r>
            <w:fldChar w:fldCharType="separate"/>
          </w:r>
          <w:r>
            <w:rPr>
              <w:rFonts w:ascii="宋体" w:hAnsi="宋体" w:eastAsia="宋体" w:cs="宋体"/>
              <w:spacing w:val="-2"/>
              <w:sz w:val="21"/>
              <w:szCs w:val="21"/>
            </w:rPr>
            <w:t>5.适用规范和标准</w:t>
          </w:r>
          <w:r>
            <w:rPr>
              <w:rFonts w:ascii="宋体" w:hAnsi="宋体" w:eastAsia="宋体" w:cs="宋体"/>
              <w:spacing w:val="-77"/>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200</w:t>
          </w:r>
          <w:r>
            <w:rPr>
              <w:rFonts w:ascii="宋体" w:hAnsi="宋体" w:eastAsia="宋体" w:cs="宋体"/>
              <w:spacing w:val="-2"/>
              <w:sz w:val="21"/>
              <w:szCs w:val="21"/>
            </w:rPr>
            <w:fldChar w:fldCharType="end"/>
          </w:r>
        </w:p>
        <w:p w14:paraId="665ABB41">
          <w:pPr>
            <w:tabs>
              <w:tab w:val="right" w:leader="dot" w:pos="8315"/>
            </w:tabs>
            <w:spacing w:before="60" w:line="221" w:lineRule="auto"/>
            <w:ind w:left="864"/>
            <w:rPr>
              <w:rFonts w:ascii="宋体" w:hAnsi="宋体" w:eastAsia="宋体" w:cs="宋体"/>
              <w:sz w:val="21"/>
              <w:szCs w:val="21"/>
            </w:rPr>
          </w:pPr>
          <w:r>
            <w:fldChar w:fldCharType="begin"/>
          </w:r>
          <w:r>
            <w:instrText xml:space="preserve"> HYPERLINK \l "bookmark412" </w:instrText>
          </w:r>
          <w:r>
            <w:fldChar w:fldCharType="separate"/>
          </w:r>
          <w:r>
            <w:rPr>
              <w:rFonts w:ascii="宋体" w:hAnsi="宋体" w:eastAsia="宋体" w:cs="宋体"/>
              <w:spacing w:val="-1"/>
              <w:sz w:val="21"/>
              <w:szCs w:val="21"/>
            </w:rPr>
            <w:t>6.安全文明施工</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201</w:t>
          </w:r>
          <w:r>
            <w:rPr>
              <w:rFonts w:ascii="宋体" w:hAnsi="宋体" w:eastAsia="宋体" w:cs="宋体"/>
              <w:spacing w:val="-2"/>
              <w:sz w:val="21"/>
              <w:szCs w:val="21"/>
            </w:rPr>
            <w:fldChar w:fldCharType="end"/>
          </w:r>
        </w:p>
        <w:p w14:paraId="671F65BC">
          <w:pPr>
            <w:tabs>
              <w:tab w:val="right" w:leader="dot" w:pos="8315"/>
            </w:tabs>
            <w:spacing w:before="61" w:line="221" w:lineRule="auto"/>
            <w:ind w:left="867"/>
            <w:rPr>
              <w:rFonts w:ascii="宋体" w:hAnsi="宋体" w:eastAsia="宋体" w:cs="宋体"/>
              <w:sz w:val="21"/>
              <w:szCs w:val="21"/>
            </w:rPr>
          </w:pPr>
          <w:r>
            <w:fldChar w:fldCharType="begin"/>
          </w:r>
          <w:r>
            <w:instrText xml:space="preserve"> HYPERLINK \l "bookmark413" </w:instrText>
          </w:r>
          <w:r>
            <w:fldChar w:fldCharType="separate"/>
          </w:r>
          <w:r>
            <w:rPr>
              <w:rFonts w:ascii="宋体" w:hAnsi="宋体" w:eastAsia="宋体" w:cs="宋体"/>
              <w:spacing w:val="-2"/>
              <w:sz w:val="21"/>
              <w:szCs w:val="21"/>
            </w:rPr>
            <w:t>7.治安保卫</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209</w:t>
          </w:r>
          <w:r>
            <w:rPr>
              <w:rFonts w:ascii="宋体" w:hAnsi="宋体" w:eastAsia="宋体" w:cs="宋体"/>
              <w:spacing w:val="-2"/>
              <w:sz w:val="21"/>
              <w:szCs w:val="21"/>
            </w:rPr>
            <w:fldChar w:fldCharType="end"/>
          </w:r>
        </w:p>
        <w:p w14:paraId="04063797">
          <w:pPr>
            <w:tabs>
              <w:tab w:val="right" w:leader="dot" w:pos="8315"/>
            </w:tabs>
            <w:spacing w:before="60" w:line="221" w:lineRule="auto"/>
            <w:ind w:left="863"/>
            <w:rPr>
              <w:rFonts w:ascii="宋体" w:hAnsi="宋体" w:eastAsia="宋体" w:cs="宋体"/>
              <w:sz w:val="21"/>
              <w:szCs w:val="21"/>
            </w:rPr>
          </w:pPr>
          <w:r>
            <w:fldChar w:fldCharType="begin"/>
          </w:r>
          <w:r>
            <w:instrText xml:space="preserve"> HYPERLINK \l "bookmark414" </w:instrText>
          </w:r>
          <w:r>
            <w:fldChar w:fldCharType="separate"/>
          </w:r>
          <w:r>
            <w:rPr>
              <w:rFonts w:ascii="宋体" w:hAnsi="宋体" w:eastAsia="宋体" w:cs="宋体"/>
              <w:spacing w:val="-1"/>
              <w:sz w:val="21"/>
              <w:szCs w:val="21"/>
            </w:rPr>
            <w:t>8.地上、地下设施和周边建筑物的临时保护</w:t>
          </w:r>
          <w:r>
            <w:rPr>
              <w:rFonts w:ascii="宋体" w:hAnsi="宋体" w:eastAsia="宋体" w:cs="宋体"/>
              <w:spacing w:val="-5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209</w:t>
          </w:r>
          <w:r>
            <w:rPr>
              <w:rFonts w:ascii="宋体" w:hAnsi="宋体" w:eastAsia="宋体" w:cs="宋体"/>
              <w:spacing w:val="-2"/>
              <w:sz w:val="21"/>
              <w:szCs w:val="21"/>
            </w:rPr>
            <w:fldChar w:fldCharType="end"/>
          </w:r>
        </w:p>
        <w:p w14:paraId="0F07EC79">
          <w:pPr>
            <w:tabs>
              <w:tab w:val="right" w:leader="dot" w:pos="8315"/>
            </w:tabs>
            <w:spacing w:before="61" w:line="220" w:lineRule="auto"/>
            <w:ind w:left="863"/>
            <w:rPr>
              <w:rFonts w:ascii="宋体" w:hAnsi="宋体" w:eastAsia="宋体" w:cs="宋体"/>
              <w:sz w:val="21"/>
              <w:szCs w:val="21"/>
            </w:rPr>
          </w:pPr>
          <w:r>
            <w:fldChar w:fldCharType="begin"/>
          </w:r>
          <w:r>
            <w:instrText xml:space="preserve"> HYPERLINK \l "bookmark415" </w:instrText>
          </w:r>
          <w:r>
            <w:fldChar w:fldCharType="separate"/>
          </w:r>
          <w:r>
            <w:rPr>
              <w:rFonts w:ascii="宋体" w:hAnsi="宋体" w:eastAsia="宋体" w:cs="宋体"/>
              <w:spacing w:val="-1"/>
              <w:sz w:val="21"/>
              <w:szCs w:val="21"/>
            </w:rPr>
            <w:t>9.样品和材料代换</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210</w:t>
          </w:r>
          <w:r>
            <w:rPr>
              <w:rFonts w:ascii="宋体" w:hAnsi="宋体" w:eastAsia="宋体" w:cs="宋体"/>
              <w:spacing w:val="-2"/>
              <w:sz w:val="21"/>
              <w:szCs w:val="21"/>
            </w:rPr>
            <w:fldChar w:fldCharType="end"/>
          </w:r>
        </w:p>
        <w:p w14:paraId="54C06CBE">
          <w:pPr>
            <w:tabs>
              <w:tab w:val="right" w:leader="dot" w:pos="8315"/>
            </w:tabs>
            <w:spacing w:before="62" w:line="220" w:lineRule="auto"/>
            <w:ind w:left="878"/>
            <w:rPr>
              <w:rFonts w:ascii="宋体" w:hAnsi="宋体" w:eastAsia="宋体" w:cs="宋体"/>
              <w:sz w:val="21"/>
              <w:szCs w:val="21"/>
            </w:rPr>
          </w:pPr>
          <w:r>
            <w:fldChar w:fldCharType="begin"/>
          </w:r>
          <w:r>
            <w:instrText xml:space="preserve"> HYPERLINK \l "bookmark416" </w:instrText>
          </w:r>
          <w:r>
            <w:fldChar w:fldCharType="separate"/>
          </w:r>
          <w:r>
            <w:rPr>
              <w:rFonts w:ascii="宋体" w:hAnsi="宋体" w:eastAsia="宋体" w:cs="宋体"/>
              <w:spacing w:val="-2"/>
              <w:sz w:val="21"/>
              <w:szCs w:val="21"/>
            </w:rPr>
            <w:t>10.进口材料和工程设备</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211</w:t>
          </w:r>
          <w:r>
            <w:rPr>
              <w:rFonts w:ascii="宋体" w:hAnsi="宋体" w:eastAsia="宋体" w:cs="宋体"/>
              <w:spacing w:val="-2"/>
              <w:sz w:val="21"/>
              <w:szCs w:val="21"/>
            </w:rPr>
            <w:fldChar w:fldCharType="end"/>
          </w:r>
        </w:p>
        <w:p w14:paraId="0E403953">
          <w:pPr>
            <w:tabs>
              <w:tab w:val="right" w:leader="dot" w:pos="8315"/>
            </w:tabs>
            <w:spacing w:before="62" w:line="219" w:lineRule="auto"/>
            <w:ind w:left="878"/>
            <w:rPr>
              <w:rFonts w:ascii="宋体" w:hAnsi="宋体" w:eastAsia="宋体" w:cs="宋体"/>
              <w:sz w:val="21"/>
              <w:szCs w:val="21"/>
            </w:rPr>
          </w:pPr>
          <w:r>
            <w:fldChar w:fldCharType="begin"/>
          </w:r>
          <w:r>
            <w:instrText xml:space="preserve"> HYPERLINK \l "bookmark417" </w:instrText>
          </w:r>
          <w:r>
            <w:fldChar w:fldCharType="separate"/>
          </w:r>
          <w:r>
            <w:rPr>
              <w:rFonts w:ascii="宋体" w:hAnsi="宋体" w:eastAsia="宋体" w:cs="宋体"/>
              <w:spacing w:val="-2"/>
              <w:sz w:val="21"/>
              <w:szCs w:val="21"/>
            </w:rPr>
            <w:t>11.进度报告和进度例会</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211</w:t>
          </w:r>
          <w:r>
            <w:rPr>
              <w:rFonts w:ascii="宋体" w:hAnsi="宋体" w:eastAsia="宋体" w:cs="宋体"/>
              <w:spacing w:val="-2"/>
              <w:sz w:val="21"/>
              <w:szCs w:val="21"/>
            </w:rPr>
            <w:fldChar w:fldCharType="end"/>
          </w:r>
        </w:p>
        <w:p w14:paraId="69EED395">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"bookmark418" </w:instrText>
          </w:r>
          <w:r>
            <w:fldChar w:fldCharType="separate"/>
          </w:r>
          <w:r>
            <w:rPr>
              <w:rFonts w:ascii="宋体" w:hAnsi="宋体" w:eastAsia="宋体" w:cs="宋体"/>
              <w:spacing w:val="-3"/>
              <w:sz w:val="21"/>
              <w:szCs w:val="21"/>
            </w:rPr>
            <w:t>12.试验和检验</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212</w:t>
          </w:r>
          <w:r>
            <w:rPr>
              <w:rFonts w:ascii="宋体" w:hAnsi="宋体" w:eastAsia="宋体" w:cs="宋体"/>
              <w:spacing w:val="-2"/>
              <w:sz w:val="21"/>
              <w:szCs w:val="21"/>
            </w:rPr>
            <w:fldChar w:fldCharType="end"/>
          </w:r>
        </w:p>
        <w:p w14:paraId="31A78A43">
          <w:pPr>
            <w:tabs>
              <w:tab w:val="right" w:leader="dot" w:pos="8315"/>
            </w:tabs>
            <w:spacing w:before="61" w:line="222" w:lineRule="auto"/>
            <w:ind w:left="878"/>
            <w:rPr>
              <w:rFonts w:ascii="宋体" w:hAnsi="宋体" w:eastAsia="宋体" w:cs="宋体"/>
              <w:sz w:val="21"/>
              <w:szCs w:val="21"/>
            </w:rPr>
          </w:pPr>
          <w:r>
            <w:fldChar w:fldCharType="begin"/>
          </w:r>
          <w:r>
            <w:instrText xml:space="preserve"> HYPERLINK \l "bookmark419" </w:instrText>
          </w:r>
          <w:r>
            <w:fldChar w:fldCharType="separate"/>
          </w:r>
          <w:r>
            <w:rPr>
              <w:rFonts w:ascii="宋体" w:hAnsi="宋体" w:eastAsia="宋体" w:cs="宋体"/>
              <w:spacing w:val="-4"/>
              <w:sz w:val="21"/>
              <w:szCs w:val="21"/>
            </w:rPr>
            <w:t>13.计日工</w:t>
          </w:r>
          <w:r>
            <w:rPr>
              <w:rFonts w:ascii="宋体" w:hAnsi="宋体" w:eastAsia="宋体" w:cs="宋体"/>
              <w:spacing w:val="-87"/>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213</w:t>
          </w:r>
          <w:r>
            <w:rPr>
              <w:rFonts w:ascii="宋体" w:hAnsi="宋体" w:eastAsia="宋体" w:cs="宋体"/>
              <w:spacing w:val="-2"/>
              <w:sz w:val="21"/>
              <w:szCs w:val="21"/>
            </w:rPr>
            <w:fldChar w:fldCharType="end"/>
          </w:r>
        </w:p>
        <w:p w14:paraId="7C898574">
          <w:pPr>
            <w:tabs>
              <w:tab w:val="right" w:leader="dot" w:pos="8315"/>
            </w:tabs>
            <w:spacing w:before="59" w:line="221" w:lineRule="auto"/>
            <w:ind w:left="878"/>
            <w:rPr>
              <w:rFonts w:ascii="宋体" w:hAnsi="宋体" w:eastAsia="宋体" w:cs="宋体"/>
              <w:sz w:val="21"/>
              <w:szCs w:val="21"/>
            </w:rPr>
          </w:pPr>
          <w:r>
            <w:fldChar w:fldCharType="begin"/>
          </w:r>
          <w:r>
            <w:instrText xml:space="preserve"> HYPERLINK \l "bookmark420" </w:instrText>
          </w:r>
          <w:r>
            <w:fldChar w:fldCharType="separate"/>
          </w:r>
          <w:r>
            <w:rPr>
              <w:rFonts w:ascii="宋体" w:hAnsi="宋体" w:eastAsia="宋体" w:cs="宋体"/>
              <w:spacing w:val="-3"/>
              <w:sz w:val="21"/>
              <w:szCs w:val="21"/>
            </w:rPr>
            <w:t>14.计量与支付</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214</w:t>
          </w:r>
          <w:r>
            <w:rPr>
              <w:rFonts w:ascii="宋体" w:hAnsi="宋体" w:eastAsia="宋体" w:cs="宋体"/>
              <w:spacing w:val="-2"/>
              <w:sz w:val="21"/>
              <w:szCs w:val="21"/>
            </w:rPr>
            <w:fldChar w:fldCharType="end"/>
          </w:r>
        </w:p>
        <w:p w14:paraId="284659B5">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"bookmark421" </w:instrText>
          </w:r>
          <w:r>
            <w:fldChar w:fldCharType="separate"/>
          </w:r>
          <w:r>
            <w:rPr>
              <w:rFonts w:ascii="宋体" w:hAnsi="宋体" w:eastAsia="宋体" w:cs="宋体"/>
              <w:spacing w:val="-2"/>
              <w:sz w:val="21"/>
              <w:szCs w:val="21"/>
            </w:rPr>
            <w:t>15.竣工验收和工程移交</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215</w:t>
          </w:r>
          <w:r>
            <w:rPr>
              <w:rFonts w:ascii="宋体" w:hAnsi="宋体" w:eastAsia="宋体" w:cs="宋体"/>
              <w:spacing w:val="-2"/>
              <w:sz w:val="21"/>
              <w:szCs w:val="21"/>
            </w:rPr>
            <w:fldChar w:fldCharType="end"/>
          </w:r>
        </w:p>
        <w:p w14:paraId="1C528D84">
          <w:pPr>
            <w:tabs>
              <w:tab w:val="right" w:leader="dot" w:pos="8315"/>
            </w:tabs>
            <w:spacing w:before="61" w:line="221" w:lineRule="auto"/>
            <w:ind w:left="878"/>
            <w:rPr>
              <w:rFonts w:ascii="宋体" w:hAnsi="宋体" w:eastAsia="宋体" w:cs="宋体"/>
              <w:sz w:val="21"/>
              <w:szCs w:val="21"/>
            </w:rPr>
          </w:pPr>
          <w:r>
            <w:fldChar w:fldCharType="begin"/>
          </w:r>
          <w:r>
            <w:instrText xml:space="preserve"> HYPERLINK \l "bookmark422" </w:instrText>
          </w:r>
          <w:r>
            <w:fldChar w:fldCharType="separate"/>
          </w:r>
          <w:r>
            <w:rPr>
              <w:rFonts w:ascii="宋体" w:hAnsi="宋体" w:eastAsia="宋体" w:cs="宋体"/>
              <w:spacing w:val="-4"/>
              <w:sz w:val="21"/>
              <w:szCs w:val="21"/>
            </w:rPr>
            <w:t>16.其他要求</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216</w:t>
          </w:r>
          <w:r>
            <w:rPr>
              <w:rFonts w:ascii="宋体" w:hAnsi="宋体" w:eastAsia="宋体" w:cs="宋体"/>
              <w:spacing w:val="-2"/>
              <w:sz w:val="21"/>
              <w:szCs w:val="21"/>
            </w:rPr>
            <w:fldChar w:fldCharType="end"/>
          </w:r>
        </w:p>
        <w:p w14:paraId="5C43D075">
          <w:pPr>
            <w:tabs>
              <w:tab w:val="right" w:leader="dot" w:pos="8315"/>
            </w:tabs>
            <w:spacing w:before="60" w:line="221" w:lineRule="auto"/>
            <w:ind w:left="442"/>
            <w:rPr>
              <w:rFonts w:ascii="宋体" w:hAnsi="宋体" w:eastAsia="宋体" w:cs="宋体"/>
              <w:sz w:val="21"/>
              <w:szCs w:val="21"/>
            </w:rPr>
          </w:pPr>
          <w:r>
            <w:fldChar w:fldCharType="begin"/>
          </w:r>
          <w:r>
            <w:instrText xml:space="preserve"> HYPERLINK \l "bookmark423" </w:instrText>
          </w:r>
          <w:r>
            <w:fldChar w:fldCharType="separate"/>
          </w:r>
          <w:r>
            <w:rPr>
              <w:rFonts w:ascii="宋体" w:hAnsi="宋体" w:eastAsia="宋体" w:cs="宋体"/>
              <w:spacing w:val="-1"/>
              <w:sz w:val="21"/>
              <w:szCs w:val="21"/>
            </w:rPr>
            <w:t>第二节  特殊技术标准和要求</w:t>
          </w:r>
          <w:r>
            <w:rPr>
              <w:rFonts w:ascii="宋体" w:hAnsi="宋体" w:eastAsia="宋体" w:cs="宋体"/>
              <w:spacing w:val="-73"/>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217</w:t>
          </w:r>
          <w:r>
            <w:rPr>
              <w:rFonts w:ascii="宋体" w:hAnsi="宋体" w:eastAsia="宋体" w:cs="宋体"/>
              <w:spacing w:val="-2"/>
              <w:sz w:val="21"/>
              <w:szCs w:val="21"/>
            </w:rPr>
            <w:fldChar w:fldCharType="end"/>
          </w:r>
        </w:p>
        <w:p w14:paraId="51C5053F">
          <w:pPr>
            <w:tabs>
              <w:tab w:val="right" w:leader="dot" w:pos="8315"/>
            </w:tabs>
            <w:spacing w:before="61" w:line="220" w:lineRule="auto"/>
            <w:ind w:left="878"/>
            <w:rPr>
              <w:rFonts w:ascii="宋体" w:hAnsi="宋体" w:eastAsia="宋体" w:cs="宋体"/>
              <w:sz w:val="21"/>
              <w:szCs w:val="21"/>
            </w:rPr>
          </w:pPr>
          <w:r>
            <w:fldChar w:fldCharType="begin"/>
          </w:r>
          <w:r>
            <w:instrText xml:space="preserve"> HYPERLINK \l "bookmark424" </w:instrText>
          </w:r>
          <w:r>
            <w:fldChar w:fldCharType="separate"/>
          </w:r>
          <w:r>
            <w:rPr>
              <w:rFonts w:ascii="宋体" w:hAnsi="宋体" w:eastAsia="宋体" w:cs="宋体"/>
              <w:spacing w:val="-2"/>
              <w:sz w:val="21"/>
              <w:szCs w:val="21"/>
            </w:rPr>
            <w:t>1．材料和工程设备技术要求</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217</w:t>
          </w:r>
          <w:r>
            <w:rPr>
              <w:rFonts w:ascii="宋体" w:hAnsi="宋体" w:eastAsia="宋体" w:cs="宋体"/>
              <w:spacing w:val="-2"/>
              <w:sz w:val="21"/>
              <w:szCs w:val="21"/>
            </w:rPr>
            <w:fldChar w:fldCharType="end"/>
          </w:r>
        </w:p>
        <w:p w14:paraId="7E745C8E">
          <w:pPr>
            <w:tabs>
              <w:tab w:val="right" w:leader="dot" w:pos="8315"/>
            </w:tabs>
            <w:spacing w:before="62" w:line="221" w:lineRule="auto"/>
            <w:ind w:left="865"/>
            <w:rPr>
              <w:rFonts w:ascii="宋体" w:hAnsi="宋体" w:eastAsia="宋体" w:cs="宋体"/>
              <w:sz w:val="21"/>
              <w:szCs w:val="21"/>
            </w:rPr>
          </w:pPr>
          <w:r>
            <w:fldChar w:fldCharType="begin"/>
          </w:r>
          <w:r>
            <w:instrText xml:space="preserve"> HYPERLINK \l "bookmark425" </w:instrText>
          </w:r>
          <w:r>
            <w:fldChar w:fldCharType="separate"/>
          </w:r>
          <w:r>
            <w:rPr>
              <w:rFonts w:ascii="宋体" w:hAnsi="宋体" w:eastAsia="宋体" w:cs="宋体"/>
              <w:spacing w:val="-2"/>
              <w:sz w:val="21"/>
              <w:szCs w:val="21"/>
            </w:rPr>
            <w:t>2．特殊技术要求</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217</w:t>
          </w:r>
          <w:r>
            <w:rPr>
              <w:rFonts w:ascii="宋体" w:hAnsi="宋体" w:eastAsia="宋体" w:cs="宋体"/>
              <w:spacing w:val="-2"/>
              <w:sz w:val="21"/>
              <w:szCs w:val="21"/>
            </w:rPr>
            <w:fldChar w:fldCharType="end"/>
          </w:r>
        </w:p>
        <w:p w14:paraId="0D85AFA9">
          <w:pPr>
            <w:tabs>
              <w:tab w:val="right" w:leader="dot" w:pos="8315"/>
            </w:tabs>
            <w:spacing w:before="61" w:line="220" w:lineRule="auto"/>
            <w:ind w:left="866"/>
            <w:rPr>
              <w:rFonts w:ascii="宋体" w:hAnsi="宋体" w:eastAsia="宋体" w:cs="宋体"/>
              <w:sz w:val="21"/>
              <w:szCs w:val="21"/>
            </w:rPr>
          </w:pPr>
          <w:r>
            <w:fldChar w:fldCharType="begin"/>
          </w:r>
          <w:r>
            <w:instrText xml:space="preserve"> HYPERLINK \l "bookmark426" </w:instrText>
          </w:r>
          <w:r>
            <w:fldChar w:fldCharType="separate"/>
          </w:r>
          <w:r>
            <w:rPr>
              <w:rFonts w:ascii="宋体" w:hAnsi="宋体" w:eastAsia="宋体" w:cs="宋体"/>
              <w:spacing w:val="-1"/>
              <w:sz w:val="21"/>
              <w:szCs w:val="21"/>
            </w:rPr>
            <w:t>3．新技术、新工艺和新材料</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217</w:t>
          </w:r>
          <w:r>
            <w:rPr>
              <w:rFonts w:ascii="宋体" w:hAnsi="宋体" w:eastAsia="宋体" w:cs="宋体"/>
              <w:spacing w:val="-2"/>
              <w:sz w:val="21"/>
              <w:szCs w:val="21"/>
            </w:rPr>
            <w:fldChar w:fldCharType="end"/>
          </w:r>
        </w:p>
        <w:p w14:paraId="1F49D85F">
          <w:pPr>
            <w:tabs>
              <w:tab w:val="right" w:leader="dot" w:pos="8315"/>
            </w:tabs>
            <w:spacing w:before="61" w:line="221" w:lineRule="auto"/>
            <w:ind w:left="861"/>
            <w:rPr>
              <w:rFonts w:ascii="宋体" w:hAnsi="宋体" w:eastAsia="宋体" w:cs="宋体"/>
              <w:sz w:val="21"/>
              <w:szCs w:val="21"/>
            </w:rPr>
          </w:pPr>
          <w:r>
            <w:fldChar w:fldCharType="begin"/>
          </w:r>
          <w:r>
            <w:instrText xml:space="preserve"> HYPERLINK \l "bookmark427" </w:instrText>
          </w:r>
          <w:r>
            <w:fldChar w:fldCharType="separate"/>
          </w:r>
          <w:r>
            <w:rPr>
              <w:rFonts w:ascii="宋体" w:hAnsi="宋体" w:eastAsia="宋体" w:cs="宋体"/>
              <w:spacing w:val="-1"/>
              <w:sz w:val="21"/>
              <w:szCs w:val="21"/>
            </w:rPr>
            <w:t>4．其他特殊技术标准和要求</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217</w:t>
          </w:r>
          <w:r>
            <w:rPr>
              <w:rFonts w:ascii="宋体" w:hAnsi="宋体" w:eastAsia="宋体" w:cs="宋体"/>
              <w:spacing w:val="-2"/>
              <w:sz w:val="21"/>
              <w:szCs w:val="21"/>
            </w:rPr>
            <w:fldChar w:fldCharType="end"/>
          </w:r>
        </w:p>
        <w:p w14:paraId="7482D60D">
          <w:pPr>
            <w:tabs>
              <w:tab w:val="right" w:leader="dot" w:pos="8315"/>
            </w:tabs>
            <w:spacing w:before="61" w:line="221" w:lineRule="auto"/>
            <w:ind w:left="442"/>
            <w:rPr>
              <w:rFonts w:ascii="宋体" w:hAnsi="宋体" w:eastAsia="宋体" w:cs="宋体"/>
              <w:sz w:val="21"/>
              <w:szCs w:val="21"/>
            </w:rPr>
          </w:pPr>
          <w:r>
            <w:fldChar w:fldCharType="begin"/>
          </w:r>
          <w:r>
            <w:instrText xml:space="preserve"> HYPERLINK \l "bookmark428" </w:instrText>
          </w:r>
          <w:r>
            <w:fldChar w:fldCharType="separate"/>
          </w:r>
          <w:r>
            <w:rPr>
              <w:rFonts w:ascii="宋体" w:hAnsi="宋体" w:eastAsia="宋体" w:cs="宋体"/>
              <w:sz w:val="21"/>
              <w:szCs w:val="21"/>
            </w:rPr>
            <w:t>第三节  适用的国家、行业以及地方规范、标</w:t>
          </w:r>
          <w:r>
            <w:rPr>
              <w:rFonts w:ascii="宋体" w:hAnsi="宋体" w:eastAsia="宋体" w:cs="宋体"/>
              <w:spacing w:val="-1"/>
              <w:sz w:val="21"/>
              <w:szCs w:val="21"/>
            </w:rPr>
            <w:t>准和规程</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218</w:t>
          </w:r>
          <w:r>
            <w:rPr>
              <w:rFonts w:ascii="宋体" w:hAnsi="宋体" w:eastAsia="宋体" w:cs="宋体"/>
              <w:spacing w:val="-2"/>
              <w:sz w:val="21"/>
              <w:szCs w:val="21"/>
            </w:rPr>
            <w:fldChar w:fldCharType="end"/>
          </w:r>
        </w:p>
        <w:p w14:paraId="27FC4E14">
          <w:pPr>
            <w:tabs>
              <w:tab w:val="right" w:leader="dot" w:pos="8312"/>
            </w:tabs>
            <w:spacing w:before="61" w:line="221" w:lineRule="auto"/>
            <w:ind w:left="22"/>
            <w:rPr>
              <w:rFonts w:ascii="宋体" w:hAnsi="宋体" w:eastAsia="宋体" w:cs="宋体"/>
              <w:sz w:val="21"/>
              <w:szCs w:val="21"/>
            </w:rPr>
          </w:pPr>
          <w:r>
            <w:fldChar w:fldCharType="begin"/>
          </w:r>
          <w:r>
            <w:instrText xml:space="preserve"> HYPERLINK \l "bookmark429" </w:instrText>
          </w:r>
          <w:r>
            <w:fldChar w:fldCharType="separate"/>
          </w:r>
          <w:r>
            <w:rPr>
              <w:rFonts w:ascii="宋体" w:hAnsi="宋体" w:eastAsia="宋体" w:cs="宋体"/>
              <w:b/>
              <w:bCs/>
              <w:spacing w:val="-4"/>
              <w:sz w:val="21"/>
              <w:szCs w:val="21"/>
            </w:rPr>
            <w:t>第四卷</w:t>
          </w:r>
          <w:r>
            <w:rPr>
              <w:rFonts w:ascii="宋体" w:hAnsi="宋体" w:eastAsia="宋体" w:cs="宋体"/>
              <w:spacing w:val="-4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0"/>
              <w:sz w:val="21"/>
              <w:szCs w:val="21"/>
            </w:rPr>
            <w:t xml:space="preserve"> </w:t>
          </w:r>
          <w:r>
            <w:rPr>
              <w:rFonts w:ascii="宋体" w:hAnsi="宋体" w:eastAsia="宋体" w:cs="宋体"/>
              <w:b/>
              <w:bCs/>
              <w:spacing w:val="-5"/>
              <w:sz w:val="21"/>
              <w:szCs w:val="21"/>
            </w:rPr>
            <w:t>220</w:t>
          </w:r>
          <w:r>
            <w:rPr>
              <w:rFonts w:ascii="宋体" w:hAnsi="宋体" w:eastAsia="宋体" w:cs="宋体"/>
              <w:b/>
              <w:bCs/>
              <w:spacing w:val="-5"/>
              <w:sz w:val="21"/>
              <w:szCs w:val="21"/>
            </w:rPr>
            <w:fldChar w:fldCharType="end"/>
          </w:r>
        </w:p>
        <w:p w14:paraId="76ECF058">
          <w:pPr>
            <w:tabs>
              <w:tab w:val="right" w:leader="dot" w:pos="8312"/>
            </w:tabs>
            <w:spacing w:before="61" w:line="220" w:lineRule="auto"/>
            <w:ind w:left="22"/>
            <w:rPr>
              <w:rFonts w:ascii="宋体" w:hAnsi="宋体" w:eastAsia="宋体" w:cs="宋体"/>
              <w:sz w:val="21"/>
              <w:szCs w:val="21"/>
            </w:rPr>
          </w:pPr>
          <w:r>
            <w:fldChar w:fldCharType="begin"/>
          </w:r>
          <w:r>
            <w:instrText xml:space="preserve"> HYPERLINK \l "bookmark430" </w:instrText>
          </w:r>
          <w:r>
            <w:fldChar w:fldCharType="separate"/>
          </w:r>
          <w:r>
            <w:rPr>
              <w:rFonts w:ascii="宋体" w:hAnsi="宋体" w:eastAsia="宋体" w:cs="宋体"/>
              <w:b/>
              <w:bCs/>
              <w:spacing w:val="-2"/>
              <w:sz w:val="21"/>
              <w:szCs w:val="21"/>
            </w:rPr>
            <w:t>第八章</w:t>
          </w:r>
          <w:r>
            <w:rPr>
              <w:rFonts w:ascii="宋体" w:hAnsi="宋体" w:eastAsia="宋体" w:cs="宋体"/>
              <w:spacing w:val="-2"/>
              <w:sz w:val="21"/>
              <w:szCs w:val="21"/>
            </w:rPr>
            <w:t xml:space="preserve">  </w:t>
          </w:r>
          <w:r>
            <w:rPr>
              <w:rFonts w:ascii="宋体" w:hAnsi="宋体" w:eastAsia="宋体" w:cs="宋体"/>
              <w:b/>
              <w:bCs/>
              <w:spacing w:val="-2"/>
              <w:sz w:val="21"/>
              <w:szCs w:val="21"/>
            </w:rPr>
            <w:t>投标文件格式</w:t>
          </w:r>
          <w:r>
            <w:rPr>
              <w:rFonts w:ascii="宋体" w:hAnsi="宋体" w:eastAsia="宋体" w:cs="宋体"/>
              <w:spacing w:val="-2"/>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ab/>
          </w:r>
          <w:r>
            <w:rPr>
              <w:rFonts w:ascii="宋体" w:hAnsi="宋体" w:eastAsia="宋体" w:cs="宋体"/>
              <w:spacing w:val="-30"/>
              <w:sz w:val="21"/>
              <w:szCs w:val="21"/>
            </w:rPr>
            <w:t xml:space="preserve"> </w:t>
          </w:r>
          <w:r>
            <w:rPr>
              <w:rFonts w:ascii="宋体" w:hAnsi="宋体" w:eastAsia="宋体" w:cs="宋体"/>
              <w:b/>
              <w:bCs/>
              <w:spacing w:val="-5"/>
              <w:sz w:val="21"/>
              <w:szCs w:val="21"/>
            </w:rPr>
            <w:t>221</w:t>
          </w:r>
          <w:r>
            <w:rPr>
              <w:rFonts w:ascii="宋体" w:hAnsi="宋体" w:eastAsia="宋体" w:cs="宋体"/>
              <w:b/>
              <w:bCs/>
              <w:spacing w:val="-5"/>
              <w:sz w:val="21"/>
              <w:szCs w:val="21"/>
            </w:rPr>
            <w:fldChar w:fldCharType="end"/>
          </w:r>
        </w:p>
        <w:p w14:paraId="35B6173B">
          <w:pPr>
            <w:tabs>
              <w:tab w:val="right" w:leader="dot" w:pos="8315"/>
            </w:tabs>
            <w:spacing w:before="61" w:line="223" w:lineRule="auto"/>
            <w:ind w:left="483"/>
            <w:rPr>
              <w:rFonts w:ascii="宋体" w:hAnsi="宋体" w:eastAsia="宋体" w:cs="宋体"/>
              <w:sz w:val="21"/>
              <w:szCs w:val="21"/>
            </w:rPr>
          </w:pPr>
          <w:r>
            <w:fldChar w:fldCharType="begin"/>
          </w:r>
          <w:r>
            <w:instrText xml:space="preserve"> HYPERLINK \l "bookmark431" </w:instrText>
          </w:r>
          <w:r>
            <w:fldChar w:fldCharType="separate"/>
          </w:r>
          <w:r>
            <w:rPr>
              <w:rFonts w:ascii="宋体" w:hAnsi="宋体" w:eastAsia="宋体" w:cs="宋体"/>
              <w:spacing w:val="-28"/>
              <w:sz w:val="21"/>
              <w:szCs w:val="21"/>
            </w:rPr>
            <w:t>目</w:t>
          </w:r>
          <w:r>
            <w:rPr>
              <w:rFonts w:ascii="宋体" w:hAnsi="宋体" w:eastAsia="宋体" w:cs="宋体"/>
              <w:spacing w:val="2"/>
              <w:sz w:val="21"/>
              <w:szCs w:val="21"/>
            </w:rPr>
            <w:t xml:space="preserve">    </w:t>
          </w:r>
          <w:r>
            <w:rPr>
              <w:rFonts w:ascii="宋体" w:hAnsi="宋体" w:eastAsia="宋体" w:cs="宋体"/>
              <w:spacing w:val="-28"/>
              <w:sz w:val="21"/>
              <w:szCs w:val="21"/>
            </w:rPr>
            <w:t>录</w:t>
          </w:r>
          <w:r>
            <w:rPr>
              <w:rFonts w:ascii="宋体" w:hAnsi="宋体" w:eastAsia="宋体" w:cs="宋体"/>
              <w:spacing w:val="-9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223</w:t>
          </w:r>
          <w:r>
            <w:rPr>
              <w:rFonts w:ascii="宋体" w:hAnsi="宋体" w:eastAsia="宋体" w:cs="宋体"/>
              <w:spacing w:val="-2"/>
              <w:sz w:val="21"/>
              <w:szCs w:val="21"/>
            </w:rPr>
            <w:fldChar w:fldCharType="end"/>
          </w:r>
        </w:p>
        <w:p w14:paraId="0AAE2756">
          <w:pPr>
            <w:tabs>
              <w:tab w:val="right" w:leader="dot" w:pos="8315"/>
            </w:tabs>
            <w:spacing w:before="59" w:line="220" w:lineRule="auto"/>
            <w:ind w:left="446"/>
            <w:rPr>
              <w:rFonts w:ascii="宋体" w:hAnsi="宋体" w:eastAsia="宋体" w:cs="宋体"/>
              <w:sz w:val="21"/>
              <w:szCs w:val="21"/>
            </w:rPr>
          </w:pPr>
          <w:r>
            <w:fldChar w:fldCharType="begin"/>
          </w:r>
          <w:r>
            <w:instrText xml:space="preserve"> HYPERLINK \l "bookmark432" </w:instrText>
          </w:r>
          <w:r>
            <w:fldChar w:fldCharType="separate"/>
          </w:r>
          <w:r>
            <w:rPr>
              <w:rFonts w:ascii="宋体" w:hAnsi="宋体" w:eastAsia="宋体" w:cs="宋体"/>
              <w:spacing w:val="-1"/>
              <w:sz w:val="21"/>
              <w:szCs w:val="21"/>
            </w:rPr>
            <w:t>一、投标函及投标函附录等</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224</w:t>
          </w:r>
          <w:r>
            <w:rPr>
              <w:rFonts w:ascii="宋体" w:hAnsi="宋体" w:eastAsia="宋体" w:cs="宋体"/>
              <w:spacing w:val="-2"/>
              <w:sz w:val="21"/>
              <w:szCs w:val="21"/>
            </w:rPr>
            <w:fldChar w:fldCharType="end"/>
          </w:r>
        </w:p>
        <w:p w14:paraId="241019B7">
          <w:pPr>
            <w:tabs>
              <w:tab w:val="right" w:leader="dot" w:pos="8315"/>
            </w:tabs>
            <w:spacing w:before="62" w:line="221" w:lineRule="auto"/>
            <w:ind w:left="868"/>
            <w:rPr>
              <w:rFonts w:ascii="宋体" w:hAnsi="宋体" w:eastAsia="宋体" w:cs="宋体"/>
              <w:sz w:val="21"/>
              <w:szCs w:val="21"/>
            </w:rPr>
          </w:pPr>
          <w:r>
            <w:fldChar w:fldCharType="begin"/>
          </w:r>
          <w:r>
            <w:instrText xml:space="preserve"> HYPERLINK \l "bookmark433" </w:instrText>
          </w:r>
          <w:r>
            <w:fldChar w:fldCharType="separate"/>
          </w:r>
          <w:r>
            <w:rPr>
              <w:rFonts w:ascii="宋体" w:hAnsi="宋体" w:eastAsia="宋体" w:cs="宋体"/>
              <w:spacing w:val="-2"/>
              <w:sz w:val="21"/>
              <w:szCs w:val="21"/>
            </w:rPr>
            <w:t>（一）投标函</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224</w:t>
          </w:r>
          <w:r>
            <w:rPr>
              <w:rFonts w:ascii="宋体" w:hAnsi="宋体" w:eastAsia="宋体" w:cs="宋体"/>
              <w:spacing w:val="-2"/>
              <w:sz w:val="21"/>
              <w:szCs w:val="21"/>
            </w:rPr>
            <w:fldChar w:fldCharType="end"/>
          </w:r>
        </w:p>
        <w:p w14:paraId="7B0FB2B9">
          <w:pPr>
            <w:tabs>
              <w:tab w:val="right" w:leader="dot" w:pos="8315"/>
            </w:tabs>
            <w:spacing w:before="60" w:line="220" w:lineRule="auto"/>
            <w:ind w:left="868"/>
            <w:rPr>
              <w:rFonts w:ascii="宋体" w:hAnsi="宋体" w:eastAsia="宋体" w:cs="宋体"/>
              <w:sz w:val="21"/>
              <w:szCs w:val="21"/>
            </w:rPr>
          </w:pPr>
          <w:r>
            <w:fldChar w:fldCharType="begin"/>
          </w:r>
          <w:r>
            <w:instrText xml:space="preserve"> HYPERLINK \l "bookmark434" </w:instrText>
          </w:r>
          <w:r>
            <w:fldChar w:fldCharType="separate"/>
          </w:r>
          <w:r>
            <w:rPr>
              <w:rFonts w:ascii="宋体" w:hAnsi="宋体" w:eastAsia="宋体" w:cs="宋体"/>
              <w:spacing w:val="-2"/>
              <w:sz w:val="21"/>
              <w:szCs w:val="21"/>
            </w:rPr>
            <w:t>（二）投标函附录</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225</w:t>
          </w:r>
          <w:r>
            <w:rPr>
              <w:rFonts w:ascii="宋体" w:hAnsi="宋体" w:eastAsia="宋体" w:cs="宋体"/>
              <w:spacing w:val="-2"/>
              <w:sz w:val="21"/>
              <w:szCs w:val="21"/>
            </w:rPr>
            <w:fldChar w:fldCharType="end"/>
          </w:r>
        </w:p>
        <w:p w14:paraId="1A00B694">
          <w:pPr>
            <w:tabs>
              <w:tab w:val="right" w:leader="dot" w:pos="8315"/>
            </w:tabs>
            <w:spacing w:before="62" w:line="219" w:lineRule="auto"/>
            <w:ind w:left="868"/>
            <w:rPr>
              <w:rFonts w:ascii="宋体" w:hAnsi="宋体" w:eastAsia="宋体" w:cs="宋体"/>
              <w:sz w:val="21"/>
              <w:szCs w:val="21"/>
            </w:rPr>
          </w:pPr>
          <w:r>
            <w:fldChar w:fldCharType="begin"/>
          </w:r>
          <w:r>
            <w:instrText xml:space="preserve"> HYPERLINK \l "bookmark435" </w:instrText>
          </w:r>
          <w:r>
            <w:fldChar w:fldCharType="separate"/>
          </w:r>
          <w:r>
            <w:rPr>
              <w:rFonts w:ascii="宋体" w:hAnsi="宋体" w:eastAsia="宋体" w:cs="宋体"/>
              <w:spacing w:val="-2"/>
              <w:sz w:val="21"/>
              <w:szCs w:val="21"/>
            </w:rPr>
            <w:t>（三）告知承诺函</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226</w:t>
          </w:r>
          <w:r>
            <w:rPr>
              <w:rFonts w:ascii="宋体" w:hAnsi="宋体" w:eastAsia="宋体" w:cs="宋体"/>
              <w:spacing w:val="-2"/>
              <w:sz w:val="21"/>
              <w:szCs w:val="21"/>
            </w:rPr>
            <w:fldChar w:fldCharType="end"/>
          </w:r>
        </w:p>
        <w:p w14:paraId="331AA8A0">
          <w:pPr>
            <w:tabs>
              <w:tab w:val="right" w:leader="dot" w:pos="8315"/>
            </w:tabs>
            <w:spacing w:before="63" w:line="221" w:lineRule="auto"/>
            <w:ind w:left="868"/>
            <w:rPr>
              <w:rFonts w:ascii="宋体" w:hAnsi="宋体" w:eastAsia="宋体" w:cs="宋体"/>
              <w:sz w:val="21"/>
              <w:szCs w:val="21"/>
            </w:rPr>
          </w:pPr>
          <w:r>
            <w:fldChar w:fldCharType="begin"/>
          </w:r>
          <w:r>
            <w:instrText xml:space="preserve"> HYPERLINK \l "bookmark436" </w:instrText>
          </w:r>
          <w:r>
            <w:fldChar w:fldCharType="separate"/>
          </w:r>
          <w:r>
            <w:rPr>
              <w:rFonts w:ascii="宋体" w:hAnsi="宋体" w:eastAsia="宋体" w:cs="宋体"/>
              <w:spacing w:val="-2"/>
              <w:sz w:val="21"/>
              <w:szCs w:val="21"/>
            </w:rPr>
            <w:t>（四）声明函</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227</w:t>
          </w:r>
          <w:r>
            <w:rPr>
              <w:rFonts w:ascii="宋体" w:hAnsi="宋体" w:eastAsia="宋体" w:cs="宋体"/>
              <w:spacing w:val="-2"/>
              <w:sz w:val="21"/>
              <w:szCs w:val="21"/>
            </w:rPr>
            <w:fldChar w:fldCharType="end"/>
          </w:r>
        </w:p>
        <w:p w14:paraId="225FB14D">
          <w:pPr>
            <w:tabs>
              <w:tab w:val="right" w:leader="dot" w:pos="8315"/>
            </w:tabs>
            <w:spacing w:before="60" w:line="221" w:lineRule="auto"/>
            <w:ind w:left="446"/>
            <w:rPr>
              <w:rFonts w:ascii="宋体" w:hAnsi="宋体" w:eastAsia="宋体" w:cs="宋体"/>
              <w:sz w:val="21"/>
              <w:szCs w:val="21"/>
            </w:rPr>
          </w:pPr>
          <w:r>
            <w:fldChar w:fldCharType="begin"/>
          </w:r>
          <w:r>
            <w:instrText xml:space="preserve"> HYPERLINK \l "bookmark437" </w:instrText>
          </w:r>
          <w:r>
            <w:fldChar w:fldCharType="separate"/>
          </w:r>
          <w:r>
            <w:rPr>
              <w:rFonts w:ascii="宋体" w:hAnsi="宋体" w:eastAsia="宋体" w:cs="宋体"/>
              <w:spacing w:val="-1"/>
              <w:sz w:val="21"/>
              <w:szCs w:val="21"/>
            </w:rPr>
            <w:t>二、法定代表人身份证明</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228</w:t>
          </w:r>
          <w:r>
            <w:rPr>
              <w:rFonts w:ascii="宋体" w:hAnsi="宋体" w:eastAsia="宋体" w:cs="宋体"/>
              <w:spacing w:val="-2"/>
              <w:sz w:val="21"/>
              <w:szCs w:val="21"/>
            </w:rPr>
            <w:fldChar w:fldCharType="end"/>
          </w:r>
        </w:p>
      </w:sdtContent>
    </w:sdt>
    <w:p w14:paraId="4852273A">
      <w:pPr>
        <w:spacing w:line="221" w:lineRule="auto"/>
        <w:rPr>
          <w:rFonts w:ascii="宋体" w:hAnsi="宋体" w:eastAsia="宋体" w:cs="宋体"/>
          <w:sz w:val="21"/>
          <w:szCs w:val="21"/>
        </w:rPr>
        <w:sectPr>
          <w:footerReference r:id="rId15" w:type="default"/>
          <w:pgSz w:w="11905" w:h="16843"/>
          <w:pgMar w:top="969" w:right="1355" w:bottom="1026" w:left="1480" w:header="0" w:footer="754" w:gutter="0"/>
          <w:cols w:space="0" w:num="1"/>
          <w:rtlGutter w:val="0"/>
          <w:docGrid w:linePitch="0" w:charSpace="0"/>
        </w:sectPr>
      </w:pPr>
    </w:p>
    <w:sdt>
      <w:sdtPr>
        <w:rPr>
          <w:rFonts w:ascii="宋体" w:hAnsi="宋体" w:eastAsia="宋体" w:cs="宋体"/>
          <w:sz w:val="21"/>
          <w:szCs w:val="21"/>
        </w:rPr>
        <w:id w:val="147459924"/>
        <w:docPartObj>
          <w:docPartGallery w:val="Table of Contents"/>
          <w:docPartUnique/>
        </w:docPartObj>
      </w:sdtPr>
      <w:sdtEndPr>
        <w:rPr>
          <w:rFonts w:ascii="宋体" w:hAnsi="宋体" w:eastAsia="宋体" w:cs="宋体"/>
          <w:sz w:val="21"/>
          <w:szCs w:val="21"/>
        </w:rPr>
      </w:sdtEndPr>
      <w:sdtContent>
        <w:p w14:paraId="75EC78F7">
          <w:pPr>
            <w:tabs>
              <w:tab w:val="right" w:leader="dot" w:pos="8315"/>
            </w:tabs>
            <w:spacing w:before="60" w:line="220" w:lineRule="auto"/>
            <w:ind w:left="446"/>
            <w:rPr>
              <w:rFonts w:ascii="宋体" w:hAnsi="宋体" w:eastAsia="宋体" w:cs="宋体"/>
              <w:sz w:val="21"/>
              <w:szCs w:val="21"/>
            </w:rPr>
          </w:pPr>
          <w:bookmarkStart w:id="4" w:name="bookmark438"/>
          <w:bookmarkEnd w:id="4"/>
          <w:r>
            <w:fldChar w:fldCharType="begin"/>
          </w:r>
          <w:r>
            <w:instrText xml:space="preserve"> HYPERLINK \l "bookmark439" </w:instrText>
          </w:r>
          <w:r>
            <w:fldChar w:fldCharType="separate"/>
          </w:r>
          <w:r>
            <w:rPr>
              <w:rFonts w:ascii="宋体" w:hAnsi="宋体" w:eastAsia="宋体" w:cs="宋体"/>
              <w:spacing w:val="-2"/>
              <w:sz w:val="21"/>
              <w:szCs w:val="21"/>
            </w:rPr>
            <w:t>二、授权委托书</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229</w:t>
          </w:r>
          <w:r>
            <w:rPr>
              <w:rFonts w:ascii="宋体" w:hAnsi="宋体" w:eastAsia="宋体" w:cs="宋体"/>
              <w:spacing w:val="-2"/>
              <w:sz w:val="21"/>
              <w:szCs w:val="21"/>
            </w:rPr>
            <w:fldChar w:fldCharType="end"/>
          </w:r>
        </w:p>
        <w:p w14:paraId="181FACB0">
          <w:pPr>
            <w:tabs>
              <w:tab w:val="right" w:leader="dot" w:pos="8315"/>
            </w:tabs>
            <w:spacing w:before="62" w:line="221" w:lineRule="auto"/>
            <w:ind w:left="442"/>
            <w:rPr>
              <w:rFonts w:ascii="宋体" w:hAnsi="宋体" w:eastAsia="宋体" w:cs="宋体"/>
              <w:sz w:val="21"/>
              <w:szCs w:val="21"/>
            </w:rPr>
          </w:pPr>
          <w:r>
            <w:fldChar w:fldCharType="begin"/>
          </w:r>
          <w:r>
            <w:instrText xml:space="preserve"> HYPERLINK \l "bookmark440" </w:instrText>
          </w:r>
          <w:r>
            <w:fldChar w:fldCharType="separate"/>
          </w:r>
          <w:r>
            <w:rPr>
              <w:rFonts w:ascii="宋体" w:hAnsi="宋体" w:eastAsia="宋体" w:cs="宋体"/>
              <w:spacing w:val="-1"/>
              <w:sz w:val="21"/>
              <w:szCs w:val="21"/>
            </w:rPr>
            <w:t>三、投标保证金</w:t>
          </w:r>
          <w:r>
            <w:rPr>
              <w:rFonts w:ascii="宋体" w:hAnsi="宋体" w:eastAsia="宋体" w:cs="宋体"/>
              <w:spacing w:val="-8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230</w:t>
          </w:r>
          <w:r>
            <w:rPr>
              <w:rFonts w:ascii="宋体" w:hAnsi="宋体" w:eastAsia="宋体" w:cs="宋体"/>
              <w:spacing w:val="-2"/>
              <w:sz w:val="21"/>
              <w:szCs w:val="21"/>
            </w:rPr>
            <w:fldChar w:fldCharType="end"/>
          </w:r>
        </w:p>
        <w:p w14:paraId="598BD1B2">
          <w:pPr>
            <w:tabs>
              <w:tab w:val="right" w:leader="dot" w:pos="8315"/>
            </w:tabs>
            <w:spacing w:before="60" w:line="220" w:lineRule="auto"/>
            <w:ind w:left="462"/>
            <w:rPr>
              <w:rFonts w:ascii="宋体" w:hAnsi="宋体" w:eastAsia="宋体" w:cs="宋体"/>
              <w:sz w:val="21"/>
              <w:szCs w:val="21"/>
            </w:rPr>
          </w:pPr>
          <w:r>
            <w:fldChar w:fldCharType="begin"/>
          </w:r>
          <w:r>
            <w:instrText xml:space="preserve"> HYPERLINK \l "bookmark441" </w:instrText>
          </w:r>
          <w:r>
            <w:fldChar w:fldCharType="separate"/>
          </w:r>
          <w:r>
            <w:rPr>
              <w:rFonts w:ascii="宋体" w:hAnsi="宋体" w:eastAsia="宋体" w:cs="宋体"/>
              <w:spacing w:val="-4"/>
              <w:sz w:val="21"/>
              <w:szCs w:val="21"/>
            </w:rPr>
            <w:t>四、联合体协议书</w:t>
          </w:r>
          <w:r>
            <w:rPr>
              <w:rFonts w:ascii="宋体" w:hAnsi="宋体" w:eastAsia="宋体" w:cs="宋体"/>
              <w:spacing w:val="-8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231</w:t>
          </w:r>
          <w:r>
            <w:rPr>
              <w:rFonts w:ascii="宋体" w:hAnsi="宋体" w:eastAsia="宋体" w:cs="宋体"/>
              <w:spacing w:val="-2"/>
              <w:sz w:val="21"/>
              <w:szCs w:val="21"/>
            </w:rPr>
            <w:fldChar w:fldCharType="end"/>
          </w:r>
        </w:p>
        <w:p w14:paraId="4BE9C0AA">
          <w:pPr>
            <w:tabs>
              <w:tab w:val="right" w:leader="dot" w:pos="8315"/>
            </w:tabs>
            <w:spacing w:before="61" w:line="220" w:lineRule="auto"/>
            <w:ind w:left="446"/>
            <w:rPr>
              <w:rFonts w:ascii="宋体" w:hAnsi="宋体" w:eastAsia="宋体" w:cs="宋体"/>
              <w:sz w:val="21"/>
              <w:szCs w:val="21"/>
            </w:rPr>
          </w:pPr>
          <w:r>
            <w:fldChar w:fldCharType="begin"/>
          </w:r>
          <w:r>
            <w:instrText xml:space="preserve"> HYPERLINK \l "bookmark442" </w:instrText>
          </w:r>
          <w:r>
            <w:fldChar w:fldCharType="separate"/>
          </w:r>
          <w:r>
            <w:rPr>
              <w:rFonts w:ascii="宋体" w:hAnsi="宋体" w:eastAsia="宋体" w:cs="宋体"/>
              <w:spacing w:val="-2"/>
              <w:sz w:val="21"/>
              <w:szCs w:val="21"/>
            </w:rPr>
            <w:t>五、拟分包计划表</w:t>
          </w:r>
          <w:r>
            <w:rPr>
              <w:rFonts w:ascii="宋体" w:hAnsi="宋体" w:eastAsia="宋体" w:cs="宋体"/>
              <w:spacing w:val="-80"/>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233</w:t>
          </w:r>
          <w:r>
            <w:rPr>
              <w:rFonts w:ascii="宋体" w:hAnsi="宋体" w:eastAsia="宋体" w:cs="宋体"/>
              <w:spacing w:val="-2"/>
              <w:sz w:val="21"/>
              <w:szCs w:val="21"/>
            </w:rPr>
            <w:fldChar w:fldCharType="end"/>
          </w:r>
        </w:p>
        <w:p w14:paraId="3C9E0301">
          <w:pPr>
            <w:tabs>
              <w:tab w:val="right" w:leader="dot" w:pos="8315"/>
            </w:tabs>
            <w:spacing w:before="61" w:line="220" w:lineRule="auto"/>
            <w:ind w:left="444"/>
            <w:rPr>
              <w:rFonts w:ascii="宋体" w:hAnsi="宋体" w:eastAsia="宋体" w:cs="宋体"/>
              <w:sz w:val="21"/>
              <w:szCs w:val="21"/>
            </w:rPr>
          </w:pPr>
          <w:r>
            <w:fldChar w:fldCharType="begin"/>
          </w:r>
          <w:r>
            <w:instrText xml:space="preserve"> HYPERLINK \l "bookmark443" </w:instrText>
          </w:r>
          <w:r>
            <w:fldChar w:fldCharType="separate"/>
          </w:r>
          <w:r>
            <w:rPr>
              <w:rFonts w:ascii="宋体" w:hAnsi="宋体" w:eastAsia="宋体" w:cs="宋体"/>
              <w:spacing w:val="-1"/>
              <w:sz w:val="21"/>
              <w:szCs w:val="21"/>
            </w:rPr>
            <w:t>六、项目管理机构</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234</w:t>
          </w:r>
          <w:r>
            <w:rPr>
              <w:rFonts w:ascii="宋体" w:hAnsi="宋体" w:eastAsia="宋体" w:cs="宋体"/>
              <w:spacing w:val="-2"/>
              <w:sz w:val="21"/>
              <w:szCs w:val="21"/>
            </w:rPr>
            <w:fldChar w:fldCharType="end"/>
          </w:r>
        </w:p>
        <w:p w14:paraId="6DB352BF">
          <w:pPr>
            <w:tabs>
              <w:tab w:val="right" w:leader="dot" w:pos="8315"/>
            </w:tabs>
            <w:spacing w:before="61" w:line="220" w:lineRule="auto"/>
            <w:ind w:left="868"/>
            <w:rPr>
              <w:rFonts w:ascii="宋体" w:hAnsi="宋体" w:eastAsia="宋体" w:cs="宋体"/>
              <w:sz w:val="21"/>
              <w:szCs w:val="21"/>
            </w:rPr>
          </w:pPr>
          <w:r>
            <w:fldChar w:fldCharType="begin"/>
          </w:r>
          <w:r>
            <w:instrText xml:space="preserve"> HYPERLINK \l "bookmark444" </w:instrText>
          </w:r>
          <w:r>
            <w:fldChar w:fldCharType="separate"/>
          </w:r>
          <w:r>
            <w:rPr>
              <w:rFonts w:ascii="宋体" w:hAnsi="宋体" w:eastAsia="宋体" w:cs="宋体"/>
              <w:spacing w:val="-1"/>
              <w:sz w:val="21"/>
              <w:szCs w:val="21"/>
            </w:rPr>
            <w:t>（一）项目管理机构主要人员表</w:t>
          </w:r>
          <w:r>
            <w:rPr>
              <w:rFonts w:ascii="宋体" w:hAnsi="宋体" w:eastAsia="宋体" w:cs="宋体"/>
              <w:spacing w:val="-76"/>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234</w:t>
          </w:r>
          <w:r>
            <w:rPr>
              <w:rFonts w:ascii="宋体" w:hAnsi="宋体" w:eastAsia="宋体" w:cs="宋体"/>
              <w:spacing w:val="-2"/>
              <w:sz w:val="21"/>
              <w:szCs w:val="21"/>
            </w:rPr>
            <w:fldChar w:fldCharType="end"/>
          </w:r>
        </w:p>
        <w:p w14:paraId="782B6215">
          <w:pPr>
            <w:tabs>
              <w:tab w:val="right" w:leader="dot" w:pos="8315"/>
            </w:tabs>
            <w:spacing w:before="62" w:line="220" w:lineRule="auto"/>
            <w:ind w:left="868"/>
            <w:rPr>
              <w:rFonts w:ascii="宋体" w:hAnsi="宋体" w:eastAsia="宋体" w:cs="宋体"/>
              <w:sz w:val="21"/>
              <w:szCs w:val="21"/>
            </w:rPr>
          </w:pPr>
          <w:r>
            <w:fldChar w:fldCharType="begin"/>
          </w:r>
          <w:r>
            <w:instrText xml:space="preserve"> HYPERLINK \l "bookmark445" </w:instrText>
          </w:r>
          <w:r>
            <w:fldChar w:fldCharType="separate"/>
          </w:r>
          <w:r>
            <w:rPr>
              <w:rFonts w:ascii="宋体" w:hAnsi="宋体" w:eastAsia="宋体" w:cs="宋体"/>
              <w:spacing w:val="-2"/>
              <w:sz w:val="21"/>
              <w:szCs w:val="21"/>
            </w:rPr>
            <w:t>（二）项目经理简历表</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235</w:t>
          </w:r>
          <w:r>
            <w:rPr>
              <w:rFonts w:ascii="宋体" w:hAnsi="宋体" w:eastAsia="宋体" w:cs="宋体"/>
              <w:spacing w:val="-2"/>
              <w:sz w:val="21"/>
              <w:szCs w:val="21"/>
            </w:rPr>
            <w:fldChar w:fldCharType="end"/>
          </w:r>
        </w:p>
        <w:p w14:paraId="43CC09B9">
          <w:pPr>
            <w:tabs>
              <w:tab w:val="right" w:leader="dot" w:pos="8315"/>
            </w:tabs>
            <w:spacing w:before="62" w:line="220" w:lineRule="auto"/>
            <w:ind w:left="868"/>
            <w:rPr>
              <w:rFonts w:ascii="宋体" w:hAnsi="宋体" w:eastAsia="宋体" w:cs="宋体"/>
              <w:sz w:val="21"/>
              <w:szCs w:val="21"/>
            </w:rPr>
          </w:pPr>
          <w:r>
            <w:fldChar w:fldCharType="begin"/>
          </w:r>
          <w:r>
            <w:instrText xml:space="preserve"> HYPERLINK \l "bookmark446" </w:instrText>
          </w:r>
          <w:r>
            <w:fldChar w:fldCharType="separate"/>
          </w:r>
          <w:r>
            <w:rPr>
              <w:rFonts w:ascii="宋体" w:hAnsi="宋体" w:eastAsia="宋体" w:cs="宋体"/>
              <w:spacing w:val="-2"/>
              <w:sz w:val="21"/>
              <w:szCs w:val="21"/>
            </w:rPr>
            <w:t>（三）承诺书</w:t>
          </w:r>
          <w:r>
            <w:rPr>
              <w:rFonts w:ascii="宋体" w:hAnsi="宋体" w:eastAsia="宋体" w:cs="宋体"/>
              <w:spacing w:val="-86"/>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236</w:t>
          </w:r>
          <w:r>
            <w:rPr>
              <w:rFonts w:ascii="宋体" w:hAnsi="宋体" w:eastAsia="宋体" w:cs="宋体"/>
              <w:spacing w:val="-2"/>
              <w:sz w:val="21"/>
              <w:szCs w:val="21"/>
            </w:rPr>
            <w:fldChar w:fldCharType="end"/>
          </w:r>
        </w:p>
        <w:p w14:paraId="2A2525B3">
          <w:pPr>
            <w:tabs>
              <w:tab w:val="right" w:leader="dot" w:pos="8315"/>
            </w:tabs>
            <w:spacing w:before="62" w:line="220" w:lineRule="auto"/>
            <w:ind w:left="868"/>
            <w:rPr>
              <w:rFonts w:ascii="宋体" w:hAnsi="宋体" w:eastAsia="宋体" w:cs="宋体"/>
              <w:sz w:val="21"/>
              <w:szCs w:val="21"/>
            </w:rPr>
          </w:pPr>
          <w:r>
            <w:fldChar w:fldCharType="begin"/>
          </w:r>
          <w:r>
            <w:instrText xml:space="preserve"> HYPERLINK \l "bookmark447" </w:instrText>
          </w:r>
          <w:r>
            <w:fldChar w:fldCharType="separate"/>
          </w:r>
          <w:r>
            <w:rPr>
              <w:rFonts w:ascii="宋体" w:hAnsi="宋体" w:eastAsia="宋体" w:cs="宋体"/>
              <w:spacing w:val="-1"/>
              <w:sz w:val="21"/>
              <w:szCs w:val="21"/>
            </w:rPr>
            <w:t>（四）其他主要项目管理人员简历表</w:t>
          </w:r>
          <w:r>
            <w:rPr>
              <w:rFonts w:ascii="宋体" w:hAnsi="宋体" w:eastAsia="宋体" w:cs="宋体"/>
              <w:spacing w:val="-71"/>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237</w:t>
          </w:r>
          <w:r>
            <w:rPr>
              <w:rFonts w:ascii="宋体" w:hAnsi="宋体" w:eastAsia="宋体" w:cs="宋体"/>
              <w:spacing w:val="-2"/>
              <w:sz w:val="21"/>
              <w:szCs w:val="21"/>
            </w:rPr>
            <w:fldChar w:fldCharType="end"/>
          </w:r>
        </w:p>
        <w:p w14:paraId="4F8C67B9">
          <w:pPr>
            <w:tabs>
              <w:tab w:val="right" w:leader="dot" w:pos="8315"/>
            </w:tabs>
            <w:spacing w:before="61" w:line="221" w:lineRule="auto"/>
            <w:ind w:left="441"/>
            <w:rPr>
              <w:rFonts w:ascii="宋体" w:hAnsi="宋体" w:eastAsia="宋体" w:cs="宋体"/>
              <w:sz w:val="21"/>
              <w:szCs w:val="21"/>
            </w:rPr>
          </w:pPr>
          <w:r>
            <w:fldChar w:fldCharType="begin"/>
          </w:r>
          <w:r>
            <w:instrText xml:space="preserve"> HYPERLINK \l "bookmark448" </w:instrText>
          </w:r>
          <w:r>
            <w:fldChar w:fldCharType="separate"/>
          </w:r>
          <w:r>
            <w:rPr>
              <w:rFonts w:ascii="宋体" w:hAnsi="宋体" w:eastAsia="宋体" w:cs="宋体"/>
              <w:spacing w:val="-1"/>
              <w:sz w:val="21"/>
              <w:szCs w:val="21"/>
            </w:rPr>
            <w:t>七、资格审查资料</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238</w:t>
          </w:r>
          <w:r>
            <w:rPr>
              <w:rFonts w:ascii="宋体" w:hAnsi="宋体" w:eastAsia="宋体" w:cs="宋体"/>
              <w:spacing w:val="-2"/>
              <w:sz w:val="21"/>
              <w:szCs w:val="21"/>
            </w:rPr>
            <w:fldChar w:fldCharType="end"/>
          </w:r>
        </w:p>
        <w:p w14:paraId="13583A42">
          <w:pPr>
            <w:tabs>
              <w:tab w:val="right" w:leader="dot" w:pos="8315"/>
            </w:tabs>
            <w:spacing w:before="61" w:line="220" w:lineRule="auto"/>
            <w:ind w:left="868"/>
            <w:rPr>
              <w:rFonts w:ascii="宋体" w:hAnsi="宋体" w:eastAsia="宋体" w:cs="宋体"/>
              <w:sz w:val="21"/>
              <w:szCs w:val="21"/>
            </w:rPr>
          </w:pPr>
          <w:r>
            <w:fldChar w:fldCharType="begin"/>
          </w:r>
          <w:r>
            <w:instrText xml:space="preserve"> HYPERLINK \l "bookmark449" </w:instrText>
          </w:r>
          <w:r>
            <w:fldChar w:fldCharType="separate"/>
          </w:r>
          <w:r>
            <w:rPr>
              <w:rFonts w:ascii="宋体" w:hAnsi="宋体" w:eastAsia="宋体" w:cs="宋体"/>
              <w:spacing w:val="-2"/>
              <w:sz w:val="21"/>
              <w:szCs w:val="21"/>
            </w:rPr>
            <w:t>（一）投标人基本情况</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238</w:t>
          </w:r>
          <w:r>
            <w:rPr>
              <w:rFonts w:ascii="宋体" w:hAnsi="宋体" w:eastAsia="宋体" w:cs="宋体"/>
              <w:spacing w:val="-2"/>
              <w:sz w:val="21"/>
              <w:szCs w:val="21"/>
            </w:rPr>
            <w:fldChar w:fldCharType="end"/>
          </w:r>
        </w:p>
        <w:p w14:paraId="54425196">
          <w:pPr>
            <w:tabs>
              <w:tab w:val="right" w:leader="dot" w:pos="8315"/>
            </w:tabs>
            <w:spacing w:before="62" w:line="220" w:lineRule="auto"/>
            <w:ind w:left="878"/>
            <w:rPr>
              <w:rFonts w:ascii="宋体" w:hAnsi="宋体" w:eastAsia="宋体" w:cs="宋体"/>
              <w:sz w:val="21"/>
              <w:szCs w:val="21"/>
            </w:rPr>
          </w:pPr>
          <w:r>
            <w:fldChar w:fldCharType="begin"/>
          </w:r>
          <w:r>
            <w:instrText xml:space="preserve"> HYPERLINK \l "bookmark450" </w:instrText>
          </w:r>
          <w:r>
            <w:fldChar w:fldCharType="separate"/>
          </w:r>
          <w:r>
            <w:rPr>
              <w:rFonts w:ascii="宋体" w:hAnsi="宋体" w:eastAsia="宋体" w:cs="宋体"/>
              <w:spacing w:val="-3"/>
              <w:sz w:val="21"/>
              <w:szCs w:val="21"/>
            </w:rPr>
            <w:t>1-1</w:t>
          </w:r>
          <w:r>
            <w:rPr>
              <w:rFonts w:ascii="宋体" w:hAnsi="宋体" w:eastAsia="宋体" w:cs="宋体"/>
              <w:spacing w:val="-42"/>
              <w:sz w:val="21"/>
              <w:szCs w:val="21"/>
            </w:rPr>
            <w:t xml:space="preserve"> </w:t>
          </w:r>
          <w:r>
            <w:rPr>
              <w:rFonts w:ascii="宋体" w:hAnsi="宋体" w:eastAsia="宋体" w:cs="宋体"/>
              <w:spacing w:val="-3"/>
              <w:sz w:val="21"/>
              <w:szCs w:val="21"/>
            </w:rPr>
            <w:t>投标人基本情况表</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238</w:t>
          </w:r>
          <w:r>
            <w:rPr>
              <w:rFonts w:ascii="宋体" w:hAnsi="宋体" w:eastAsia="宋体" w:cs="宋体"/>
              <w:spacing w:val="-2"/>
              <w:sz w:val="21"/>
              <w:szCs w:val="21"/>
            </w:rPr>
            <w:fldChar w:fldCharType="end"/>
          </w:r>
        </w:p>
        <w:p w14:paraId="26DF3F93">
          <w:pPr>
            <w:tabs>
              <w:tab w:val="right" w:leader="dot" w:pos="8315"/>
            </w:tabs>
            <w:spacing w:before="62" w:line="221" w:lineRule="auto"/>
            <w:ind w:left="878"/>
            <w:rPr>
              <w:rFonts w:ascii="宋体" w:hAnsi="宋体" w:eastAsia="宋体" w:cs="宋体"/>
              <w:sz w:val="21"/>
              <w:szCs w:val="21"/>
            </w:rPr>
          </w:pPr>
          <w:r>
            <w:fldChar w:fldCharType="begin"/>
          </w:r>
          <w:r>
            <w:instrText xml:space="preserve"> HYPERLINK \l "bookmark451" </w:instrText>
          </w:r>
          <w:r>
            <w:fldChar w:fldCharType="separate"/>
          </w:r>
          <w:r>
            <w:rPr>
              <w:rFonts w:ascii="宋体" w:hAnsi="宋体" w:eastAsia="宋体" w:cs="宋体"/>
              <w:spacing w:val="-4"/>
              <w:sz w:val="21"/>
              <w:szCs w:val="21"/>
            </w:rPr>
            <w:t>1-2</w:t>
          </w:r>
          <w:r>
            <w:rPr>
              <w:rFonts w:ascii="宋体" w:hAnsi="宋体" w:eastAsia="宋体" w:cs="宋体"/>
              <w:spacing w:val="-31"/>
              <w:sz w:val="21"/>
              <w:szCs w:val="21"/>
            </w:rPr>
            <w:t xml:space="preserve"> </w:t>
          </w:r>
          <w:r>
            <w:rPr>
              <w:rFonts w:ascii="宋体" w:hAnsi="宋体" w:eastAsia="宋体" w:cs="宋体"/>
              <w:spacing w:val="-4"/>
              <w:sz w:val="21"/>
              <w:szCs w:val="21"/>
            </w:rPr>
            <w:t>关联单位情况说明</w:t>
          </w:r>
          <w:r>
            <w:rPr>
              <w:rFonts w:ascii="宋体" w:hAnsi="宋体" w:eastAsia="宋体" w:cs="宋体"/>
              <w:spacing w:val="-2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239</w:t>
          </w:r>
          <w:r>
            <w:rPr>
              <w:rFonts w:ascii="宋体" w:hAnsi="宋体" w:eastAsia="宋体" w:cs="宋体"/>
              <w:spacing w:val="-2"/>
              <w:sz w:val="21"/>
              <w:szCs w:val="21"/>
            </w:rPr>
            <w:fldChar w:fldCharType="end"/>
          </w:r>
        </w:p>
        <w:p w14:paraId="692832F5">
          <w:pPr>
            <w:tabs>
              <w:tab w:val="right" w:leader="dot" w:pos="8315"/>
            </w:tabs>
            <w:spacing w:before="61" w:line="220" w:lineRule="auto"/>
            <w:ind w:left="878"/>
            <w:rPr>
              <w:rFonts w:ascii="宋体" w:hAnsi="宋体" w:eastAsia="宋体" w:cs="宋体"/>
              <w:sz w:val="21"/>
              <w:szCs w:val="21"/>
            </w:rPr>
          </w:pPr>
          <w:r>
            <w:fldChar w:fldCharType="begin"/>
          </w:r>
          <w:r>
            <w:instrText xml:space="preserve"> HYPERLINK \l "bookmark452" </w:instrText>
          </w:r>
          <w:r>
            <w:fldChar w:fldCharType="separate"/>
          </w:r>
          <w:r>
            <w:rPr>
              <w:rFonts w:ascii="宋体" w:hAnsi="宋体" w:eastAsia="宋体" w:cs="宋体"/>
              <w:spacing w:val="-2"/>
              <w:sz w:val="21"/>
              <w:szCs w:val="21"/>
            </w:rPr>
            <w:t>1-3</w:t>
          </w:r>
          <w:r>
            <w:rPr>
              <w:rFonts w:ascii="宋体" w:hAnsi="宋体" w:eastAsia="宋体" w:cs="宋体"/>
              <w:spacing w:val="-39"/>
              <w:sz w:val="21"/>
              <w:szCs w:val="21"/>
            </w:rPr>
            <w:t xml:space="preserve"> </w:t>
          </w:r>
          <w:r>
            <w:rPr>
              <w:rFonts w:ascii="宋体" w:hAnsi="宋体" w:eastAsia="宋体" w:cs="宋体"/>
              <w:spacing w:val="-2"/>
              <w:sz w:val="21"/>
              <w:szCs w:val="21"/>
            </w:rPr>
            <w:t>项目管理机构主要人员及简历表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240</w:t>
          </w:r>
          <w:r>
            <w:rPr>
              <w:rFonts w:ascii="宋体" w:hAnsi="宋体" w:eastAsia="宋体" w:cs="宋体"/>
              <w:spacing w:val="-2"/>
              <w:sz w:val="21"/>
              <w:szCs w:val="21"/>
            </w:rPr>
            <w:fldChar w:fldCharType="end"/>
          </w:r>
        </w:p>
        <w:p w14:paraId="2434E393">
          <w:pPr>
            <w:tabs>
              <w:tab w:val="right" w:leader="dot" w:pos="8315"/>
            </w:tabs>
            <w:spacing w:before="62" w:line="220" w:lineRule="auto"/>
            <w:ind w:left="878"/>
            <w:rPr>
              <w:rFonts w:ascii="宋体" w:hAnsi="宋体" w:eastAsia="宋体" w:cs="宋体"/>
              <w:sz w:val="21"/>
              <w:szCs w:val="21"/>
            </w:rPr>
          </w:pPr>
          <w:r>
            <w:fldChar w:fldCharType="begin"/>
          </w:r>
          <w:r>
            <w:instrText xml:space="preserve"> HYPERLINK \l "bookmark453" </w:instrText>
          </w:r>
          <w:r>
            <w:fldChar w:fldCharType="separate"/>
          </w:r>
          <w:r>
            <w:rPr>
              <w:rFonts w:ascii="宋体" w:hAnsi="宋体" w:eastAsia="宋体" w:cs="宋体"/>
              <w:spacing w:val="-2"/>
              <w:sz w:val="21"/>
              <w:szCs w:val="21"/>
            </w:rPr>
            <w:t>1-4</w:t>
          </w:r>
          <w:r>
            <w:rPr>
              <w:rFonts w:ascii="宋体" w:hAnsi="宋体" w:eastAsia="宋体" w:cs="宋体"/>
              <w:spacing w:val="-39"/>
              <w:sz w:val="21"/>
              <w:szCs w:val="21"/>
            </w:rPr>
            <w:t xml:space="preserve"> </w:t>
          </w:r>
          <w:r>
            <w:rPr>
              <w:rFonts w:ascii="宋体" w:hAnsi="宋体" w:eastAsia="宋体" w:cs="宋体"/>
              <w:spacing w:val="-2"/>
              <w:sz w:val="21"/>
              <w:szCs w:val="21"/>
            </w:rPr>
            <w:t>拟投入主要施工机械设备情况表</w:t>
          </w:r>
          <w:r>
            <w:rPr>
              <w:rFonts w:ascii="宋体" w:hAnsi="宋体" w:eastAsia="宋体" w:cs="宋体"/>
              <w:spacing w:val="-2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241</w:t>
          </w:r>
          <w:r>
            <w:rPr>
              <w:rFonts w:ascii="宋体" w:hAnsi="宋体" w:eastAsia="宋体" w:cs="宋体"/>
              <w:spacing w:val="-2"/>
              <w:sz w:val="21"/>
              <w:szCs w:val="21"/>
            </w:rPr>
            <w:fldChar w:fldCharType="end"/>
          </w:r>
        </w:p>
        <w:p w14:paraId="7F7026BD">
          <w:pPr>
            <w:tabs>
              <w:tab w:val="right" w:leader="dot" w:pos="8315"/>
            </w:tabs>
            <w:spacing w:before="61" w:line="221" w:lineRule="auto"/>
            <w:ind w:left="868"/>
            <w:rPr>
              <w:rFonts w:ascii="宋体" w:hAnsi="宋体" w:eastAsia="宋体" w:cs="宋体"/>
              <w:sz w:val="21"/>
              <w:szCs w:val="21"/>
            </w:rPr>
          </w:pPr>
          <w:r>
            <w:fldChar w:fldCharType="begin"/>
          </w:r>
          <w:r>
            <w:instrText xml:space="preserve"> HYPERLINK \l "bookmark454" </w:instrText>
          </w:r>
          <w:r>
            <w:fldChar w:fldCharType="separate"/>
          </w:r>
          <w:r>
            <w:rPr>
              <w:rFonts w:ascii="宋体" w:hAnsi="宋体" w:eastAsia="宋体" w:cs="宋体"/>
              <w:spacing w:val="-2"/>
              <w:sz w:val="21"/>
              <w:szCs w:val="21"/>
            </w:rPr>
            <w:t>（二）近年财务状况</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242</w:t>
          </w:r>
          <w:r>
            <w:rPr>
              <w:rFonts w:ascii="宋体" w:hAnsi="宋体" w:eastAsia="宋体" w:cs="宋体"/>
              <w:spacing w:val="-2"/>
              <w:sz w:val="21"/>
              <w:szCs w:val="21"/>
            </w:rPr>
            <w:fldChar w:fldCharType="end"/>
          </w:r>
        </w:p>
        <w:p w14:paraId="55AE563C">
          <w:pPr>
            <w:tabs>
              <w:tab w:val="right" w:leader="dot" w:pos="8315"/>
            </w:tabs>
            <w:spacing w:before="61" w:line="221" w:lineRule="auto"/>
            <w:ind w:left="868"/>
            <w:rPr>
              <w:rFonts w:ascii="宋体" w:hAnsi="宋体" w:eastAsia="宋体" w:cs="宋体"/>
              <w:sz w:val="21"/>
              <w:szCs w:val="21"/>
            </w:rPr>
          </w:pPr>
          <w:r>
            <w:fldChar w:fldCharType="begin"/>
          </w:r>
          <w:r>
            <w:instrText xml:space="preserve"> HYPERLINK \l "bookmark455" </w:instrText>
          </w:r>
          <w:r>
            <w:fldChar w:fldCharType="separate"/>
          </w:r>
          <w:r>
            <w:rPr>
              <w:rFonts w:ascii="宋体" w:hAnsi="宋体" w:eastAsia="宋体" w:cs="宋体"/>
              <w:spacing w:val="-1"/>
              <w:sz w:val="21"/>
              <w:szCs w:val="21"/>
            </w:rPr>
            <w:t>（三）近年完成的类似项目情况表</w:t>
          </w:r>
          <w:r>
            <w:rPr>
              <w:rFonts w:ascii="宋体" w:hAnsi="宋体" w:eastAsia="宋体" w:cs="宋体"/>
              <w:spacing w:val="-74"/>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243</w:t>
          </w:r>
          <w:r>
            <w:rPr>
              <w:rFonts w:ascii="宋体" w:hAnsi="宋体" w:eastAsia="宋体" w:cs="宋体"/>
              <w:spacing w:val="-2"/>
              <w:sz w:val="21"/>
              <w:szCs w:val="21"/>
            </w:rPr>
            <w:fldChar w:fldCharType="end"/>
          </w:r>
        </w:p>
        <w:p w14:paraId="30E88E42">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"bookmark456" </w:instrText>
          </w:r>
          <w:r>
            <w:fldChar w:fldCharType="separate"/>
          </w:r>
          <w:r>
            <w:rPr>
              <w:rFonts w:ascii="宋体" w:hAnsi="宋体" w:eastAsia="宋体" w:cs="宋体"/>
              <w:spacing w:val="-1"/>
              <w:sz w:val="21"/>
              <w:szCs w:val="21"/>
            </w:rPr>
            <w:t>3-1 近年完成的类似项目汇总表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243</w:t>
          </w:r>
          <w:r>
            <w:rPr>
              <w:rFonts w:ascii="宋体" w:hAnsi="宋体" w:eastAsia="宋体" w:cs="宋体"/>
              <w:spacing w:val="-2"/>
              <w:sz w:val="21"/>
              <w:szCs w:val="21"/>
            </w:rPr>
            <w:fldChar w:fldCharType="end"/>
          </w:r>
        </w:p>
        <w:p w14:paraId="15B91724">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"bookmark457" </w:instrText>
          </w:r>
          <w:r>
            <w:fldChar w:fldCharType="separate"/>
          </w:r>
          <w:r>
            <w:rPr>
              <w:rFonts w:ascii="宋体" w:hAnsi="宋体" w:eastAsia="宋体" w:cs="宋体"/>
              <w:spacing w:val="-1"/>
              <w:sz w:val="21"/>
              <w:szCs w:val="21"/>
            </w:rPr>
            <w:t>3-2 近年完成的类似项目情况表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244</w:t>
          </w:r>
          <w:r>
            <w:rPr>
              <w:rFonts w:ascii="宋体" w:hAnsi="宋体" w:eastAsia="宋体" w:cs="宋体"/>
              <w:spacing w:val="-2"/>
              <w:sz w:val="21"/>
              <w:szCs w:val="21"/>
            </w:rPr>
            <w:fldChar w:fldCharType="end"/>
          </w:r>
        </w:p>
        <w:p w14:paraId="70784E21">
          <w:pPr>
            <w:tabs>
              <w:tab w:val="right" w:leader="dot" w:pos="8315"/>
            </w:tabs>
            <w:spacing w:before="60" w:line="221" w:lineRule="auto"/>
            <w:ind w:left="868"/>
            <w:rPr>
              <w:rFonts w:ascii="宋体" w:hAnsi="宋体" w:eastAsia="宋体" w:cs="宋体"/>
              <w:sz w:val="21"/>
              <w:szCs w:val="21"/>
            </w:rPr>
          </w:pPr>
          <w:r>
            <w:fldChar w:fldCharType="begin"/>
          </w:r>
          <w:r>
            <w:instrText xml:space="preserve"> HYPERLINK \l "bookmark458" </w:instrText>
          </w:r>
          <w:r>
            <w:fldChar w:fldCharType="separate"/>
          </w:r>
          <w:r>
            <w:rPr>
              <w:rFonts w:ascii="宋体" w:hAnsi="宋体" w:eastAsia="宋体" w:cs="宋体"/>
              <w:spacing w:val="-1"/>
              <w:sz w:val="21"/>
              <w:szCs w:val="21"/>
            </w:rPr>
            <w:t>（四）正在实施的和新承接的项目情况</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245</w:t>
          </w:r>
          <w:r>
            <w:rPr>
              <w:rFonts w:ascii="宋体" w:hAnsi="宋体" w:eastAsia="宋体" w:cs="宋体"/>
              <w:spacing w:val="-2"/>
              <w:sz w:val="21"/>
              <w:szCs w:val="21"/>
            </w:rPr>
            <w:fldChar w:fldCharType="end"/>
          </w:r>
        </w:p>
        <w:p w14:paraId="22F4AC9B">
          <w:pPr>
            <w:tabs>
              <w:tab w:val="right" w:leader="dot" w:pos="8315"/>
            </w:tabs>
            <w:spacing w:before="61" w:line="221" w:lineRule="auto"/>
            <w:ind w:left="861"/>
            <w:rPr>
              <w:rFonts w:ascii="宋体" w:hAnsi="宋体" w:eastAsia="宋体" w:cs="宋体"/>
              <w:sz w:val="21"/>
              <w:szCs w:val="21"/>
            </w:rPr>
          </w:pPr>
          <w:r>
            <w:fldChar w:fldCharType="begin"/>
          </w:r>
          <w:r>
            <w:instrText xml:space="preserve"> HYPERLINK \l "bookmark459" </w:instrText>
          </w:r>
          <w:r>
            <w:fldChar w:fldCharType="separate"/>
          </w:r>
          <w:r>
            <w:rPr>
              <w:rFonts w:ascii="宋体" w:hAnsi="宋体" w:eastAsia="宋体" w:cs="宋体"/>
              <w:spacing w:val="-1"/>
              <w:sz w:val="21"/>
              <w:szCs w:val="21"/>
            </w:rPr>
            <w:t>4-1 正在实施的和新承接的项目汇总表</w:t>
          </w:r>
          <w:r>
            <w:rPr>
              <w:rFonts w:ascii="宋体" w:hAnsi="宋体" w:eastAsia="宋体" w:cs="宋体"/>
              <w:spacing w:val="-6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245</w:t>
          </w:r>
          <w:r>
            <w:rPr>
              <w:rFonts w:ascii="宋体" w:hAnsi="宋体" w:eastAsia="宋体" w:cs="宋体"/>
              <w:spacing w:val="-2"/>
              <w:sz w:val="21"/>
              <w:szCs w:val="21"/>
            </w:rPr>
            <w:fldChar w:fldCharType="end"/>
          </w:r>
        </w:p>
        <w:p w14:paraId="6BD7B2AE">
          <w:pPr>
            <w:tabs>
              <w:tab w:val="right" w:leader="dot" w:pos="8315"/>
            </w:tabs>
            <w:spacing w:before="61" w:line="221" w:lineRule="auto"/>
            <w:ind w:left="861"/>
            <w:rPr>
              <w:rFonts w:ascii="宋体" w:hAnsi="宋体" w:eastAsia="宋体" w:cs="宋体"/>
              <w:sz w:val="21"/>
              <w:szCs w:val="21"/>
            </w:rPr>
          </w:pPr>
          <w:r>
            <w:fldChar w:fldCharType="begin"/>
          </w:r>
          <w:r>
            <w:instrText xml:space="preserve"> HYPERLINK \l "bookmark460" </w:instrText>
          </w:r>
          <w:r>
            <w:fldChar w:fldCharType="separate"/>
          </w:r>
          <w:r>
            <w:rPr>
              <w:rFonts w:ascii="宋体" w:hAnsi="宋体" w:eastAsia="宋体" w:cs="宋体"/>
              <w:spacing w:val="-1"/>
              <w:sz w:val="21"/>
              <w:szCs w:val="21"/>
            </w:rPr>
            <w:t>4-2 正在实施的和新承接的项目情况表</w:t>
          </w:r>
          <w:r>
            <w:rPr>
              <w:rFonts w:ascii="宋体" w:hAnsi="宋体" w:eastAsia="宋体" w:cs="宋体"/>
              <w:spacing w:val="-60"/>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246</w:t>
          </w:r>
          <w:r>
            <w:rPr>
              <w:rFonts w:ascii="宋体" w:hAnsi="宋体" w:eastAsia="宋体" w:cs="宋体"/>
              <w:spacing w:val="-2"/>
              <w:sz w:val="21"/>
              <w:szCs w:val="21"/>
            </w:rPr>
            <w:fldChar w:fldCharType="end"/>
          </w:r>
        </w:p>
        <w:p w14:paraId="02C5A118">
          <w:pPr>
            <w:tabs>
              <w:tab w:val="right" w:leader="dot" w:pos="8315"/>
            </w:tabs>
            <w:spacing w:before="61" w:line="220" w:lineRule="auto"/>
            <w:ind w:left="868"/>
            <w:rPr>
              <w:rFonts w:ascii="宋体" w:hAnsi="宋体" w:eastAsia="宋体" w:cs="宋体"/>
              <w:sz w:val="21"/>
              <w:szCs w:val="21"/>
            </w:rPr>
          </w:pPr>
          <w:r>
            <w:fldChar w:fldCharType="begin"/>
          </w:r>
          <w:r>
            <w:instrText xml:space="preserve"> HYPERLINK \l "bookmark461" </w:instrText>
          </w:r>
          <w:r>
            <w:fldChar w:fldCharType="separate"/>
          </w:r>
          <w:r>
            <w:rPr>
              <w:rFonts w:ascii="宋体" w:hAnsi="宋体" w:eastAsia="宋体" w:cs="宋体"/>
              <w:spacing w:val="-2"/>
              <w:sz w:val="21"/>
              <w:szCs w:val="21"/>
            </w:rPr>
            <w:t>（五）企业信誉情况</w:t>
          </w:r>
          <w:r>
            <w:rPr>
              <w:rFonts w:ascii="宋体" w:hAnsi="宋体" w:eastAsia="宋体" w:cs="宋体"/>
              <w:spacing w:val="-78"/>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247</w:t>
          </w:r>
          <w:r>
            <w:rPr>
              <w:rFonts w:ascii="宋体" w:hAnsi="宋体" w:eastAsia="宋体" w:cs="宋体"/>
              <w:spacing w:val="-2"/>
              <w:sz w:val="21"/>
              <w:szCs w:val="21"/>
            </w:rPr>
            <w:fldChar w:fldCharType="end"/>
          </w:r>
        </w:p>
        <w:p w14:paraId="795CD26A">
          <w:pPr>
            <w:tabs>
              <w:tab w:val="right" w:leader="dot" w:pos="8315"/>
            </w:tabs>
            <w:spacing w:before="62" w:line="220" w:lineRule="auto"/>
            <w:ind w:left="866"/>
            <w:rPr>
              <w:rFonts w:ascii="宋体" w:hAnsi="宋体" w:eastAsia="宋体" w:cs="宋体"/>
              <w:sz w:val="21"/>
              <w:szCs w:val="21"/>
            </w:rPr>
          </w:pPr>
          <w:r>
            <w:fldChar w:fldCharType="begin"/>
          </w:r>
          <w:r>
            <w:instrText xml:space="preserve"> HYPERLINK \l "bookmark462" </w:instrText>
          </w:r>
          <w:r>
            <w:fldChar w:fldCharType="separate"/>
          </w:r>
          <w:r>
            <w:rPr>
              <w:rFonts w:ascii="宋体" w:hAnsi="宋体" w:eastAsia="宋体" w:cs="宋体"/>
              <w:spacing w:val="-3"/>
              <w:sz w:val="21"/>
              <w:szCs w:val="21"/>
            </w:rPr>
            <w:t>5-1</w:t>
          </w:r>
          <w:r>
            <w:rPr>
              <w:rFonts w:ascii="宋体" w:hAnsi="宋体" w:eastAsia="宋体" w:cs="宋体"/>
              <w:spacing w:val="-37"/>
              <w:sz w:val="21"/>
              <w:szCs w:val="21"/>
            </w:rPr>
            <w:t xml:space="preserve"> </w:t>
          </w:r>
          <w:r>
            <w:rPr>
              <w:rFonts w:ascii="宋体" w:hAnsi="宋体" w:eastAsia="宋体" w:cs="宋体"/>
              <w:spacing w:val="-3"/>
              <w:sz w:val="21"/>
              <w:szCs w:val="21"/>
            </w:rPr>
            <w:t>企业信誉声明</w:t>
          </w:r>
          <w:r>
            <w:rPr>
              <w:rFonts w:ascii="宋体" w:hAnsi="宋体" w:eastAsia="宋体" w:cs="宋体"/>
              <w:spacing w:val="-31"/>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247</w:t>
          </w:r>
          <w:r>
            <w:rPr>
              <w:rFonts w:ascii="宋体" w:hAnsi="宋体" w:eastAsia="宋体" w:cs="宋体"/>
              <w:spacing w:val="-2"/>
              <w:sz w:val="21"/>
              <w:szCs w:val="21"/>
            </w:rPr>
            <w:fldChar w:fldCharType="end"/>
          </w:r>
        </w:p>
        <w:p w14:paraId="50527CDA">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"bookmark463" </w:instrText>
          </w:r>
          <w:r>
            <w:fldChar w:fldCharType="separate"/>
          </w:r>
          <w:r>
            <w:rPr>
              <w:rFonts w:ascii="宋体" w:hAnsi="宋体" w:eastAsia="宋体" w:cs="宋体"/>
              <w:spacing w:val="-1"/>
              <w:sz w:val="21"/>
              <w:szCs w:val="21"/>
            </w:rPr>
            <w:t>5-2 近年发生的诉讼和仲裁情况</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248</w:t>
          </w:r>
          <w:r>
            <w:rPr>
              <w:rFonts w:ascii="宋体" w:hAnsi="宋体" w:eastAsia="宋体" w:cs="宋体"/>
              <w:spacing w:val="-2"/>
              <w:sz w:val="21"/>
              <w:szCs w:val="21"/>
            </w:rPr>
            <w:fldChar w:fldCharType="end"/>
          </w:r>
        </w:p>
        <w:p w14:paraId="12615A31">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"bookmark464" </w:instrText>
          </w:r>
          <w:r>
            <w:fldChar w:fldCharType="separate"/>
          </w:r>
          <w:r>
            <w:rPr>
              <w:rFonts w:ascii="宋体" w:hAnsi="宋体" w:eastAsia="宋体" w:cs="宋体"/>
              <w:spacing w:val="-1"/>
              <w:sz w:val="21"/>
              <w:szCs w:val="21"/>
            </w:rPr>
            <w:t>5-3 近年投标人工程获奖情况表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249</w:t>
          </w:r>
          <w:r>
            <w:rPr>
              <w:rFonts w:ascii="宋体" w:hAnsi="宋体" w:eastAsia="宋体" w:cs="宋体"/>
              <w:spacing w:val="-2"/>
              <w:sz w:val="21"/>
              <w:szCs w:val="21"/>
            </w:rPr>
            <w:fldChar w:fldCharType="end"/>
          </w:r>
        </w:p>
        <w:p w14:paraId="4731596A">
          <w:pPr>
            <w:tabs>
              <w:tab w:val="right" w:leader="dot" w:pos="8315"/>
            </w:tabs>
            <w:spacing w:before="60" w:line="221" w:lineRule="auto"/>
            <w:ind w:left="866"/>
            <w:rPr>
              <w:rFonts w:ascii="宋体" w:hAnsi="宋体" w:eastAsia="宋体" w:cs="宋体"/>
              <w:sz w:val="21"/>
              <w:szCs w:val="21"/>
            </w:rPr>
          </w:pPr>
          <w:r>
            <w:fldChar w:fldCharType="begin"/>
          </w:r>
          <w:r>
            <w:instrText xml:space="preserve"> HYPERLINK \l "bookmark465" </w:instrText>
          </w:r>
          <w:r>
            <w:fldChar w:fldCharType="separate"/>
          </w:r>
          <w:r>
            <w:rPr>
              <w:rFonts w:ascii="宋体" w:hAnsi="宋体" w:eastAsia="宋体" w:cs="宋体"/>
              <w:spacing w:val="-1"/>
              <w:sz w:val="21"/>
              <w:szCs w:val="21"/>
            </w:rPr>
            <w:t>5-4 近年项目经理工程获奖情况表</w:t>
          </w:r>
          <w:r>
            <w:rPr>
              <w:rFonts w:ascii="宋体" w:hAnsi="宋体" w:eastAsia="宋体" w:cs="宋体"/>
              <w:spacing w:val="-69"/>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250</w:t>
          </w:r>
          <w:r>
            <w:rPr>
              <w:rFonts w:ascii="宋体" w:hAnsi="宋体" w:eastAsia="宋体" w:cs="宋体"/>
              <w:spacing w:val="-2"/>
              <w:sz w:val="21"/>
              <w:szCs w:val="21"/>
            </w:rPr>
            <w:fldChar w:fldCharType="end"/>
          </w:r>
        </w:p>
        <w:p w14:paraId="08F63C0B">
          <w:pPr>
            <w:tabs>
              <w:tab w:val="right" w:leader="dot" w:pos="8315"/>
            </w:tabs>
            <w:spacing w:before="61" w:line="221" w:lineRule="auto"/>
            <w:ind w:left="866"/>
            <w:rPr>
              <w:rFonts w:ascii="宋体" w:hAnsi="宋体" w:eastAsia="宋体" w:cs="宋体"/>
              <w:sz w:val="21"/>
              <w:szCs w:val="21"/>
            </w:rPr>
          </w:pPr>
          <w:r>
            <w:fldChar w:fldCharType="begin"/>
          </w:r>
          <w:r>
            <w:instrText xml:space="preserve"> HYPERLINK \l "bookmark466" </w:instrText>
          </w:r>
          <w:r>
            <w:fldChar w:fldCharType="separate"/>
          </w:r>
          <w:r>
            <w:rPr>
              <w:rFonts w:ascii="宋体" w:hAnsi="宋体" w:eastAsia="宋体" w:cs="宋体"/>
              <w:spacing w:val="-1"/>
              <w:sz w:val="21"/>
              <w:szCs w:val="21"/>
            </w:rPr>
            <w:t>5-5 近年项目经理获表彰情况表</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7"/>
              <w:sz w:val="21"/>
              <w:szCs w:val="21"/>
            </w:rPr>
            <w:t xml:space="preserve"> </w:t>
          </w:r>
          <w:r>
            <w:rPr>
              <w:rFonts w:ascii="宋体" w:hAnsi="宋体" w:eastAsia="宋体" w:cs="宋体"/>
              <w:spacing w:val="-2"/>
              <w:sz w:val="21"/>
              <w:szCs w:val="21"/>
            </w:rPr>
            <w:t>251</w:t>
          </w:r>
          <w:r>
            <w:rPr>
              <w:rFonts w:ascii="宋体" w:hAnsi="宋体" w:eastAsia="宋体" w:cs="宋体"/>
              <w:spacing w:val="-2"/>
              <w:sz w:val="21"/>
              <w:szCs w:val="21"/>
            </w:rPr>
            <w:fldChar w:fldCharType="end"/>
          </w:r>
        </w:p>
        <w:p w14:paraId="0DAEB1DF">
          <w:pPr>
            <w:tabs>
              <w:tab w:val="right" w:leader="dot" w:pos="8315"/>
            </w:tabs>
            <w:spacing w:before="61" w:line="219" w:lineRule="auto"/>
            <w:ind w:left="446"/>
            <w:rPr>
              <w:rFonts w:ascii="宋体" w:hAnsi="宋体" w:eastAsia="宋体" w:cs="宋体"/>
              <w:sz w:val="21"/>
              <w:szCs w:val="21"/>
            </w:rPr>
          </w:pPr>
          <w:r>
            <w:fldChar w:fldCharType="begin"/>
          </w:r>
          <w:r>
            <w:instrText xml:space="preserve"> HYPERLINK \l "bookmark467" </w:instrText>
          </w:r>
          <w:r>
            <w:fldChar w:fldCharType="separate"/>
          </w:r>
          <w:r>
            <w:rPr>
              <w:rFonts w:ascii="宋体" w:hAnsi="宋体" w:eastAsia="宋体" w:cs="宋体"/>
              <w:spacing w:val="-1"/>
              <w:sz w:val="21"/>
              <w:szCs w:val="21"/>
            </w:rPr>
            <w:t>八、已标价工程量清单</w:t>
          </w:r>
          <w:r>
            <w:rPr>
              <w:rFonts w:ascii="宋体" w:hAnsi="宋体" w:eastAsia="宋体" w:cs="宋体"/>
              <w:spacing w:val="-84"/>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252</w:t>
          </w:r>
          <w:r>
            <w:rPr>
              <w:rFonts w:ascii="宋体" w:hAnsi="宋体" w:eastAsia="宋体" w:cs="宋体"/>
              <w:spacing w:val="-2"/>
              <w:sz w:val="21"/>
              <w:szCs w:val="21"/>
            </w:rPr>
            <w:fldChar w:fldCharType="end"/>
          </w:r>
        </w:p>
        <w:p w14:paraId="3B7960D9">
          <w:pPr>
            <w:tabs>
              <w:tab w:val="right" w:leader="dot" w:pos="8315"/>
            </w:tabs>
            <w:spacing w:before="63" w:line="222" w:lineRule="auto"/>
            <w:ind w:left="447"/>
            <w:rPr>
              <w:rFonts w:ascii="宋体" w:hAnsi="宋体" w:eastAsia="宋体" w:cs="宋体"/>
              <w:sz w:val="21"/>
              <w:szCs w:val="21"/>
            </w:rPr>
          </w:pPr>
          <w:r>
            <w:fldChar w:fldCharType="begin"/>
          </w:r>
          <w:r>
            <w:instrText xml:space="preserve"> HYPERLINK \l "bookmark468" </w:instrText>
          </w:r>
          <w:r>
            <w:fldChar w:fldCharType="separate"/>
          </w:r>
          <w:r>
            <w:rPr>
              <w:rFonts w:ascii="宋体" w:hAnsi="宋体" w:eastAsia="宋体" w:cs="宋体"/>
              <w:spacing w:val="-2"/>
              <w:sz w:val="21"/>
              <w:szCs w:val="21"/>
            </w:rPr>
            <w:t>九、施工组织设计</w:t>
          </w:r>
          <w:r>
            <w:rPr>
              <w:rFonts w:ascii="宋体" w:hAnsi="宋体" w:eastAsia="宋体" w:cs="宋体"/>
              <w:spacing w:val="-82"/>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253</w:t>
          </w:r>
          <w:r>
            <w:rPr>
              <w:rFonts w:ascii="宋体" w:hAnsi="宋体" w:eastAsia="宋体" w:cs="宋体"/>
              <w:spacing w:val="-2"/>
              <w:sz w:val="21"/>
              <w:szCs w:val="21"/>
            </w:rPr>
            <w:fldChar w:fldCharType="end"/>
          </w:r>
        </w:p>
        <w:p w14:paraId="549C9B98">
          <w:pPr>
            <w:tabs>
              <w:tab w:val="right" w:leader="dot" w:pos="8315"/>
            </w:tabs>
            <w:spacing w:before="59" w:line="220" w:lineRule="auto"/>
            <w:ind w:left="879"/>
            <w:rPr>
              <w:rFonts w:ascii="宋体" w:hAnsi="宋体" w:eastAsia="宋体" w:cs="宋体"/>
              <w:sz w:val="21"/>
              <w:szCs w:val="21"/>
            </w:rPr>
          </w:pPr>
          <w:r>
            <w:fldChar w:fldCharType="begin"/>
          </w:r>
          <w:r>
            <w:instrText xml:space="preserve"> HYPERLINK \l "bookmark469" </w:instrText>
          </w:r>
          <w:r>
            <w:fldChar w:fldCharType="separate"/>
          </w:r>
          <w:r>
            <w:rPr>
              <w:rFonts w:ascii="宋体" w:hAnsi="宋体" w:eastAsia="宋体" w:cs="宋体"/>
              <w:spacing w:val="-2"/>
              <w:sz w:val="21"/>
              <w:szCs w:val="21"/>
            </w:rPr>
            <w:t>附表一：拟投入本工程的主要施工设备表</w:t>
          </w:r>
          <w:r>
            <w:rPr>
              <w:rFonts w:ascii="宋体" w:hAnsi="宋体" w:eastAsia="宋体" w:cs="宋体"/>
              <w:spacing w:val="-5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255</w:t>
          </w:r>
          <w:r>
            <w:rPr>
              <w:rFonts w:ascii="宋体" w:hAnsi="宋体" w:eastAsia="宋体" w:cs="宋体"/>
              <w:spacing w:val="-2"/>
              <w:sz w:val="21"/>
              <w:szCs w:val="21"/>
            </w:rPr>
            <w:fldChar w:fldCharType="end"/>
          </w:r>
        </w:p>
        <w:p w14:paraId="00A09CB7">
          <w:pPr>
            <w:tabs>
              <w:tab w:val="right" w:leader="dot" w:pos="8315"/>
            </w:tabs>
            <w:spacing w:before="63" w:line="220" w:lineRule="auto"/>
            <w:ind w:left="879"/>
            <w:rPr>
              <w:rFonts w:ascii="宋体" w:hAnsi="宋体" w:eastAsia="宋体" w:cs="宋体"/>
              <w:sz w:val="21"/>
              <w:szCs w:val="21"/>
            </w:rPr>
          </w:pPr>
          <w:r>
            <w:fldChar w:fldCharType="begin"/>
          </w:r>
          <w:r>
            <w:instrText xml:space="preserve"> HYPERLINK \l "bookmark470" </w:instrText>
          </w:r>
          <w:r>
            <w:fldChar w:fldCharType="separate"/>
          </w:r>
          <w:r>
            <w:rPr>
              <w:rFonts w:ascii="宋体" w:hAnsi="宋体" w:eastAsia="宋体" w:cs="宋体"/>
              <w:spacing w:val="-1"/>
              <w:sz w:val="21"/>
              <w:szCs w:val="21"/>
            </w:rPr>
            <w:t>附表二：拟配备本工程的试验和检测仪器设备表</w:t>
          </w:r>
          <w:r>
            <w:rPr>
              <w:rFonts w:ascii="宋体" w:hAnsi="宋体" w:eastAsia="宋体" w:cs="宋体"/>
              <w:spacing w:val="-70"/>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256</w:t>
          </w:r>
          <w:r>
            <w:rPr>
              <w:rFonts w:ascii="宋体" w:hAnsi="宋体" w:eastAsia="宋体" w:cs="宋体"/>
              <w:spacing w:val="-2"/>
              <w:sz w:val="21"/>
              <w:szCs w:val="21"/>
            </w:rPr>
            <w:fldChar w:fldCharType="end"/>
          </w:r>
        </w:p>
        <w:p w14:paraId="5148F86C">
          <w:pPr>
            <w:tabs>
              <w:tab w:val="right" w:leader="dot" w:pos="8315"/>
            </w:tabs>
            <w:spacing w:before="61" w:line="220" w:lineRule="auto"/>
            <w:ind w:left="879"/>
            <w:rPr>
              <w:rFonts w:ascii="宋体" w:hAnsi="宋体" w:eastAsia="宋体" w:cs="宋体"/>
              <w:sz w:val="21"/>
              <w:szCs w:val="21"/>
            </w:rPr>
          </w:pPr>
          <w:r>
            <w:fldChar w:fldCharType="begin"/>
          </w:r>
          <w:r>
            <w:instrText xml:space="preserve"> HYPERLINK \l "bookmark471" </w:instrText>
          </w:r>
          <w:r>
            <w:fldChar w:fldCharType="separate"/>
          </w:r>
          <w:r>
            <w:rPr>
              <w:rFonts w:ascii="宋体" w:hAnsi="宋体" w:eastAsia="宋体" w:cs="宋体"/>
              <w:spacing w:val="-3"/>
              <w:sz w:val="21"/>
              <w:szCs w:val="21"/>
            </w:rPr>
            <w:t>附表三：劳动力计划表</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257</w:t>
          </w:r>
          <w:r>
            <w:rPr>
              <w:rFonts w:ascii="宋体" w:hAnsi="宋体" w:eastAsia="宋体" w:cs="宋体"/>
              <w:spacing w:val="-2"/>
              <w:sz w:val="21"/>
              <w:szCs w:val="21"/>
            </w:rPr>
            <w:fldChar w:fldCharType="end"/>
          </w:r>
        </w:p>
        <w:p w14:paraId="74DEDA16">
          <w:pPr>
            <w:tabs>
              <w:tab w:val="right" w:leader="dot" w:pos="8315"/>
            </w:tabs>
            <w:spacing w:before="62" w:line="220" w:lineRule="auto"/>
            <w:ind w:left="879"/>
            <w:rPr>
              <w:rFonts w:ascii="宋体" w:hAnsi="宋体" w:eastAsia="宋体" w:cs="宋体"/>
              <w:sz w:val="21"/>
              <w:szCs w:val="21"/>
            </w:rPr>
          </w:pPr>
          <w:r>
            <w:fldChar w:fldCharType="begin"/>
          </w:r>
          <w:r>
            <w:instrText xml:space="preserve"> HYPERLINK \l "bookmark472" </w:instrText>
          </w:r>
          <w:r>
            <w:fldChar w:fldCharType="separate"/>
          </w:r>
          <w:r>
            <w:rPr>
              <w:rFonts w:ascii="宋体" w:hAnsi="宋体" w:eastAsia="宋体" w:cs="宋体"/>
              <w:spacing w:val="-1"/>
              <w:sz w:val="21"/>
              <w:szCs w:val="21"/>
            </w:rPr>
            <w:t>附表四：计划开、竣工日期和施工进度网络图</w:t>
          </w:r>
          <w:r>
            <w:rPr>
              <w:rFonts w:ascii="宋体" w:hAnsi="宋体" w:eastAsia="宋体" w:cs="宋体"/>
              <w:spacing w:val="-72"/>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258</w:t>
          </w:r>
          <w:r>
            <w:rPr>
              <w:rFonts w:ascii="宋体" w:hAnsi="宋体" w:eastAsia="宋体" w:cs="宋体"/>
              <w:spacing w:val="-2"/>
              <w:sz w:val="21"/>
              <w:szCs w:val="21"/>
            </w:rPr>
            <w:fldChar w:fldCharType="end"/>
          </w:r>
        </w:p>
        <w:p w14:paraId="3ABC1227">
          <w:pPr>
            <w:tabs>
              <w:tab w:val="right" w:leader="dot" w:pos="8315"/>
            </w:tabs>
            <w:spacing w:before="62" w:line="220" w:lineRule="auto"/>
            <w:ind w:left="879"/>
            <w:rPr>
              <w:rFonts w:ascii="宋体" w:hAnsi="宋体" w:eastAsia="宋体" w:cs="宋体"/>
              <w:sz w:val="21"/>
              <w:szCs w:val="21"/>
            </w:rPr>
          </w:pPr>
          <w:r>
            <w:fldChar w:fldCharType="begin"/>
          </w:r>
          <w:r>
            <w:instrText xml:space="preserve"> HYPERLINK \l "bookmark473" </w:instrText>
          </w:r>
          <w:r>
            <w:fldChar w:fldCharType="separate"/>
          </w:r>
          <w:r>
            <w:rPr>
              <w:rFonts w:ascii="宋体" w:hAnsi="宋体" w:eastAsia="宋体" w:cs="宋体"/>
              <w:spacing w:val="-3"/>
              <w:sz w:val="21"/>
              <w:szCs w:val="21"/>
            </w:rPr>
            <w:t>附表五：施工总平面图</w:t>
          </w:r>
          <w:r>
            <w:rPr>
              <w:rFonts w:ascii="宋体" w:hAnsi="宋体" w:eastAsia="宋体" w:cs="宋体"/>
              <w:spacing w:val="-75"/>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259</w:t>
          </w:r>
          <w:r>
            <w:rPr>
              <w:rFonts w:ascii="宋体" w:hAnsi="宋体" w:eastAsia="宋体" w:cs="宋体"/>
              <w:spacing w:val="-2"/>
              <w:sz w:val="21"/>
              <w:szCs w:val="21"/>
            </w:rPr>
            <w:fldChar w:fldCharType="end"/>
          </w:r>
        </w:p>
        <w:p w14:paraId="1DF25B87">
          <w:pPr>
            <w:tabs>
              <w:tab w:val="right" w:leader="dot" w:pos="8315"/>
            </w:tabs>
            <w:spacing w:before="62" w:line="220" w:lineRule="auto"/>
            <w:ind w:left="879"/>
            <w:rPr>
              <w:rFonts w:ascii="宋体" w:hAnsi="宋体" w:eastAsia="宋体" w:cs="宋体"/>
              <w:sz w:val="21"/>
              <w:szCs w:val="21"/>
            </w:rPr>
          </w:pPr>
          <w:r>
            <w:fldChar w:fldCharType="begin"/>
          </w:r>
          <w:r>
            <w:instrText xml:space="preserve"> HYPERLINK \l "bookmark474" </w:instrText>
          </w:r>
          <w:r>
            <w:fldChar w:fldCharType="separate"/>
          </w:r>
          <w:r>
            <w:rPr>
              <w:rFonts w:ascii="宋体" w:hAnsi="宋体" w:eastAsia="宋体" w:cs="宋体"/>
              <w:spacing w:val="-3"/>
              <w:sz w:val="21"/>
              <w:szCs w:val="21"/>
            </w:rPr>
            <w:t>附表六：临时用地表</w:t>
          </w:r>
          <w:r>
            <w:rPr>
              <w:rFonts w:ascii="宋体" w:hAnsi="宋体" w:eastAsia="宋体" w:cs="宋体"/>
              <w:spacing w:val="-79"/>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260</w:t>
          </w:r>
          <w:r>
            <w:rPr>
              <w:rFonts w:ascii="宋体" w:hAnsi="宋体" w:eastAsia="宋体" w:cs="宋体"/>
              <w:spacing w:val="-2"/>
              <w:sz w:val="21"/>
              <w:szCs w:val="21"/>
            </w:rPr>
            <w:fldChar w:fldCharType="end"/>
          </w:r>
        </w:p>
        <w:p w14:paraId="7312A83C">
          <w:pPr>
            <w:tabs>
              <w:tab w:val="right" w:leader="dot" w:pos="8315"/>
            </w:tabs>
            <w:spacing w:before="62" w:line="221" w:lineRule="auto"/>
            <w:ind w:left="443"/>
            <w:rPr>
              <w:rFonts w:ascii="宋体" w:hAnsi="宋体" w:eastAsia="宋体" w:cs="宋体"/>
              <w:sz w:val="21"/>
              <w:szCs w:val="21"/>
            </w:rPr>
          </w:pPr>
          <w:r>
            <w:fldChar w:fldCharType="begin"/>
          </w:r>
          <w:r>
            <w:instrText xml:space="preserve"> HYPERLINK \l "bookmark475" </w:instrText>
          </w:r>
          <w:r>
            <w:fldChar w:fldCharType="separate"/>
          </w:r>
          <w:r>
            <w:rPr>
              <w:rFonts w:ascii="宋体" w:hAnsi="宋体" w:eastAsia="宋体" w:cs="宋体"/>
              <w:spacing w:val="-2"/>
              <w:sz w:val="21"/>
              <w:szCs w:val="21"/>
            </w:rPr>
            <w:t>十、其他资料</w:t>
          </w:r>
          <w:r>
            <w:rPr>
              <w:rFonts w:ascii="宋体" w:hAnsi="宋体" w:eastAsia="宋体" w:cs="宋体"/>
              <w:spacing w:val="-85"/>
              <w:sz w:val="21"/>
              <w:szCs w:val="21"/>
            </w:rPr>
            <w:t xml:space="preserve"> </w:t>
          </w:r>
          <w:r>
            <w:rPr>
              <w:rFonts w:ascii="宋体" w:hAnsi="宋体" w:eastAsia="宋体" w:cs="宋体"/>
              <w:sz w:val="21"/>
              <w:szCs w:val="21"/>
            </w:rPr>
            <w:tab/>
          </w:r>
          <w:r>
            <w:rPr>
              <w:rFonts w:ascii="宋体" w:hAnsi="宋体" w:eastAsia="宋体" w:cs="宋体"/>
              <w:spacing w:val="-26"/>
              <w:sz w:val="21"/>
              <w:szCs w:val="21"/>
            </w:rPr>
            <w:t xml:space="preserve"> </w:t>
          </w:r>
          <w:r>
            <w:rPr>
              <w:rFonts w:ascii="宋体" w:hAnsi="宋体" w:eastAsia="宋体" w:cs="宋体"/>
              <w:spacing w:val="-2"/>
              <w:sz w:val="21"/>
              <w:szCs w:val="21"/>
            </w:rPr>
            <w:t>261</w:t>
          </w:r>
          <w:r>
            <w:rPr>
              <w:rFonts w:ascii="宋体" w:hAnsi="宋体" w:eastAsia="宋体" w:cs="宋体"/>
              <w:spacing w:val="-2"/>
              <w:sz w:val="21"/>
              <w:szCs w:val="21"/>
            </w:rPr>
            <w:fldChar w:fldCharType="end"/>
          </w:r>
        </w:p>
      </w:sdtContent>
    </w:sdt>
    <w:p w14:paraId="65764331">
      <w:pPr>
        <w:spacing w:line="221" w:lineRule="auto"/>
        <w:rPr>
          <w:rFonts w:ascii="宋体" w:hAnsi="宋体" w:eastAsia="宋体" w:cs="宋体"/>
          <w:sz w:val="21"/>
          <w:szCs w:val="21"/>
        </w:rPr>
        <w:sectPr>
          <w:footerReference r:id="rId16" w:type="default"/>
          <w:pgSz w:w="11905" w:h="16843"/>
          <w:pgMar w:top="969" w:right="1355" w:bottom="1026" w:left="1480" w:header="0" w:footer="754" w:gutter="0"/>
          <w:cols w:space="0" w:num="1"/>
          <w:rtlGutter w:val="0"/>
          <w:docGrid w:linePitch="0" w:charSpace="0"/>
        </w:sectPr>
      </w:pPr>
    </w:p>
    <w:p w14:paraId="1F84AC23">
      <w:pPr>
        <w:pStyle w:val="5"/>
        <w:spacing w:line="244" w:lineRule="auto"/>
      </w:pPr>
    </w:p>
    <w:p w14:paraId="61931A14">
      <w:pPr>
        <w:pStyle w:val="5"/>
        <w:spacing w:line="244" w:lineRule="auto"/>
      </w:pPr>
    </w:p>
    <w:p w14:paraId="7A25530B">
      <w:pPr>
        <w:pStyle w:val="5"/>
        <w:spacing w:line="244" w:lineRule="auto"/>
      </w:pPr>
    </w:p>
    <w:p w14:paraId="71CA3D84">
      <w:pPr>
        <w:pStyle w:val="5"/>
        <w:spacing w:line="244" w:lineRule="auto"/>
      </w:pPr>
    </w:p>
    <w:p w14:paraId="07D2BF03">
      <w:pPr>
        <w:pStyle w:val="5"/>
        <w:spacing w:line="244" w:lineRule="auto"/>
      </w:pPr>
    </w:p>
    <w:p w14:paraId="5EDA85CA">
      <w:pPr>
        <w:pStyle w:val="5"/>
        <w:spacing w:line="244" w:lineRule="auto"/>
      </w:pPr>
    </w:p>
    <w:p w14:paraId="56E30EAF">
      <w:pPr>
        <w:pStyle w:val="5"/>
        <w:spacing w:line="245" w:lineRule="auto"/>
      </w:pPr>
    </w:p>
    <w:p w14:paraId="5D42113C">
      <w:pPr>
        <w:pStyle w:val="5"/>
        <w:spacing w:line="245" w:lineRule="auto"/>
      </w:pPr>
    </w:p>
    <w:p w14:paraId="3E92EF98">
      <w:pPr>
        <w:pStyle w:val="5"/>
        <w:spacing w:line="245" w:lineRule="auto"/>
      </w:pPr>
    </w:p>
    <w:p w14:paraId="772813A8">
      <w:pPr>
        <w:pStyle w:val="5"/>
        <w:spacing w:line="245" w:lineRule="auto"/>
      </w:pPr>
    </w:p>
    <w:p w14:paraId="4C030D5F">
      <w:pPr>
        <w:pStyle w:val="5"/>
        <w:spacing w:line="245" w:lineRule="auto"/>
      </w:pPr>
    </w:p>
    <w:p w14:paraId="0971D175">
      <w:pPr>
        <w:pStyle w:val="5"/>
        <w:spacing w:line="245" w:lineRule="auto"/>
      </w:pPr>
    </w:p>
    <w:p w14:paraId="1A56569E">
      <w:pPr>
        <w:pStyle w:val="5"/>
        <w:spacing w:line="245" w:lineRule="auto"/>
      </w:pPr>
    </w:p>
    <w:p w14:paraId="02AB8328">
      <w:pPr>
        <w:pStyle w:val="5"/>
        <w:spacing w:line="245" w:lineRule="auto"/>
      </w:pPr>
    </w:p>
    <w:p w14:paraId="7F94D35F">
      <w:pPr>
        <w:pStyle w:val="5"/>
        <w:spacing w:line="245" w:lineRule="auto"/>
      </w:pPr>
    </w:p>
    <w:p w14:paraId="6D3C607D">
      <w:pPr>
        <w:pStyle w:val="5"/>
        <w:spacing w:line="245" w:lineRule="auto"/>
      </w:pPr>
    </w:p>
    <w:p w14:paraId="5EF75ACA">
      <w:pPr>
        <w:spacing w:before="156" w:line="219" w:lineRule="auto"/>
        <w:ind w:left="3465"/>
        <w:outlineLvl w:val="0"/>
        <w:rPr>
          <w:rFonts w:ascii="黑体" w:hAnsi="黑体" w:eastAsia="黑体" w:cs="黑体"/>
          <w:sz w:val="48"/>
          <w:szCs w:val="48"/>
        </w:rPr>
      </w:pPr>
      <w:bookmarkStart w:id="5" w:name="bookmark2"/>
      <w:bookmarkEnd w:id="5"/>
      <w:bookmarkStart w:id="6" w:name="bookmark476"/>
      <w:bookmarkEnd w:id="6"/>
      <w:r>
        <w:rPr>
          <w:rFonts w:ascii="黑体" w:hAnsi="黑体" w:eastAsia="黑体" w:cs="黑体"/>
          <w:spacing w:val="-7"/>
          <w:sz w:val="48"/>
          <w:szCs w:val="48"/>
        </w:rPr>
        <w:t>第一卷</w:t>
      </w:r>
    </w:p>
    <w:p w14:paraId="2DB3EAD0">
      <w:pPr>
        <w:spacing w:line="219" w:lineRule="auto"/>
        <w:rPr>
          <w:rFonts w:ascii="黑体" w:hAnsi="黑体" w:eastAsia="黑体" w:cs="黑体"/>
          <w:sz w:val="48"/>
          <w:szCs w:val="48"/>
        </w:rPr>
        <w:sectPr>
          <w:footerReference r:id="rId17" w:type="default"/>
          <w:pgSz w:w="11905" w:h="16843"/>
          <w:pgMar w:top="969" w:right="1355" w:bottom="1026" w:left="1480" w:header="0" w:footer="754" w:gutter="0"/>
          <w:cols w:space="0" w:num="1"/>
          <w:rtlGutter w:val="0"/>
          <w:docGrid w:linePitch="0" w:charSpace="0"/>
        </w:sectPr>
      </w:pPr>
    </w:p>
    <w:p w14:paraId="0F3B3B6E">
      <w:pPr>
        <w:spacing w:before="64" w:line="224" w:lineRule="auto"/>
        <w:ind w:left="2900"/>
        <w:outlineLvl w:val="0"/>
        <w:rPr>
          <w:rFonts w:ascii="黑体" w:hAnsi="黑体" w:eastAsia="黑体" w:cs="黑体"/>
          <w:sz w:val="31"/>
          <w:szCs w:val="31"/>
        </w:rPr>
      </w:pPr>
      <w:bookmarkStart w:id="7" w:name="bookmark3"/>
      <w:bookmarkEnd w:id="7"/>
      <w:bookmarkStart w:id="8" w:name="bookmark477"/>
      <w:bookmarkEnd w:id="8"/>
      <w:r>
        <w:rPr>
          <w:rFonts w:ascii="黑体" w:hAnsi="黑体" w:eastAsia="黑体" w:cs="黑体"/>
          <w:spacing w:val="7"/>
          <w:sz w:val="31"/>
          <w:szCs w:val="31"/>
        </w:rPr>
        <w:t>第一章  招标公告</w:t>
      </w:r>
    </w:p>
    <w:p w14:paraId="234FBC70">
      <w:pPr>
        <w:pStyle w:val="5"/>
        <w:spacing w:line="365" w:lineRule="auto"/>
      </w:pPr>
    </w:p>
    <w:p w14:paraId="12F04B7E">
      <w:pPr>
        <w:tabs>
          <w:tab w:val="left" w:pos="4093"/>
        </w:tabs>
        <w:spacing w:before="78" w:line="220" w:lineRule="auto"/>
        <w:jc w:val="center"/>
        <w:rPr>
          <w:rFonts w:ascii="黑体" w:hAnsi="黑体" w:eastAsia="黑体" w:cs="黑体"/>
          <w:sz w:val="24"/>
          <w:szCs w:val="24"/>
        </w:rPr>
      </w:pPr>
      <w:r>
        <w:rPr>
          <w:rFonts w:hint="eastAsia" w:ascii="宋体" w:hAnsi="宋体" w:eastAsia="宋体" w:cs="宋体"/>
          <w:sz w:val="24"/>
          <w:szCs w:val="24"/>
          <w:u w:val="single"/>
          <w:lang w:eastAsia="zh-CN"/>
        </w:rPr>
        <w:t>辽宁省营口市陆生动物疫病病原学监测区域中心建设项目施工</w:t>
      </w:r>
      <w:r>
        <w:rPr>
          <w:rFonts w:ascii="黑体" w:hAnsi="黑体" w:eastAsia="黑体" w:cs="黑体"/>
          <w:sz w:val="24"/>
          <w:szCs w:val="24"/>
        </w:rPr>
        <w:t>招标公告</w:t>
      </w:r>
    </w:p>
    <w:p w14:paraId="2197962C">
      <w:pPr>
        <w:spacing w:before="160" w:line="221" w:lineRule="auto"/>
        <w:ind w:left="3188"/>
        <w:rPr>
          <w:rFonts w:ascii="楷体" w:hAnsi="楷体" w:eastAsia="楷体" w:cs="楷体"/>
          <w:sz w:val="28"/>
          <w:szCs w:val="28"/>
        </w:rPr>
      </w:pPr>
      <w:r>
        <w:rPr>
          <w:rFonts w:ascii="楷体" w:hAnsi="楷体" w:eastAsia="楷体" w:cs="楷体"/>
          <w:sz w:val="28"/>
          <w:szCs w:val="28"/>
        </w:rPr>
        <w:t>（唯一标识码）</w:t>
      </w:r>
    </w:p>
    <w:p w14:paraId="43AC55E1">
      <w:pPr>
        <w:spacing w:before="272" w:line="221" w:lineRule="auto"/>
        <w:ind w:left="33"/>
        <w:outlineLvl w:val="1"/>
        <w:rPr>
          <w:rFonts w:ascii="黑体" w:hAnsi="黑体" w:eastAsia="黑体" w:cs="黑体"/>
          <w:sz w:val="21"/>
          <w:szCs w:val="21"/>
        </w:rPr>
      </w:pPr>
      <w:bookmarkStart w:id="9" w:name="bookmark4"/>
      <w:bookmarkEnd w:id="9"/>
      <w:r>
        <w:rPr>
          <w:rFonts w:ascii="黑体" w:hAnsi="黑体" w:eastAsia="黑体" w:cs="黑体"/>
          <w:spacing w:val="-3"/>
          <w:sz w:val="21"/>
          <w:szCs w:val="21"/>
        </w:rPr>
        <w:t>1.招标条件</w:t>
      </w:r>
    </w:p>
    <w:p w14:paraId="23B40E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1"/>
          <w:szCs w:val="21"/>
        </w:rPr>
      </w:pPr>
      <w:r>
        <w:rPr>
          <w:rFonts w:ascii="宋体" w:hAnsi="宋体" w:eastAsia="宋体" w:cs="宋体"/>
          <w:sz w:val="21"/>
          <w:szCs w:val="21"/>
        </w:rPr>
        <w:t>本招标项目</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辽宁省营口市陆生动物疫病病原学监测区域中心建设项目施工</w:t>
      </w:r>
      <w:r>
        <w:rPr>
          <w:rFonts w:ascii="宋体" w:hAnsi="宋体" w:eastAsia="宋体" w:cs="宋体"/>
          <w:sz w:val="21"/>
          <w:szCs w:val="21"/>
          <w:u w:val="single" w:color="auto"/>
        </w:rPr>
        <w:t xml:space="preserve">（项目名称）   </w:t>
      </w:r>
      <w:r>
        <w:rPr>
          <w:rFonts w:ascii="宋体" w:hAnsi="宋体" w:eastAsia="宋体" w:cs="宋体"/>
          <w:spacing w:val="-73"/>
          <w:sz w:val="21"/>
          <w:szCs w:val="21"/>
        </w:rPr>
        <w:t xml:space="preserve"> </w:t>
      </w:r>
      <w:r>
        <w:rPr>
          <w:rFonts w:ascii="宋体" w:hAnsi="宋体" w:eastAsia="宋体" w:cs="宋体"/>
          <w:sz w:val="21"/>
          <w:szCs w:val="21"/>
        </w:rPr>
        <w:t>已由</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辽宁省农业农村厅</w:t>
      </w:r>
      <w:r>
        <w:rPr>
          <w:rFonts w:ascii="宋体" w:hAnsi="宋体" w:eastAsia="宋体" w:cs="宋体"/>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41"/>
          <w:sz w:val="21"/>
          <w:szCs w:val="21"/>
        </w:rPr>
        <w:t xml:space="preserve"> </w:t>
      </w:r>
      <w:r>
        <w:rPr>
          <w:rFonts w:ascii="宋体" w:hAnsi="宋体" w:eastAsia="宋体" w:cs="宋体"/>
          <w:spacing w:val="-1"/>
          <w:sz w:val="21"/>
          <w:szCs w:val="21"/>
        </w:rPr>
        <w:t>以</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rPr>
        <w:t>辽农畜〔2025〕52 号</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z w:val="21"/>
          <w:szCs w:val="21"/>
        </w:rPr>
        <w:t>批准建设，项目业主为</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营口市动物疫病预防控制中心</w:t>
      </w:r>
      <w:r>
        <w:rPr>
          <w:rFonts w:ascii="宋体" w:hAnsi="宋体" w:eastAsia="宋体" w:cs="宋体"/>
          <w:sz w:val="21"/>
          <w:szCs w:val="21"/>
          <w:u w:val="single" w:color="auto"/>
        </w:rPr>
        <w:t xml:space="preserve">     </w:t>
      </w:r>
      <w:r>
        <w:rPr>
          <w:rFonts w:ascii="宋体" w:hAnsi="宋体" w:eastAsia="宋体" w:cs="宋体"/>
          <w:sz w:val="21"/>
          <w:szCs w:val="21"/>
        </w:rPr>
        <w:t>，建设资金来自</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中央预算内资金、地方配套资金</w:t>
      </w:r>
      <w:r>
        <w:rPr>
          <w:rFonts w:ascii="宋体" w:hAnsi="宋体" w:eastAsia="宋体" w:cs="宋体"/>
          <w:sz w:val="21"/>
          <w:szCs w:val="21"/>
          <w:u w:val="single" w:color="auto"/>
        </w:rPr>
        <w:t xml:space="preserve">   </w:t>
      </w:r>
      <w:r>
        <w:rPr>
          <w:rFonts w:ascii="宋体" w:hAnsi="宋体" w:eastAsia="宋体" w:cs="宋体"/>
          <w:sz w:val="21"/>
          <w:szCs w:val="21"/>
        </w:rPr>
        <w:t>，项目出资比例为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90</w:t>
      </w:r>
      <w:r>
        <w:rPr>
          <w:rFonts w:ascii="宋体" w:hAnsi="宋体" w:eastAsia="宋体" w:cs="宋体"/>
          <w:sz w:val="21"/>
          <w:szCs w:val="21"/>
          <w:u w:val="single" w:color="auto"/>
        </w:rPr>
        <w:t xml:space="preserve">  %</w:t>
      </w:r>
      <w:r>
        <w:rPr>
          <w:rFonts w:ascii="宋体" w:hAnsi="宋体" w:eastAsia="宋体" w:cs="宋体"/>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10</w:t>
      </w:r>
      <w:r>
        <w:rPr>
          <w:rFonts w:ascii="宋体" w:hAnsi="宋体" w:eastAsia="宋体" w:cs="宋体"/>
          <w:sz w:val="21"/>
          <w:szCs w:val="21"/>
          <w:u w:val="single" w:color="auto"/>
        </w:rPr>
        <w:t xml:space="preserve">  %</w:t>
      </w:r>
      <w:r>
        <w:rPr>
          <w:rFonts w:ascii="宋体" w:hAnsi="宋体" w:eastAsia="宋体" w:cs="宋体"/>
          <w:sz w:val="21"/>
          <w:szCs w:val="21"/>
        </w:rPr>
        <w:t>，招标代理机构为</w:t>
      </w:r>
      <w:r>
        <w:rPr>
          <w:rFonts w:ascii="宋体" w:hAnsi="宋体" w:eastAsia="宋体" w:cs="宋体"/>
          <w:sz w:val="21"/>
          <w:szCs w:val="21"/>
          <w:u w:val="single" w:color="auto"/>
        </w:rPr>
        <w:t xml:space="preserve"> </w:t>
      </w:r>
      <w:r>
        <w:rPr>
          <w:rFonts w:hint="eastAsia" w:ascii="宋体" w:hAnsi="宋体" w:eastAsia="宋体" w:cs="宋体"/>
          <w:szCs w:val="21"/>
          <w:u w:val="single"/>
        </w:rPr>
        <w:t>营口公物咨询管理有限公司</w:t>
      </w:r>
      <w:r>
        <w:rPr>
          <w:rFonts w:ascii="宋体" w:hAnsi="宋体" w:eastAsia="宋体" w:cs="宋体"/>
          <w:sz w:val="21"/>
          <w:szCs w:val="21"/>
          <w:u w:val="single" w:color="auto"/>
        </w:rPr>
        <w:t xml:space="preserve">   </w:t>
      </w:r>
      <w:r>
        <w:rPr>
          <w:rFonts w:ascii="宋体" w:hAnsi="宋体" w:eastAsia="宋体" w:cs="宋体"/>
          <w:sz w:val="21"/>
          <w:szCs w:val="21"/>
        </w:rPr>
        <w:t>。项目已具备招标条件，现对该</w:t>
      </w:r>
      <w:r>
        <w:rPr>
          <w:rFonts w:ascii="宋体" w:hAnsi="宋体" w:eastAsia="宋体" w:cs="宋体"/>
          <w:spacing w:val="-1"/>
          <w:sz w:val="21"/>
          <w:szCs w:val="21"/>
        </w:rPr>
        <w:t>项目进行</w:t>
      </w:r>
      <w:r>
        <w:rPr>
          <w:rFonts w:ascii="宋体" w:hAnsi="宋体" w:eastAsia="宋体" w:cs="宋体"/>
          <w:spacing w:val="-1"/>
          <w:sz w:val="21"/>
          <w:szCs w:val="21"/>
          <w:u w:val="single" w:color="auto"/>
        </w:rPr>
        <w:t xml:space="preserve">  公开  </w:t>
      </w:r>
      <w:r>
        <w:rPr>
          <w:rFonts w:ascii="宋体" w:hAnsi="宋体" w:eastAsia="宋体" w:cs="宋体"/>
          <w:spacing w:val="-96"/>
          <w:sz w:val="21"/>
          <w:szCs w:val="21"/>
        </w:rPr>
        <w:t xml:space="preserve"> </w:t>
      </w:r>
      <w:r>
        <w:rPr>
          <w:rFonts w:ascii="宋体" w:hAnsi="宋体" w:eastAsia="宋体" w:cs="宋体"/>
          <w:spacing w:val="-1"/>
          <w:sz w:val="21"/>
          <w:szCs w:val="21"/>
        </w:rPr>
        <w:t>招标。</w:t>
      </w:r>
    </w:p>
    <w:p w14:paraId="5EF75B0C">
      <w:pPr>
        <w:spacing w:line="219" w:lineRule="auto"/>
        <w:ind w:left="21"/>
        <w:outlineLvl w:val="1"/>
        <w:rPr>
          <w:rFonts w:ascii="黑体" w:hAnsi="黑体" w:eastAsia="黑体" w:cs="黑体"/>
          <w:sz w:val="21"/>
          <w:szCs w:val="21"/>
        </w:rPr>
      </w:pPr>
      <w:bookmarkStart w:id="10" w:name="bookmark5"/>
      <w:bookmarkEnd w:id="10"/>
      <w:r>
        <w:rPr>
          <w:rFonts w:ascii="黑体" w:hAnsi="黑体" w:eastAsia="黑体" w:cs="黑体"/>
          <w:spacing w:val="-1"/>
          <w:sz w:val="21"/>
          <w:szCs w:val="21"/>
        </w:rPr>
        <w:t>2.项目概况与招标范围</w:t>
      </w:r>
    </w:p>
    <w:p w14:paraId="5DA93BA5">
      <w:pPr>
        <w:spacing w:before="170" w:line="221" w:lineRule="auto"/>
        <w:ind w:left="445"/>
        <w:rPr>
          <w:rFonts w:ascii="宋体" w:hAnsi="宋体" w:eastAsia="宋体" w:cs="宋体"/>
          <w:sz w:val="21"/>
          <w:szCs w:val="21"/>
        </w:rPr>
      </w:pPr>
      <w:r>
        <w:rPr>
          <w:rFonts w:ascii="宋体" w:hAnsi="宋体" w:eastAsia="宋体" w:cs="宋体"/>
          <w:spacing w:val="-3"/>
          <w:sz w:val="21"/>
          <w:szCs w:val="21"/>
        </w:rPr>
        <w:t>2.1</w:t>
      </w:r>
      <w:r>
        <w:rPr>
          <w:rFonts w:ascii="宋体" w:hAnsi="宋体" w:eastAsia="宋体" w:cs="宋体"/>
          <w:spacing w:val="12"/>
          <w:sz w:val="21"/>
          <w:szCs w:val="21"/>
        </w:rPr>
        <w:t xml:space="preserve"> </w:t>
      </w:r>
      <w:r>
        <w:rPr>
          <w:rFonts w:ascii="宋体" w:hAnsi="宋体" w:eastAsia="宋体" w:cs="宋体"/>
          <w:spacing w:val="-3"/>
          <w:sz w:val="21"/>
          <w:szCs w:val="21"/>
        </w:rPr>
        <w:t>项目概况</w:t>
      </w:r>
    </w:p>
    <w:p w14:paraId="0F0F5BBC">
      <w:pPr>
        <w:spacing w:before="169" w:line="222" w:lineRule="auto"/>
        <w:ind w:left="865"/>
        <w:rPr>
          <w:rFonts w:ascii="宋体" w:hAnsi="宋体" w:eastAsia="宋体" w:cs="宋体"/>
          <w:sz w:val="21"/>
          <w:szCs w:val="21"/>
        </w:rPr>
      </w:pPr>
      <w:r>
        <w:rPr>
          <w:rFonts w:ascii="宋体" w:hAnsi="宋体" w:eastAsia="宋体" w:cs="宋体"/>
          <w:spacing w:val="-1"/>
          <w:sz w:val="21"/>
          <w:szCs w:val="21"/>
        </w:rPr>
        <w:t>建设地点：</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辽宁省营口市西市区清华大街西30-2号</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1EF9D802">
      <w:pPr>
        <w:keepNext w:val="0"/>
        <w:keepLines w:val="0"/>
        <w:pageBreakBefore w:val="0"/>
        <w:widowControl/>
        <w:kinsoku w:val="0"/>
        <w:wordWrap/>
        <w:overflowPunct w:val="0"/>
        <w:topLinePunct w:val="0"/>
        <w:autoSpaceDE w:val="0"/>
        <w:autoSpaceDN w:val="0"/>
        <w:bidi w:val="0"/>
        <w:adjustRightInd w:val="0"/>
        <w:snapToGrid w:val="0"/>
        <w:spacing w:before="167" w:line="360" w:lineRule="auto"/>
        <w:ind w:firstLine="832" w:firstLineChars="400"/>
        <w:textAlignment w:val="baseline"/>
        <w:rPr>
          <w:rFonts w:hint="eastAsia" w:ascii="宋体" w:hAnsi="宋体" w:eastAsia="宋体" w:cs="宋体"/>
          <w:sz w:val="21"/>
          <w:szCs w:val="21"/>
          <w:lang w:eastAsia="zh-CN"/>
        </w:rPr>
      </w:pPr>
      <w:r>
        <w:rPr>
          <w:rFonts w:ascii="宋体" w:hAnsi="宋体" w:eastAsia="宋体" w:cs="宋体"/>
          <w:spacing w:val="-1"/>
          <w:sz w:val="21"/>
          <w:szCs w:val="21"/>
        </w:rPr>
        <w:t>建设规模：</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工程建设实验室改造470平方米。改造内容包括实验室地面和门窗改造，给排水改造工程1项、电气改造工程1项、实验台柜改造1项，净化通风改造1项。</w:t>
      </w:r>
    </w:p>
    <w:p w14:paraId="3670401A">
      <w:pPr>
        <w:spacing w:before="170" w:line="221" w:lineRule="auto"/>
        <w:ind w:left="445"/>
        <w:rPr>
          <w:rFonts w:ascii="宋体" w:hAnsi="宋体" w:eastAsia="宋体" w:cs="宋体"/>
          <w:sz w:val="21"/>
          <w:szCs w:val="21"/>
        </w:rPr>
      </w:pPr>
      <w:r>
        <w:rPr>
          <w:rFonts w:ascii="宋体" w:hAnsi="宋体" w:eastAsia="宋体" w:cs="宋体"/>
          <w:spacing w:val="-1"/>
          <w:sz w:val="21"/>
          <w:szCs w:val="21"/>
        </w:rPr>
        <w:t>2.2 招标范围</w:t>
      </w:r>
    </w:p>
    <w:p w14:paraId="2FE6ECFB">
      <w:pPr>
        <w:spacing w:before="167" w:line="221" w:lineRule="auto"/>
        <w:ind w:left="863"/>
        <w:rPr>
          <w:rFonts w:ascii="宋体" w:hAnsi="宋体" w:eastAsia="宋体" w:cs="宋体"/>
          <w:sz w:val="21"/>
          <w:szCs w:val="21"/>
        </w:rPr>
      </w:pPr>
      <w:r>
        <w:rPr>
          <w:rFonts w:ascii="宋体" w:hAnsi="宋体" w:eastAsia="宋体" w:cs="宋体"/>
          <w:spacing w:val="-1"/>
          <w:sz w:val="21"/>
          <w:szCs w:val="21"/>
        </w:rPr>
        <w:t>标段划分：</w:t>
      </w:r>
      <w:r>
        <w:rPr>
          <w:rFonts w:ascii="宋体" w:hAnsi="宋体" w:eastAsia="宋体" w:cs="宋体"/>
          <w:spacing w:val="-1"/>
          <w:sz w:val="21"/>
          <w:szCs w:val="21"/>
          <w:u w:val="none" w:color="auto"/>
        </w:rPr>
        <w:t xml:space="preserve">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一</w:t>
      </w:r>
      <w:r>
        <w:rPr>
          <w:rFonts w:ascii="宋体" w:hAnsi="宋体" w:eastAsia="宋体" w:cs="宋体"/>
          <w:spacing w:val="-1"/>
          <w:sz w:val="21"/>
          <w:szCs w:val="21"/>
          <w:u w:val="single" w:color="auto"/>
        </w:rPr>
        <w:t xml:space="preserve">  </w:t>
      </w:r>
      <w:r>
        <w:rPr>
          <w:rFonts w:ascii="宋体" w:hAnsi="宋体" w:eastAsia="宋体" w:cs="宋体"/>
          <w:spacing w:val="-1"/>
          <w:sz w:val="21"/>
          <w:szCs w:val="21"/>
          <w:u w:val="non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标段；是否兼投</w:t>
      </w:r>
      <w:r>
        <w:rPr>
          <w:rFonts w:ascii="宋体" w:hAnsi="宋体" w:eastAsia="宋体" w:cs="宋体"/>
          <w:spacing w:val="-6"/>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否</w:t>
      </w:r>
      <w:r>
        <w:rPr>
          <w:rFonts w:ascii="宋体" w:hAnsi="宋体" w:eastAsia="宋体" w:cs="宋体"/>
          <w:spacing w:val="3"/>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1"/>
          <w:sz w:val="21"/>
          <w:szCs w:val="21"/>
        </w:rPr>
        <w:t>是否兼中：</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否</w:t>
      </w:r>
      <w:r>
        <w:rPr>
          <w:rFonts w:ascii="宋体" w:hAnsi="宋体" w:eastAsia="宋体" w:cs="宋体"/>
          <w:spacing w:val="-1"/>
          <w:sz w:val="21"/>
          <w:szCs w:val="21"/>
          <w:u w:val="single" w:color="auto"/>
        </w:rPr>
        <w:t xml:space="preserve"> </w:t>
      </w:r>
      <w:r>
        <w:rPr>
          <w:rFonts w:ascii="宋体" w:hAnsi="宋体" w:eastAsia="宋体" w:cs="宋体"/>
          <w:spacing w:val="-1"/>
          <w:sz w:val="21"/>
          <w:szCs w:val="21"/>
          <w:u w:val="none" w:color="auto"/>
        </w:rPr>
        <w:t xml:space="preserve">  </w:t>
      </w:r>
      <w:r>
        <w:rPr>
          <w:rFonts w:ascii="宋体" w:hAnsi="宋体" w:eastAsia="宋体" w:cs="宋体"/>
          <w:spacing w:val="-1"/>
          <w:sz w:val="21"/>
          <w:szCs w:val="21"/>
        </w:rPr>
        <w:t>。</w:t>
      </w:r>
    </w:p>
    <w:p w14:paraId="63DD8239">
      <w:pPr>
        <w:spacing w:before="169" w:line="220" w:lineRule="auto"/>
        <w:ind w:left="862"/>
        <w:rPr>
          <w:rFonts w:ascii="宋体" w:hAnsi="宋体" w:eastAsia="宋体" w:cs="宋体"/>
          <w:color w:val="0000FF"/>
          <w:sz w:val="21"/>
          <w:szCs w:val="21"/>
        </w:rPr>
      </w:pPr>
      <w:r>
        <w:rPr>
          <w:rFonts w:ascii="宋体" w:hAnsi="宋体" w:eastAsia="宋体" w:cs="宋体"/>
          <w:color w:val="0000FF"/>
          <w:spacing w:val="-3"/>
          <w:sz w:val="21"/>
          <w:szCs w:val="21"/>
        </w:rPr>
        <w:t>计划工期/服务/供货：</w:t>
      </w:r>
      <w:r>
        <w:rPr>
          <w:rFonts w:ascii="宋体" w:hAnsi="宋体" w:eastAsia="宋体" w:cs="宋体"/>
          <w:color w:val="0000FF"/>
          <w:spacing w:val="-3"/>
          <w:sz w:val="21"/>
          <w:szCs w:val="21"/>
          <w:u w:val="single" w:color="auto"/>
        </w:rPr>
        <w:t xml:space="preserve">  </w:t>
      </w:r>
      <w:r>
        <w:rPr>
          <w:rFonts w:hint="eastAsia" w:ascii="宋体" w:hAnsi="宋体" w:eastAsia="宋体" w:cs="宋体"/>
          <w:color w:val="0000FF"/>
          <w:spacing w:val="-3"/>
          <w:sz w:val="21"/>
          <w:szCs w:val="21"/>
          <w:u w:val="single" w:color="auto"/>
          <w:lang w:val="en-US" w:eastAsia="zh-CN"/>
        </w:rPr>
        <w:t xml:space="preserve">  45 </w:t>
      </w:r>
      <w:r>
        <w:rPr>
          <w:rFonts w:ascii="宋体" w:hAnsi="宋体" w:eastAsia="宋体" w:cs="宋体"/>
          <w:color w:val="0000FF"/>
          <w:spacing w:val="-3"/>
          <w:sz w:val="21"/>
          <w:szCs w:val="21"/>
          <w:u w:val="single" w:color="auto"/>
        </w:rPr>
        <w:t xml:space="preserve">    </w:t>
      </w:r>
      <w:r>
        <w:rPr>
          <w:rFonts w:ascii="宋体" w:hAnsi="宋体" w:eastAsia="宋体" w:cs="宋体"/>
          <w:color w:val="0000FF"/>
          <w:spacing w:val="-52"/>
          <w:sz w:val="21"/>
          <w:szCs w:val="21"/>
        </w:rPr>
        <w:t xml:space="preserve"> </w:t>
      </w:r>
      <w:r>
        <w:rPr>
          <w:rFonts w:ascii="宋体" w:hAnsi="宋体" w:eastAsia="宋体" w:cs="宋体"/>
          <w:color w:val="0000FF"/>
          <w:spacing w:val="-3"/>
          <w:sz w:val="21"/>
          <w:szCs w:val="21"/>
        </w:rPr>
        <w:t>日历天</w:t>
      </w:r>
    </w:p>
    <w:p w14:paraId="371516BE">
      <w:pPr>
        <w:spacing w:before="171" w:line="369" w:lineRule="auto"/>
        <w:ind w:left="25" w:right="175" w:firstLine="837"/>
        <w:rPr>
          <w:rFonts w:ascii="宋体" w:hAnsi="宋体" w:eastAsia="宋体" w:cs="宋体"/>
          <w:color w:val="0000FF"/>
          <w:sz w:val="21"/>
          <w:szCs w:val="21"/>
        </w:rPr>
      </w:pPr>
      <w:r>
        <w:rPr>
          <w:rFonts w:ascii="宋体" w:hAnsi="宋体" w:eastAsia="宋体" w:cs="宋体"/>
          <w:color w:val="0000FF"/>
          <w:spacing w:val="1"/>
          <w:sz w:val="21"/>
          <w:szCs w:val="21"/>
        </w:rPr>
        <w:t>计划开工/服务开始/供货开始日期</w:t>
      </w:r>
      <w:r>
        <w:rPr>
          <w:rFonts w:ascii="宋体" w:hAnsi="宋体" w:eastAsia="宋体" w:cs="宋体"/>
          <w:color w:val="0000FF"/>
          <w:spacing w:val="-103"/>
          <w:sz w:val="21"/>
          <w:szCs w:val="21"/>
        </w:rPr>
        <w:t xml:space="preserve"> </w:t>
      </w:r>
      <w:r>
        <w:rPr>
          <w:rFonts w:ascii="宋体" w:hAnsi="宋体" w:eastAsia="宋体" w:cs="宋体"/>
          <w:color w:val="0000FF"/>
          <w:spacing w:val="5"/>
          <w:sz w:val="21"/>
          <w:szCs w:val="21"/>
          <w:u w:val="single" w:color="auto"/>
        </w:rPr>
        <w:t xml:space="preserve">          </w:t>
      </w:r>
      <w:r>
        <w:rPr>
          <w:rFonts w:ascii="宋体" w:hAnsi="宋体" w:eastAsia="宋体" w:cs="宋体"/>
          <w:color w:val="0000FF"/>
          <w:spacing w:val="-77"/>
          <w:sz w:val="21"/>
          <w:szCs w:val="21"/>
        </w:rPr>
        <w:t xml:space="preserve"> </w:t>
      </w:r>
      <w:r>
        <w:rPr>
          <w:rFonts w:ascii="宋体" w:hAnsi="宋体" w:eastAsia="宋体" w:cs="宋体"/>
          <w:color w:val="0000FF"/>
          <w:spacing w:val="1"/>
          <w:sz w:val="21"/>
          <w:szCs w:val="21"/>
        </w:rPr>
        <w:t>；计划竣工/服务结束/供货结束日</w:t>
      </w:r>
      <w:r>
        <w:rPr>
          <w:rFonts w:ascii="宋体" w:hAnsi="宋体" w:eastAsia="宋体" w:cs="宋体"/>
          <w:color w:val="0000FF"/>
          <w:spacing w:val="-5"/>
          <w:sz w:val="21"/>
          <w:szCs w:val="21"/>
        </w:rPr>
        <w:t>期</w:t>
      </w:r>
      <w:r>
        <w:rPr>
          <w:rFonts w:ascii="宋体" w:hAnsi="宋体" w:eastAsia="宋体" w:cs="宋体"/>
          <w:color w:val="0000FF"/>
          <w:spacing w:val="17"/>
          <w:sz w:val="21"/>
          <w:szCs w:val="21"/>
          <w:u w:val="single" w:color="auto"/>
        </w:rPr>
        <w:t xml:space="preserve">      </w:t>
      </w:r>
      <w:r>
        <w:rPr>
          <w:rFonts w:ascii="宋体" w:hAnsi="宋体" w:eastAsia="宋体" w:cs="宋体"/>
          <w:color w:val="0000FF"/>
          <w:spacing w:val="-5"/>
          <w:sz w:val="21"/>
          <w:szCs w:val="21"/>
        </w:rPr>
        <w:t>；</w:t>
      </w:r>
    </w:p>
    <w:p w14:paraId="2C93DF8E">
      <w:pPr>
        <w:spacing w:before="1" w:line="221" w:lineRule="auto"/>
        <w:ind w:left="863"/>
        <w:rPr>
          <w:rFonts w:ascii="宋体" w:hAnsi="宋体" w:eastAsia="宋体" w:cs="宋体"/>
          <w:sz w:val="21"/>
          <w:szCs w:val="21"/>
        </w:rPr>
      </w:pPr>
      <w:r>
        <w:rPr>
          <w:rFonts w:ascii="宋体" w:hAnsi="宋体" w:eastAsia="宋体" w:cs="宋体"/>
          <w:sz w:val="21"/>
          <w:szCs w:val="21"/>
        </w:rPr>
        <w:t>标段名称：</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辽宁省营口市陆生动物疫病病原学监测区域中心建设项目施工</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p>
    <w:p w14:paraId="3070E1AD">
      <w:pPr>
        <w:spacing w:before="168" w:line="221" w:lineRule="auto"/>
        <w:ind w:left="863"/>
        <w:rPr>
          <w:rFonts w:ascii="宋体" w:hAnsi="宋体" w:eastAsia="宋体" w:cs="宋体"/>
          <w:sz w:val="21"/>
          <w:szCs w:val="21"/>
        </w:rPr>
      </w:pPr>
      <w:r>
        <w:rPr>
          <w:rFonts w:ascii="宋体" w:hAnsi="宋体" w:eastAsia="宋体" w:cs="宋体"/>
          <w:sz w:val="21"/>
          <w:szCs w:val="21"/>
        </w:rPr>
        <w:t>标段招标范围：</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辽宁省营口市陆生动物疫病病原学监测区域中心建设项目施工</w:t>
      </w:r>
      <w:r>
        <w:rPr>
          <w:rFonts w:ascii="宋体" w:hAnsi="宋体" w:eastAsia="宋体" w:cs="宋体"/>
          <w:sz w:val="21"/>
          <w:szCs w:val="21"/>
          <w:u w:val="single" w:color="auto"/>
        </w:rPr>
        <w:t xml:space="preserve"> </w:t>
      </w:r>
      <w:r>
        <w:rPr>
          <w:rFonts w:ascii="宋体" w:hAnsi="宋体" w:eastAsia="宋体" w:cs="宋体"/>
          <w:sz w:val="21"/>
          <w:szCs w:val="21"/>
          <w:u w:val="none" w:color="auto"/>
        </w:rPr>
        <w:t xml:space="preserve">                 </w:t>
      </w:r>
    </w:p>
    <w:p w14:paraId="2559620B">
      <w:pPr>
        <w:spacing w:before="169" w:line="219" w:lineRule="auto"/>
        <w:ind w:left="863"/>
        <w:rPr>
          <w:rFonts w:ascii="宋体" w:hAnsi="宋体" w:eastAsia="宋体" w:cs="宋体"/>
          <w:sz w:val="21"/>
          <w:szCs w:val="21"/>
        </w:rPr>
      </w:pPr>
      <w:r>
        <w:rPr>
          <w:rFonts w:ascii="宋体" w:hAnsi="宋体" w:eastAsia="宋体" w:cs="宋体"/>
          <w:spacing w:val="-2"/>
          <w:sz w:val="21"/>
          <w:szCs w:val="21"/>
        </w:rPr>
        <w:t>标段类别</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施工</w:t>
      </w:r>
      <w:r>
        <w:rPr>
          <w:rFonts w:ascii="宋体" w:hAnsi="宋体" w:eastAsia="宋体" w:cs="宋体"/>
          <w:sz w:val="21"/>
          <w:szCs w:val="21"/>
          <w:u w:val="single" w:color="auto"/>
        </w:rPr>
        <w:t xml:space="preserve">      </w:t>
      </w:r>
      <w:r>
        <w:rPr>
          <w:rFonts w:ascii="宋体" w:hAnsi="宋体" w:eastAsia="宋体" w:cs="宋体"/>
          <w:spacing w:val="28"/>
          <w:sz w:val="21"/>
          <w:szCs w:val="21"/>
        </w:rPr>
        <w:t xml:space="preserve"> </w:t>
      </w:r>
      <w:r>
        <w:rPr>
          <w:rFonts w:ascii="宋体" w:hAnsi="宋体" w:eastAsia="宋体" w:cs="宋体"/>
          <w:spacing w:val="-10"/>
          <w:sz w:val="21"/>
          <w:szCs w:val="21"/>
        </w:rPr>
        <w:t>；</w:t>
      </w:r>
      <w:r>
        <w:rPr>
          <w:rFonts w:ascii="宋体" w:hAnsi="宋体" w:eastAsia="宋体" w:cs="宋体"/>
          <w:spacing w:val="-2"/>
          <w:sz w:val="21"/>
          <w:szCs w:val="21"/>
        </w:rPr>
        <w:t>标段合同估算价：</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45.1</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万元。</w:t>
      </w:r>
    </w:p>
    <w:p w14:paraId="328E3353">
      <w:pPr>
        <w:spacing w:before="170" w:line="219" w:lineRule="auto"/>
        <w:jc w:val="right"/>
        <w:rPr>
          <w:rFonts w:ascii="宋体" w:hAnsi="宋体" w:eastAsia="宋体" w:cs="宋体"/>
          <w:color w:val="0000FF"/>
          <w:sz w:val="21"/>
          <w:szCs w:val="21"/>
        </w:rPr>
      </w:pPr>
      <w:r>
        <w:rPr>
          <w:rFonts w:ascii="宋体" w:hAnsi="宋体" w:eastAsia="宋体" w:cs="宋体"/>
          <w:color w:val="auto"/>
          <w:sz w:val="21"/>
          <w:szCs w:val="21"/>
        </w:rPr>
        <w:t>保证金金额</w:t>
      </w:r>
      <w:r>
        <w:rPr>
          <w:rFonts w:ascii="宋体" w:hAnsi="宋体" w:eastAsia="宋体" w:cs="宋体"/>
          <w:color w:val="auto"/>
          <w:spacing w:val="-14"/>
          <w:sz w:val="21"/>
          <w:szCs w:val="21"/>
        </w:rPr>
        <w:t>：</w:t>
      </w:r>
      <w:r>
        <w:rPr>
          <w:rFonts w:hint="eastAsia" w:ascii="宋体" w:hAnsi="宋体" w:eastAsia="宋体" w:cs="宋体"/>
          <w:color w:val="auto"/>
          <w:spacing w:val="-14"/>
          <w:sz w:val="21"/>
          <w:szCs w:val="21"/>
          <w:u w:val="single"/>
          <w:lang w:val="en-US" w:eastAsia="zh-CN"/>
        </w:rPr>
        <w:t xml:space="preserve">  /</w:t>
      </w:r>
      <w:r>
        <w:rPr>
          <w:rFonts w:ascii="宋体" w:hAnsi="宋体" w:eastAsia="宋体" w:cs="宋体"/>
          <w:color w:val="auto"/>
          <w:spacing w:val="-14"/>
          <w:sz w:val="21"/>
          <w:szCs w:val="21"/>
          <w:u w:val="single" w:color="auto"/>
        </w:rPr>
        <w:t>（</w:t>
      </w:r>
      <w:r>
        <w:rPr>
          <w:rFonts w:ascii="宋体" w:hAnsi="宋体" w:eastAsia="宋体" w:cs="宋体"/>
          <w:color w:val="auto"/>
          <w:sz w:val="21"/>
          <w:szCs w:val="21"/>
          <w:u w:val="single" w:color="auto"/>
        </w:rPr>
        <w:t>自动取整标段估算 1%）</w:t>
      </w:r>
      <w:r>
        <w:rPr>
          <w:rFonts w:ascii="宋体" w:hAnsi="宋体" w:eastAsia="宋体" w:cs="宋体"/>
          <w:color w:val="auto"/>
          <w:sz w:val="21"/>
          <w:szCs w:val="21"/>
        </w:rPr>
        <w:t>万元；投标保证金缴纳方式：</w:t>
      </w:r>
      <w:r>
        <w:rPr>
          <w:rFonts w:ascii="宋体" w:hAnsi="宋体" w:eastAsia="宋体" w:cs="宋体"/>
          <w:color w:val="auto"/>
          <w:sz w:val="21"/>
          <w:szCs w:val="21"/>
          <w:u w:val="single" w:color="auto"/>
        </w:rPr>
        <w:t>保函、电汇</w:t>
      </w:r>
      <w:r>
        <w:rPr>
          <w:rFonts w:ascii="宋体" w:hAnsi="宋体" w:eastAsia="宋体" w:cs="宋体"/>
          <w:color w:val="auto"/>
          <w:sz w:val="21"/>
          <w:szCs w:val="21"/>
        </w:rPr>
        <w:t>。</w:t>
      </w:r>
    </w:p>
    <w:p w14:paraId="3B1FBBF9">
      <w:pPr>
        <w:spacing w:before="172" w:line="360" w:lineRule="auto"/>
        <w:ind w:left="462"/>
        <w:rPr>
          <w:rFonts w:ascii="宋体" w:hAnsi="宋体" w:eastAsia="宋体" w:cs="宋体"/>
          <w:color w:val="0000FF"/>
          <w:sz w:val="21"/>
          <w:szCs w:val="21"/>
        </w:rPr>
      </w:pPr>
      <w:r>
        <w:rPr>
          <w:rFonts w:ascii="宋体" w:hAnsi="宋体" w:eastAsia="宋体" w:cs="宋体"/>
          <w:spacing w:val="-3"/>
          <w:sz w:val="21"/>
          <w:szCs w:val="21"/>
        </w:rPr>
        <w:t>2.3</w:t>
      </w:r>
      <w:r>
        <w:rPr>
          <w:rFonts w:ascii="宋体" w:hAnsi="宋体" w:eastAsia="宋体" w:cs="宋体"/>
          <w:spacing w:val="10"/>
          <w:sz w:val="21"/>
          <w:szCs w:val="21"/>
        </w:rPr>
        <w:t xml:space="preserve"> </w:t>
      </w:r>
      <w:r>
        <w:rPr>
          <w:rFonts w:ascii="宋体" w:hAnsi="宋体" w:eastAsia="宋体" w:cs="宋体"/>
          <w:spacing w:val="-3"/>
          <w:sz w:val="21"/>
          <w:szCs w:val="21"/>
        </w:rPr>
        <w:t>其他：</w:t>
      </w:r>
      <w:r>
        <w:rPr>
          <w:rFonts w:ascii="宋体" w:hAnsi="宋体" w:eastAsia="宋体" w:cs="宋体"/>
          <w:color w:val="0000FF"/>
          <w:spacing w:val="3"/>
          <w:sz w:val="21"/>
          <w:szCs w:val="21"/>
          <w:u w:val="single" w:color="auto"/>
        </w:rPr>
        <w:t xml:space="preserve">  </w:t>
      </w:r>
      <w:r>
        <w:rPr>
          <w:rFonts w:hint="eastAsia" w:ascii="宋体" w:hAnsi="宋体" w:eastAsia="宋体" w:cs="宋体"/>
          <w:color w:val="0000FF"/>
          <w:spacing w:val="3"/>
          <w:sz w:val="21"/>
          <w:szCs w:val="21"/>
          <w:u w:val="single" w:color="auto"/>
        </w:rPr>
        <w:t>1、投标人在投标全过程中要随时关注沈阳农交中心电子招标采购交易平台，及时获取相关信息，否则由此造成一切后果，由投标人负责。2、投标人资格其他要求:(1)凡在“信用中国或信用中国辽宁”网站或同级及以上网站查询，被列入失信被执行人或黑名单的单位、重大税收违法案件当事人名单等不良行为的不得参加本工程投标。联合体各方均应满足。(2)投标人须具备市场监督管理部门核发的有效营业执照。(3)投标人授权的委托代理人应具有与投标人单位签订的经人社部门认定盖章、一年以上(含1年)的劳动合同或社会养老保险关系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(5)本工程实行资格后审，资格审查的具体要求见招标文件，资格后审不合格的投标文件将被否决。</w:t>
      </w:r>
    </w:p>
    <w:p w14:paraId="4B9C6DB5">
      <w:pPr>
        <w:spacing w:before="168" w:line="220" w:lineRule="auto"/>
        <w:ind w:left="22"/>
        <w:outlineLvl w:val="1"/>
        <w:rPr>
          <w:rFonts w:ascii="黑体" w:hAnsi="黑体" w:eastAsia="黑体" w:cs="黑体"/>
          <w:sz w:val="21"/>
          <w:szCs w:val="21"/>
        </w:rPr>
      </w:pPr>
      <w:bookmarkStart w:id="11" w:name="bookmark6"/>
      <w:bookmarkEnd w:id="11"/>
      <w:r>
        <w:rPr>
          <w:rFonts w:ascii="黑体" w:hAnsi="黑体" w:eastAsia="黑体" w:cs="黑体"/>
          <w:spacing w:val="-1"/>
          <w:sz w:val="21"/>
          <w:szCs w:val="21"/>
        </w:rPr>
        <w:t>3.投标人资格要求</w:t>
      </w:r>
    </w:p>
    <w:p w14:paraId="41F6451D">
      <w:pPr>
        <w:spacing w:before="171" w:line="332" w:lineRule="auto"/>
        <w:ind w:left="22" w:right="175" w:firstLine="440"/>
        <w:rPr>
          <w:rFonts w:ascii="宋体" w:hAnsi="宋体" w:eastAsia="宋体" w:cs="宋体"/>
          <w:color w:val="0000FF"/>
          <w:sz w:val="21"/>
          <w:szCs w:val="21"/>
        </w:rPr>
      </w:pPr>
      <w:r>
        <w:rPr>
          <w:rFonts w:ascii="宋体" w:hAnsi="宋体" w:eastAsia="宋体" w:cs="宋体"/>
          <w:spacing w:val="-1"/>
          <w:sz w:val="21"/>
          <w:szCs w:val="21"/>
        </w:rPr>
        <w:t>3.1</w:t>
      </w:r>
      <w:r>
        <w:rPr>
          <w:rFonts w:ascii="宋体" w:hAnsi="宋体" w:eastAsia="宋体" w:cs="宋体"/>
          <w:spacing w:val="-43"/>
          <w:sz w:val="21"/>
          <w:szCs w:val="21"/>
        </w:rPr>
        <w:t xml:space="preserve"> </w:t>
      </w:r>
      <w:r>
        <w:rPr>
          <w:rFonts w:ascii="宋体" w:hAnsi="宋体" w:eastAsia="宋体" w:cs="宋体"/>
          <w:spacing w:val="-1"/>
          <w:sz w:val="21"/>
          <w:szCs w:val="21"/>
        </w:rPr>
        <w:t>本次招标要求投标人须具备</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hint="eastAsia" w:ascii="宋体" w:hAnsi="宋体" w:eastAsia="宋体" w:cs="宋体"/>
          <w:color w:val="0000FF"/>
          <w:spacing w:val="3"/>
          <w:sz w:val="21"/>
          <w:szCs w:val="21"/>
          <w:u w:val="single" w:color="auto"/>
          <w:lang w:eastAsia="zh-CN"/>
        </w:rPr>
        <w:t>具备建筑工程施工总承包</w:t>
      </w:r>
      <w:r>
        <w:rPr>
          <w:rFonts w:hint="eastAsia" w:ascii="宋体" w:hAnsi="宋体" w:eastAsia="宋体" w:cs="宋体"/>
          <w:color w:val="0000FF"/>
          <w:spacing w:val="3"/>
          <w:sz w:val="21"/>
          <w:szCs w:val="21"/>
          <w:u w:val="single" w:color="auto"/>
          <w:lang w:val="en-US" w:eastAsia="zh-CN"/>
        </w:rPr>
        <w:t>叁级</w:t>
      </w:r>
      <w:r>
        <w:rPr>
          <w:rFonts w:hint="eastAsia" w:ascii="宋体" w:hAnsi="宋体" w:eastAsia="宋体" w:cs="宋体"/>
          <w:color w:val="0000FF"/>
          <w:spacing w:val="3"/>
          <w:sz w:val="21"/>
          <w:szCs w:val="21"/>
          <w:u w:val="single" w:color="auto"/>
          <w:lang w:eastAsia="zh-CN"/>
        </w:rPr>
        <w:t>及以上或者同时具备建筑装修装饰工程专业承包贰级（贰级及以上）资质证书和建筑机电安装工程专业承包贰级（贰级及以上）资质证书、具备有效得安全生产许可证</w:t>
      </w:r>
      <w:r>
        <w:rPr>
          <w:rFonts w:hint="eastAsia" w:ascii="宋体" w:hAnsi="宋体" w:eastAsia="宋体" w:cs="宋体"/>
          <w:spacing w:val="-1"/>
          <w:sz w:val="21"/>
          <w:szCs w:val="21"/>
          <w:lang w:val="en-US" w:eastAsia="zh-CN"/>
        </w:rPr>
        <w:t xml:space="preserve"> ，</w:t>
      </w:r>
      <w:r>
        <w:rPr>
          <w:rFonts w:ascii="宋体" w:hAnsi="宋体" w:eastAsia="宋体" w:cs="宋体"/>
          <w:spacing w:val="-1"/>
          <w:sz w:val="21"/>
          <w:szCs w:val="21"/>
          <w:u w:val="single" w:color="auto"/>
        </w:rPr>
        <w:t>并在人员、设备、资金等方面具</w:t>
      </w:r>
      <w:r>
        <w:rPr>
          <w:rFonts w:ascii="宋体" w:hAnsi="宋体" w:eastAsia="宋体" w:cs="宋体"/>
          <w:sz w:val="21"/>
          <w:szCs w:val="21"/>
          <w:u w:val="single" w:color="auto"/>
        </w:rPr>
        <w:t>有相应的施工能力</w:t>
      </w:r>
      <w:r>
        <w:rPr>
          <w:rFonts w:ascii="宋体" w:hAnsi="宋体" w:eastAsia="宋体" w:cs="宋体"/>
          <w:sz w:val="21"/>
          <w:szCs w:val="21"/>
        </w:rPr>
        <w:t>，其中，投标人拟派项目经理须具备</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color w:val="0000FF"/>
          <w:sz w:val="21"/>
          <w:szCs w:val="21"/>
          <w:u w:val="single" w:color="auto"/>
        </w:rPr>
        <w:t xml:space="preserve"> </w:t>
      </w:r>
      <w:r>
        <w:rPr>
          <w:rFonts w:hint="eastAsia" w:ascii="宋体" w:hAnsi="宋体" w:eastAsia="宋体" w:cs="宋体"/>
          <w:color w:val="0000FF"/>
          <w:sz w:val="21"/>
          <w:szCs w:val="21"/>
          <w:u w:val="single" w:color="auto"/>
          <w:lang w:val="en-US" w:eastAsia="zh-CN"/>
        </w:rPr>
        <w:t>建筑工程或机电工程</w:t>
      </w:r>
      <w:r>
        <w:rPr>
          <w:rFonts w:ascii="宋体" w:hAnsi="宋体" w:eastAsia="宋体" w:cs="宋体"/>
          <w:color w:val="0000FF"/>
          <w:sz w:val="21"/>
          <w:szCs w:val="21"/>
          <w:u w:val="single" w:color="auto"/>
        </w:rPr>
        <w:t xml:space="preserve">    </w:t>
      </w:r>
      <w:r>
        <w:rPr>
          <w:rFonts w:ascii="宋体" w:hAnsi="宋体" w:eastAsia="宋体" w:cs="宋体"/>
          <w:color w:val="0000FF"/>
          <w:spacing w:val="-91"/>
          <w:sz w:val="21"/>
          <w:szCs w:val="21"/>
        </w:rPr>
        <w:t xml:space="preserve"> </w:t>
      </w:r>
      <w:r>
        <w:rPr>
          <w:rFonts w:ascii="宋体" w:hAnsi="宋体" w:eastAsia="宋体" w:cs="宋体"/>
          <w:color w:val="0000FF"/>
          <w:sz w:val="21"/>
          <w:szCs w:val="21"/>
        </w:rPr>
        <w:t>专业</w:t>
      </w:r>
      <w:r>
        <w:rPr>
          <w:rFonts w:ascii="宋体" w:hAnsi="宋体" w:eastAsia="宋体" w:cs="宋体"/>
          <w:color w:val="0000FF"/>
          <w:sz w:val="21"/>
          <w:szCs w:val="21"/>
          <w:u w:val="single" w:color="auto"/>
        </w:rPr>
        <w:t xml:space="preserve">  </w:t>
      </w:r>
      <w:r>
        <w:rPr>
          <w:rFonts w:hint="eastAsia" w:ascii="宋体" w:hAnsi="宋体" w:eastAsia="宋体" w:cs="宋体"/>
          <w:color w:val="0000FF"/>
          <w:sz w:val="21"/>
          <w:szCs w:val="21"/>
          <w:u w:val="single" w:color="auto"/>
          <w:lang w:val="en-US" w:eastAsia="zh-CN"/>
        </w:rPr>
        <w:t>二</w:t>
      </w:r>
      <w:r>
        <w:rPr>
          <w:rFonts w:ascii="宋体" w:hAnsi="宋体" w:eastAsia="宋体" w:cs="宋体"/>
          <w:color w:val="0000FF"/>
          <w:spacing w:val="-1"/>
          <w:sz w:val="21"/>
          <w:szCs w:val="21"/>
          <w:u w:val="single" w:color="auto"/>
        </w:rPr>
        <w:t>级注册建造师</w:t>
      </w:r>
      <w:r>
        <w:rPr>
          <w:rFonts w:ascii="宋体" w:hAnsi="宋体" w:eastAsia="宋体" w:cs="宋体"/>
          <w:color w:val="0000FF"/>
          <w:sz w:val="21"/>
          <w:szCs w:val="21"/>
          <w:u w:val="single" w:color="auto"/>
        </w:rPr>
        <w:t>执业资格，具备有效的安全生产考核合格证书（B 证</w:t>
      </w:r>
      <w:r>
        <w:rPr>
          <w:rFonts w:ascii="宋体" w:hAnsi="宋体" w:eastAsia="宋体" w:cs="宋体"/>
          <w:color w:val="0000FF"/>
          <w:spacing w:val="-49"/>
          <w:sz w:val="21"/>
          <w:szCs w:val="21"/>
          <w:u w:val="single" w:color="auto"/>
        </w:rPr>
        <w:t>），</w:t>
      </w:r>
      <w:r>
        <w:rPr>
          <w:rFonts w:ascii="宋体" w:hAnsi="宋体" w:eastAsia="宋体" w:cs="宋体"/>
          <w:color w:val="0000FF"/>
          <w:sz w:val="21"/>
          <w:szCs w:val="21"/>
          <w:u w:val="single" w:color="auto"/>
        </w:rPr>
        <w:t>且未担任其他在施建设工程项目的</w:t>
      </w:r>
      <w:r>
        <w:rPr>
          <w:rFonts w:ascii="宋体" w:hAnsi="宋体" w:eastAsia="宋体" w:cs="宋体"/>
          <w:color w:val="0000FF"/>
          <w:spacing w:val="-2"/>
          <w:sz w:val="21"/>
          <w:szCs w:val="21"/>
          <w:u w:val="single" w:color="auto"/>
        </w:rPr>
        <w:t>项目经理</w:t>
      </w:r>
      <w:r>
        <w:rPr>
          <w:rFonts w:ascii="宋体" w:hAnsi="宋体" w:eastAsia="宋体" w:cs="宋体"/>
          <w:color w:val="0000FF"/>
          <w:spacing w:val="-2"/>
          <w:sz w:val="21"/>
          <w:szCs w:val="21"/>
        </w:rPr>
        <w:t>。</w:t>
      </w:r>
    </w:p>
    <w:p w14:paraId="617B9B1B">
      <w:pPr>
        <w:spacing w:before="168" w:line="360" w:lineRule="auto"/>
        <w:ind w:left="446"/>
        <w:rPr>
          <w:rFonts w:hint="default" w:ascii="宋体" w:hAnsi="宋体" w:eastAsia="宋体" w:cs="宋体"/>
          <w:sz w:val="21"/>
          <w:szCs w:val="21"/>
          <w:u w:val="single" w:color="auto"/>
          <w:lang w:val="en-US" w:eastAsia="zh-CN"/>
        </w:rPr>
      </w:pPr>
      <w:r>
        <w:rPr>
          <w:rFonts w:ascii="宋体" w:hAnsi="宋体" w:eastAsia="宋体" w:cs="宋体"/>
          <w:spacing w:val="1"/>
          <w:sz w:val="21"/>
          <w:szCs w:val="21"/>
        </w:rPr>
        <w:t>3.2</w:t>
      </w:r>
      <w:r>
        <w:rPr>
          <w:rFonts w:ascii="宋体" w:hAnsi="宋体" w:eastAsia="宋体" w:cs="宋体"/>
          <w:spacing w:val="-43"/>
          <w:sz w:val="21"/>
          <w:szCs w:val="21"/>
        </w:rPr>
        <w:t xml:space="preserve"> </w:t>
      </w:r>
      <w:r>
        <w:rPr>
          <w:rFonts w:ascii="宋体" w:hAnsi="宋体" w:eastAsia="宋体" w:cs="宋体"/>
          <w:spacing w:val="1"/>
          <w:sz w:val="21"/>
          <w:szCs w:val="21"/>
        </w:rPr>
        <w:t>本次招标</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不接受</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（接受或不接受）</w:t>
      </w:r>
      <w:r>
        <w:rPr>
          <w:rFonts w:ascii="宋体" w:hAnsi="宋体" w:eastAsia="宋体" w:cs="宋体"/>
          <w:sz w:val="21"/>
          <w:szCs w:val="21"/>
        </w:rPr>
        <w:t>联合体投标。联合体投标的，应满足下列要求：</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p>
    <w:p w14:paraId="526C0236">
      <w:pPr>
        <w:spacing w:before="168" w:line="360" w:lineRule="auto"/>
        <w:ind w:left="446"/>
        <w:rPr>
          <w:rFonts w:ascii="宋体" w:hAnsi="宋体" w:eastAsia="宋体" w:cs="宋体"/>
          <w:sz w:val="21"/>
          <w:szCs w:val="21"/>
        </w:rPr>
      </w:pPr>
      <w:r>
        <w:rPr>
          <w:rFonts w:ascii="宋体" w:hAnsi="宋体" w:eastAsia="宋体" w:cs="宋体"/>
          <w:spacing w:val="-3"/>
          <w:sz w:val="21"/>
          <w:szCs w:val="21"/>
        </w:rPr>
        <w:t>3.3</w:t>
      </w:r>
      <w:r>
        <w:rPr>
          <w:rFonts w:ascii="宋体" w:hAnsi="宋体" w:eastAsia="宋体" w:cs="宋体"/>
          <w:spacing w:val="-39"/>
          <w:sz w:val="21"/>
          <w:szCs w:val="21"/>
        </w:rPr>
        <w:t xml:space="preserve"> </w:t>
      </w:r>
      <w:r>
        <w:rPr>
          <w:rFonts w:ascii="宋体" w:hAnsi="宋体" w:eastAsia="宋体" w:cs="宋体"/>
          <w:spacing w:val="-3"/>
          <w:sz w:val="21"/>
          <w:szCs w:val="21"/>
        </w:rPr>
        <w:t>其他要求：</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(1)凡在“信用中国或信用中国辽宁”网站或同级及以上网站查询，被列入失信被执行人或黑名单的单位、重大税收违法案件当事人名单等不良行为的不得参加本工程投标。(2)投标人须具备市场监督管理部门核发的有效营业执照。(3)投标人授权的委托代理人应具有与投标人单位签订的经人社部门认定盖章、一年以上(含1年)的劳动合同或社会养老保险关系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(5)本工程实行资格后审，资格审查的具体要求见招标文件，资格后审不合格的投标文件将被否决。</w:t>
      </w:r>
      <w:r>
        <w:rPr>
          <w:rFonts w:ascii="宋体" w:hAnsi="宋体" w:eastAsia="宋体" w:cs="宋体"/>
          <w:spacing w:val="1"/>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0A9FD65F">
      <w:pPr>
        <w:spacing w:before="120" w:line="219" w:lineRule="auto"/>
        <w:ind w:left="17"/>
        <w:outlineLvl w:val="1"/>
        <w:rPr>
          <w:rFonts w:ascii="黑体" w:hAnsi="黑体" w:eastAsia="黑体" w:cs="黑体"/>
          <w:sz w:val="21"/>
          <w:szCs w:val="21"/>
        </w:rPr>
      </w:pPr>
      <w:bookmarkStart w:id="12" w:name="bookmark7"/>
      <w:bookmarkEnd w:id="12"/>
      <w:r>
        <w:rPr>
          <w:rFonts w:ascii="黑体" w:hAnsi="黑体" w:eastAsia="黑体" w:cs="黑体"/>
          <w:sz w:val="21"/>
          <w:szCs w:val="21"/>
        </w:rPr>
        <w:t>4.招标文件的获取</w:t>
      </w:r>
    </w:p>
    <w:p w14:paraId="79422B50">
      <w:pPr>
        <w:spacing w:before="111" w:line="318" w:lineRule="auto"/>
        <w:ind w:left="23" w:right="176" w:firstLine="435"/>
        <w:rPr>
          <w:rFonts w:ascii="宋体" w:hAnsi="宋体" w:eastAsia="宋体" w:cs="宋体"/>
          <w:sz w:val="21"/>
          <w:szCs w:val="21"/>
        </w:rPr>
      </w:pPr>
      <w:r>
        <w:rPr>
          <w:rFonts w:ascii="宋体" w:hAnsi="宋体" w:eastAsia="宋体" w:cs="宋体"/>
          <w:spacing w:val="3"/>
          <w:sz w:val="21"/>
          <w:szCs w:val="21"/>
        </w:rPr>
        <w:t>4.1</w:t>
      </w:r>
      <w:r>
        <w:rPr>
          <w:rFonts w:ascii="宋体" w:hAnsi="宋体" w:eastAsia="宋体" w:cs="宋体"/>
          <w:spacing w:val="66"/>
          <w:sz w:val="21"/>
          <w:szCs w:val="21"/>
        </w:rPr>
        <w:t xml:space="preserve"> </w:t>
      </w:r>
      <w:r>
        <w:rPr>
          <w:rFonts w:ascii="宋体" w:hAnsi="宋体" w:eastAsia="宋体" w:cs="宋体"/>
          <w:spacing w:val="3"/>
          <w:sz w:val="21"/>
          <w:szCs w:val="21"/>
        </w:rPr>
        <w:t>凡有意参加投标者（若为联合体投标，指联合体所有成员</w:t>
      </w:r>
      <w:r>
        <w:rPr>
          <w:rFonts w:ascii="宋体" w:hAnsi="宋体" w:eastAsia="宋体" w:cs="宋体"/>
          <w:spacing w:val="-39"/>
          <w:sz w:val="21"/>
          <w:szCs w:val="21"/>
        </w:rPr>
        <w:t>），</w:t>
      </w:r>
      <w:r>
        <w:rPr>
          <w:rFonts w:ascii="宋体" w:hAnsi="宋体" w:eastAsia="宋体" w:cs="宋体"/>
          <w:spacing w:val="3"/>
          <w:sz w:val="21"/>
          <w:szCs w:val="21"/>
        </w:rPr>
        <w:t>应当在农业农村领</w:t>
      </w:r>
      <w:r>
        <w:rPr>
          <w:rFonts w:ascii="宋体" w:hAnsi="宋体" w:eastAsia="宋体" w:cs="宋体"/>
          <w:spacing w:val="-3"/>
          <w:sz w:val="21"/>
          <w:szCs w:val="21"/>
        </w:rPr>
        <w:t>域主体信息库进行注册登记（具体参见农业农村</w:t>
      </w:r>
      <w:r>
        <w:rPr>
          <w:rFonts w:ascii="宋体" w:hAnsi="宋体" w:eastAsia="宋体" w:cs="宋体"/>
          <w:spacing w:val="-4"/>
          <w:sz w:val="21"/>
          <w:szCs w:val="21"/>
        </w:rPr>
        <w:t>领域主体信息库注册操作指南）。</w:t>
      </w:r>
    </w:p>
    <w:p w14:paraId="68A9EF5A">
      <w:pPr>
        <w:spacing w:before="115" w:line="221" w:lineRule="auto"/>
        <w:ind w:left="458"/>
        <w:rPr>
          <w:rFonts w:ascii="宋体" w:hAnsi="宋体" w:eastAsia="宋体" w:cs="宋体"/>
          <w:color w:val="0000FF"/>
          <w:sz w:val="21"/>
          <w:szCs w:val="21"/>
        </w:rPr>
      </w:pPr>
      <w:bookmarkStart w:id="13" w:name="bookmark478"/>
      <w:bookmarkEnd w:id="13"/>
      <w:r>
        <w:rPr>
          <w:rFonts w:ascii="宋体" w:hAnsi="宋体" w:eastAsia="宋体" w:cs="宋体"/>
          <w:spacing w:val="-6"/>
          <w:sz w:val="21"/>
          <w:szCs w:val="21"/>
        </w:rPr>
        <w:t>4.2 完成注册登记后，</w:t>
      </w:r>
      <w:r>
        <w:rPr>
          <w:rFonts w:ascii="宋体" w:hAnsi="宋体" w:eastAsia="宋体" w:cs="宋体"/>
          <w:color w:val="0000FF"/>
          <w:spacing w:val="-6"/>
          <w:sz w:val="21"/>
          <w:szCs w:val="21"/>
        </w:rPr>
        <w:t>请于</w:t>
      </w:r>
      <w:r>
        <w:rPr>
          <w:rFonts w:ascii="宋体" w:hAnsi="宋体" w:eastAsia="宋体" w:cs="宋体"/>
          <w:color w:val="0000FF"/>
          <w:spacing w:val="-97"/>
          <w:sz w:val="21"/>
          <w:szCs w:val="21"/>
        </w:rPr>
        <w:t xml:space="preserve"> </w:t>
      </w:r>
      <w:r>
        <w:rPr>
          <w:rFonts w:ascii="宋体" w:hAnsi="宋体" w:eastAsia="宋体" w:cs="宋体"/>
          <w:color w:val="0000FF"/>
          <w:spacing w:val="4"/>
          <w:sz w:val="21"/>
          <w:szCs w:val="21"/>
          <w:u w:val="single" w:color="auto"/>
        </w:rPr>
        <w:t xml:space="preserve"> </w:t>
      </w:r>
      <w:r>
        <w:rPr>
          <w:rFonts w:hint="eastAsia" w:ascii="宋体" w:hAnsi="宋体" w:eastAsia="宋体" w:cs="宋体"/>
          <w:color w:val="0000FF"/>
          <w:spacing w:val="4"/>
          <w:sz w:val="21"/>
          <w:szCs w:val="21"/>
          <w:u w:val="single" w:color="auto"/>
          <w:lang w:val="en-US" w:eastAsia="zh-CN"/>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2"/>
          <w:sz w:val="21"/>
          <w:szCs w:val="21"/>
        </w:rPr>
        <w:t xml:space="preserve"> </w:t>
      </w:r>
      <w:r>
        <w:rPr>
          <w:rFonts w:ascii="宋体" w:hAnsi="宋体" w:eastAsia="宋体" w:cs="宋体"/>
          <w:color w:val="0000FF"/>
          <w:spacing w:val="-6"/>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88"/>
          <w:sz w:val="21"/>
          <w:szCs w:val="21"/>
        </w:rPr>
        <w:t xml:space="preserve"> </w:t>
      </w:r>
      <w:r>
        <w:rPr>
          <w:rFonts w:ascii="宋体" w:hAnsi="宋体" w:eastAsia="宋体" w:cs="宋体"/>
          <w:color w:val="0000FF"/>
          <w:spacing w:val="-6"/>
          <w:sz w:val="21"/>
          <w:szCs w:val="21"/>
        </w:rPr>
        <w:t>月</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60"/>
          <w:sz w:val="21"/>
          <w:szCs w:val="21"/>
        </w:rPr>
        <w:t xml:space="preserve"> </w:t>
      </w:r>
      <w:r>
        <w:rPr>
          <w:rFonts w:ascii="宋体" w:hAnsi="宋体" w:eastAsia="宋体" w:cs="宋体"/>
          <w:color w:val="0000FF"/>
          <w:spacing w:val="-6"/>
          <w:sz w:val="21"/>
          <w:szCs w:val="21"/>
        </w:rPr>
        <w:t>日至</w:t>
      </w:r>
      <w:r>
        <w:rPr>
          <w:rFonts w:ascii="宋体" w:hAnsi="宋体" w:eastAsia="宋体" w:cs="宋体"/>
          <w:color w:val="0000FF"/>
          <w:spacing w:val="-105"/>
          <w:sz w:val="21"/>
          <w:szCs w:val="21"/>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4"/>
          <w:sz w:val="21"/>
          <w:szCs w:val="21"/>
        </w:rPr>
        <w:t xml:space="preserve"> </w:t>
      </w:r>
      <w:r>
        <w:rPr>
          <w:rFonts w:ascii="宋体" w:hAnsi="宋体" w:eastAsia="宋体" w:cs="宋体"/>
          <w:color w:val="0000FF"/>
          <w:spacing w:val="-6"/>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89"/>
          <w:sz w:val="21"/>
          <w:szCs w:val="21"/>
        </w:rPr>
        <w:t xml:space="preserve"> </w:t>
      </w:r>
      <w:r>
        <w:rPr>
          <w:rFonts w:ascii="宋体" w:hAnsi="宋体" w:eastAsia="宋体" w:cs="宋体"/>
          <w:color w:val="0000FF"/>
          <w:spacing w:val="-6"/>
          <w:sz w:val="21"/>
          <w:szCs w:val="21"/>
        </w:rPr>
        <w:t>月</w:t>
      </w:r>
      <w:r>
        <w:rPr>
          <w:rFonts w:ascii="宋体" w:hAnsi="宋体" w:eastAsia="宋体" w:cs="宋体"/>
          <w:color w:val="0000FF"/>
          <w:spacing w:val="-104"/>
          <w:sz w:val="21"/>
          <w:szCs w:val="21"/>
        </w:rPr>
        <w:t xml:space="preserve"> </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59"/>
          <w:sz w:val="21"/>
          <w:szCs w:val="21"/>
        </w:rPr>
        <w:t xml:space="preserve"> </w:t>
      </w:r>
      <w:r>
        <w:rPr>
          <w:rFonts w:ascii="宋体" w:hAnsi="宋体" w:eastAsia="宋体" w:cs="宋体"/>
          <w:color w:val="0000FF"/>
          <w:spacing w:val="-6"/>
          <w:sz w:val="21"/>
          <w:szCs w:val="21"/>
        </w:rPr>
        <w:t>日</w:t>
      </w:r>
      <w:r>
        <w:rPr>
          <w:rFonts w:ascii="宋体" w:hAnsi="宋体" w:eastAsia="宋体" w:cs="宋体"/>
          <w:color w:val="0000FF"/>
          <w:spacing w:val="-41"/>
          <w:sz w:val="21"/>
          <w:szCs w:val="21"/>
        </w:rPr>
        <w:t xml:space="preserve"> </w:t>
      </w:r>
      <w:r>
        <w:rPr>
          <w:rFonts w:ascii="宋体" w:hAnsi="宋体" w:eastAsia="宋体" w:cs="宋体"/>
          <w:color w:val="0000FF"/>
          <w:spacing w:val="-6"/>
          <w:sz w:val="21"/>
          <w:szCs w:val="21"/>
        </w:rPr>
        <w:t>24：</w:t>
      </w:r>
    </w:p>
    <w:p w14:paraId="31C0CED5">
      <w:pPr>
        <w:spacing w:before="110" w:line="316" w:lineRule="auto"/>
        <w:ind w:left="21" w:firstLine="2"/>
        <w:rPr>
          <w:rFonts w:ascii="宋体" w:hAnsi="宋体" w:eastAsia="宋体" w:cs="宋体"/>
          <w:sz w:val="21"/>
          <w:szCs w:val="21"/>
        </w:rPr>
      </w:pPr>
      <w:r>
        <w:rPr>
          <w:rFonts w:ascii="宋体" w:hAnsi="宋体" w:eastAsia="宋体" w:cs="宋体"/>
          <w:color w:val="0000FF"/>
          <w:spacing w:val="-1"/>
          <w:sz w:val="21"/>
          <w:szCs w:val="21"/>
        </w:rPr>
        <w:t>00</w:t>
      </w:r>
      <w:r>
        <w:rPr>
          <w:rFonts w:ascii="宋体" w:hAnsi="宋体" w:eastAsia="宋体" w:cs="宋体"/>
          <w:color w:val="0000FF"/>
          <w:spacing w:val="-32"/>
          <w:sz w:val="21"/>
          <w:szCs w:val="21"/>
        </w:rPr>
        <w:t xml:space="preserve"> </w:t>
      </w:r>
      <w:r>
        <w:rPr>
          <w:rFonts w:ascii="宋体" w:hAnsi="宋体" w:eastAsia="宋体" w:cs="宋体"/>
          <w:color w:val="0000FF"/>
          <w:spacing w:val="-1"/>
          <w:sz w:val="21"/>
          <w:szCs w:val="21"/>
        </w:rPr>
        <w:t>时止（北京时间、下同</w:t>
      </w:r>
      <w:r>
        <w:rPr>
          <w:rFonts w:ascii="宋体" w:hAnsi="宋体" w:eastAsia="宋体" w:cs="宋体"/>
          <w:color w:val="0000FF"/>
          <w:spacing w:val="-54"/>
          <w:sz w:val="21"/>
          <w:szCs w:val="21"/>
        </w:rPr>
        <w:t>），</w:t>
      </w:r>
      <w:r>
        <w:rPr>
          <w:rFonts w:ascii="宋体" w:hAnsi="宋体" w:eastAsia="宋体" w:cs="宋体"/>
          <w:color w:val="0000FF"/>
          <w:spacing w:val="-1"/>
          <w:sz w:val="21"/>
          <w:szCs w:val="21"/>
        </w:rPr>
        <w:t>通过</w:t>
      </w:r>
      <w:r>
        <w:rPr>
          <w:rFonts w:ascii="宋体" w:hAnsi="宋体" w:eastAsia="宋体" w:cs="宋体"/>
          <w:color w:val="0000FF"/>
          <w:spacing w:val="-1"/>
          <w:sz w:val="21"/>
          <w:szCs w:val="21"/>
          <w:u w:val="single" w:color="auto"/>
        </w:rPr>
        <w:t>辽宁省农业农村工程盲盒服务系</w:t>
      </w:r>
      <w:r>
        <w:rPr>
          <w:rFonts w:ascii="宋体" w:hAnsi="宋体" w:eastAsia="宋体" w:cs="宋体"/>
          <w:color w:val="0000FF"/>
          <w:spacing w:val="-2"/>
          <w:sz w:val="21"/>
          <w:szCs w:val="21"/>
          <w:u w:val="single" w:color="auto"/>
        </w:rPr>
        <w:t>统（网址</w:t>
      </w:r>
      <w:r>
        <w:rPr>
          <w:rFonts w:ascii="宋体" w:hAnsi="宋体" w:eastAsia="宋体" w:cs="宋体"/>
          <w:color w:val="0000FF"/>
          <w:spacing w:val="-54"/>
          <w:sz w:val="21"/>
          <w:szCs w:val="21"/>
          <w:u w:val="single" w:color="auto"/>
        </w:rPr>
        <w:t>：</w:t>
      </w:r>
      <w:r>
        <w:rPr>
          <w:rFonts w:ascii="宋体" w:hAnsi="宋体" w:eastAsia="宋体" w:cs="宋体"/>
          <w:color w:val="0000FF"/>
          <w:spacing w:val="8"/>
          <w:sz w:val="21"/>
          <w:szCs w:val="21"/>
          <w:u w:val="single" w:color="auto"/>
        </w:rPr>
        <w:t xml:space="preserve">          </w:t>
      </w:r>
      <w:r>
        <w:rPr>
          <w:rFonts w:ascii="宋体" w:hAnsi="宋体" w:eastAsia="宋体" w:cs="宋体"/>
          <w:color w:val="0000FF"/>
          <w:spacing w:val="-54"/>
          <w:sz w:val="21"/>
          <w:szCs w:val="21"/>
          <w:u w:val="single" w:color="auto"/>
        </w:rPr>
        <w:t>）</w:t>
      </w:r>
      <w:r>
        <w:rPr>
          <w:rFonts w:ascii="宋体" w:hAnsi="宋体" w:eastAsia="宋体" w:cs="宋体"/>
          <w:color w:val="0000FF"/>
          <w:spacing w:val="-54"/>
          <w:sz w:val="21"/>
          <w:szCs w:val="21"/>
        </w:rPr>
        <w:t>，</w:t>
      </w:r>
      <w:r>
        <w:rPr>
          <w:rFonts w:ascii="宋体" w:hAnsi="宋体" w:eastAsia="宋体" w:cs="宋体"/>
          <w:spacing w:val="3"/>
          <w:sz w:val="21"/>
          <w:szCs w:val="21"/>
        </w:rPr>
        <w:t>在所投标段下载招标文件。联合体投标的，由联合体牵头人下</w:t>
      </w:r>
      <w:r>
        <w:rPr>
          <w:rFonts w:ascii="宋体" w:hAnsi="宋体" w:eastAsia="宋体" w:cs="宋体"/>
          <w:spacing w:val="2"/>
          <w:sz w:val="21"/>
          <w:szCs w:val="21"/>
        </w:rPr>
        <w:t>载招标文件。未按规定从系</w:t>
      </w:r>
      <w:r>
        <w:rPr>
          <w:rFonts w:ascii="宋体" w:hAnsi="宋体" w:eastAsia="宋体" w:cs="宋体"/>
          <w:spacing w:val="-1"/>
          <w:sz w:val="21"/>
          <w:szCs w:val="21"/>
        </w:rPr>
        <w:t>统下载招标文件的，招标人拒收其投标文件。</w:t>
      </w:r>
    </w:p>
    <w:p w14:paraId="3F5002F0">
      <w:pPr>
        <w:spacing w:line="219" w:lineRule="auto"/>
        <w:ind w:left="17"/>
        <w:outlineLvl w:val="1"/>
        <w:rPr>
          <w:rFonts w:ascii="黑体" w:hAnsi="黑体" w:eastAsia="黑体" w:cs="黑体"/>
          <w:sz w:val="21"/>
          <w:szCs w:val="21"/>
        </w:rPr>
      </w:pPr>
      <w:bookmarkStart w:id="14" w:name="bookmark8"/>
      <w:bookmarkEnd w:id="14"/>
      <w:r>
        <w:rPr>
          <w:rFonts w:ascii="黑体" w:hAnsi="黑体" w:eastAsia="黑体" w:cs="黑体"/>
          <w:sz w:val="21"/>
          <w:szCs w:val="21"/>
        </w:rPr>
        <w:t>5.投标文件的递交</w:t>
      </w:r>
    </w:p>
    <w:p w14:paraId="24E0EC77">
      <w:pPr>
        <w:spacing w:before="109" w:line="221" w:lineRule="auto"/>
        <w:ind w:left="463"/>
        <w:rPr>
          <w:rFonts w:ascii="宋体" w:hAnsi="宋体" w:eastAsia="宋体" w:cs="宋体"/>
          <w:color w:val="0000FF"/>
          <w:sz w:val="21"/>
          <w:szCs w:val="21"/>
        </w:rPr>
      </w:pPr>
      <w:r>
        <w:rPr>
          <w:rFonts w:ascii="宋体" w:hAnsi="宋体" w:eastAsia="宋体" w:cs="宋体"/>
          <w:color w:val="0000FF"/>
          <w:spacing w:val="-4"/>
          <w:sz w:val="21"/>
          <w:szCs w:val="21"/>
        </w:rPr>
        <w:t>5.1 投标文件递交截止时间为</w:t>
      </w:r>
      <w:r>
        <w:rPr>
          <w:rFonts w:ascii="宋体" w:hAnsi="宋体" w:eastAsia="宋体" w:cs="宋体"/>
          <w:color w:val="0000FF"/>
          <w:spacing w:val="-105"/>
          <w:sz w:val="21"/>
          <w:szCs w:val="21"/>
        </w:rPr>
        <w:t xml:space="preserve"> </w:t>
      </w:r>
      <w:r>
        <w:rPr>
          <w:rFonts w:ascii="宋体" w:hAnsi="宋体" w:eastAsia="宋体" w:cs="宋体"/>
          <w:color w:val="0000FF"/>
          <w:spacing w:val="17"/>
          <w:sz w:val="21"/>
          <w:szCs w:val="21"/>
          <w:u w:val="single" w:color="auto"/>
        </w:rPr>
        <w:t xml:space="preserve">      </w:t>
      </w:r>
      <w:r>
        <w:rPr>
          <w:rFonts w:ascii="宋体" w:hAnsi="宋体" w:eastAsia="宋体" w:cs="宋体"/>
          <w:color w:val="0000FF"/>
          <w:spacing w:val="-93"/>
          <w:sz w:val="21"/>
          <w:szCs w:val="21"/>
        </w:rPr>
        <w:t xml:space="preserve"> </w:t>
      </w:r>
      <w:r>
        <w:rPr>
          <w:rFonts w:ascii="宋体" w:hAnsi="宋体" w:eastAsia="宋体" w:cs="宋体"/>
          <w:color w:val="0000FF"/>
          <w:spacing w:val="-4"/>
          <w:sz w:val="21"/>
          <w:szCs w:val="21"/>
        </w:rPr>
        <w:t>年</w:t>
      </w:r>
      <w:r>
        <w:rPr>
          <w:rFonts w:ascii="宋体" w:hAnsi="宋体" w:eastAsia="宋体" w:cs="宋体"/>
          <w:color w:val="0000FF"/>
          <w:spacing w:val="-4"/>
          <w:sz w:val="21"/>
          <w:szCs w:val="21"/>
          <w:u w:val="single" w:color="auto"/>
        </w:rPr>
        <w:t xml:space="preserve">      </w:t>
      </w:r>
      <w:r>
        <w:rPr>
          <w:rFonts w:ascii="宋体" w:hAnsi="宋体" w:eastAsia="宋体" w:cs="宋体"/>
          <w:color w:val="0000FF"/>
          <w:spacing w:val="-92"/>
          <w:sz w:val="21"/>
          <w:szCs w:val="21"/>
        </w:rPr>
        <w:t xml:space="preserve"> </w:t>
      </w:r>
      <w:r>
        <w:rPr>
          <w:rFonts w:ascii="宋体" w:hAnsi="宋体" w:eastAsia="宋体" w:cs="宋体"/>
          <w:color w:val="0000FF"/>
          <w:spacing w:val="-4"/>
          <w:sz w:val="21"/>
          <w:szCs w:val="21"/>
        </w:rPr>
        <w:t>月</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57"/>
          <w:sz w:val="21"/>
          <w:szCs w:val="21"/>
        </w:rPr>
        <w:t xml:space="preserve"> </w:t>
      </w:r>
      <w:r>
        <w:rPr>
          <w:rFonts w:ascii="宋体" w:hAnsi="宋体" w:eastAsia="宋体" w:cs="宋体"/>
          <w:color w:val="0000FF"/>
          <w:spacing w:val="-4"/>
          <w:sz w:val="21"/>
          <w:szCs w:val="21"/>
        </w:rPr>
        <w:t>日</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84"/>
          <w:sz w:val="21"/>
          <w:szCs w:val="21"/>
        </w:rPr>
        <w:t xml:space="preserve"> </w:t>
      </w:r>
      <w:r>
        <w:rPr>
          <w:rFonts w:ascii="宋体" w:hAnsi="宋体" w:eastAsia="宋体" w:cs="宋体"/>
          <w:color w:val="0000FF"/>
          <w:spacing w:val="-5"/>
          <w:sz w:val="21"/>
          <w:szCs w:val="21"/>
        </w:rPr>
        <w:t>时</w:t>
      </w:r>
      <w:r>
        <w:rPr>
          <w:rFonts w:ascii="宋体" w:hAnsi="宋体" w:eastAsia="宋体" w:cs="宋体"/>
          <w:color w:val="0000FF"/>
          <w:spacing w:val="25"/>
          <w:sz w:val="21"/>
          <w:szCs w:val="21"/>
          <w:u w:val="single" w:color="auto"/>
        </w:rPr>
        <w:t xml:space="preserve">    </w:t>
      </w:r>
      <w:r>
        <w:rPr>
          <w:rFonts w:ascii="宋体" w:hAnsi="宋体" w:eastAsia="宋体" w:cs="宋体"/>
          <w:color w:val="0000FF"/>
          <w:spacing w:val="-91"/>
          <w:sz w:val="21"/>
          <w:szCs w:val="21"/>
        </w:rPr>
        <w:t xml:space="preserve"> </w:t>
      </w:r>
      <w:r>
        <w:rPr>
          <w:rFonts w:ascii="宋体" w:hAnsi="宋体" w:eastAsia="宋体" w:cs="宋体"/>
          <w:color w:val="0000FF"/>
          <w:spacing w:val="-5"/>
          <w:sz w:val="21"/>
          <w:szCs w:val="21"/>
        </w:rPr>
        <w:t>分。</w:t>
      </w:r>
    </w:p>
    <w:p w14:paraId="637C0A5E">
      <w:pPr>
        <w:spacing w:before="110" w:line="297" w:lineRule="auto"/>
        <w:ind w:left="21" w:right="159" w:firstLine="441"/>
        <w:rPr>
          <w:rFonts w:ascii="宋体" w:hAnsi="宋体" w:eastAsia="宋体" w:cs="宋体"/>
          <w:color w:val="0000FF"/>
          <w:sz w:val="21"/>
          <w:szCs w:val="21"/>
        </w:rPr>
      </w:pPr>
      <w:r>
        <w:rPr>
          <w:rFonts w:ascii="宋体" w:hAnsi="宋体" w:eastAsia="宋体" w:cs="宋体"/>
          <w:color w:val="0000FF"/>
          <w:spacing w:val="11"/>
          <w:sz w:val="21"/>
          <w:szCs w:val="21"/>
        </w:rPr>
        <w:t>5.2</w:t>
      </w:r>
      <w:r>
        <w:rPr>
          <w:rFonts w:ascii="宋体" w:hAnsi="宋体" w:eastAsia="宋体" w:cs="宋体"/>
          <w:color w:val="0000FF"/>
          <w:spacing w:val="74"/>
          <w:sz w:val="21"/>
          <w:szCs w:val="21"/>
        </w:rPr>
        <w:t xml:space="preserve"> </w:t>
      </w:r>
      <w:r>
        <w:rPr>
          <w:rFonts w:ascii="宋体" w:hAnsi="宋体" w:eastAsia="宋体" w:cs="宋体"/>
          <w:color w:val="0000FF"/>
          <w:spacing w:val="11"/>
          <w:sz w:val="21"/>
          <w:szCs w:val="21"/>
        </w:rPr>
        <w:t>投标人应当在投标截止时间前，通过</w:t>
      </w:r>
      <w:r>
        <w:rPr>
          <w:rFonts w:ascii="宋体" w:hAnsi="宋体" w:eastAsia="宋体" w:cs="宋体"/>
          <w:color w:val="0000FF"/>
          <w:spacing w:val="-93"/>
          <w:sz w:val="21"/>
          <w:szCs w:val="21"/>
        </w:rPr>
        <w:t xml:space="preserve"> </w:t>
      </w:r>
      <w:r>
        <w:rPr>
          <w:rFonts w:ascii="宋体" w:hAnsi="宋体" w:eastAsia="宋体" w:cs="宋体"/>
          <w:color w:val="0000FF"/>
          <w:spacing w:val="-91"/>
          <w:sz w:val="21"/>
          <w:szCs w:val="21"/>
          <w:u w:val="single" w:color="auto"/>
        </w:rPr>
        <w:t xml:space="preserve"> </w:t>
      </w:r>
      <w:r>
        <w:rPr>
          <w:rFonts w:ascii="宋体" w:hAnsi="宋体" w:eastAsia="宋体" w:cs="宋体"/>
          <w:color w:val="0000FF"/>
          <w:spacing w:val="11"/>
          <w:sz w:val="21"/>
          <w:szCs w:val="21"/>
          <w:u w:val="single" w:color="auto"/>
        </w:rPr>
        <w:t>辽宁省农业农村工</w:t>
      </w:r>
      <w:r>
        <w:rPr>
          <w:rFonts w:ascii="宋体" w:hAnsi="宋体" w:eastAsia="宋体" w:cs="宋体"/>
          <w:color w:val="0000FF"/>
          <w:spacing w:val="10"/>
          <w:sz w:val="21"/>
          <w:szCs w:val="21"/>
          <w:u w:val="single" w:color="auto"/>
        </w:rPr>
        <w:t>程盲盒服务系统（网</w:t>
      </w:r>
      <w:r>
        <w:rPr>
          <w:rFonts w:ascii="宋体" w:hAnsi="宋体" w:eastAsia="宋体" w:cs="宋体"/>
          <w:color w:val="0000FF"/>
          <w:spacing w:val="-1"/>
          <w:sz w:val="21"/>
          <w:szCs w:val="21"/>
          <w:u w:val="single" w:color="auto"/>
        </w:rPr>
        <w:t>址</w:t>
      </w:r>
      <w:r>
        <w:rPr>
          <w:rFonts w:ascii="宋体" w:hAnsi="宋体" w:eastAsia="宋体" w:cs="宋体"/>
          <w:color w:val="0000FF"/>
          <w:spacing w:val="-27"/>
          <w:sz w:val="21"/>
          <w:szCs w:val="21"/>
          <w:u w:val="single" w:color="auto"/>
        </w:rPr>
        <w:t>：</w:t>
      </w:r>
      <w:r>
        <w:rPr>
          <w:rFonts w:ascii="宋体" w:hAnsi="宋体" w:eastAsia="宋体" w:cs="宋体"/>
          <w:color w:val="0000FF"/>
          <w:sz w:val="21"/>
          <w:szCs w:val="21"/>
          <w:u w:val="single" w:color="auto"/>
        </w:rPr>
        <w:t xml:space="preserve">                  </w:t>
      </w:r>
      <w:r>
        <w:rPr>
          <w:rFonts w:ascii="宋体" w:hAnsi="宋体" w:eastAsia="宋体" w:cs="宋体"/>
          <w:color w:val="0000FF"/>
          <w:spacing w:val="-27"/>
          <w:sz w:val="21"/>
          <w:szCs w:val="21"/>
          <w:u w:val="single" w:color="auto"/>
        </w:rPr>
        <w:t>）</w:t>
      </w:r>
      <w:r>
        <w:rPr>
          <w:rFonts w:ascii="宋体" w:hAnsi="宋体" w:eastAsia="宋体" w:cs="宋体"/>
          <w:color w:val="0000FF"/>
          <w:spacing w:val="-27"/>
          <w:sz w:val="21"/>
          <w:szCs w:val="21"/>
        </w:rPr>
        <w:t>，</w:t>
      </w:r>
      <w:r>
        <w:rPr>
          <w:rFonts w:ascii="宋体" w:hAnsi="宋体" w:eastAsia="宋体" w:cs="宋体"/>
          <w:color w:val="0000FF"/>
          <w:spacing w:val="-1"/>
          <w:sz w:val="21"/>
          <w:szCs w:val="21"/>
        </w:rPr>
        <w:t>选择所投标段将加密的电子投标文件上传。投标人完成投标文</w:t>
      </w:r>
      <w:r>
        <w:rPr>
          <w:rFonts w:ascii="宋体" w:hAnsi="宋体" w:eastAsia="宋体" w:cs="宋体"/>
          <w:color w:val="0000FF"/>
          <w:spacing w:val="3"/>
          <w:sz w:val="21"/>
          <w:szCs w:val="21"/>
        </w:rPr>
        <w:t>件上传后，</w:t>
      </w:r>
      <w:r>
        <w:rPr>
          <w:rFonts w:ascii="宋体" w:hAnsi="宋体" w:eastAsia="宋体" w:cs="宋体"/>
          <w:color w:val="0000FF"/>
          <w:spacing w:val="3"/>
          <w:sz w:val="21"/>
          <w:szCs w:val="21"/>
          <w:u w:val="single" w:color="auto"/>
        </w:rPr>
        <w:t xml:space="preserve"> 辽宁省工程建设项目数字化开标评标系统 </w:t>
      </w:r>
      <w:r>
        <w:rPr>
          <w:rFonts w:ascii="宋体" w:hAnsi="宋体" w:eastAsia="宋体" w:cs="宋体"/>
          <w:color w:val="0000FF"/>
          <w:spacing w:val="3"/>
          <w:sz w:val="21"/>
          <w:szCs w:val="21"/>
        </w:rPr>
        <w:t>通</w:t>
      </w:r>
      <w:r>
        <w:rPr>
          <w:rFonts w:ascii="宋体" w:hAnsi="宋体" w:eastAsia="宋体" w:cs="宋体"/>
          <w:color w:val="0000FF"/>
          <w:spacing w:val="2"/>
          <w:sz w:val="21"/>
          <w:szCs w:val="21"/>
        </w:rPr>
        <w:t>过</w:t>
      </w:r>
      <w:r>
        <w:rPr>
          <w:rFonts w:ascii="宋体" w:hAnsi="宋体" w:eastAsia="宋体" w:cs="宋体"/>
          <w:color w:val="0000FF"/>
          <w:spacing w:val="2"/>
          <w:sz w:val="21"/>
          <w:szCs w:val="21"/>
          <w:u w:val="single" w:color="auto"/>
        </w:rPr>
        <w:t>辽宁省农业农村工程盲盒服务</w:t>
      </w:r>
      <w:r>
        <w:rPr>
          <w:rFonts w:ascii="宋体" w:hAnsi="宋体" w:eastAsia="宋体" w:cs="宋体"/>
          <w:color w:val="0000FF"/>
          <w:spacing w:val="3"/>
          <w:sz w:val="21"/>
          <w:szCs w:val="21"/>
          <w:u w:val="single" w:color="auto"/>
        </w:rPr>
        <w:t>系统</w:t>
      </w:r>
      <w:r>
        <w:rPr>
          <w:rFonts w:ascii="宋体" w:hAnsi="宋体" w:eastAsia="宋体" w:cs="宋体"/>
          <w:color w:val="0000FF"/>
          <w:spacing w:val="3"/>
          <w:sz w:val="21"/>
          <w:szCs w:val="21"/>
        </w:rPr>
        <w:t>向投标人发出电子签收凭证，递交时间以电子签收凭证载明的时间为准。逾</w:t>
      </w:r>
      <w:r>
        <w:rPr>
          <w:rFonts w:ascii="宋体" w:hAnsi="宋体" w:eastAsia="宋体" w:cs="宋体"/>
          <w:color w:val="0000FF"/>
          <w:spacing w:val="2"/>
          <w:sz w:val="21"/>
          <w:szCs w:val="21"/>
        </w:rPr>
        <w:t>期未完成</w:t>
      </w:r>
      <w:r>
        <w:rPr>
          <w:rFonts w:ascii="宋体" w:hAnsi="宋体" w:eastAsia="宋体" w:cs="宋体"/>
          <w:color w:val="0000FF"/>
          <w:spacing w:val="-1"/>
          <w:sz w:val="21"/>
          <w:szCs w:val="21"/>
        </w:rPr>
        <w:t>上传或未加密的电子投标文件，招标人将拒收。</w:t>
      </w:r>
    </w:p>
    <w:p w14:paraId="2DD58396">
      <w:pPr>
        <w:spacing w:before="111" w:line="221" w:lineRule="auto"/>
        <w:ind w:left="463"/>
        <w:rPr>
          <w:rFonts w:ascii="宋体" w:hAnsi="宋体" w:eastAsia="宋体" w:cs="宋体"/>
          <w:sz w:val="21"/>
          <w:szCs w:val="21"/>
        </w:rPr>
      </w:pPr>
      <w:r>
        <w:rPr>
          <w:rFonts w:ascii="宋体" w:hAnsi="宋体" w:eastAsia="宋体" w:cs="宋体"/>
          <w:spacing w:val="-2"/>
          <w:sz w:val="21"/>
          <w:szCs w:val="21"/>
        </w:rPr>
        <w:t>5.3</w:t>
      </w:r>
      <w:r>
        <w:rPr>
          <w:rFonts w:ascii="宋体" w:hAnsi="宋体" w:eastAsia="宋体" w:cs="宋体"/>
          <w:spacing w:val="-26"/>
          <w:sz w:val="21"/>
          <w:szCs w:val="21"/>
        </w:rPr>
        <w:t xml:space="preserve"> </w:t>
      </w:r>
      <w:r>
        <w:rPr>
          <w:rFonts w:ascii="宋体" w:hAnsi="宋体" w:eastAsia="宋体" w:cs="宋体"/>
          <w:spacing w:val="-2"/>
          <w:sz w:val="21"/>
          <w:szCs w:val="21"/>
        </w:rPr>
        <w:t>开标地点：</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营口市营商环境建设中心（营口市公共资源交易中心）</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5E33FB6F">
      <w:pPr>
        <w:spacing w:before="108" w:line="360" w:lineRule="auto"/>
        <w:ind w:left="463"/>
        <w:rPr>
          <w:rFonts w:ascii="宋体" w:hAnsi="宋体" w:eastAsia="宋体" w:cs="宋体"/>
          <w:sz w:val="21"/>
          <w:szCs w:val="21"/>
        </w:rPr>
      </w:pPr>
      <w:r>
        <w:rPr>
          <w:rFonts w:ascii="宋体" w:hAnsi="宋体" w:eastAsia="宋体" w:cs="宋体"/>
          <w:spacing w:val="-2"/>
          <w:sz w:val="21"/>
          <w:szCs w:val="21"/>
        </w:rPr>
        <w:t>5.4</w:t>
      </w:r>
      <w:r>
        <w:rPr>
          <w:rFonts w:ascii="宋体" w:hAnsi="宋体" w:eastAsia="宋体" w:cs="宋体"/>
          <w:spacing w:val="-26"/>
          <w:sz w:val="21"/>
          <w:szCs w:val="21"/>
        </w:rPr>
        <w:t xml:space="preserve"> </w:t>
      </w:r>
      <w:r>
        <w:rPr>
          <w:rFonts w:ascii="宋体" w:hAnsi="宋体" w:eastAsia="宋体" w:cs="宋体"/>
          <w:spacing w:val="-2"/>
          <w:sz w:val="21"/>
          <w:szCs w:val="21"/>
        </w:rPr>
        <w:t>开标方式：</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远程不见面(请按招标文件规定时间登录“辽宁省工程建设项目数字化开标评标系统(农业农村工程https://218.60.153.214:8888/nyt-bid/)” 进行解密)。</w:t>
      </w:r>
      <w:r>
        <w:rPr>
          <w:rFonts w:ascii="宋体" w:hAnsi="宋体" w:eastAsia="宋体" w:cs="宋体"/>
          <w:spacing w:val="-2"/>
          <w:sz w:val="21"/>
          <w:szCs w:val="21"/>
          <w:u w:val="single" w:color="auto"/>
        </w:rPr>
        <w:t xml:space="preserve">         </w:t>
      </w:r>
    </w:p>
    <w:p w14:paraId="2B2479E7">
      <w:pPr>
        <w:spacing w:before="108" w:line="221" w:lineRule="auto"/>
        <w:ind w:left="21"/>
        <w:outlineLvl w:val="1"/>
        <w:rPr>
          <w:rFonts w:ascii="黑体" w:hAnsi="黑体" w:eastAsia="黑体" w:cs="黑体"/>
          <w:sz w:val="21"/>
          <w:szCs w:val="21"/>
        </w:rPr>
      </w:pPr>
      <w:bookmarkStart w:id="15" w:name="bookmark9"/>
      <w:bookmarkEnd w:id="15"/>
      <w:r>
        <w:rPr>
          <w:rFonts w:ascii="黑体" w:hAnsi="黑体" w:eastAsia="黑体" w:cs="黑体"/>
          <w:spacing w:val="-1"/>
          <w:sz w:val="21"/>
          <w:szCs w:val="21"/>
        </w:rPr>
        <w:t>6.投标相关事宜</w:t>
      </w:r>
    </w:p>
    <w:p w14:paraId="6973BCF5">
      <w:pPr>
        <w:spacing w:before="245" w:line="46" w:lineRule="exact"/>
        <w:ind w:left="3091"/>
        <w:rPr>
          <w:rFonts w:ascii="宋体" w:hAnsi="宋体" w:eastAsia="宋体" w:cs="宋体"/>
          <w:sz w:val="21"/>
          <w:szCs w:val="21"/>
        </w:rPr>
      </w:pPr>
      <w:r>
        <w:pict>
          <v:shape id="_x0000_s1026" o:spid="_x0000_s1026" o:spt="202" type="#_x0000_t202" style="position:absolute;left:0pt;margin-left:10.25pt;margin-top:5.4pt;height:14.1pt;width:143.9pt;z-index:251659264;mso-width-relative:page;mso-height-relative:page;" filled="f" stroked="f" coordsize="21600,21600">
            <v:path/>
            <v:fill on="f" focussize="0,0"/>
            <v:stroke on="f"/>
            <v:imagedata o:title=""/>
            <o:lock v:ext="edit" aspectratio="f"/>
            <v:textbox inset="0mm,0mm,0mm,0mm">
              <w:txbxContent>
                <w:p w14:paraId="241CAEBE">
                  <w:pPr>
                    <w:pStyle w:val="5"/>
                    <w:tabs>
                      <w:tab w:val="left" w:pos="2857"/>
                    </w:tabs>
                    <w:spacing w:before="20"/>
                    <w:ind w:left="20"/>
                    <w:rPr>
                      <w:rFonts w:hint="eastAsia" w:eastAsia="宋体"/>
                      <w:lang w:eastAsia="zh-CN"/>
                    </w:rPr>
                  </w:pPr>
                  <w:r>
                    <w:rPr>
                      <w:rFonts w:hint="eastAsia" w:eastAsia="宋体"/>
                      <w:u w:val="single" w:color="auto"/>
                      <w:lang w:val="en-US" w:eastAsia="zh-CN"/>
                    </w:rPr>
                    <w:t>/</w:t>
                  </w:r>
                </w:p>
              </w:txbxContent>
            </v:textbox>
          </v:shape>
        </w:pict>
      </w:r>
    </w:p>
    <w:p w14:paraId="3BCFB988">
      <w:pPr>
        <w:spacing w:before="178" w:line="219" w:lineRule="auto"/>
        <w:ind w:left="23"/>
        <w:outlineLvl w:val="1"/>
        <w:rPr>
          <w:rFonts w:ascii="黑体" w:hAnsi="黑体" w:eastAsia="黑体" w:cs="黑体"/>
          <w:sz w:val="21"/>
          <w:szCs w:val="21"/>
        </w:rPr>
      </w:pPr>
      <w:bookmarkStart w:id="16" w:name="bookmark10"/>
      <w:bookmarkEnd w:id="16"/>
      <w:r>
        <w:rPr>
          <w:rFonts w:ascii="黑体" w:hAnsi="黑体" w:eastAsia="黑体" w:cs="黑体"/>
          <w:spacing w:val="-1"/>
          <w:sz w:val="21"/>
          <w:szCs w:val="21"/>
        </w:rPr>
        <w:t>7.评标办法</w:t>
      </w:r>
    </w:p>
    <w:p w14:paraId="56A3AF0E">
      <w:pPr>
        <w:spacing w:before="111" w:line="219" w:lineRule="auto"/>
        <w:ind w:left="460"/>
        <w:rPr>
          <w:rFonts w:ascii="宋体" w:hAnsi="宋体" w:eastAsia="宋体" w:cs="宋体"/>
          <w:sz w:val="21"/>
          <w:szCs w:val="21"/>
        </w:rPr>
      </w:pPr>
      <w:r>
        <w:rPr>
          <w:rFonts w:ascii="宋体" w:hAnsi="宋体" w:eastAsia="宋体" w:cs="宋体"/>
          <w:sz w:val="21"/>
          <w:szCs w:val="21"/>
        </w:rPr>
        <w:t>本次招标评标办法采用</w:t>
      </w:r>
      <w:r>
        <w:rPr>
          <w:rFonts w:ascii="宋体" w:hAnsi="宋体" w:eastAsia="宋体" w:cs="宋体"/>
          <w:sz w:val="21"/>
          <w:szCs w:val="21"/>
          <w:u w:val="single" w:color="auto"/>
        </w:rPr>
        <w:t xml:space="preserve"> 综合评估法</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2BDECDB2">
      <w:pPr>
        <w:spacing w:before="111" w:line="219" w:lineRule="auto"/>
        <w:ind w:left="20"/>
        <w:outlineLvl w:val="1"/>
        <w:rPr>
          <w:rFonts w:ascii="黑体" w:hAnsi="黑体" w:eastAsia="黑体" w:cs="黑体"/>
          <w:sz w:val="21"/>
          <w:szCs w:val="21"/>
        </w:rPr>
      </w:pPr>
      <w:bookmarkStart w:id="17" w:name="bookmark11"/>
      <w:bookmarkEnd w:id="17"/>
      <w:r>
        <w:rPr>
          <w:rFonts w:ascii="黑体" w:hAnsi="黑体" w:eastAsia="黑体" w:cs="黑体"/>
          <w:spacing w:val="-1"/>
          <w:sz w:val="21"/>
          <w:szCs w:val="21"/>
        </w:rPr>
        <w:t>8.发布公告的媒介</w:t>
      </w:r>
    </w:p>
    <w:p w14:paraId="64F1EE8D">
      <w:pPr>
        <w:spacing w:before="111" w:line="219" w:lineRule="auto"/>
        <w:ind w:left="460"/>
        <w:rPr>
          <w:rFonts w:ascii="宋体" w:hAnsi="宋体" w:eastAsia="宋体" w:cs="宋体"/>
          <w:sz w:val="21"/>
          <w:szCs w:val="21"/>
        </w:rPr>
      </w:pPr>
      <w:r>
        <w:rPr>
          <w:rFonts w:ascii="宋体" w:hAnsi="宋体" w:eastAsia="宋体" w:cs="宋体"/>
          <w:spacing w:val="-1"/>
          <w:sz w:val="21"/>
          <w:szCs w:val="21"/>
        </w:rPr>
        <w:t>本次招标公告在</w:t>
      </w:r>
      <w:r>
        <w:rPr>
          <w:rFonts w:ascii="宋体" w:hAnsi="宋体" w:eastAsia="宋体" w:cs="宋体"/>
          <w:spacing w:val="-1"/>
          <w:sz w:val="21"/>
          <w:szCs w:val="21"/>
          <w:u w:val="single" w:color="auto"/>
        </w:rPr>
        <w:t>辽宁省招标投标监管网</w:t>
      </w:r>
      <w:r>
        <w:rPr>
          <w:rFonts w:hint="eastAsia" w:ascii="宋体" w:hAnsi="宋体" w:eastAsia="宋体" w:cs="宋体"/>
          <w:spacing w:val="-1"/>
          <w:sz w:val="21"/>
          <w:szCs w:val="21"/>
          <w:u w:val="single" w:color="auto"/>
          <w:lang w:eastAsia="zh-CN"/>
        </w:rPr>
        <w:t>、</w:t>
      </w:r>
      <w:r>
        <w:rPr>
          <w:rFonts w:hint="eastAsia" w:ascii="宋体" w:hAnsi="宋体" w:eastAsia="宋体" w:cs="宋体"/>
          <w:spacing w:val="-1"/>
          <w:sz w:val="21"/>
          <w:szCs w:val="21"/>
          <w:u w:val="single" w:color="auto"/>
          <w:lang w:val="en-US" w:eastAsia="zh-CN"/>
        </w:rPr>
        <w:t>沈阳农交中心电子招标采购交易平台</w:t>
      </w:r>
      <w:r>
        <w:rPr>
          <w:rFonts w:ascii="宋体" w:hAnsi="宋体" w:eastAsia="宋体" w:cs="宋体"/>
          <w:spacing w:val="-1"/>
          <w:sz w:val="21"/>
          <w:szCs w:val="21"/>
        </w:rPr>
        <w:t>上发布。</w:t>
      </w:r>
    </w:p>
    <w:p w14:paraId="28F62114">
      <w:pPr>
        <w:spacing w:before="111" w:line="219" w:lineRule="auto"/>
        <w:ind w:left="17"/>
        <w:outlineLvl w:val="1"/>
        <w:rPr>
          <w:rFonts w:ascii="黑体" w:hAnsi="黑体" w:eastAsia="黑体" w:cs="黑体"/>
          <w:sz w:val="21"/>
          <w:szCs w:val="21"/>
        </w:rPr>
      </w:pPr>
      <w:bookmarkStart w:id="18" w:name="bookmark12"/>
      <w:bookmarkEnd w:id="18"/>
      <w:r>
        <w:rPr>
          <w:rFonts w:ascii="黑体" w:hAnsi="黑体" w:eastAsia="黑体" w:cs="黑体"/>
          <w:sz w:val="21"/>
          <w:szCs w:val="21"/>
        </w:rPr>
        <w:t>9.监督信息</w:t>
      </w:r>
    </w:p>
    <w:p w14:paraId="7CE7B644">
      <w:pPr>
        <w:spacing w:before="111" w:line="221" w:lineRule="auto"/>
        <w:ind w:left="475"/>
        <w:rPr>
          <w:rFonts w:ascii="宋体" w:hAnsi="宋体" w:eastAsia="宋体" w:cs="宋体"/>
          <w:sz w:val="21"/>
          <w:szCs w:val="21"/>
        </w:rPr>
      </w:pPr>
      <w:r>
        <w:rPr>
          <w:rFonts w:ascii="宋体" w:hAnsi="宋体" w:eastAsia="宋体" w:cs="宋体"/>
          <w:spacing w:val="-1"/>
          <w:sz w:val="21"/>
          <w:szCs w:val="21"/>
        </w:rPr>
        <w:t>1.监督部门</w:t>
      </w:r>
      <w:r>
        <w:rPr>
          <w:rFonts w:ascii="宋体" w:hAnsi="宋体" w:eastAsia="宋体" w:cs="宋体"/>
          <w:spacing w:val="-6"/>
          <w:sz w:val="21"/>
          <w:szCs w:val="21"/>
        </w:rPr>
        <w:t>：</w:t>
      </w:r>
      <w:r>
        <w:rPr>
          <w:rFonts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营口市农业农村局</w:t>
      </w:r>
      <w:r>
        <w:rPr>
          <w:rFonts w:ascii="宋体" w:hAnsi="宋体" w:eastAsia="宋体" w:cs="宋体"/>
          <w:spacing w:val="10"/>
          <w:sz w:val="21"/>
          <w:szCs w:val="21"/>
          <w:u w:val="single" w:color="auto"/>
        </w:rPr>
        <w:t xml:space="preserve"> </w:t>
      </w:r>
      <w:r>
        <w:rPr>
          <w:rFonts w:ascii="宋体" w:hAnsi="宋体" w:eastAsia="宋体" w:cs="宋体"/>
          <w:spacing w:val="6"/>
          <w:sz w:val="21"/>
          <w:szCs w:val="21"/>
        </w:rPr>
        <w:t xml:space="preserve"> </w:t>
      </w:r>
      <w:r>
        <w:rPr>
          <w:rFonts w:ascii="宋体" w:hAnsi="宋体" w:eastAsia="宋体" w:cs="宋体"/>
          <w:spacing w:val="-6"/>
          <w:sz w:val="21"/>
          <w:szCs w:val="21"/>
        </w:rPr>
        <w:t>，</w:t>
      </w:r>
      <w:r>
        <w:rPr>
          <w:rFonts w:ascii="宋体" w:hAnsi="宋体" w:eastAsia="宋体" w:cs="宋体"/>
          <w:spacing w:val="-1"/>
          <w:sz w:val="21"/>
          <w:szCs w:val="21"/>
        </w:rPr>
        <w:t>负责人</w:t>
      </w:r>
      <w:r>
        <w:rPr>
          <w:rFonts w:ascii="宋体" w:hAnsi="宋体" w:eastAsia="宋体" w:cs="宋体"/>
          <w:spacing w:val="-6"/>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 xml:space="preserve">韩霜 </w:t>
      </w:r>
      <w:r>
        <w:rPr>
          <w:rFonts w:ascii="宋体" w:hAnsi="宋体" w:eastAsia="宋体" w:cs="宋体"/>
          <w:sz w:val="21"/>
          <w:szCs w:val="21"/>
          <w:u w:val="single" w:color="auto"/>
        </w:rPr>
        <w:t xml:space="preserve">  </w:t>
      </w:r>
      <w:r>
        <w:rPr>
          <w:rFonts w:ascii="宋体" w:hAnsi="宋体" w:eastAsia="宋体" w:cs="宋体"/>
          <w:spacing w:val="25"/>
          <w:sz w:val="21"/>
          <w:szCs w:val="21"/>
        </w:rPr>
        <w:t xml:space="preserve"> </w:t>
      </w:r>
      <w:r>
        <w:rPr>
          <w:rFonts w:ascii="宋体" w:hAnsi="宋体" w:eastAsia="宋体" w:cs="宋体"/>
          <w:spacing w:val="-6"/>
          <w:sz w:val="21"/>
          <w:szCs w:val="21"/>
        </w:rPr>
        <w:t>，</w:t>
      </w:r>
      <w:r>
        <w:rPr>
          <w:rFonts w:ascii="宋体" w:hAnsi="宋体" w:eastAsia="宋体" w:cs="宋体"/>
          <w:spacing w:val="-1"/>
          <w:sz w:val="21"/>
          <w:szCs w:val="21"/>
        </w:rPr>
        <w:t>联系方式：</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0417-2888733</w:t>
      </w:r>
      <w:r>
        <w:rPr>
          <w:rFonts w:ascii="宋体" w:hAnsi="宋体" w:eastAsia="宋体" w:cs="宋体"/>
          <w:spacing w:val="-1"/>
          <w:sz w:val="21"/>
          <w:szCs w:val="21"/>
          <w:u w:val="single" w:color="auto"/>
        </w:rPr>
        <w:t xml:space="preserve">        </w:t>
      </w:r>
    </w:p>
    <w:p w14:paraId="2F203587">
      <w:pPr>
        <w:spacing w:before="108" w:line="221" w:lineRule="auto"/>
        <w:ind w:left="462"/>
        <w:rPr>
          <w:rFonts w:ascii="宋体" w:hAnsi="宋体" w:eastAsia="宋体" w:cs="宋体"/>
          <w:sz w:val="21"/>
          <w:szCs w:val="21"/>
        </w:rPr>
      </w:pPr>
      <w:r>
        <w:rPr>
          <w:rFonts w:ascii="宋体" w:hAnsi="宋体" w:eastAsia="宋体" w:cs="宋体"/>
          <w:spacing w:val="-1"/>
          <w:sz w:val="21"/>
          <w:szCs w:val="21"/>
        </w:rPr>
        <w:t>2.招标负责人</w:t>
      </w:r>
      <w:r>
        <w:rPr>
          <w:rFonts w:ascii="宋体" w:hAnsi="宋体" w:eastAsia="宋体" w:cs="宋体"/>
          <w:spacing w:val="-7"/>
          <w:sz w:val="21"/>
          <w:szCs w:val="21"/>
        </w:rPr>
        <w:t>：</w:t>
      </w:r>
      <w:r>
        <w:rPr>
          <w:rFonts w:ascii="宋体" w:hAnsi="宋体" w:eastAsia="宋体" w:cs="宋体"/>
          <w:spacing w:val="13"/>
          <w:sz w:val="21"/>
          <w:szCs w:val="21"/>
          <w:u w:val="single" w:color="auto"/>
        </w:rPr>
        <w:t xml:space="preserve"> </w:t>
      </w:r>
      <w:r>
        <w:rPr>
          <w:rFonts w:hint="eastAsia" w:ascii="宋体" w:hAnsi="宋体" w:eastAsia="宋体" w:cs="宋体"/>
          <w:szCs w:val="21"/>
          <w:u w:val="single"/>
          <w:lang w:eastAsia="zh-CN"/>
        </w:rPr>
        <w:t>韩一莎</w:t>
      </w:r>
      <w:r>
        <w:rPr>
          <w:rFonts w:ascii="宋体" w:hAnsi="宋体" w:eastAsia="宋体" w:cs="宋体"/>
          <w:spacing w:val="13"/>
          <w:sz w:val="21"/>
          <w:szCs w:val="21"/>
          <w:u w:val="single" w:color="auto"/>
        </w:rPr>
        <w:t xml:space="preserve">  </w:t>
      </w:r>
      <w:r>
        <w:rPr>
          <w:rFonts w:ascii="宋体" w:hAnsi="宋体" w:eastAsia="宋体" w:cs="宋体"/>
          <w:spacing w:val="27"/>
          <w:sz w:val="21"/>
          <w:szCs w:val="21"/>
        </w:rPr>
        <w:t xml:space="preserve"> </w:t>
      </w:r>
      <w:r>
        <w:rPr>
          <w:rFonts w:ascii="宋体" w:hAnsi="宋体" w:eastAsia="宋体" w:cs="宋体"/>
          <w:spacing w:val="-7"/>
          <w:sz w:val="21"/>
          <w:szCs w:val="21"/>
        </w:rPr>
        <w:t>，</w:t>
      </w:r>
      <w:r>
        <w:rPr>
          <w:rFonts w:ascii="宋体" w:hAnsi="宋体" w:eastAsia="宋体" w:cs="宋体"/>
          <w:spacing w:val="-1"/>
          <w:sz w:val="21"/>
          <w:szCs w:val="21"/>
        </w:rPr>
        <w:t>联系方式：</w:t>
      </w:r>
      <w:r>
        <w:rPr>
          <w:rFonts w:hint="eastAsia" w:ascii="宋体" w:hAnsi="宋体" w:eastAsia="宋体" w:cs="宋体"/>
          <w:spacing w:val="-1"/>
          <w:sz w:val="21"/>
          <w:szCs w:val="21"/>
          <w:u w:val="single" w:color="auto"/>
          <w:lang w:val="en-US" w:eastAsia="zh-CN"/>
        </w:rPr>
        <w:t xml:space="preserve">0417-2888756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p>
    <w:p w14:paraId="01A7D1DD">
      <w:pPr>
        <w:spacing w:before="109" w:line="219" w:lineRule="auto"/>
        <w:ind w:left="33"/>
        <w:outlineLvl w:val="1"/>
        <w:rPr>
          <w:rFonts w:ascii="黑体" w:hAnsi="黑体" w:eastAsia="黑体" w:cs="黑体"/>
          <w:sz w:val="21"/>
          <w:szCs w:val="21"/>
        </w:rPr>
      </w:pPr>
      <w:bookmarkStart w:id="19" w:name="bookmark13"/>
      <w:bookmarkEnd w:id="19"/>
      <w:r>
        <w:rPr>
          <w:rFonts w:ascii="黑体" w:hAnsi="黑体" w:eastAsia="黑体" w:cs="黑体"/>
          <w:spacing w:val="-3"/>
          <w:sz w:val="21"/>
          <w:szCs w:val="21"/>
        </w:rPr>
        <w:t>10.联系方式</w:t>
      </w:r>
    </w:p>
    <w:p w14:paraId="51AFED3B">
      <w:pPr>
        <w:spacing w:before="111" w:line="214" w:lineRule="auto"/>
        <w:ind w:left="460"/>
        <w:rPr>
          <w:rFonts w:ascii="宋体" w:hAnsi="宋体" w:eastAsia="宋体" w:cs="宋体"/>
          <w:sz w:val="21"/>
          <w:szCs w:val="21"/>
        </w:rPr>
      </w:pPr>
      <w:r>
        <w:rPr>
          <w:rFonts w:ascii="宋体" w:hAnsi="宋体" w:eastAsia="宋体" w:cs="宋体"/>
          <w:sz w:val="21"/>
          <w:szCs w:val="21"/>
        </w:rPr>
        <w:t>招 标 人：</w:t>
      </w:r>
      <w:r>
        <w:rPr>
          <w:rFonts w:hint="eastAsia" w:ascii="宋体" w:hAnsi="宋体" w:eastAsia="宋体" w:cs="宋体"/>
          <w:szCs w:val="21"/>
          <w:u w:val="single"/>
        </w:rPr>
        <w:t>营口市动物疫病预防控制中心</w:t>
      </w:r>
      <w:r>
        <w:rPr>
          <w:rFonts w:ascii="宋体" w:hAnsi="宋体" w:eastAsia="宋体" w:cs="宋体"/>
          <w:sz w:val="21"/>
          <w:szCs w:val="21"/>
          <w:u w:val="single" w:color="auto"/>
        </w:rPr>
        <w:t xml:space="preserve"> </w:t>
      </w:r>
      <w:r>
        <w:rPr>
          <w:rFonts w:ascii="宋体" w:hAnsi="宋体" w:eastAsia="宋体" w:cs="宋体"/>
          <w:sz w:val="21"/>
          <w:szCs w:val="21"/>
        </w:rPr>
        <w:t xml:space="preserve"> 招标代理机构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营口公物咨询管理有限公司</w:t>
      </w:r>
    </w:p>
    <w:p w14:paraId="792FA54B">
      <w:pPr>
        <w:spacing w:before="117" w:line="214" w:lineRule="auto"/>
        <w:ind w:left="459"/>
        <w:rPr>
          <w:rFonts w:ascii="宋体" w:hAnsi="宋体" w:eastAsia="宋体" w:cs="宋体"/>
          <w:sz w:val="21"/>
          <w:szCs w:val="21"/>
        </w:rPr>
      </w:pPr>
      <w:r>
        <w:rPr>
          <w:rFonts w:ascii="宋体" w:hAnsi="宋体" w:eastAsia="宋体" w:cs="宋体"/>
          <w:sz w:val="21"/>
          <w:szCs w:val="21"/>
        </w:rPr>
        <w:t>地    址：</w:t>
      </w:r>
      <w:r>
        <w:rPr>
          <w:rFonts w:hint="eastAsia" w:ascii="宋体" w:hAnsi="宋体" w:eastAsia="宋体" w:cs="宋体"/>
          <w:szCs w:val="21"/>
          <w:u w:val="single"/>
        </w:rPr>
        <w:t>营口市西市区青花大街西30号</w:t>
      </w:r>
      <w:r>
        <w:rPr>
          <w:rFonts w:ascii="宋体" w:hAnsi="宋体" w:eastAsia="宋体" w:cs="宋体"/>
          <w:sz w:val="21"/>
          <w:szCs w:val="21"/>
        </w:rPr>
        <w:t xml:space="preserve">     地    址：</w:t>
      </w:r>
      <w:r>
        <w:rPr>
          <w:rFonts w:hint="eastAsia" w:ascii="宋体" w:hAnsi="宋体" w:eastAsia="宋体" w:cs="宋体"/>
          <w:szCs w:val="21"/>
          <w:u w:val="single"/>
        </w:rPr>
        <w:t>营口市渤海大街西64号</w:t>
      </w:r>
    </w:p>
    <w:p w14:paraId="27C721F7">
      <w:pPr>
        <w:spacing w:before="116" w:line="214" w:lineRule="auto"/>
        <w:ind w:left="475"/>
        <w:rPr>
          <w:rFonts w:ascii="宋体" w:hAnsi="宋体" w:eastAsia="宋体" w:cs="宋体"/>
          <w:sz w:val="21"/>
          <w:szCs w:val="21"/>
        </w:rPr>
      </w:pPr>
      <w:r>
        <w:rPr>
          <w:rFonts w:ascii="宋体" w:hAnsi="宋体" w:eastAsia="宋体" w:cs="宋体"/>
          <w:spacing w:val="-1"/>
          <w:sz w:val="21"/>
          <w:szCs w:val="21"/>
        </w:rPr>
        <w:t>邮    编：</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1"/>
          <w:sz w:val="21"/>
          <w:szCs w:val="21"/>
        </w:rPr>
        <w:t>邮    编：____</w:t>
      </w:r>
      <w:r>
        <w:rPr>
          <w:rFonts w:hint="eastAsia" w:ascii="宋体" w:hAnsi="宋体" w:eastAsia="宋体" w:cs="宋体"/>
          <w:spacing w:val="-1"/>
          <w:sz w:val="21"/>
          <w:szCs w:val="21"/>
          <w:lang w:val="en-US" w:eastAsia="zh-CN"/>
        </w:rPr>
        <w:t>/</w:t>
      </w:r>
      <w:r>
        <w:rPr>
          <w:rFonts w:ascii="宋体" w:hAnsi="宋体" w:eastAsia="宋体" w:cs="宋体"/>
          <w:spacing w:val="-1"/>
          <w:sz w:val="21"/>
          <w:szCs w:val="21"/>
        </w:rPr>
        <w:t>_________</w:t>
      </w:r>
      <w:r>
        <w:rPr>
          <w:rFonts w:ascii="宋体" w:hAnsi="宋体" w:eastAsia="宋体" w:cs="宋体"/>
          <w:spacing w:val="-2"/>
          <w:sz w:val="21"/>
          <w:szCs w:val="21"/>
        </w:rPr>
        <w:t>__________</w:t>
      </w:r>
    </w:p>
    <w:p w14:paraId="17AF2804">
      <w:pPr>
        <w:adjustRightInd w:val="0"/>
        <w:snapToGrid w:val="0"/>
        <w:spacing w:line="360" w:lineRule="auto"/>
        <w:ind w:firstLine="630" w:firstLineChars="300"/>
        <w:rPr>
          <w:rFonts w:hint="eastAsia" w:ascii="宋体" w:hAnsi="宋体" w:eastAsia="宋体" w:cs="宋体"/>
          <w:szCs w:val="21"/>
          <w:u w:val="single"/>
          <w:lang w:eastAsia="zh-CN"/>
        </w:rPr>
      </w:pPr>
      <w:r>
        <w:rPr>
          <w:rFonts w:ascii="宋体" w:hAnsi="宋体" w:eastAsia="宋体" w:cs="宋体"/>
          <w:sz w:val="21"/>
          <w:szCs w:val="21"/>
        </w:rPr>
        <w:t>联 系 人：</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韩一莎</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
          <w:sz w:val="21"/>
          <w:szCs w:val="21"/>
        </w:rPr>
        <w:t>联</w:t>
      </w:r>
      <w:r>
        <w:rPr>
          <w:rFonts w:ascii="宋体" w:hAnsi="宋体" w:eastAsia="宋体" w:cs="宋体"/>
          <w:spacing w:val="13"/>
          <w:sz w:val="21"/>
          <w:szCs w:val="21"/>
        </w:rPr>
        <w:t xml:space="preserve"> </w:t>
      </w:r>
      <w:r>
        <w:rPr>
          <w:rFonts w:ascii="宋体" w:hAnsi="宋体" w:eastAsia="宋体" w:cs="宋体"/>
          <w:spacing w:val="-1"/>
          <w:sz w:val="21"/>
          <w:szCs w:val="21"/>
        </w:rPr>
        <w:t>系</w:t>
      </w:r>
      <w:r>
        <w:rPr>
          <w:rFonts w:ascii="宋体" w:hAnsi="宋体" w:eastAsia="宋体" w:cs="宋体"/>
          <w:spacing w:val="8"/>
          <w:sz w:val="21"/>
          <w:szCs w:val="21"/>
        </w:rPr>
        <w:t xml:space="preserve"> </w:t>
      </w:r>
      <w:r>
        <w:rPr>
          <w:rFonts w:ascii="宋体" w:hAnsi="宋体" w:eastAsia="宋体" w:cs="宋体"/>
          <w:spacing w:val="-1"/>
          <w:sz w:val="21"/>
          <w:szCs w:val="21"/>
        </w:rPr>
        <w:t>人：</w:t>
      </w:r>
      <w:r>
        <w:rPr>
          <w:rFonts w:ascii="宋体" w:hAnsi="宋体" w:eastAsia="宋体" w:cs="宋体"/>
          <w:spacing w:val="-1"/>
          <w:sz w:val="21"/>
          <w:szCs w:val="21"/>
          <w:u w:val="single"/>
        </w:rPr>
        <w:t>_</w:t>
      </w:r>
      <w:r>
        <w:rPr>
          <w:rFonts w:hint="eastAsia" w:ascii="宋体" w:hAnsi="宋体" w:eastAsia="宋体" w:cs="宋体"/>
          <w:szCs w:val="21"/>
          <w:u w:val="single"/>
          <w:lang w:eastAsia="zh-CN"/>
        </w:rPr>
        <w:t>邱楠</w:t>
      </w:r>
    </w:p>
    <w:p w14:paraId="2F6FD9CE">
      <w:pPr>
        <w:spacing w:before="117" w:line="214" w:lineRule="auto"/>
        <w:ind w:left="484"/>
        <w:rPr>
          <w:rFonts w:hint="default" w:ascii="宋体" w:hAnsi="宋体" w:eastAsia="宋体" w:cs="宋体"/>
          <w:spacing w:val="-2"/>
          <w:sz w:val="21"/>
          <w:szCs w:val="21"/>
          <w:u w:val="single"/>
          <w:lang w:val="en-US" w:eastAsia="zh-CN"/>
        </w:rPr>
      </w:pPr>
      <w:r>
        <w:rPr>
          <w:rFonts w:ascii="宋体" w:hAnsi="宋体" w:eastAsia="宋体" w:cs="宋体"/>
          <w:spacing w:val="-2"/>
          <w:sz w:val="21"/>
          <w:szCs w:val="21"/>
        </w:rPr>
        <w:t>电    话：</w:t>
      </w:r>
      <w:r>
        <w:rPr>
          <w:rFonts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0417-2888756                   </w:t>
      </w:r>
      <w:r>
        <w:rPr>
          <w:rFonts w:ascii="宋体" w:hAnsi="宋体" w:eastAsia="宋体" w:cs="宋体"/>
          <w:spacing w:val="-2"/>
          <w:sz w:val="21"/>
          <w:szCs w:val="21"/>
        </w:rPr>
        <w:t>电    话：</w:t>
      </w:r>
      <w:r>
        <w:rPr>
          <w:rFonts w:hint="eastAsia" w:ascii="宋体" w:hAnsi="宋体" w:eastAsia="宋体" w:cs="宋体"/>
          <w:spacing w:val="-2"/>
          <w:sz w:val="21"/>
          <w:szCs w:val="21"/>
          <w:u w:val="single"/>
          <w:lang w:val="en-US" w:eastAsia="zh-CN"/>
        </w:rPr>
        <w:t xml:space="preserve"> 0417-2801618</w:t>
      </w:r>
    </w:p>
    <w:p w14:paraId="10606A01">
      <w:pPr>
        <w:adjustRightInd w:val="0"/>
        <w:snapToGrid w:val="0"/>
        <w:spacing w:line="360" w:lineRule="auto"/>
        <w:ind w:firstLine="416" w:firstLineChars="200"/>
        <w:rPr>
          <w:rFonts w:ascii="宋体" w:hAnsi="宋体" w:eastAsia="宋体" w:cs="宋体"/>
          <w:sz w:val="21"/>
          <w:szCs w:val="21"/>
        </w:rPr>
      </w:pPr>
      <w:r>
        <w:rPr>
          <w:rFonts w:ascii="宋体" w:hAnsi="宋体" w:eastAsia="宋体" w:cs="宋体"/>
          <w:spacing w:val="-1"/>
          <w:sz w:val="21"/>
          <w:szCs w:val="21"/>
        </w:rPr>
        <w:t>电子邮件：</w:t>
      </w:r>
      <w:r>
        <w:rPr>
          <w:rFonts w:ascii="宋体" w:hAnsi="宋体" w:eastAsia="宋体" w:cs="宋体"/>
          <w:spacing w:val="-1"/>
          <w:sz w:val="21"/>
          <w:szCs w:val="21"/>
          <w:u w:val="single" w:color="auto"/>
        </w:rPr>
        <w:t xml:space="preserve">                         </w:t>
      </w:r>
      <w:r>
        <w:rPr>
          <w:rFonts w:ascii="宋体" w:hAnsi="宋体" w:eastAsia="宋体" w:cs="宋体"/>
          <w:spacing w:val="5"/>
          <w:sz w:val="21"/>
          <w:szCs w:val="21"/>
        </w:rPr>
        <w:t xml:space="preserve">      </w:t>
      </w:r>
      <w:r>
        <w:rPr>
          <w:rFonts w:ascii="宋体" w:hAnsi="宋体" w:eastAsia="宋体" w:cs="宋体"/>
          <w:spacing w:val="-1"/>
          <w:sz w:val="21"/>
          <w:szCs w:val="21"/>
        </w:rPr>
        <w:t>电子邮件：</w:t>
      </w:r>
      <w:r>
        <w:rPr>
          <w:rFonts w:hint="eastAsia" w:ascii="宋体" w:hAnsi="宋体" w:eastAsia="宋体" w:cs="宋体"/>
          <w:szCs w:val="21"/>
          <w:u w:val="single"/>
        </w:rPr>
        <w:t>ykgongwu@163.com</w:t>
      </w:r>
      <w:r>
        <w:rPr>
          <w:rFonts w:ascii="宋体" w:hAnsi="宋体" w:eastAsia="宋体" w:cs="宋体"/>
          <w:spacing w:val="-2"/>
          <w:sz w:val="21"/>
          <w:szCs w:val="21"/>
        </w:rPr>
        <w:t>_</w:t>
      </w:r>
    </w:p>
    <w:p w14:paraId="3B75DCE8">
      <w:pPr>
        <w:spacing w:before="116" w:line="214" w:lineRule="auto"/>
        <w:ind w:left="475"/>
        <w:rPr>
          <w:rFonts w:ascii="宋体" w:hAnsi="宋体" w:eastAsia="宋体" w:cs="宋体"/>
          <w:sz w:val="21"/>
          <w:szCs w:val="21"/>
        </w:rPr>
      </w:pPr>
      <w:r>
        <w:rPr>
          <w:rFonts w:ascii="宋体" w:hAnsi="宋体" w:eastAsia="宋体" w:cs="宋体"/>
          <w:spacing w:val="-1"/>
          <w:sz w:val="21"/>
          <w:szCs w:val="21"/>
        </w:rPr>
        <w:t>网    址：</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1"/>
          <w:sz w:val="21"/>
          <w:szCs w:val="21"/>
        </w:rPr>
        <w:t>网    址：_</w:t>
      </w:r>
      <w:r>
        <w:rPr>
          <w:rFonts w:hint="eastAsia" w:ascii="宋体" w:hAnsi="宋体" w:eastAsia="宋体" w:cs="宋体"/>
          <w:spacing w:val="-1"/>
          <w:sz w:val="21"/>
          <w:szCs w:val="21"/>
          <w:lang w:val="en-US" w:eastAsia="zh-CN"/>
        </w:rPr>
        <w:t>/</w:t>
      </w:r>
      <w:r>
        <w:rPr>
          <w:rFonts w:ascii="宋体" w:hAnsi="宋体" w:eastAsia="宋体" w:cs="宋体"/>
          <w:spacing w:val="-1"/>
          <w:sz w:val="21"/>
          <w:szCs w:val="21"/>
        </w:rPr>
        <w:t>___________</w:t>
      </w:r>
      <w:r>
        <w:rPr>
          <w:rFonts w:ascii="宋体" w:hAnsi="宋体" w:eastAsia="宋体" w:cs="宋体"/>
          <w:spacing w:val="-2"/>
          <w:sz w:val="21"/>
          <w:szCs w:val="21"/>
        </w:rPr>
        <w:t>___________</w:t>
      </w:r>
    </w:p>
    <w:p w14:paraId="2C1E4C1E">
      <w:pPr>
        <w:spacing w:before="117" w:line="214" w:lineRule="auto"/>
        <w:ind w:left="460"/>
        <w:rPr>
          <w:rFonts w:ascii="宋体" w:hAnsi="宋体" w:eastAsia="宋体" w:cs="宋体"/>
          <w:sz w:val="21"/>
          <w:szCs w:val="21"/>
          <w:u w:val="single"/>
        </w:rPr>
      </w:pPr>
      <w:r>
        <w:rPr>
          <w:rFonts w:ascii="宋体" w:hAnsi="宋体" w:eastAsia="宋体" w:cs="宋体"/>
          <w:sz w:val="21"/>
          <w:szCs w:val="21"/>
        </w:rPr>
        <w:t>开户银行：</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
          <w:sz w:val="21"/>
          <w:szCs w:val="21"/>
        </w:rPr>
        <w:t xml:space="preserve"> 开户银行：</w:t>
      </w:r>
      <w:r>
        <w:rPr>
          <w:rFonts w:hint="eastAsia"/>
          <w:u w:val="single"/>
        </w:rPr>
        <w:t>工商银行营口新华支行</w:t>
      </w:r>
    </w:p>
    <w:p w14:paraId="4887A954">
      <w:pPr>
        <w:rPr>
          <w:rFonts w:hint="eastAsia"/>
        </w:rPr>
      </w:pPr>
      <w:r>
        <w:rPr>
          <w:rFonts w:ascii="宋体" w:hAnsi="宋体" w:eastAsia="宋体" w:cs="宋体"/>
          <w:spacing w:val="-7"/>
          <w:sz w:val="21"/>
          <w:szCs w:val="21"/>
        </w:rPr>
        <w:t>账</w:t>
      </w:r>
      <w:r>
        <w:rPr>
          <w:rFonts w:ascii="宋体" w:hAnsi="宋体" w:eastAsia="宋体" w:cs="宋体"/>
          <w:spacing w:val="4"/>
          <w:sz w:val="21"/>
          <w:szCs w:val="21"/>
        </w:rPr>
        <w:t xml:space="preserve">    </w:t>
      </w:r>
      <w:r>
        <w:rPr>
          <w:rFonts w:ascii="宋体" w:hAnsi="宋体" w:eastAsia="宋体" w:cs="宋体"/>
          <w:spacing w:val="-7"/>
          <w:sz w:val="21"/>
          <w:szCs w:val="21"/>
        </w:rPr>
        <w:t>号：</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ascii="宋体" w:hAnsi="宋体" w:eastAsia="宋体" w:cs="宋体"/>
          <w:spacing w:val="-7"/>
          <w:sz w:val="21"/>
          <w:szCs w:val="21"/>
        </w:rPr>
        <w:t>账</w:t>
      </w:r>
      <w:r>
        <w:rPr>
          <w:rFonts w:ascii="宋体" w:hAnsi="宋体" w:eastAsia="宋体" w:cs="宋体"/>
          <w:spacing w:val="2"/>
          <w:sz w:val="21"/>
          <w:szCs w:val="21"/>
        </w:rPr>
        <w:t xml:space="preserve">    </w:t>
      </w:r>
      <w:r>
        <w:rPr>
          <w:rFonts w:ascii="宋体" w:hAnsi="宋体" w:eastAsia="宋体" w:cs="宋体"/>
          <w:spacing w:val="-7"/>
          <w:sz w:val="21"/>
          <w:szCs w:val="21"/>
        </w:rPr>
        <w:t>号：</w:t>
      </w:r>
      <w:r>
        <w:rPr>
          <w:rFonts w:hint="eastAsia"/>
          <w:u w:val="single"/>
        </w:rPr>
        <w:t>_0709 0005 0920 0078 196</w:t>
      </w:r>
    </w:p>
    <w:p w14:paraId="3BA7E8EF">
      <w:pPr>
        <w:spacing w:before="116" w:line="214" w:lineRule="auto"/>
        <w:ind w:left="462"/>
        <w:rPr>
          <w:rFonts w:ascii="宋体" w:hAnsi="宋体" w:eastAsia="宋体" w:cs="宋体"/>
          <w:sz w:val="21"/>
          <w:szCs w:val="21"/>
        </w:rPr>
      </w:pPr>
    </w:p>
    <w:p w14:paraId="00F52E52">
      <w:pPr>
        <w:pStyle w:val="5"/>
        <w:spacing w:line="405" w:lineRule="auto"/>
      </w:pPr>
    </w:p>
    <w:p w14:paraId="5D4B9FAE">
      <w:pPr>
        <w:tabs>
          <w:tab w:val="left" w:pos="6329"/>
        </w:tabs>
        <w:spacing w:before="69" w:line="221" w:lineRule="auto"/>
        <w:ind w:left="559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1843B678">
      <w:pPr>
        <w:spacing w:line="221" w:lineRule="auto"/>
        <w:rPr>
          <w:rFonts w:ascii="宋体" w:hAnsi="宋体" w:eastAsia="宋体" w:cs="宋体"/>
          <w:sz w:val="21"/>
          <w:szCs w:val="21"/>
        </w:rPr>
        <w:sectPr>
          <w:footerReference r:id="rId18" w:type="default"/>
          <w:pgSz w:w="11905" w:h="16843"/>
          <w:pgMar w:top="969" w:right="1355" w:bottom="1026" w:left="1480" w:header="0" w:footer="754" w:gutter="0"/>
          <w:cols w:space="0" w:num="1"/>
          <w:rtlGutter w:val="0"/>
          <w:docGrid w:linePitch="0" w:charSpace="0"/>
        </w:sectPr>
      </w:pPr>
    </w:p>
    <w:p w14:paraId="227874C7">
      <w:pPr>
        <w:pStyle w:val="5"/>
        <w:spacing w:line="243" w:lineRule="auto"/>
        <w:rPr>
          <w:rFonts w:hint="eastAsia" w:eastAsia="宋体"/>
          <w:lang w:val="en-US" w:eastAsia="zh-CN"/>
        </w:rPr>
      </w:pPr>
      <w:bookmarkStart w:id="20" w:name="bookmark14"/>
      <w:bookmarkEnd w:id="20"/>
      <w:bookmarkStart w:id="21" w:name="bookmark479"/>
      <w:bookmarkEnd w:id="21"/>
      <w:r>
        <w:rPr>
          <w:rFonts w:hint="eastAsia" w:eastAsia="宋体"/>
          <w:lang w:val="en-US" w:eastAsia="zh-CN"/>
        </w:rPr>
        <w:t xml:space="preserve"> </w:t>
      </w:r>
    </w:p>
    <w:p w14:paraId="11786DF9">
      <w:pPr>
        <w:pStyle w:val="5"/>
        <w:spacing w:line="243" w:lineRule="auto"/>
      </w:pPr>
    </w:p>
    <w:p w14:paraId="09BF21D3">
      <w:pPr>
        <w:pStyle w:val="5"/>
        <w:spacing w:line="243" w:lineRule="auto"/>
      </w:pPr>
    </w:p>
    <w:p w14:paraId="64ACA7BC">
      <w:pPr>
        <w:pStyle w:val="5"/>
        <w:spacing w:line="243" w:lineRule="auto"/>
      </w:pPr>
    </w:p>
    <w:p w14:paraId="0CF4652A">
      <w:pPr>
        <w:pStyle w:val="5"/>
        <w:spacing w:line="243" w:lineRule="auto"/>
      </w:pPr>
    </w:p>
    <w:p w14:paraId="6D300C30">
      <w:pPr>
        <w:pStyle w:val="5"/>
        <w:spacing w:line="243" w:lineRule="auto"/>
      </w:pPr>
    </w:p>
    <w:p w14:paraId="785C708C">
      <w:pPr>
        <w:pStyle w:val="5"/>
        <w:spacing w:line="243" w:lineRule="auto"/>
      </w:pPr>
    </w:p>
    <w:p w14:paraId="33ADCD68">
      <w:pPr>
        <w:pStyle w:val="5"/>
        <w:spacing w:line="243" w:lineRule="auto"/>
      </w:pPr>
    </w:p>
    <w:p w14:paraId="22FDDADA">
      <w:pPr>
        <w:pStyle w:val="5"/>
        <w:spacing w:line="243" w:lineRule="auto"/>
      </w:pPr>
    </w:p>
    <w:p w14:paraId="316D2156">
      <w:pPr>
        <w:pStyle w:val="5"/>
        <w:spacing w:line="243" w:lineRule="auto"/>
      </w:pPr>
    </w:p>
    <w:p w14:paraId="0CE153DA">
      <w:pPr>
        <w:pStyle w:val="5"/>
        <w:spacing w:line="243" w:lineRule="auto"/>
      </w:pPr>
    </w:p>
    <w:p w14:paraId="75D4CAFB">
      <w:pPr>
        <w:pStyle w:val="5"/>
        <w:spacing w:line="244" w:lineRule="auto"/>
      </w:pPr>
    </w:p>
    <w:p w14:paraId="340BCFEF">
      <w:pPr>
        <w:pStyle w:val="5"/>
        <w:spacing w:line="244" w:lineRule="auto"/>
      </w:pPr>
    </w:p>
    <w:p w14:paraId="65292740">
      <w:pPr>
        <w:spacing w:before="101" w:line="224" w:lineRule="auto"/>
        <w:ind w:left="2739"/>
        <w:rPr>
          <w:rFonts w:ascii="黑体" w:hAnsi="黑体" w:eastAsia="黑体" w:cs="黑体"/>
          <w:sz w:val="31"/>
          <w:szCs w:val="31"/>
        </w:rPr>
      </w:pPr>
      <w:bookmarkStart w:id="22" w:name="bookmark481"/>
      <w:bookmarkEnd w:id="22"/>
      <w:r>
        <w:rPr>
          <w:rFonts w:ascii="黑体" w:hAnsi="黑体" w:eastAsia="黑体" w:cs="黑体"/>
          <w:spacing w:val="7"/>
          <w:sz w:val="31"/>
          <w:szCs w:val="31"/>
        </w:rPr>
        <w:t>第二章  投标人须知</w:t>
      </w:r>
    </w:p>
    <w:p w14:paraId="58C01698">
      <w:pPr>
        <w:spacing w:line="224" w:lineRule="auto"/>
        <w:rPr>
          <w:rFonts w:ascii="黑体" w:hAnsi="黑体" w:eastAsia="黑体" w:cs="黑体"/>
          <w:sz w:val="31"/>
          <w:szCs w:val="31"/>
        </w:rPr>
        <w:sectPr>
          <w:footerReference r:id="rId19" w:type="default"/>
          <w:pgSz w:w="11905" w:h="16843"/>
          <w:pgMar w:top="969" w:right="1355" w:bottom="1026" w:left="1480" w:header="0" w:footer="754" w:gutter="0"/>
          <w:cols w:space="0" w:num="1"/>
          <w:rtlGutter w:val="0"/>
          <w:docGrid w:linePitch="0" w:charSpace="0"/>
        </w:sectPr>
      </w:pPr>
    </w:p>
    <w:p w14:paraId="3C2592E9">
      <w:pPr>
        <w:spacing w:before="63" w:line="224" w:lineRule="auto"/>
        <w:ind w:left="2825"/>
        <w:outlineLvl w:val="0"/>
        <w:rPr>
          <w:rFonts w:ascii="黑体" w:hAnsi="黑体" w:eastAsia="黑体" w:cs="黑体"/>
          <w:sz w:val="31"/>
          <w:szCs w:val="31"/>
        </w:rPr>
      </w:pPr>
      <w:bookmarkStart w:id="23" w:name="bookmark19"/>
      <w:bookmarkEnd w:id="23"/>
      <w:bookmarkStart w:id="24" w:name="bookmark482"/>
      <w:bookmarkEnd w:id="24"/>
      <w:r>
        <w:rPr>
          <w:rFonts w:ascii="黑体" w:hAnsi="黑体" w:eastAsia="黑体" w:cs="黑体"/>
          <w:spacing w:val="7"/>
          <w:sz w:val="31"/>
          <w:szCs w:val="31"/>
        </w:rPr>
        <w:t>第二章  投标人须知</w:t>
      </w:r>
    </w:p>
    <w:p w14:paraId="56951B4C">
      <w:pPr>
        <w:spacing w:before="176" w:line="211" w:lineRule="auto"/>
        <w:ind w:left="3143"/>
        <w:outlineLvl w:val="1"/>
        <w:rPr>
          <w:rFonts w:ascii="黑体" w:hAnsi="黑体" w:eastAsia="黑体" w:cs="黑体"/>
          <w:sz w:val="28"/>
          <w:szCs w:val="28"/>
        </w:rPr>
      </w:pPr>
      <w:bookmarkStart w:id="25" w:name="bookmark20"/>
      <w:bookmarkEnd w:id="25"/>
      <w:r>
        <w:rPr>
          <w:rFonts w:ascii="黑体" w:hAnsi="黑体" w:eastAsia="黑体" w:cs="黑体"/>
          <w:spacing w:val="-1"/>
          <w:sz w:val="28"/>
          <w:szCs w:val="28"/>
        </w:rPr>
        <w:t>投标人须知前附表</w:t>
      </w: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4BE8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39A82D76">
            <w:pPr>
              <w:pStyle w:val="11"/>
              <w:spacing w:before="168" w:line="221" w:lineRule="auto"/>
              <w:ind w:left="117"/>
            </w:pPr>
            <w:r>
              <w:rPr>
                <w:b/>
                <w:bCs/>
                <w:spacing w:val="-4"/>
              </w:rPr>
              <w:t>条款号</w:t>
            </w:r>
          </w:p>
        </w:tc>
        <w:tc>
          <w:tcPr>
            <w:tcW w:w="1977" w:type="dxa"/>
            <w:vAlign w:val="top"/>
          </w:tcPr>
          <w:p w14:paraId="50BDBC37">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70AD9036">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7E9C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856" w:type="dxa"/>
            <w:vAlign w:val="top"/>
          </w:tcPr>
          <w:p w14:paraId="3B466C44">
            <w:pPr>
              <w:rPr>
                <w:rFonts w:ascii="Arial"/>
                <w:sz w:val="21"/>
              </w:rPr>
            </w:pPr>
          </w:p>
          <w:p w14:paraId="39A4FF7B">
            <w:pPr>
              <w:rPr>
                <w:rFonts w:ascii="Arial"/>
                <w:sz w:val="21"/>
              </w:rPr>
            </w:pPr>
          </w:p>
          <w:p w14:paraId="26AA9A1C">
            <w:pPr>
              <w:rPr>
                <w:rFonts w:ascii="Arial"/>
                <w:sz w:val="21"/>
              </w:rPr>
            </w:pPr>
          </w:p>
          <w:p w14:paraId="7D74A548">
            <w:pPr>
              <w:spacing w:line="241" w:lineRule="auto"/>
              <w:rPr>
                <w:rFonts w:ascii="Arial"/>
                <w:sz w:val="21"/>
              </w:rPr>
            </w:pPr>
          </w:p>
          <w:p w14:paraId="2D748A69">
            <w:pPr>
              <w:pStyle w:val="11"/>
              <w:spacing w:before="68"/>
              <w:ind w:left="186"/>
            </w:pPr>
            <w:r>
              <w:rPr>
                <w:spacing w:val="-4"/>
              </w:rPr>
              <w:t>1.1.2</w:t>
            </w:r>
          </w:p>
        </w:tc>
        <w:tc>
          <w:tcPr>
            <w:tcW w:w="1977" w:type="dxa"/>
            <w:vAlign w:val="top"/>
          </w:tcPr>
          <w:p w14:paraId="668F0DC9">
            <w:pPr>
              <w:rPr>
                <w:rFonts w:ascii="Arial"/>
                <w:sz w:val="21"/>
              </w:rPr>
            </w:pPr>
          </w:p>
          <w:p w14:paraId="701BEDC0">
            <w:pPr>
              <w:rPr>
                <w:rFonts w:ascii="Arial"/>
                <w:sz w:val="21"/>
              </w:rPr>
            </w:pPr>
          </w:p>
          <w:p w14:paraId="280A824C">
            <w:pPr>
              <w:rPr>
                <w:rFonts w:ascii="Arial"/>
                <w:sz w:val="21"/>
              </w:rPr>
            </w:pPr>
          </w:p>
          <w:p w14:paraId="58DC536E">
            <w:pPr>
              <w:spacing w:line="241" w:lineRule="auto"/>
              <w:rPr>
                <w:rFonts w:ascii="Arial"/>
                <w:sz w:val="21"/>
              </w:rPr>
            </w:pPr>
          </w:p>
          <w:p w14:paraId="7BD3D7AE">
            <w:pPr>
              <w:pStyle w:val="11"/>
              <w:spacing w:before="68" w:line="221" w:lineRule="auto"/>
              <w:ind w:left="676"/>
            </w:pPr>
            <w:r>
              <w:rPr>
                <w:spacing w:val="-2"/>
              </w:rPr>
              <w:t>招标人</w:t>
            </w:r>
          </w:p>
        </w:tc>
        <w:tc>
          <w:tcPr>
            <w:tcW w:w="5673" w:type="dxa"/>
            <w:vAlign w:val="top"/>
          </w:tcPr>
          <w:p w14:paraId="4576F0F1">
            <w:pPr>
              <w:pStyle w:val="11"/>
              <w:spacing w:before="75" w:line="223" w:lineRule="auto"/>
              <w:ind w:left="115"/>
              <w:rPr>
                <w:u w:val="none"/>
              </w:rPr>
            </w:pPr>
            <w:r>
              <w:rPr>
                <w:spacing w:val="-13"/>
                <w:u w:val="none"/>
              </w:rPr>
              <w:t>名</w:t>
            </w:r>
            <w:r>
              <w:rPr>
                <w:spacing w:val="2"/>
                <w:u w:val="none"/>
              </w:rPr>
              <w:t xml:space="preserve">    </w:t>
            </w:r>
            <w:r>
              <w:rPr>
                <w:spacing w:val="-13"/>
                <w:u w:val="none"/>
              </w:rPr>
              <w:t>称：</w:t>
            </w:r>
            <w:r>
              <w:rPr>
                <w:rFonts w:hint="eastAsia" w:ascii="宋体" w:hAnsi="宋体" w:eastAsia="宋体" w:cs="宋体"/>
                <w:szCs w:val="21"/>
                <w:u w:val="none"/>
              </w:rPr>
              <w:t>营口市动物疫病预防控制中心</w:t>
            </w:r>
          </w:p>
          <w:p w14:paraId="2D931FBC">
            <w:pPr>
              <w:adjustRightInd w:val="0"/>
              <w:snapToGrid w:val="0"/>
              <w:spacing w:line="360" w:lineRule="auto"/>
              <w:ind w:firstLine="186" w:firstLineChars="100"/>
              <w:rPr>
                <w:u w:val="none"/>
              </w:rPr>
            </w:pPr>
            <w:r>
              <w:rPr>
                <w:spacing w:val="-12"/>
                <w:u w:val="none"/>
              </w:rPr>
              <w:t>地</w:t>
            </w:r>
            <w:r>
              <w:rPr>
                <w:spacing w:val="2"/>
                <w:u w:val="none"/>
              </w:rPr>
              <w:t xml:space="preserve">    </w:t>
            </w:r>
            <w:r>
              <w:rPr>
                <w:spacing w:val="-12"/>
                <w:u w:val="none"/>
              </w:rPr>
              <w:t>址：</w:t>
            </w:r>
            <w:r>
              <w:rPr>
                <w:rFonts w:hint="eastAsia" w:ascii="宋体" w:hAnsi="宋体" w:eastAsia="宋体" w:cs="宋体"/>
                <w:szCs w:val="21"/>
                <w:u w:val="none"/>
              </w:rPr>
              <w:t>营口市西市区青花大街西30号</w:t>
            </w:r>
          </w:p>
          <w:p w14:paraId="515179A6">
            <w:pPr>
              <w:pStyle w:val="11"/>
              <w:spacing w:before="57" w:line="223" w:lineRule="auto"/>
              <w:ind w:left="114"/>
              <w:rPr>
                <w:u w:val="none"/>
              </w:rPr>
            </w:pPr>
            <w:r>
              <w:rPr>
                <w:spacing w:val="-12"/>
                <w:u w:val="none"/>
              </w:rPr>
              <w:t>联</w:t>
            </w:r>
            <w:r>
              <w:rPr>
                <w:spacing w:val="13"/>
                <w:u w:val="none"/>
              </w:rPr>
              <w:t xml:space="preserve"> </w:t>
            </w:r>
            <w:r>
              <w:rPr>
                <w:spacing w:val="-12"/>
                <w:u w:val="none"/>
              </w:rPr>
              <w:t>系</w:t>
            </w:r>
            <w:r>
              <w:rPr>
                <w:spacing w:val="8"/>
                <w:u w:val="none"/>
              </w:rPr>
              <w:t xml:space="preserve"> </w:t>
            </w:r>
            <w:r>
              <w:rPr>
                <w:spacing w:val="-12"/>
                <w:u w:val="none"/>
              </w:rPr>
              <w:t>人：</w:t>
            </w:r>
            <w:r>
              <w:rPr>
                <w:rFonts w:hint="eastAsia" w:cs="宋体"/>
                <w:szCs w:val="21"/>
                <w:u w:val="none"/>
                <w:lang w:eastAsia="zh-CN"/>
              </w:rPr>
              <w:t>韩一莎</w:t>
            </w:r>
          </w:p>
          <w:p w14:paraId="31D8C733">
            <w:pPr>
              <w:pStyle w:val="11"/>
              <w:spacing w:before="65" w:line="223" w:lineRule="auto"/>
              <w:ind w:left="137"/>
              <w:rPr>
                <w:rFonts w:hint="default"/>
                <w:u w:val="none"/>
                <w:lang w:val="en-US"/>
              </w:rPr>
            </w:pPr>
            <w:r>
              <w:rPr>
                <w:spacing w:val="-20"/>
                <w:u w:val="none"/>
              </w:rPr>
              <w:t>电</w:t>
            </w:r>
            <w:r>
              <w:rPr>
                <w:spacing w:val="2"/>
                <w:u w:val="none"/>
              </w:rPr>
              <w:t xml:space="preserve">    </w:t>
            </w:r>
            <w:r>
              <w:rPr>
                <w:spacing w:val="-20"/>
                <w:u w:val="none"/>
              </w:rPr>
              <w:t>话：</w:t>
            </w:r>
            <w:r>
              <w:rPr>
                <w:rFonts w:hint="eastAsia" w:ascii="宋体" w:hAnsi="宋体" w:eastAsia="宋体" w:cs="宋体"/>
                <w:spacing w:val="-1"/>
                <w:sz w:val="21"/>
                <w:szCs w:val="21"/>
                <w:u w:val="single" w:color="auto"/>
                <w:lang w:val="en-US" w:eastAsia="zh-CN"/>
              </w:rPr>
              <w:t>0417</w:t>
            </w:r>
            <w:r>
              <w:rPr>
                <w:rFonts w:hint="eastAsia" w:cs="宋体"/>
                <w:spacing w:val="-1"/>
                <w:sz w:val="21"/>
                <w:szCs w:val="21"/>
                <w:u w:val="single" w:color="auto"/>
                <w:lang w:val="en-US" w:eastAsia="zh-CN"/>
              </w:rPr>
              <w:t>-</w:t>
            </w:r>
            <w:r>
              <w:rPr>
                <w:rFonts w:hint="eastAsia" w:ascii="宋体" w:hAnsi="宋体" w:eastAsia="宋体" w:cs="宋体"/>
                <w:spacing w:val="-1"/>
                <w:sz w:val="21"/>
                <w:szCs w:val="21"/>
                <w:u w:val="single" w:color="auto"/>
                <w:lang w:val="en-US" w:eastAsia="zh-CN"/>
              </w:rPr>
              <w:t>2888756</w:t>
            </w:r>
          </w:p>
          <w:p w14:paraId="5FF6F64B">
            <w:pPr>
              <w:pStyle w:val="11"/>
              <w:spacing w:before="67" w:line="221" w:lineRule="auto"/>
              <w:ind w:left="137"/>
              <w:rPr>
                <w:rFonts w:hint="eastAsia" w:eastAsia="宋体"/>
                <w:u w:val="none"/>
                <w:lang w:val="en-US" w:eastAsia="zh-CN"/>
              </w:rPr>
            </w:pPr>
            <w:r>
              <w:rPr>
                <w:spacing w:val="-11"/>
                <w:u w:val="none"/>
              </w:rPr>
              <w:t>电子邮件：</w:t>
            </w:r>
            <w:r>
              <w:rPr>
                <w:rFonts w:hint="eastAsia"/>
                <w:spacing w:val="-11"/>
                <w:u w:val="none"/>
                <w:lang w:val="en-US" w:eastAsia="zh-CN"/>
              </w:rPr>
              <w:t>/</w:t>
            </w:r>
          </w:p>
          <w:p w14:paraId="0B640311">
            <w:pPr>
              <w:pStyle w:val="11"/>
              <w:spacing w:before="67" w:line="221" w:lineRule="auto"/>
              <w:ind w:left="116"/>
              <w:rPr>
                <w:rFonts w:hint="eastAsia" w:eastAsia="宋体"/>
                <w:u w:val="none"/>
                <w:lang w:val="en-US" w:eastAsia="zh-CN"/>
              </w:rPr>
            </w:pPr>
            <w:r>
              <w:rPr>
                <w:spacing w:val="-3"/>
                <w:u w:val="none"/>
              </w:rPr>
              <w:t>项目负责人姓名及联系方式：</w:t>
            </w:r>
            <w:r>
              <w:rPr>
                <w:rFonts w:hint="eastAsia"/>
                <w:spacing w:val="-3"/>
                <w:u w:val="none"/>
                <w:lang w:val="en-US" w:eastAsia="zh-CN"/>
              </w:rPr>
              <w:t>/</w:t>
            </w:r>
          </w:p>
          <w:p w14:paraId="50A0A5A0">
            <w:pPr>
              <w:pStyle w:val="11"/>
              <w:spacing w:before="65" w:line="223" w:lineRule="auto"/>
              <w:ind w:left="137"/>
            </w:pPr>
            <w:r>
              <w:rPr>
                <w:spacing w:val="-11"/>
                <w:u w:val="none"/>
              </w:rPr>
              <w:t>姓名：</w:t>
            </w:r>
            <w:r>
              <w:rPr>
                <w:rFonts w:hint="eastAsia"/>
                <w:spacing w:val="-11"/>
                <w:u w:val="none"/>
                <w:lang w:val="en-US" w:eastAsia="zh-CN"/>
              </w:rPr>
              <w:t>韩一莎</w:t>
            </w:r>
            <w:r>
              <w:rPr>
                <w:spacing w:val="3"/>
                <w:u w:val="none"/>
              </w:rPr>
              <w:t xml:space="preserve">        </w:t>
            </w:r>
            <w:r>
              <w:rPr>
                <w:spacing w:val="-11"/>
                <w:u w:val="none"/>
              </w:rPr>
              <w:t>电话：</w:t>
            </w:r>
            <w:r>
              <w:rPr>
                <w:rFonts w:hint="eastAsia" w:cs="宋体"/>
                <w:szCs w:val="21"/>
                <w:u w:val="none"/>
                <w:lang w:val="en-US" w:eastAsia="zh-CN"/>
              </w:rPr>
              <w:t>0417-2888756</w:t>
            </w:r>
          </w:p>
        </w:tc>
      </w:tr>
      <w:tr w14:paraId="4CE0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5" w:hRule="atLeast"/>
        </w:trPr>
        <w:tc>
          <w:tcPr>
            <w:tcW w:w="856" w:type="dxa"/>
            <w:vAlign w:val="top"/>
          </w:tcPr>
          <w:p w14:paraId="3B05D7DE">
            <w:pPr>
              <w:spacing w:line="250" w:lineRule="auto"/>
              <w:rPr>
                <w:rFonts w:ascii="Arial"/>
                <w:sz w:val="21"/>
              </w:rPr>
            </w:pPr>
          </w:p>
          <w:p w14:paraId="7901CD76">
            <w:pPr>
              <w:spacing w:line="251" w:lineRule="auto"/>
              <w:rPr>
                <w:rFonts w:ascii="Arial"/>
                <w:sz w:val="21"/>
              </w:rPr>
            </w:pPr>
          </w:p>
          <w:p w14:paraId="6567978A">
            <w:pPr>
              <w:spacing w:line="251" w:lineRule="auto"/>
              <w:rPr>
                <w:rFonts w:ascii="Arial"/>
                <w:sz w:val="21"/>
              </w:rPr>
            </w:pPr>
          </w:p>
          <w:p w14:paraId="17F0491B">
            <w:pPr>
              <w:spacing w:line="251" w:lineRule="auto"/>
              <w:rPr>
                <w:rFonts w:ascii="Arial"/>
                <w:sz w:val="21"/>
              </w:rPr>
            </w:pPr>
          </w:p>
          <w:p w14:paraId="603BF077">
            <w:pPr>
              <w:spacing w:line="251" w:lineRule="auto"/>
              <w:rPr>
                <w:rFonts w:ascii="Arial"/>
                <w:sz w:val="21"/>
              </w:rPr>
            </w:pPr>
          </w:p>
          <w:p w14:paraId="0A395E57">
            <w:pPr>
              <w:spacing w:line="251" w:lineRule="auto"/>
              <w:rPr>
                <w:rFonts w:ascii="Arial"/>
                <w:sz w:val="21"/>
              </w:rPr>
            </w:pPr>
          </w:p>
          <w:p w14:paraId="2D4BD396">
            <w:pPr>
              <w:spacing w:line="251" w:lineRule="auto"/>
              <w:rPr>
                <w:rFonts w:ascii="Arial"/>
                <w:sz w:val="21"/>
              </w:rPr>
            </w:pPr>
          </w:p>
          <w:p w14:paraId="0ACBDE74">
            <w:pPr>
              <w:pStyle w:val="11"/>
              <w:spacing w:before="68"/>
              <w:ind w:left="186"/>
            </w:pPr>
            <w:r>
              <w:rPr>
                <w:spacing w:val="-4"/>
              </w:rPr>
              <w:t>1.1.3</w:t>
            </w:r>
          </w:p>
        </w:tc>
        <w:tc>
          <w:tcPr>
            <w:tcW w:w="1977" w:type="dxa"/>
            <w:vAlign w:val="top"/>
          </w:tcPr>
          <w:p w14:paraId="688563CF">
            <w:pPr>
              <w:spacing w:line="250" w:lineRule="auto"/>
              <w:rPr>
                <w:rFonts w:ascii="Arial"/>
                <w:sz w:val="21"/>
              </w:rPr>
            </w:pPr>
          </w:p>
          <w:p w14:paraId="5048F052">
            <w:pPr>
              <w:spacing w:line="251" w:lineRule="auto"/>
              <w:rPr>
                <w:rFonts w:ascii="Arial"/>
                <w:sz w:val="21"/>
              </w:rPr>
            </w:pPr>
          </w:p>
          <w:p w14:paraId="10FB7B4D">
            <w:pPr>
              <w:spacing w:line="251" w:lineRule="auto"/>
              <w:rPr>
                <w:rFonts w:ascii="Arial"/>
                <w:sz w:val="21"/>
              </w:rPr>
            </w:pPr>
          </w:p>
          <w:p w14:paraId="5C7B5331">
            <w:pPr>
              <w:spacing w:line="251" w:lineRule="auto"/>
              <w:rPr>
                <w:rFonts w:ascii="Arial"/>
                <w:sz w:val="21"/>
              </w:rPr>
            </w:pPr>
          </w:p>
          <w:p w14:paraId="3F97B580">
            <w:pPr>
              <w:spacing w:line="251" w:lineRule="auto"/>
              <w:rPr>
                <w:rFonts w:ascii="Arial"/>
                <w:sz w:val="21"/>
              </w:rPr>
            </w:pPr>
          </w:p>
          <w:p w14:paraId="24626685">
            <w:pPr>
              <w:spacing w:line="251" w:lineRule="auto"/>
              <w:rPr>
                <w:rFonts w:ascii="Arial"/>
                <w:sz w:val="21"/>
              </w:rPr>
            </w:pPr>
          </w:p>
          <w:p w14:paraId="3F109986">
            <w:pPr>
              <w:spacing w:line="251" w:lineRule="auto"/>
              <w:rPr>
                <w:rFonts w:ascii="Arial"/>
                <w:sz w:val="21"/>
              </w:rPr>
            </w:pPr>
          </w:p>
          <w:p w14:paraId="68DC01D2">
            <w:pPr>
              <w:pStyle w:val="11"/>
              <w:spacing w:before="68" w:line="220" w:lineRule="auto"/>
              <w:ind w:left="362"/>
            </w:pPr>
            <w:r>
              <w:rPr>
                <w:spacing w:val="-1"/>
              </w:rPr>
              <w:t>招标代理机构</w:t>
            </w:r>
          </w:p>
        </w:tc>
        <w:tc>
          <w:tcPr>
            <w:tcW w:w="5673" w:type="dxa"/>
            <w:vAlign w:val="top"/>
          </w:tcPr>
          <w:p w14:paraId="388D006F">
            <w:pPr>
              <w:pStyle w:val="11"/>
              <w:spacing w:before="75" w:line="223" w:lineRule="auto"/>
              <w:ind w:left="115"/>
              <w:rPr>
                <w:u w:val="none"/>
              </w:rPr>
            </w:pPr>
            <w:r>
              <w:rPr>
                <w:spacing w:val="-13"/>
              </w:rPr>
              <w:t>名</w:t>
            </w:r>
            <w:r>
              <w:rPr>
                <w:spacing w:val="2"/>
              </w:rPr>
              <w:t xml:space="preserve">    </w:t>
            </w:r>
            <w:r>
              <w:rPr>
                <w:spacing w:val="-13"/>
              </w:rPr>
              <w:t>称：</w:t>
            </w:r>
            <w:r>
              <w:rPr>
                <w:rFonts w:hint="eastAsia" w:ascii="宋体" w:hAnsi="宋体" w:eastAsia="宋体" w:cs="宋体"/>
                <w:szCs w:val="21"/>
                <w:u w:val="none"/>
              </w:rPr>
              <w:t>营口公物咨询管理有限公司</w:t>
            </w:r>
          </w:p>
          <w:p w14:paraId="5A1DE1CD">
            <w:pPr>
              <w:pStyle w:val="11"/>
              <w:spacing w:before="65" w:line="230" w:lineRule="auto"/>
              <w:ind w:left="113"/>
              <w:rPr>
                <w:u w:val="none"/>
              </w:rPr>
            </w:pPr>
            <w:r>
              <w:rPr>
                <w:spacing w:val="-12"/>
                <w:u w:val="none"/>
              </w:rPr>
              <w:t>地</w:t>
            </w:r>
            <w:r>
              <w:rPr>
                <w:spacing w:val="2"/>
                <w:u w:val="none"/>
              </w:rPr>
              <w:t xml:space="preserve">    </w:t>
            </w:r>
            <w:r>
              <w:rPr>
                <w:spacing w:val="-12"/>
                <w:u w:val="none"/>
              </w:rPr>
              <w:t>址：</w:t>
            </w:r>
            <w:r>
              <w:rPr>
                <w:rFonts w:hint="eastAsia" w:ascii="宋体" w:hAnsi="宋体" w:eastAsia="宋体" w:cs="宋体"/>
                <w:szCs w:val="21"/>
                <w:u w:val="none"/>
              </w:rPr>
              <w:t>营口市渤海大街西64号</w:t>
            </w:r>
          </w:p>
          <w:p w14:paraId="61A2D448">
            <w:pPr>
              <w:pStyle w:val="11"/>
              <w:spacing w:before="59" w:line="223" w:lineRule="auto"/>
              <w:ind w:left="114"/>
              <w:rPr>
                <w:rFonts w:hint="eastAsia" w:eastAsia="宋体"/>
                <w:u w:val="none"/>
                <w:lang w:eastAsia="zh-CN"/>
              </w:rPr>
            </w:pPr>
            <w:r>
              <w:rPr>
                <w:spacing w:val="-12"/>
                <w:u w:val="none"/>
              </w:rPr>
              <w:t>联</w:t>
            </w:r>
            <w:r>
              <w:rPr>
                <w:spacing w:val="13"/>
                <w:u w:val="none"/>
              </w:rPr>
              <w:t xml:space="preserve"> </w:t>
            </w:r>
            <w:r>
              <w:rPr>
                <w:spacing w:val="-12"/>
                <w:u w:val="none"/>
              </w:rPr>
              <w:t>系</w:t>
            </w:r>
            <w:r>
              <w:rPr>
                <w:spacing w:val="8"/>
                <w:u w:val="none"/>
              </w:rPr>
              <w:t xml:space="preserve"> </w:t>
            </w:r>
            <w:r>
              <w:rPr>
                <w:spacing w:val="-12"/>
                <w:u w:val="none"/>
              </w:rPr>
              <w:t>人：</w:t>
            </w:r>
            <w:r>
              <w:rPr>
                <w:rFonts w:hint="eastAsia" w:cs="宋体"/>
                <w:szCs w:val="21"/>
                <w:u w:val="none"/>
                <w:lang w:eastAsia="zh-CN"/>
              </w:rPr>
              <w:t>邱楠</w:t>
            </w:r>
          </w:p>
          <w:p w14:paraId="0900858E">
            <w:pPr>
              <w:pStyle w:val="11"/>
              <w:spacing w:before="65" w:line="223" w:lineRule="auto"/>
              <w:ind w:left="137"/>
              <w:rPr>
                <w:rFonts w:hint="default" w:eastAsia="宋体"/>
                <w:u w:val="none"/>
                <w:lang w:val="en-US" w:eastAsia="zh-CN"/>
              </w:rPr>
            </w:pPr>
            <w:r>
              <w:rPr>
                <w:spacing w:val="-20"/>
                <w:u w:val="none"/>
              </w:rPr>
              <w:t>电</w:t>
            </w:r>
            <w:r>
              <w:rPr>
                <w:spacing w:val="2"/>
                <w:u w:val="none"/>
              </w:rPr>
              <w:t xml:space="preserve">    </w:t>
            </w:r>
            <w:r>
              <w:rPr>
                <w:spacing w:val="-20"/>
                <w:u w:val="none"/>
              </w:rPr>
              <w:t>话：</w:t>
            </w:r>
            <w:r>
              <w:rPr>
                <w:rFonts w:hint="eastAsia" w:ascii="宋体" w:hAnsi="宋体" w:eastAsia="宋体" w:cs="宋体"/>
                <w:spacing w:val="-2"/>
                <w:sz w:val="21"/>
                <w:szCs w:val="21"/>
                <w:u w:val="single"/>
                <w:lang w:val="en-US" w:eastAsia="zh-CN"/>
              </w:rPr>
              <w:t>0417</w:t>
            </w:r>
            <w:r>
              <w:rPr>
                <w:rFonts w:hint="eastAsia" w:cs="宋体"/>
                <w:spacing w:val="-2"/>
                <w:sz w:val="21"/>
                <w:szCs w:val="21"/>
                <w:u w:val="single"/>
                <w:lang w:val="en-US" w:eastAsia="zh-CN"/>
              </w:rPr>
              <w:t>-</w:t>
            </w:r>
            <w:r>
              <w:rPr>
                <w:rFonts w:hint="eastAsia" w:ascii="宋体" w:hAnsi="宋体" w:eastAsia="宋体" w:cs="宋体"/>
                <w:spacing w:val="-2"/>
                <w:sz w:val="21"/>
                <w:szCs w:val="21"/>
                <w:u w:val="single"/>
                <w:lang w:val="en-US" w:eastAsia="zh-CN"/>
              </w:rPr>
              <w:t>2801618</w:t>
            </w:r>
          </w:p>
          <w:p w14:paraId="359BF775">
            <w:pPr>
              <w:pStyle w:val="11"/>
              <w:spacing w:before="66" w:line="221" w:lineRule="auto"/>
              <w:ind w:left="137"/>
              <w:rPr>
                <w:u w:val="none"/>
              </w:rPr>
            </w:pPr>
            <w:r>
              <w:rPr>
                <w:spacing w:val="-11"/>
                <w:u w:val="none"/>
              </w:rPr>
              <w:t>电子邮件：</w:t>
            </w:r>
            <w:r>
              <w:rPr>
                <w:rFonts w:hint="eastAsia" w:ascii="宋体" w:hAnsi="宋体" w:eastAsia="宋体" w:cs="宋体"/>
                <w:szCs w:val="21"/>
                <w:u w:val="none"/>
              </w:rPr>
              <w:t xml:space="preserve">ykgongwu@163.com </w:t>
            </w:r>
          </w:p>
          <w:p w14:paraId="7FB1F8A9">
            <w:pPr>
              <w:spacing w:line="320" w:lineRule="auto"/>
              <w:rPr>
                <w:rFonts w:ascii="Arial"/>
                <w:sz w:val="21"/>
              </w:rPr>
            </w:pPr>
          </w:p>
          <w:p w14:paraId="616818D6">
            <w:pPr>
              <w:pStyle w:val="11"/>
              <w:spacing w:before="49" w:line="207" w:lineRule="auto"/>
              <w:ind w:left="126"/>
              <w:rPr>
                <w:rFonts w:hint="eastAsia"/>
                <w:lang w:val="en-US" w:eastAsia="zh-CN"/>
              </w:rPr>
            </w:pPr>
            <w:r>
              <w:rPr>
                <w:rFonts w:hint="eastAsia"/>
                <w:lang w:val="en-US" w:eastAsia="zh-CN"/>
              </w:rPr>
              <w:t>项目负责人姓名及联系方式：</w:t>
            </w:r>
          </w:p>
          <w:p w14:paraId="28EF5963">
            <w:pPr>
              <w:pStyle w:val="11"/>
              <w:spacing w:before="49" w:line="207" w:lineRule="auto"/>
              <w:ind w:left="126"/>
              <w:rPr>
                <w:rFonts w:hint="default"/>
                <w:lang w:val="en-US" w:eastAsia="zh-CN"/>
              </w:rPr>
            </w:pPr>
            <w:r>
              <w:rPr>
                <w:rFonts w:hint="eastAsia"/>
                <w:lang w:val="en-US" w:eastAsia="zh-CN"/>
              </w:rPr>
              <w:t>姓名：邱楠    电话：0417-2801618</w:t>
            </w:r>
          </w:p>
        </w:tc>
      </w:tr>
      <w:tr w14:paraId="3E7F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3B60E036">
            <w:pPr>
              <w:pStyle w:val="11"/>
              <w:spacing w:before="147"/>
              <w:ind w:left="186"/>
            </w:pPr>
            <w:r>
              <w:rPr>
                <w:spacing w:val="-4"/>
              </w:rPr>
              <w:t>1.1.4</w:t>
            </w:r>
          </w:p>
        </w:tc>
        <w:tc>
          <w:tcPr>
            <w:tcW w:w="1977" w:type="dxa"/>
            <w:vAlign w:val="top"/>
          </w:tcPr>
          <w:p w14:paraId="34A72ACC">
            <w:pPr>
              <w:pStyle w:val="11"/>
              <w:spacing w:before="148" w:line="221" w:lineRule="auto"/>
              <w:ind w:left="362"/>
            </w:pPr>
            <w:r>
              <w:rPr>
                <w:spacing w:val="-1"/>
              </w:rPr>
              <w:t>招标项目名称</w:t>
            </w:r>
          </w:p>
        </w:tc>
        <w:tc>
          <w:tcPr>
            <w:tcW w:w="5673" w:type="dxa"/>
            <w:vAlign w:val="top"/>
          </w:tcPr>
          <w:p w14:paraId="63923486">
            <w:pPr>
              <w:rPr>
                <w:rFonts w:ascii="Arial"/>
                <w:sz w:val="21"/>
              </w:rPr>
            </w:pPr>
          </w:p>
          <w:p w14:paraId="5B2E36C1">
            <w:pPr>
              <w:bidi w:val="0"/>
              <w:jc w:val="left"/>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辽宁省营口市陆生动物疫病病原学监测区域中心建设项目</w:t>
            </w:r>
          </w:p>
        </w:tc>
      </w:tr>
      <w:tr w14:paraId="6615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533F2801">
            <w:pPr>
              <w:pStyle w:val="11"/>
              <w:spacing w:before="147"/>
              <w:ind w:left="186"/>
            </w:pPr>
            <w:r>
              <w:rPr>
                <w:spacing w:val="-4"/>
              </w:rPr>
              <w:t>1.1.5</w:t>
            </w:r>
          </w:p>
        </w:tc>
        <w:tc>
          <w:tcPr>
            <w:tcW w:w="1977" w:type="dxa"/>
            <w:vAlign w:val="top"/>
          </w:tcPr>
          <w:p w14:paraId="161DF4AD">
            <w:pPr>
              <w:pStyle w:val="11"/>
              <w:spacing w:before="148" w:line="221" w:lineRule="auto"/>
              <w:ind w:left="364"/>
            </w:pPr>
            <w:r>
              <w:rPr>
                <w:spacing w:val="-2"/>
              </w:rPr>
              <w:t>项目建设地点</w:t>
            </w:r>
          </w:p>
        </w:tc>
        <w:tc>
          <w:tcPr>
            <w:tcW w:w="5673" w:type="dxa"/>
            <w:vAlign w:val="top"/>
          </w:tcPr>
          <w:p w14:paraId="4463FD2D">
            <w:pPr>
              <w:rPr>
                <w:rFonts w:hint="default" w:ascii="Arial" w:eastAsia="宋体"/>
                <w:sz w:val="21"/>
                <w:lang w:val="en-US" w:eastAsia="zh-CN"/>
              </w:rPr>
            </w:pPr>
            <w:r>
              <w:rPr>
                <w:rFonts w:hint="eastAsia" w:eastAsia="宋体"/>
                <w:sz w:val="21"/>
                <w:lang w:val="en-US" w:eastAsia="zh-CN"/>
              </w:rPr>
              <w:t>辽宁省营口市西市区青花大街西30-2号</w:t>
            </w:r>
          </w:p>
        </w:tc>
      </w:tr>
      <w:tr w14:paraId="38BB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6" w:type="dxa"/>
            <w:vAlign w:val="top"/>
          </w:tcPr>
          <w:p w14:paraId="49BCBEEA">
            <w:pPr>
              <w:pStyle w:val="11"/>
              <w:spacing w:before="237"/>
              <w:ind w:left="186"/>
            </w:pPr>
            <w:r>
              <w:rPr>
                <w:spacing w:val="-4"/>
              </w:rPr>
              <w:t>1.1.6</w:t>
            </w:r>
          </w:p>
        </w:tc>
        <w:tc>
          <w:tcPr>
            <w:tcW w:w="1977" w:type="dxa"/>
            <w:vAlign w:val="top"/>
          </w:tcPr>
          <w:p w14:paraId="057B5D2D">
            <w:pPr>
              <w:pStyle w:val="11"/>
              <w:spacing w:before="237" w:line="221" w:lineRule="auto"/>
              <w:ind w:left="386"/>
            </w:pPr>
            <w:r>
              <w:rPr>
                <w:spacing w:val="-5"/>
              </w:rPr>
              <w:t>电子交易系统</w:t>
            </w:r>
          </w:p>
        </w:tc>
        <w:tc>
          <w:tcPr>
            <w:tcW w:w="5673" w:type="dxa"/>
            <w:vAlign w:val="top"/>
          </w:tcPr>
          <w:p w14:paraId="3307B542">
            <w:pPr>
              <w:pStyle w:val="11"/>
              <w:spacing w:before="78" w:line="214" w:lineRule="auto"/>
              <w:ind w:left="134"/>
            </w:pPr>
            <w:r>
              <w:rPr>
                <w:spacing w:val="-2"/>
              </w:rPr>
              <w:t>□______________________</w:t>
            </w:r>
          </w:p>
          <w:p w14:paraId="22BCD196">
            <w:pPr>
              <w:pStyle w:val="11"/>
              <w:spacing w:before="75" w:line="207" w:lineRule="auto"/>
              <w:ind w:left="115"/>
            </w:pPr>
            <w:r>
              <w:rPr>
                <w:spacing w:val="-1"/>
              </w:rPr>
              <w:t>投标操作均使用</w:t>
            </w:r>
            <w:r>
              <w:rPr>
                <w:spacing w:val="-1"/>
                <w:u w:val="single" w:color="auto"/>
              </w:rPr>
              <w:t>辽宁省农业农村工程盲盒服务系统</w:t>
            </w:r>
            <w:r>
              <w:rPr>
                <w:spacing w:val="-1"/>
              </w:rPr>
              <w:t>。</w:t>
            </w:r>
          </w:p>
        </w:tc>
      </w:tr>
      <w:tr w14:paraId="40906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434E96CD">
            <w:pPr>
              <w:pStyle w:val="11"/>
              <w:spacing w:before="150"/>
              <w:ind w:left="186"/>
            </w:pPr>
            <w:r>
              <w:rPr>
                <w:spacing w:val="-4"/>
              </w:rPr>
              <w:t>1.2.1</w:t>
            </w:r>
          </w:p>
        </w:tc>
        <w:tc>
          <w:tcPr>
            <w:tcW w:w="1977" w:type="dxa"/>
            <w:vAlign w:val="top"/>
          </w:tcPr>
          <w:p w14:paraId="7EEAC1E2">
            <w:pPr>
              <w:pStyle w:val="11"/>
              <w:spacing w:before="150" w:line="221" w:lineRule="auto"/>
              <w:ind w:left="579"/>
            </w:pPr>
            <w:r>
              <w:rPr>
                <w:spacing w:val="-4"/>
              </w:rPr>
              <w:t>资金来源</w:t>
            </w:r>
          </w:p>
        </w:tc>
        <w:tc>
          <w:tcPr>
            <w:tcW w:w="5673" w:type="dxa"/>
            <w:vAlign w:val="top"/>
          </w:tcPr>
          <w:p w14:paraId="342023B7">
            <w:pPr>
              <w:rPr>
                <w:rFonts w:hint="default" w:ascii="Arial" w:eastAsia="宋体"/>
                <w:sz w:val="21"/>
                <w:lang w:val="en-US" w:eastAsia="zh-CN"/>
              </w:rPr>
            </w:pPr>
            <w:r>
              <w:rPr>
                <w:rFonts w:hint="eastAsia" w:eastAsia="宋体"/>
                <w:sz w:val="21"/>
                <w:lang w:val="en-US" w:eastAsia="zh-CN"/>
              </w:rPr>
              <w:t>中央预算内资金、地方配套资金</w:t>
            </w:r>
          </w:p>
        </w:tc>
      </w:tr>
      <w:tr w14:paraId="25271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19AD8AF6">
            <w:pPr>
              <w:pStyle w:val="11"/>
              <w:spacing w:before="149"/>
              <w:ind w:left="186"/>
            </w:pPr>
            <w:r>
              <w:rPr>
                <w:spacing w:val="-4"/>
              </w:rPr>
              <w:t>1.2.2</w:t>
            </w:r>
          </w:p>
        </w:tc>
        <w:tc>
          <w:tcPr>
            <w:tcW w:w="1977" w:type="dxa"/>
            <w:vAlign w:val="top"/>
          </w:tcPr>
          <w:p w14:paraId="1DE8BA96">
            <w:pPr>
              <w:pStyle w:val="11"/>
              <w:spacing w:before="149" w:line="222" w:lineRule="auto"/>
              <w:ind w:left="588"/>
            </w:pPr>
            <w:r>
              <w:rPr>
                <w:spacing w:val="-6"/>
              </w:rPr>
              <w:t>出资比例</w:t>
            </w:r>
          </w:p>
        </w:tc>
        <w:tc>
          <w:tcPr>
            <w:tcW w:w="5673" w:type="dxa"/>
            <w:vAlign w:val="top"/>
          </w:tcPr>
          <w:p w14:paraId="44F71328">
            <w:pPr>
              <w:rPr>
                <w:rFonts w:ascii="Arial"/>
                <w:sz w:val="21"/>
              </w:rPr>
            </w:pPr>
            <w:r>
              <w:rPr>
                <w:rFonts w:hint="eastAsia" w:eastAsia="宋体"/>
                <w:sz w:val="21"/>
                <w:lang w:val="en-US" w:eastAsia="zh-CN"/>
              </w:rPr>
              <w:t>90%、10%</w:t>
            </w:r>
          </w:p>
        </w:tc>
      </w:tr>
      <w:tr w14:paraId="2680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6" w:type="dxa"/>
            <w:vAlign w:val="top"/>
          </w:tcPr>
          <w:p w14:paraId="4F716B90">
            <w:pPr>
              <w:pStyle w:val="11"/>
              <w:spacing w:before="149"/>
              <w:ind w:left="186"/>
            </w:pPr>
            <w:r>
              <w:rPr>
                <w:spacing w:val="-4"/>
              </w:rPr>
              <w:t>1.2.3</w:t>
            </w:r>
          </w:p>
        </w:tc>
        <w:tc>
          <w:tcPr>
            <w:tcW w:w="1977" w:type="dxa"/>
            <w:vAlign w:val="top"/>
          </w:tcPr>
          <w:p w14:paraId="6C796739">
            <w:pPr>
              <w:pStyle w:val="11"/>
              <w:spacing w:before="149" w:line="219" w:lineRule="auto"/>
              <w:ind w:left="256"/>
            </w:pPr>
            <w:r>
              <w:rPr>
                <w:spacing w:val="-1"/>
              </w:rPr>
              <w:t>标段合同估算价</w:t>
            </w:r>
          </w:p>
        </w:tc>
        <w:tc>
          <w:tcPr>
            <w:tcW w:w="5673" w:type="dxa"/>
            <w:vAlign w:val="top"/>
          </w:tcPr>
          <w:p w14:paraId="5470952D">
            <w:pPr>
              <w:pStyle w:val="11"/>
              <w:tabs>
                <w:tab w:val="left" w:pos="1891"/>
              </w:tabs>
              <w:spacing w:before="149" w:line="221" w:lineRule="auto"/>
              <w:ind w:left="104"/>
            </w:pPr>
            <w:r>
              <w:rPr>
                <w:rFonts w:hint="eastAsia"/>
                <w:u w:val="single" w:color="auto"/>
                <w:lang w:val="en-US" w:eastAsia="zh-CN"/>
              </w:rPr>
              <w:t>45.1</w:t>
            </w:r>
            <w:r>
              <w:rPr>
                <w:spacing w:val="-4"/>
              </w:rPr>
              <w:t>万元。</w:t>
            </w:r>
          </w:p>
        </w:tc>
      </w:tr>
      <w:tr w14:paraId="1F49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0EB5644B">
            <w:pPr>
              <w:pStyle w:val="11"/>
              <w:spacing w:before="149"/>
              <w:ind w:left="186"/>
            </w:pPr>
            <w:r>
              <w:rPr>
                <w:spacing w:val="-4"/>
              </w:rPr>
              <w:t>1.2.4</w:t>
            </w:r>
          </w:p>
        </w:tc>
        <w:tc>
          <w:tcPr>
            <w:tcW w:w="1977" w:type="dxa"/>
            <w:vAlign w:val="top"/>
          </w:tcPr>
          <w:p w14:paraId="71644FAD">
            <w:pPr>
              <w:pStyle w:val="11"/>
              <w:spacing w:before="149" w:line="221" w:lineRule="auto"/>
              <w:ind w:left="370"/>
            </w:pPr>
            <w:r>
              <w:rPr>
                <w:spacing w:val="-3"/>
              </w:rPr>
              <w:t>资金落实情况</w:t>
            </w:r>
          </w:p>
        </w:tc>
        <w:tc>
          <w:tcPr>
            <w:tcW w:w="5673" w:type="dxa"/>
            <w:vAlign w:val="top"/>
          </w:tcPr>
          <w:p w14:paraId="56176DE1">
            <w:pPr>
              <w:rPr>
                <w:rFonts w:hint="eastAsia" w:ascii="Arial" w:eastAsia="宋体"/>
                <w:sz w:val="21"/>
                <w:lang w:val="en-US" w:eastAsia="zh-CN"/>
              </w:rPr>
            </w:pPr>
            <w:r>
              <w:rPr>
                <w:rFonts w:hint="eastAsia" w:eastAsia="宋体"/>
                <w:sz w:val="21"/>
                <w:lang w:val="en-US" w:eastAsia="zh-CN"/>
              </w:rPr>
              <w:t>已落实</w:t>
            </w:r>
          </w:p>
        </w:tc>
      </w:tr>
      <w:tr w14:paraId="1A5A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856" w:type="dxa"/>
            <w:vAlign w:val="top"/>
          </w:tcPr>
          <w:p w14:paraId="14404015">
            <w:pPr>
              <w:spacing w:line="419" w:lineRule="auto"/>
              <w:rPr>
                <w:rFonts w:ascii="Arial"/>
                <w:sz w:val="21"/>
              </w:rPr>
            </w:pPr>
          </w:p>
          <w:p w14:paraId="3C3E5755">
            <w:pPr>
              <w:pStyle w:val="11"/>
              <w:spacing w:before="68"/>
              <w:ind w:left="186"/>
            </w:pPr>
            <w:r>
              <w:rPr>
                <w:spacing w:val="-4"/>
              </w:rPr>
              <w:t>1.3.1</w:t>
            </w:r>
          </w:p>
        </w:tc>
        <w:tc>
          <w:tcPr>
            <w:tcW w:w="1977" w:type="dxa"/>
            <w:vAlign w:val="top"/>
          </w:tcPr>
          <w:p w14:paraId="199954D0">
            <w:pPr>
              <w:spacing w:line="419" w:lineRule="auto"/>
              <w:rPr>
                <w:rFonts w:ascii="Arial"/>
                <w:sz w:val="21"/>
              </w:rPr>
            </w:pPr>
          </w:p>
          <w:p w14:paraId="67D1C435">
            <w:pPr>
              <w:pStyle w:val="11"/>
              <w:spacing w:before="69" w:line="221" w:lineRule="auto"/>
              <w:ind w:left="571"/>
            </w:pPr>
            <w:r>
              <w:rPr>
                <w:spacing w:val="-2"/>
              </w:rPr>
              <w:t>招标范围</w:t>
            </w:r>
          </w:p>
        </w:tc>
        <w:tc>
          <w:tcPr>
            <w:tcW w:w="5673" w:type="dxa"/>
            <w:vAlign w:val="top"/>
          </w:tcPr>
          <w:p w14:paraId="14B33378">
            <w:pPr>
              <w:spacing w:before="167" w:line="240" w:lineRule="auto"/>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en-US" w:bidi="ar-SA"/>
              </w:rPr>
              <w:t>工程建设实验室改造470平方米。改造内容包括实验室地面和门窗改造，给排水改造工程1项、电气改造工程1项、实验台柜改造1项，净化通风改造1项。</w:t>
            </w:r>
          </w:p>
          <w:p w14:paraId="7641DCCE">
            <w:pPr>
              <w:pStyle w:val="11"/>
              <w:spacing w:before="68" w:line="46" w:lineRule="exact"/>
              <w:ind w:left="2971"/>
            </w:pPr>
          </w:p>
        </w:tc>
      </w:tr>
    </w:tbl>
    <w:p w14:paraId="3A23A85F">
      <w:pPr>
        <w:pStyle w:val="5"/>
      </w:pPr>
    </w:p>
    <w:p w14:paraId="1AF808A6">
      <w:pPr>
        <w:sectPr>
          <w:footerReference r:id="rId20" w:type="default"/>
          <w:pgSz w:w="11905" w:h="16843"/>
          <w:pgMar w:top="969" w:right="1355" w:bottom="1026" w:left="1480" w:header="0" w:footer="754" w:gutter="0"/>
          <w:cols w:space="0" w:num="1"/>
          <w:rtlGutter w:val="0"/>
          <w:docGrid w:linePitch="0" w:charSpace="0"/>
        </w:sectPr>
      </w:pPr>
    </w:p>
    <w:p w14:paraId="5878074B">
      <w:pPr>
        <w:spacing w:line="91" w:lineRule="auto"/>
        <w:rPr>
          <w:rFonts w:ascii="Arial"/>
          <w:sz w:val="2"/>
        </w:rPr>
      </w:pP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1A8C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56" w:type="dxa"/>
            <w:vAlign w:val="top"/>
          </w:tcPr>
          <w:p w14:paraId="29C1C37E">
            <w:pPr>
              <w:pStyle w:val="11"/>
              <w:spacing w:before="168" w:line="221" w:lineRule="auto"/>
              <w:ind w:left="117"/>
            </w:pPr>
            <w:bookmarkStart w:id="26" w:name="bookmark483"/>
            <w:bookmarkEnd w:id="26"/>
            <w:r>
              <w:rPr>
                <w:b/>
                <w:bCs/>
                <w:spacing w:val="-4"/>
              </w:rPr>
              <w:t>条款号</w:t>
            </w:r>
          </w:p>
        </w:tc>
        <w:tc>
          <w:tcPr>
            <w:tcW w:w="1977" w:type="dxa"/>
            <w:vAlign w:val="top"/>
          </w:tcPr>
          <w:p w14:paraId="16EC5157">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1B299E66">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5459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56" w:type="dxa"/>
            <w:vAlign w:val="top"/>
          </w:tcPr>
          <w:p w14:paraId="62C8044B">
            <w:pPr>
              <w:spacing w:line="306" w:lineRule="auto"/>
              <w:rPr>
                <w:rFonts w:ascii="Arial"/>
                <w:sz w:val="21"/>
              </w:rPr>
            </w:pPr>
          </w:p>
          <w:p w14:paraId="61527AF9">
            <w:pPr>
              <w:spacing w:line="307" w:lineRule="auto"/>
              <w:rPr>
                <w:rFonts w:ascii="Arial"/>
                <w:sz w:val="21"/>
              </w:rPr>
            </w:pPr>
          </w:p>
          <w:p w14:paraId="3D04B3F0">
            <w:pPr>
              <w:spacing w:line="307" w:lineRule="auto"/>
              <w:rPr>
                <w:rFonts w:ascii="Arial"/>
                <w:sz w:val="21"/>
              </w:rPr>
            </w:pPr>
          </w:p>
          <w:p w14:paraId="007E0AEF">
            <w:pPr>
              <w:pStyle w:val="11"/>
              <w:spacing w:before="68"/>
              <w:ind w:left="186"/>
            </w:pPr>
            <w:r>
              <w:rPr>
                <w:spacing w:val="-4"/>
              </w:rPr>
              <w:t>1.3.2</w:t>
            </w:r>
          </w:p>
        </w:tc>
        <w:tc>
          <w:tcPr>
            <w:tcW w:w="1977" w:type="dxa"/>
            <w:vAlign w:val="top"/>
          </w:tcPr>
          <w:p w14:paraId="690C3069">
            <w:pPr>
              <w:spacing w:line="306" w:lineRule="auto"/>
              <w:rPr>
                <w:rFonts w:ascii="Arial"/>
                <w:sz w:val="21"/>
              </w:rPr>
            </w:pPr>
          </w:p>
          <w:p w14:paraId="203F7644">
            <w:pPr>
              <w:spacing w:line="307" w:lineRule="auto"/>
              <w:rPr>
                <w:rFonts w:ascii="Arial"/>
                <w:sz w:val="21"/>
              </w:rPr>
            </w:pPr>
          </w:p>
          <w:p w14:paraId="7EC53087">
            <w:pPr>
              <w:spacing w:line="307" w:lineRule="auto"/>
              <w:rPr>
                <w:rFonts w:ascii="Arial"/>
                <w:sz w:val="21"/>
              </w:rPr>
            </w:pPr>
          </w:p>
          <w:p w14:paraId="1567333D">
            <w:pPr>
              <w:pStyle w:val="11"/>
              <w:spacing w:before="68" w:line="221" w:lineRule="auto"/>
              <w:ind w:left="570"/>
            </w:pPr>
            <w:r>
              <w:rPr>
                <w:spacing w:val="-2"/>
              </w:rPr>
              <w:t>计划工期</w:t>
            </w:r>
          </w:p>
        </w:tc>
        <w:tc>
          <w:tcPr>
            <w:tcW w:w="5673" w:type="dxa"/>
            <w:vAlign w:val="top"/>
          </w:tcPr>
          <w:p w14:paraId="6CB7577D">
            <w:pPr>
              <w:pStyle w:val="11"/>
              <w:spacing w:before="195" w:line="221" w:lineRule="auto"/>
              <w:ind w:left="113"/>
              <w:rPr>
                <w:color w:val="0000FF"/>
              </w:rPr>
            </w:pPr>
            <w:r>
              <w:rPr>
                <w:color w:val="0000FF"/>
                <w:spacing w:val="-4"/>
              </w:rPr>
              <w:t>计划工期：</w:t>
            </w:r>
            <w:r>
              <w:rPr>
                <w:color w:val="0000FF"/>
                <w:spacing w:val="-4"/>
                <w:u w:val="single" w:color="auto"/>
              </w:rPr>
              <w:t xml:space="preserve"> </w:t>
            </w:r>
            <w:r>
              <w:rPr>
                <w:rFonts w:hint="eastAsia"/>
                <w:color w:val="0000FF"/>
                <w:spacing w:val="-4"/>
                <w:u w:val="single" w:color="auto"/>
                <w:lang w:val="en-US" w:eastAsia="zh-CN"/>
              </w:rPr>
              <w:t xml:space="preserve"> 45   </w:t>
            </w:r>
            <w:r>
              <w:rPr>
                <w:color w:val="0000FF"/>
                <w:spacing w:val="-56"/>
              </w:rPr>
              <w:t xml:space="preserve"> </w:t>
            </w:r>
            <w:r>
              <w:rPr>
                <w:color w:val="0000FF"/>
                <w:spacing w:val="-4"/>
              </w:rPr>
              <w:t>日历天；</w:t>
            </w:r>
          </w:p>
          <w:p w14:paraId="1349CD73">
            <w:pPr>
              <w:pStyle w:val="11"/>
              <w:spacing w:before="66" w:line="221" w:lineRule="auto"/>
              <w:ind w:left="113"/>
              <w:rPr>
                <w:color w:val="0000FF"/>
              </w:rPr>
            </w:pPr>
            <w:r>
              <w:rPr>
                <w:color w:val="0000FF"/>
                <w:spacing w:val="-1"/>
              </w:rPr>
              <w:t>计划开工日期：</w:t>
            </w:r>
            <w:r>
              <w:rPr>
                <w:color w:val="0000FF"/>
                <w:spacing w:val="-1"/>
                <w:u w:val="single" w:color="auto"/>
              </w:rPr>
              <w:t xml:space="preserve">        </w:t>
            </w:r>
            <w:r>
              <w:rPr>
                <w:color w:val="0000FF"/>
                <w:spacing w:val="-90"/>
              </w:rPr>
              <w:t xml:space="preserve"> </w:t>
            </w:r>
            <w:r>
              <w:rPr>
                <w:color w:val="0000FF"/>
                <w:spacing w:val="-1"/>
              </w:rPr>
              <w:t>年</w:t>
            </w:r>
            <w:r>
              <w:rPr>
                <w:color w:val="0000FF"/>
                <w:spacing w:val="-1"/>
                <w:u w:val="single" w:color="auto"/>
              </w:rPr>
              <w:t xml:space="preserve">        </w:t>
            </w:r>
            <w:r>
              <w:rPr>
                <w:color w:val="0000FF"/>
                <w:spacing w:val="-92"/>
              </w:rPr>
              <w:t xml:space="preserve"> </w:t>
            </w:r>
            <w:r>
              <w:rPr>
                <w:color w:val="0000FF"/>
                <w:spacing w:val="-1"/>
              </w:rPr>
              <w:t>月</w:t>
            </w:r>
            <w:r>
              <w:rPr>
                <w:color w:val="0000FF"/>
                <w:spacing w:val="-1"/>
                <w:u w:val="single" w:color="auto"/>
              </w:rPr>
              <w:t xml:space="preserve">         </w:t>
            </w:r>
            <w:r>
              <w:rPr>
                <w:color w:val="0000FF"/>
                <w:spacing w:val="-60"/>
              </w:rPr>
              <w:t xml:space="preserve"> </w:t>
            </w:r>
            <w:r>
              <w:rPr>
                <w:color w:val="0000FF"/>
                <w:spacing w:val="-1"/>
              </w:rPr>
              <w:t>日</w:t>
            </w:r>
          </w:p>
          <w:p w14:paraId="684BB4CE">
            <w:pPr>
              <w:pStyle w:val="11"/>
              <w:spacing w:before="69" w:line="283" w:lineRule="auto"/>
              <w:ind w:left="125" w:right="656" w:hanging="12"/>
            </w:pPr>
            <w:r>
              <w:rPr>
                <w:color w:val="0000FF"/>
                <w:spacing w:val="-10"/>
              </w:rPr>
              <w:t>计划竣工日期：</w:t>
            </w:r>
            <w:r>
              <w:rPr>
                <w:color w:val="0000FF"/>
                <w:u w:val="single" w:color="auto"/>
              </w:rPr>
              <w:t xml:space="preserve">        </w:t>
            </w:r>
            <w:r>
              <w:rPr>
                <w:color w:val="0000FF"/>
                <w:spacing w:val="-90"/>
              </w:rPr>
              <w:t xml:space="preserve"> </w:t>
            </w:r>
            <w:r>
              <w:rPr>
                <w:color w:val="0000FF"/>
                <w:spacing w:val="-10"/>
              </w:rPr>
              <w:t>年</w:t>
            </w:r>
            <w:r>
              <w:rPr>
                <w:color w:val="0000FF"/>
                <w:u w:val="single" w:color="auto"/>
              </w:rPr>
              <w:t xml:space="preserve">        </w:t>
            </w:r>
            <w:r>
              <w:rPr>
                <w:color w:val="0000FF"/>
                <w:spacing w:val="-92"/>
              </w:rPr>
              <w:t xml:space="preserve"> </w:t>
            </w:r>
            <w:r>
              <w:rPr>
                <w:color w:val="0000FF"/>
                <w:spacing w:val="-10"/>
              </w:rPr>
              <w:t>月</w:t>
            </w:r>
            <w:r>
              <w:rPr>
                <w:color w:val="0000FF"/>
                <w:spacing w:val="13"/>
                <w:u w:val="single" w:color="auto"/>
              </w:rPr>
              <w:t xml:space="preserve">        </w:t>
            </w:r>
            <w:r>
              <w:rPr>
                <w:color w:val="0000FF"/>
                <w:spacing w:val="-60"/>
              </w:rPr>
              <w:t xml:space="preserve"> </w:t>
            </w:r>
            <w:r>
              <w:rPr>
                <w:color w:val="0000FF"/>
                <w:spacing w:val="-10"/>
              </w:rPr>
              <w:t>日。</w:t>
            </w:r>
            <w:r>
              <w:rPr>
                <w:spacing w:val="-1"/>
              </w:rPr>
              <w:t>除上述总工期外，招标人还要求以下区段工期：</w:t>
            </w:r>
          </w:p>
          <w:p w14:paraId="565ED0C6">
            <w:pPr>
              <w:pStyle w:val="11"/>
              <w:spacing w:before="131" w:line="46" w:lineRule="exact"/>
              <w:ind w:left="1605"/>
            </w:pPr>
            <w:r>
              <w:pict>
                <v:shape id="_x0000_s1029" o:spid="_x0000_s1029" o:spt="202" type="#_x0000_t202" style="position:absolute;left:0pt;margin-left:4.2pt;margin-top:-0.25pt;height:14.1pt;width:86.05pt;z-index:251660288;mso-width-relative:page;mso-height-relative:page;" filled="f" stroked="f" coordsize="21600,21600">
                  <v:path/>
                  <v:fill on="f" focussize="0,0"/>
                  <v:stroke on="f"/>
                  <v:imagedata o:title=""/>
                  <o:lock v:ext="edit" aspectratio="f"/>
                  <v:textbox inset="0mm,0mm,0mm,0mm">
                    <w:txbxContent>
                      <w:p w14:paraId="66737DBB">
                        <w:pPr>
                          <w:tabs>
                            <w:tab w:val="left" w:pos="1700"/>
                          </w:tabs>
                          <w:spacing w:before="20"/>
                          <w:ind w:left="20"/>
                          <w:rPr>
                            <w:rFonts w:hint="eastAsia" w:ascii="Arial" w:eastAsia="宋体"/>
                            <w:sz w:val="21"/>
                            <w:lang w:val="en-US" w:eastAsia="zh-CN"/>
                          </w:rPr>
                        </w:pPr>
                        <w:r>
                          <w:rPr>
                            <w:rFonts w:hint="eastAsia" w:eastAsia="宋体" w:cs="Arial"/>
                            <w:sz w:val="21"/>
                            <w:szCs w:val="21"/>
                            <w:u w:val="single" w:color="auto"/>
                            <w:lang w:val="en-US" w:eastAsia="zh-CN"/>
                          </w:rPr>
                          <w:t>/</w:t>
                        </w:r>
                        <w:r>
                          <w:rPr>
                            <w:rFonts w:ascii="Arial" w:hAnsi="Arial" w:eastAsia="Arial" w:cs="Arial"/>
                            <w:sz w:val="21"/>
                            <w:szCs w:val="21"/>
                            <w:u w:val="single" w:color="auto"/>
                          </w:rPr>
                          <w:tab/>
                        </w:r>
                        <w:r>
                          <w:rPr>
                            <w:rFonts w:hint="eastAsia" w:eastAsia="宋体" w:cs="Arial"/>
                            <w:sz w:val="21"/>
                            <w:szCs w:val="21"/>
                            <w:u w:val="single" w:color="auto"/>
                            <w:lang w:val="en-US" w:eastAsia="zh-CN"/>
                          </w:rPr>
                          <w:t>/</w:t>
                        </w:r>
                      </w:p>
                    </w:txbxContent>
                  </v:textbox>
                </v:shape>
              </w:pict>
            </w:r>
            <w:r>
              <w:rPr>
                <w:position w:val="-1"/>
              </w:rPr>
              <w:t>。</w:t>
            </w:r>
          </w:p>
          <w:p w14:paraId="5E311691">
            <w:pPr>
              <w:pStyle w:val="11"/>
              <w:spacing w:before="139" w:line="220" w:lineRule="auto"/>
              <w:ind w:left="114"/>
            </w:pPr>
            <w:r>
              <w:rPr>
                <w:spacing w:val="-1"/>
              </w:rPr>
              <w:t>有关工期的详细要求见第七章“技术标准和要求”。</w:t>
            </w:r>
          </w:p>
        </w:tc>
      </w:tr>
      <w:tr w14:paraId="7CF9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56" w:type="dxa"/>
            <w:vAlign w:val="top"/>
          </w:tcPr>
          <w:p w14:paraId="19403E43">
            <w:pPr>
              <w:spacing w:line="326" w:lineRule="auto"/>
              <w:rPr>
                <w:rFonts w:ascii="Arial"/>
                <w:sz w:val="21"/>
              </w:rPr>
            </w:pPr>
          </w:p>
          <w:p w14:paraId="7ED447FD">
            <w:pPr>
              <w:pStyle w:val="11"/>
              <w:spacing w:before="69"/>
              <w:ind w:left="186"/>
            </w:pPr>
            <w:r>
              <w:rPr>
                <w:spacing w:val="-4"/>
              </w:rPr>
              <w:t>1.3.3</w:t>
            </w:r>
          </w:p>
        </w:tc>
        <w:tc>
          <w:tcPr>
            <w:tcW w:w="1977" w:type="dxa"/>
            <w:vAlign w:val="top"/>
          </w:tcPr>
          <w:p w14:paraId="6BED4260">
            <w:pPr>
              <w:spacing w:line="327" w:lineRule="auto"/>
              <w:rPr>
                <w:rFonts w:ascii="Arial"/>
                <w:sz w:val="21"/>
              </w:rPr>
            </w:pPr>
          </w:p>
          <w:p w14:paraId="507EA909">
            <w:pPr>
              <w:pStyle w:val="11"/>
              <w:spacing w:before="68" w:line="221" w:lineRule="auto"/>
              <w:ind w:left="571"/>
            </w:pPr>
            <w:r>
              <w:rPr>
                <w:spacing w:val="-2"/>
              </w:rPr>
              <w:t>质量标准</w:t>
            </w:r>
          </w:p>
        </w:tc>
        <w:tc>
          <w:tcPr>
            <w:tcW w:w="5673" w:type="dxa"/>
            <w:vAlign w:val="top"/>
          </w:tcPr>
          <w:p w14:paraId="22D713B2">
            <w:pPr>
              <w:pStyle w:val="11"/>
              <w:spacing w:before="75" w:line="221" w:lineRule="auto"/>
              <w:ind w:left="114"/>
            </w:pPr>
            <w:r>
              <w:rPr>
                <w:spacing w:val="-2"/>
              </w:rPr>
              <w:t>质量标准</w:t>
            </w:r>
            <w:r>
              <w:rPr>
                <w:spacing w:val="-1"/>
              </w:rPr>
              <w:t>：</w:t>
            </w:r>
            <w:r>
              <w:rPr>
                <w:spacing w:val="3"/>
                <w:u w:val="single" w:color="auto"/>
              </w:rPr>
              <w:t xml:space="preserve">  </w:t>
            </w:r>
            <w:r>
              <w:rPr>
                <w:rFonts w:hint="eastAsia"/>
                <w:spacing w:val="3"/>
                <w:u w:val="single" w:color="auto"/>
                <w:lang w:val="en-US" w:eastAsia="zh-CN"/>
              </w:rPr>
              <w:t>合格</w:t>
            </w:r>
            <w:r>
              <w:rPr>
                <w:spacing w:val="3"/>
                <w:u w:val="single" w:color="auto"/>
              </w:rPr>
              <w:t xml:space="preserve">     </w:t>
            </w:r>
            <w:r>
              <w:rPr>
                <w:spacing w:val="-1"/>
                <w:u w:val="single" w:color="auto"/>
              </w:rPr>
              <w:t>；</w:t>
            </w:r>
          </w:p>
          <w:p w14:paraId="123A1DEE">
            <w:pPr>
              <w:pStyle w:val="11"/>
              <w:spacing w:before="70" w:line="221" w:lineRule="auto"/>
              <w:ind w:left="114"/>
            </w:pPr>
            <w:r>
              <w:rPr>
                <w:spacing w:val="-2"/>
              </w:rPr>
              <w:t>其他要求：</w:t>
            </w:r>
            <w:r>
              <w:rPr>
                <w:spacing w:val="1"/>
                <w:u w:val="single" w:color="auto"/>
              </w:rPr>
              <w:t xml:space="preserve">        </w:t>
            </w:r>
            <w:r>
              <w:rPr>
                <w:rFonts w:hint="eastAsia"/>
                <w:spacing w:val="1"/>
                <w:u w:val="single" w:color="auto"/>
                <w:lang w:val="en-US" w:eastAsia="zh-CN"/>
              </w:rPr>
              <w:t>/</w:t>
            </w:r>
            <w:r>
              <w:rPr>
                <w:spacing w:val="1"/>
                <w:u w:val="single" w:color="auto"/>
              </w:rPr>
              <w:t xml:space="preserve">            </w:t>
            </w:r>
            <w:r>
              <w:rPr>
                <w:spacing w:val="-2"/>
                <w:u w:val="single" w:color="auto"/>
              </w:rPr>
              <w:t>。</w:t>
            </w:r>
          </w:p>
          <w:p w14:paraId="0292AF15">
            <w:pPr>
              <w:pStyle w:val="11"/>
              <w:spacing w:before="68" w:line="209" w:lineRule="auto"/>
              <w:ind w:left="116"/>
            </w:pPr>
            <w:r>
              <w:rPr>
                <w:spacing w:val="-1"/>
              </w:rPr>
              <w:t>关于质量标准的详细说明见第七章“技术标准和要求”。</w:t>
            </w:r>
          </w:p>
        </w:tc>
      </w:tr>
      <w:tr w14:paraId="529C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4" w:hRule="atLeast"/>
        </w:trPr>
        <w:tc>
          <w:tcPr>
            <w:tcW w:w="856" w:type="dxa"/>
            <w:vAlign w:val="top"/>
          </w:tcPr>
          <w:p w14:paraId="2313FFC8">
            <w:pPr>
              <w:spacing w:line="259" w:lineRule="auto"/>
              <w:rPr>
                <w:rFonts w:ascii="Arial"/>
                <w:sz w:val="21"/>
              </w:rPr>
            </w:pPr>
          </w:p>
          <w:p w14:paraId="34744CCC">
            <w:pPr>
              <w:spacing w:line="259" w:lineRule="auto"/>
              <w:rPr>
                <w:rFonts w:ascii="Arial"/>
                <w:sz w:val="21"/>
              </w:rPr>
            </w:pPr>
          </w:p>
          <w:p w14:paraId="173A8CFC">
            <w:pPr>
              <w:spacing w:line="259" w:lineRule="auto"/>
              <w:rPr>
                <w:rFonts w:ascii="Arial"/>
                <w:sz w:val="21"/>
              </w:rPr>
            </w:pPr>
          </w:p>
          <w:p w14:paraId="08059EA6">
            <w:pPr>
              <w:spacing w:line="259" w:lineRule="auto"/>
              <w:rPr>
                <w:rFonts w:ascii="Arial"/>
                <w:sz w:val="21"/>
              </w:rPr>
            </w:pPr>
          </w:p>
          <w:p w14:paraId="145354A9">
            <w:pPr>
              <w:spacing w:line="259" w:lineRule="auto"/>
              <w:rPr>
                <w:rFonts w:ascii="Arial"/>
                <w:sz w:val="21"/>
              </w:rPr>
            </w:pPr>
          </w:p>
          <w:p w14:paraId="73B928B2">
            <w:pPr>
              <w:spacing w:line="260" w:lineRule="auto"/>
              <w:rPr>
                <w:rFonts w:ascii="Arial"/>
                <w:sz w:val="21"/>
              </w:rPr>
            </w:pPr>
          </w:p>
          <w:p w14:paraId="06BC2D2D">
            <w:pPr>
              <w:spacing w:line="260" w:lineRule="auto"/>
              <w:rPr>
                <w:rFonts w:ascii="Arial"/>
                <w:sz w:val="21"/>
              </w:rPr>
            </w:pPr>
          </w:p>
          <w:p w14:paraId="62939473">
            <w:pPr>
              <w:spacing w:line="260" w:lineRule="auto"/>
              <w:rPr>
                <w:rFonts w:ascii="Arial"/>
                <w:sz w:val="21"/>
              </w:rPr>
            </w:pPr>
          </w:p>
          <w:p w14:paraId="6079DFE6">
            <w:pPr>
              <w:pStyle w:val="11"/>
              <w:spacing w:before="68"/>
              <w:ind w:left="186"/>
            </w:pPr>
            <w:r>
              <w:rPr>
                <w:spacing w:val="-4"/>
              </w:rPr>
              <w:t>1.4.1</w:t>
            </w:r>
          </w:p>
        </w:tc>
        <w:tc>
          <w:tcPr>
            <w:tcW w:w="1977" w:type="dxa"/>
            <w:vAlign w:val="top"/>
          </w:tcPr>
          <w:p w14:paraId="3047AB3B">
            <w:pPr>
              <w:spacing w:line="273" w:lineRule="auto"/>
              <w:rPr>
                <w:rFonts w:ascii="Arial"/>
                <w:sz w:val="21"/>
              </w:rPr>
            </w:pPr>
          </w:p>
          <w:p w14:paraId="5821A3A3">
            <w:pPr>
              <w:spacing w:line="273" w:lineRule="auto"/>
              <w:rPr>
                <w:rFonts w:ascii="Arial"/>
                <w:sz w:val="21"/>
              </w:rPr>
            </w:pPr>
          </w:p>
          <w:p w14:paraId="575BA2CF">
            <w:pPr>
              <w:spacing w:line="274" w:lineRule="auto"/>
              <w:rPr>
                <w:rFonts w:ascii="Arial"/>
                <w:sz w:val="21"/>
              </w:rPr>
            </w:pPr>
          </w:p>
          <w:p w14:paraId="3400FBD9">
            <w:pPr>
              <w:spacing w:line="274" w:lineRule="auto"/>
              <w:rPr>
                <w:rFonts w:ascii="Arial"/>
                <w:sz w:val="21"/>
              </w:rPr>
            </w:pPr>
          </w:p>
          <w:p w14:paraId="2B74B741">
            <w:pPr>
              <w:spacing w:line="274" w:lineRule="auto"/>
              <w:rPr>
                <w:rFonts w:ascii="Arial"/>
                <w:sz w:val="21"/>
              </w:rPr>
            </w:pPr>
          </w:p>
          <w:p w14:paraId="2D396280">
            <w:pPr>
              <w:spacing w:line="274" w:lineRule="auto"/>
              <w:rPr>
                <w:rFonts w:ascii="Arial"/>
                <w:sz w:val="21"/>
              </w:rPr>
            </w:pPr>
          </w:p>
          <w:p w14:paraId="40356103">
            <w:pPr>
              <w:spacing w:line="274" w:lineRule="auto"/>
              <w:rPr>
                <w:rFonts w:ascii="Arial"/>
                <w:sz w:val="21"/>
              </w:rPr>
            </w:pPr>
          </w:p>
          <w:p w14:paraId="1D4F0E98">
            <w:pPr>
              <w:pStyle w:val="11"/>
              <w:spacing w:before="68" w:line="284" w:lineRule="auto"/>
              <w:ind w:left="472" w:right="178" w:hanging="320"/>
            </w:pPr>
            <w:r>
              <w:rPr>
                <w:spacing w:val="-5"/>
              </w:rPr>
              <w:t>投标人资质条件、</w:t>
            </w:r>
            <w:r>
              <w:rPr>
                <w:spacing w:val="-3"/>
              </w:rPr>
              <w:t>能力和信誉</w:t>
            </w:r>
          </w:p>
        </w:tc>
        <w:tc>
          <w:tcPr>
            <w:tcW w:w="5673" w:type="dxa"/>
            <w:vAlign w:val="top"/>
          </w:tcPr>
          <w:p w14:paraId="7795CB2E">
            <w:pPr>
              <w:pStyle w:val="11"/>
              <w:spacing w:before="76" w:line="281" w:lineRule="auto"/>
              <w:ind w:left="114" w:right="104" w:firstLine="8"/>
            </w:pPr>
            <w:r>
              <w:rPr>
                <w:b/>
                <w:bCs/>
                <w:spacing w:val="-3"/>
              </w:rPr>
              <w:t>资质要求：</w:t>
            </w:r>
            <w:r>
              <w:rPr>
                <w:b/>
                <w:bCs/>
                <w:color w:val="0000FF"/>
                <w:spacing w:val="-3"/>
              </w:rPr>
              <w:t>具备</w:t>
            </w:r>
            <w:r>
              <w:rPr>
                <w:color w:val="0000FF"/>
                <w:spacing w:val="9"/>
                <w:u w:val="single" w:color="auto"/>
              </w:rPr>
              <w:t xml:space="preserve"> </w:t>
            </w:r>
            <w:r>
              <w:rPr>
                <w:rFonts w:hint="eastAsia"/>
                <w:color w:val="0000FF"/>
                <w:spacing w:val="9"/>
                <w:u w:val="single" w:color="auto"/>
                <w:lang w:val="en-US" w:eastAsia="zh-CN"/>
              </w:rPr>
              <w:t>具备建筑工程施工总承包叁级及以上或者同时具备建筑装修装饰工程专业承包贰级（贰级及以上）资质证书和建筑机电安装工程专业承包贰级（贰级及以上）资质证书</w:t>
            </w:r>
            <w:r>
              <w:rPr>
                <w:color w:val="0000FF"/>
                <w:spacing w:val="-3"/>
              </w:rPr>
              <w:t>，</w:t>
            </w:r>
            <w:r>
              <w:rPr>
                <w:spacing w:val="-3"/>
              </w:rPr>
              <w:t>且具备有效的</w:t>
            </w:r>
            <w:r>
              <w:rPr>
                <w:spacing w:val="8"/>
              </w:rPr>
              <w:t>安全生产许可证，具备市场监督管理部门核发的</w:t>
            </w:r>
            <w:r>
              <w:rPr>
                <w:spacing w:val="7"/>
              </w:rPr>
              <w:t>有效企业</w:t>
            </w:r>
            <w:r>
              <w:rPr>
                <w:spacing w:val="-3"/>
              </w:rPr>
              <w:t>法人营业执照。</w:t>
            </w:r>
          </w:p>
          <w:p w14:paraId="1CBD3541">
            <w:pPr>
              <w:pStyle w:val="11"/>
              <w:spacing w:before="1" w:line="281" w:lineRule="auto"/>
              <w:ind w:left="153" w:right="113" w:hanging="40"/>
            </w:pPr>
            <w:r>
              <w:rPr>
                <w:b/>
                <w:bCs/>
                <w:spacing w:val="2"/>
              </w:rPr>
              <w:t>信誉要求：</w:t>
            </w:r>
            <w:r>
              <w:rPr>
                <w:spacing w:val="2"/>
              </w:rPr>
              <w:t>不得具有投标人须知第 1.4.3（9）至（16）条</w:t>
            </w:r>
            <w:r>
              <w:rPr>
                <w:spacing w:val="-9"/>
              </w:rPr>
              <w:t>目规定的情形。</w:t>
            </w:r>
          </w:p>
          <w:p w14:paraId="7F55AE9C">
            <w:pPr>
              <w:pStyle w:val="11"/>
              <w:spacing w:before="1" w:line="281" w:lineRule="auto"/>
              <w:ind w:left="112" w:right="104" w:firstLine="4"/>
            </w:pPr>
            <w:r>
              <w:rPr>
                <w:b/>
                <w:bCs/>
              </w:rPr>
              <w:t>项目经理的资格要求：</w:t>
            </w:r>
            <w:r>
              <w:t>具备</w:t>
            </w:r>
            <w:r>
              <w:rPr>
                <w:u w:val="single" w:color="auto"/>
              </w:rPr>
              <w:t xml:space="preserve">  </w:t>
            </w:r>
            <w:r>
              <w:rPr>
                <w:rFonts w:hint="eastAsia"/>
                <w:u w:val="single" w:color="auto"/>
                <w:lang w:val="en-US" w:eastAsia="zh-CN"/>
              </w:rPr>
              <w:t xml:space="preserve">建筑工程或机电工程 </w:t>
            </w:r>
            <w:r>
              <w:rPr>
                <w:u w:val="single" w:color="auto"/>
              </w:rPr>
              <w:t xml:space="preserve">   </w:t>
            </w:r>
            <w:r>
              <w:rPr>
                <w:spacing w:val="-96"/>
              </w:rPr>
              <w:t xml:space="preserve"> </w:t>
            </w:r>
            <w:r>
              <w:t>专业</w:t>
            </w:r>
            <w:r>
              <w:rPr>
                <w:spacing w:val="8"/>
                <w:u w:val="single" w:color="auto"/>
              </w:rPr>
              <w:t xml:space="preserve"> </w:t>
            </w:r>
            <w:r>
              <w:rPr>
                <w:rFonts w:hint="eastAsia"/>
                <w:color w:val="FF0000"/>
                <w:spacing w:val="8"/>
                <w:u w:val="single" w:color="auto"/>
                <w:lang w:val="en-US" w:eastAsia="zh-CN"/>
              </w:rPr>
              <w:t>二</w:t>
            </w:r>
            <w:r>
              <w:rPr>
                <w:spacing w:val="8"/>
                <w:u w:val="single" w:color="auto"/>
              </w:rPr>
              <w:t xml:space="preserve"> </w:t>
            </w:r>
            <w:r>
              <w:rPr>
                <w:spacing w:val="-93"/>
              </w:rPr>
              <w:t xml:space="preserve"> </w:t>
            </w:r>
            <w:r>
              <w:t>级注册建造师</w:t>
            </w:r>
            <w:r>
              <w:rPr>
                <w:spacing w:val="1"/>
              </w:rPr>
              <w:t>执业资格和有效的</w:t>
            </w:r>
            <w:r>
              <w:rPr>
                <w:spacing w:val="1"/>
                <w:u w:val="single" w:color="auto"/>
              </w:rPr>
              <w:t>安全生产考核合格证书（B 证</w:t>
            </w:r>
            <w:r>
              <w:rPr>
                <w:spacing w:val="-19"/>
                <w:u w:val="single" w:color="auto"/>
              </w:rPr>
              <w:t>）</w:t>
            </w:r>
            <w:r>
              <w:rPr>
                <w:spacing w:val="-19"/>
              </w:rPr>
              <w:t>，</w:t>
            </w:r>
            <w:r>
              <w:rPr>
                <w:spacing w:val="1"/>
              </w:rPr>
              <w:t>且未担</w:t>
            </w:r>
            <w:r>
              <w:rPr>
                <w:spacing w:val="-1"/>
              </w:rPr>
              <w:t>任其他在建工程项目的项目经理，《注册建造师执业管理办</w:t>
            </w:r>
            <w:r>
              <w:rPr>
                <w:spacing w:val="-8"/>
              </w:rPr>
              <w:t>法（试行）》第九条规定的情形除外。</w:t>
            </w:r>
          </w:p>
          <w:p w14:paraId="579B3258">
            <w:pPr>
              <w:pStyle w:val="11"/>
              <w:spacing w:before="1" w:line="281" w:lineRule="auto"/>
              <w:ind w:left="116" w:right="110" w:hanging="3"/>
            </w:pPr>
            <w:r>
              <w:rPr>
                <w:b/>
                <w:bCs/>
                <w:spacing w:val="5"/>
              </w:rPr>
              <w:t>注：项目经理不得同时在两个或者两个以上工程项目担任</w:t>
            </w:r>
            <w:r>
              <w:rPr>
                <w:b/>
                <w:bCs/>
                <w:spacing w:val="-9"/>
              </w:rPr>
              <w:t>项目经理。</w:t>
            </w:r>
          </w:p>
          <w:p w14:paraId="5F724E72">
            <w:pPr>
              <w:pStyle w:val="11"/>
              <w:spacing w:line="214" w:lineRule="auto"/>
              <w:ind w:left="112"/>
            </w:pPr>
            <w:r>
              <w:rPr>
                <w:b/>
                <w:bCs/>
                <w:spacing w:val="-1"/>
              </w:rPr>
              <w:t>业绩要求：</w:t>
            </w:r>
            <w:r>
              <w:rPr>
                <w:spacing w:val="-1"/>
              </w:rPr>
              <w:t>____</w:t>
            </w:r>
            <w:r>
              <w:rPr>
                <w:rFonts w:hint="eastAsia"/>
                <w:spacing w:val="-1"/>
                <w:lang w:val="en-US" w:eastAsia="zh-CN"/>
              </w:rPr>
              <w:t>/</w:t>
            </w:r>
            <w:r>
              <w:rPr>
                <w:spacing w:val="-1"/>
              </w:rPr>
              <w:t>_____________</w:t>
            </w:r>
          </w:p>
          <w:p w14:paraId="218C34D7">
            <w:pPr>
              <w:pStyle w:val="11"/>
              <w:spacing w:before="75" w:line="214" w:lineRule="auto"/>
              <w:ind w:left="116"/>
            </w:pPr>
            <w:r>
              <w:rPr>
                <w:b/>
                <w:bCs/>
                <w:spacing w:val="-1"/>
              </w:rPr>
              <w:t>项目管理机构主要人员要求：</w:t>
            </w:r>
            <w:r>
              <w:rPr>
                <w:spacing w:val="-1"/>
              </w:rPr>
              <w:t>____</w:t>
            </w:r>
            <w:r>
              <w:rPr>
                <w:rFonts w:hint="eastAsia"/>
                <w:spacing w:val="-1"/>
                <w:lang w:val="en-US" w:eastAsia="zh-CN"/>
              </w:rPr>
              <w:t>/</w:t>
            </w:r>
            <w:r>
              <w:rPr>
                <w:spacing w:val="-1"/>
              </w:rPr>
              <w:t>___</w:t>
            </w:r>
            <w:r>
              <w:rPr>
                <w:spacing w:val="-2"/>
              </w:rPr>
              <w:t>____</w:t>
            </w:r>
          </w:p>
          <w:p w14:paraId="1FFF68B2">
            <w:pPr>
              <w:pStyle w:val="11"/>
              <w:spacing w:before="78" w:line="360" w:lineRule="auto"/>
              <w:ind w:left="114"/>
            </w:pPr>
            <w:r>
              <w:rPr>
                <w:b/>
                <w:bCs/>
                <w:spacing w:val="-1"/>
              </w:rPr>
              <w:t>其他要求：</w:t>
            </w:r>
            <w:r>
              <w:rPr>
                <w:rFonts w:hint="eastAsia"/>
                <w:spacing w:val="-1"/>
                <w:u w:val="single"/>
              </w:rPr>
              <w:t>1)凡在“信用中国或信用中国辽宁”网站或同级及以上网站查询，被列入失信被执行人或黑名单的单位、重大税收违法案件当事人名单等不良行为的不得参加本工程投标。联合体各方均应满足。(2)投标人授权的委托代理人应具有与投标人单位签订的经人社部门认定盖章、一年以上(含1年)的劳动合同或社会养老保险关系证明(若投标单位所在地区的人社部门不在劳动合同或社保证明原件上盖章，则须提供人社部门官网打印件并经人社部门官网可查且信息有效)。(3)单位负责人为同一人或者存在控股、管理关系的不同单位，不得参加同一招标项目投标。(4)本工程实行资格后审，资格审查的具体要求见招标文件，资格后审不合格的投标文件将被否决。</w:t>
            </w:r>
          </w:p>
        </w:tc>
      </w:tr>
      <w:tr w14:paraId="04384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856" w:type="dxa"/>
            <w:vAlign w:val="top"/>
          </w:tcPr>
          <w:p w14:paraId="363F60F3">
            <w:pPr>
              <w:spacing w:line="255" w:lineRule="auto"/>
              <w:rPr>
                <w:rFonts w:ascii="Arial"/>
                <w:sz w:val="21"/>
              </w:rPr>
            </w:pPr>
          </w:p>
          <w:p w14:paraId="26770AD1">
            <w:pPr>
              <w:spacing w:line="255" w:lineRule="auto"/>
              <w:rPr>
                <w:rFonts w:ascii="Arial"/>
                <w:sz w:val="21"/>
              </w:rPr>
            </w:pPr>
          </w:p>
          <w:p w14:paraId="20B0EDAD">
            <w:pPr>
              <w:spacing w:line="255" w:lineRule="auto"/>
              <w:rPr>
                <w:rFonts w:ascii="Arial"/>
                <w:sz w:val="21"/>
              </w:rPr>
            </w:pPr>
          </w:p>
          <w:p w14:paraId="0B4F1F6D">
            <w:pPr>
              <w:pStyle w:val="11"/>
              <w:spacing w:before="68"/>
              <w:ind w:left="186"/>
            </w:pPr>
            <w:r>
              <w:rPr>
                <w:spacing w:val="-4"/>
              </w:rPr>
              <w:t>1.4.2</w:t>
            </w:r>
          </w:p>
        </w:tc>
        <w:tc>
          <w:tcPr>
            <w:tcW w:w="1977" w:type="dxa"/>
            <w:vAlign w:val="top"/>
          </w:tcPr>
          <w:p w14:paraId="00156562">
            <w:pPr>
              <w:spacing w:line="302" w:lineRule="auto"/>
              <w:rPr>
                <w:rFonts w:ascii="Arial"/>
                <w:sz w:val="21"/>
              </w:rPr>
            </w:pPr>
          </w:p>
          <w:p w14:paraId="59341E2D">
            <w:pPr>
              <w:spacing w:line="303" w:lineRule="auto"/>
              <w:rPr>
                <w:rFonts w:ascii="Arial"/>
                <w:sz w:val="21"/>
              </w:rPr>
            </w:pPr>
          </w:p>
          <w:p w14:paraId="3EB96624">
            <w:pPr>
              <w:pStyle w:val="11"/>
              <w:spacing w:before="68" w:line="285" w:lineRule="auto"/>
              <w:ind w:left="884" w:right="147" w:hanging="731"/>
            </w:pPr>
            <w:r>
              <w:rPr>
                <w:spacing w:val="-2"/>
              </w:rPr>
              <w:t>是否接受联合体投</w:t>
            </w:r>
            <w:r>
              <w:t>标</w:t>
            </w:r>
          </w:p>
        </w:tc>
        <w:tc>
          <w:tcPr>
            <w:tcW w:w="5673" w:type="dxa"/>
            <w:vAlign w:val="top"/>
          </w:tcPr>
          <w:p w14:paraId="6E14A57E">
            <w:pPr>
              <w:pStyle w:val="11"/>
              <w:spacing w:before="197" w:line="222" w:lineRule="auto"/>
              <w:ind w:left="134"/>
            </w:pPr>
            <w:r>
              <w:rPr>
                <w:rFonts w:hint="eastAsia"/>
                <w:spacing w:val="-7"/>
                <w:lang w:eastAsia="zh-CN"/>
              </w:rPr>
              <w:t>☑</w:t>
            </w:r>
            <w:r>
              <w:rPr>
                <w:spacing w:val="-7"/>
              </w:rPr>
              <w:t>不接受</w:t>
            </w:r>
          </w:p>
          <w:p w14:paraId="5C46523E">
            <w:pPr>
              <w:pStyle w:val="11"/>
              <w:spacing w:before="68" w:line="221" w:lineRule="auto"/>
              <w:ind w:left="134"/>
            </w:pPr>
            <w:r>
              <w:rPr>
                <w:rFonts w:hint="eastAsia"/>
                <w:spacing w:val="-3"/>
                <w:lang w:eastAsia="zh-CN"/>
              </w:rPr>
              <w:t>□</w:t>
            </w:r>
            <w:r>
              <w:rPr>
                <w:spacing w:val="-3"/>
              </w:rPr>
              <w:t>接受，应满足下列要求：</w:t>
            </w:r>
          </w:p>
          <w:p w14:paraId="2D34D673">
            <w:pPr>
              <w:pStyle w:val="11"/>
              <w:spacing w:before="69" w:line="283" w:lineRule="auto"/>
              <w:ind w:left="111" w:right="106" w:firstLine="2"/>
              <w:jc w:val="both"/>
              <w:rPr>
                <w:rFonts w:hint="default" w:eastAsia="宋体"/>
                <w:lang w:val="en-US" w:eastAsia="zh-CN"/>
              </w:rPr>
            </w:pPr>
            <w:r>
              <w:rPr>
                <w:spacing w:val="7"/>
              </w:rPr>
              <w:t>其中：</w:t>
            </w:r>
            <w:r>
              <w:rPr>
                <w:rFonts w:hint="eastAsia"/>
                <w:spacing w:val="7"/>
                <w:u w:val="single" w:color="auto"/>
                <w:lang w:val="en-US" w:eastAsia="zh-CN"/>
              </w:rPr>
              <w:t xml:space="preserve">     /        </w:t>
            </w:r>
          </w:p>
        </w:tc>
      </w:tr>
      <w:tr w14:paraId="466F2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7CC5AE0E">
            <w:pPr>
              <w:pStyle w:val="11"/>
              <w:spacing w:before="78"/>
              <w:ind w:left="186"/>
            </w:pPr>
            <w:r>
              <w:rPr>
                <w:spacing w:val="-4"/>
              </w:rPr>
              <w:t>1.4.3</w:t>
            </w:r>
          </w:p>
          <w:p w14:paraId="611A12A9">
            <w:pPr>
              <w:pStyle w:val="11"/>
              <w:spacing w:before="45" w:line="209" w:lineRule="auto"/>
              <w:ind w:left="124"/>
            </w:pPr>
            <w:r>
              <w:rPr>
                <w:spacing w:val="-4"/>
              </w:rPr>
              <w:t>（16）</w:t>
            </w:r>
          </w:p>
        </w:tc>
        <w:tc>
          <w:tcPr>
            <w:tcW w:w="1977" w:type="dxa"/>
            <w:vAlign w:val="top"/>
          </w:tcPr>
          <w:p w14:paraId="1E4629BB">
            <w:pPr>
              <w:pStyle w:val="11"/>
              <w:spacing w:before="77" w:line="245" w:lineRule="auto"/>
              <w:ind w:left="886" w:right="147" w:hanging="733"/>
            </w:pPr>
            <w:r>
              <w:rPr>
                <w:spacing w:val="-2"/>
              </w:rPr>
              <w:t>不得存在的其他情</w:t>
            </w:r>
            <w:r>
              <w:t>形</w:t>
            </w:r>
          </w:p>
        </w:tc>
        <w:tc>
          <w:tcPr>
            <w:tcW w:w="5673" w:type="dxa"/>
            <w:shd w:val="clear" w:color="auto" w:fill="auto"/>
            <w:vAlign w:val="center"/>
          </w:tcPr>
          <w:p w14:paraId="3E0A37B1">
            <w:pPr>
              <w:keepNext w:val="0"/>
              <w:keepLines w:val="0"/>
              <w:suppressLineNumbers w:val="0"/>
              <w:spacing w:before="0" w:beforeAutospacing="0" w:after="0" w:afterAutospacing="0" w:line="320" w:lineRule="exact"/>
              <w:ind w:left="0" w:leftChars="0" w:right="0" w:rightChars="0"/>
              <w:jc w:val="left"/>
              <w:rPr>
                <w:rFonts w:hint="eastAsia" w:ascii="Arial" w:hAnsi="Arial" w:eastAsia="Arial" w:cs="Arial"/>
                <w:snapToGrid w:val="0"/>
                <w:color w:val="auto"/>
                <w:kern w:val="0"/>
                <w:sz w:val="21"/>
                <w:szCs w:val="21"/>
                <w:highlight w:val="none"/>
                <w:lang w:val="en-US" w:eastAsia="zh-CN" w:bidi="ar-SA"/>
              </w:rPr>
            </w:pPr>
            <w:r>
              <w:rPr>
                <w:rFonts w:hint="eastAsia"/>
                <w:color w:val="auto"/>
                <w:highlight w:val="none"/>
                <w:lang w:eastAsia="zh-CN"/>
              </w:rPr>
              <w:t>在招投标过程中，发现下列情形之一的，招投标监管机构和评标委员会将认定为围标串标行为，投标按作废标处理，并按相关规定予以处罚:</w:t>
            </w:r>
            <w:r>
              <w:rPr>
                <w:rFonts w:hint="eastAsia"/>
                <w:color w:val="auto"/>
                <w:highlight w:val="none"/>
                <w:lang w:eastAsia="zh-CN"/>
              </w:rPr>
              <w:br w:type="textWrapping"/>
            </w:r>
            <w:r>
              <w:rPr>
                <w:rFonts w:hint="eastAsia"/>
                <w:color w:val="auto"/>
                <w:highlight w:val="none"/>
                <w:lang w:eastAsia="zh-CN"/>
              </w:rPr>
              <w:t>1、投标人同属于一个母公司或者一个母公司和他所属的子公司同时参加投标;</w:t>
            </w:r>
            <w:r>
              <w:rPr>
                <w:rFonts w:hint="eastAsia"/>
                <w:color w:val="auto"/>
                <w:highlight w:val="none"/>
                <w:lang w:eastAsia="zh-CN"/>
              </w:rPr>
              <w:br w:type="textWrapping"/>
            </w:r>
            <w:r>
              <w:rPr>
                <w:rFonts w:hint="eastAsia"/>
                <w:color w:val="auto"/>
                <w:highlight w:val="none"/>
                <w:lang w:eastAsia="zh-CN"/>
              </w:rPr>
              <w:t>2、投标人以两家及以上企业的名义参与投标报名的;</w:t>
            </w:r>
            <w:r>
              <w:rPr>
                <w:rFonts w:hint="eastAsia"/>
                <w:color w:val="auto"/>
                <w:highlight w:val="none"/>
                <w:lang w:eastAsia="zh-CN"/>
              </w:rPr>
              <w:br w:type="textWrapping"/>
            </w:r>
            <w:r>
              <w:rPr>
                <w:rFonts w:hint="eastAsia"/>
                <w:color w:val="auto"/>
                <w:highlight w:val="none"/>
                <w:lang w:eastAsia="zh-CN"/>
              </w:rPr>
              <w:t>3、投标人的投标文件相互混装的;</w:t>
            </w:r>
            <w:r>
              <w:rPr>
                <w:rFonts w:hint="eastAsia"/>
                <w:color w:val="auto"/>
                <w:highlight w:val="none"/>
                <w:lang w:eastAsia="zh-CN"/>
              </w:rPr>
              <w:br w:type="textWrapping"/>
            </w:r>
            <w:r>
              <w:rPr>
                <w:rFonts w:hint="eastAsia"/>
                <w:color w:val="auto"/>
                <w:highlight w:val="none"/>
                <w:lang w:eastAsia="zh-CN"/>
              </w:rPr>
              <w:t>4、投标人的投标文件错、漏之处一致的;</w:t>
            </w:r>
            <w:r>
              <w:rPr>
                <w:rFonts w:hint="eastAsia"/>
                <w:color w:val="auto"/>
                <w:highlight w:val="none"/>
                <w:lang w:eastAsia="zh-CN"/>
              </w:rPr>
              <w:br w:type="textWrapping"/>
            </w:r>
            <w:r>
              <w:rPr>
                <w:rFonts w:hint="eastAsia"/>
                <w:color w:val="auto"/>
                <w:highlight w:val="none"/>
                <w:lang w:eastAsia="zh-CN"/>
              </w:rPr>
              <w:t>5、投标人的投标报价或报价组成异常一致或呈规律性变化的;</w:t>
            </w:r>
            <w:r>
              <w:rPr>
                <w:rFonts w:hint="eastAsia"/>
                <w:color w:val="auto"/>
                <w:highlight w:val="none"/>
                <w:lang w:eastAsia="zh-CN"/>
              </w:rPr>
              <w:br w:type="textWrapping"/>
            </w:r>
            <w:r>
              <w:rPr>
                <w:rFonts w:hint="eastAsia"/>
                <w:color w:val="auto"/>
                <w:highlight w:val="none"/>
                <w:lang w:eastAsia="zh-CN"/>
              </w:rPr>
              <w:t>6、投标人的投标文件由同一单位或同一个人编制的;</w:t>
            </w:r>
            <w:r>
              <w:rPr>
                <w:rFonts w:hint="eastAsia"/>
                <w:color w:val="auto"/>
                <w:highlight w:val="none"/>
                <w:lang w:eastAsia="zh-CN"/>
              </w:rPr>
              <w:br w:type="textWrapping"/>
            </w:r>
            <w:r>
              <w:rPr>
                <w:rFonts w:hint="eastAsia"/>
                <w:color w:val="auto"/>
                <w:highlight w:val="none"/>
                <w:lang w:eastAsia="zh-CN"/>
              </w:rPr>
              <w:t>7、投标人的投标文件授权代表人为同一人或同一单位人员的;</w:t>
            </w:r>
            <w:r>
              <w:rPr>
                <w:rFonts w:hint="eastAsia"/>
                <w:color w:val="auto"/>
                <w:highlight w:val="none"/>
                <w:lang w:eastAsia="zh-CN"/>
              </w:rPr>
              <w:br w:type="textWrapping"/>
            </w:r>
            <w:r>
              <w:rPr>
                <w:rFonts w:hint="eastAsia"/>
                <w:color w:val="auto"/>
                <w:highlight w:val="none"/>
                <w:lang w:eastAsia="zh-CN"/>
              </w:rPr>
              <w:t>8、投标人的相关人员有在同一个单位缴纳社会保险的;</w:t>
            </w:r>
            <w:r>
              <w:rPr>
                <w:rFonts w:hint="eastAsia"/>
                <w:color w:val="auto"/>
                <w:highlight w:val="none"/>
                <w:lang w:eastAsia="zh-CN"/>
              </w:rPr>
              <w:br w:type="textWrapping"/>
            </w:r>
            <w:r>
              <w:rPr>
                <w:rFonts w:hint="eastAsia"/>
                <w:color w:val="auto"/>
                <w:highlight w:val="none"/>
                <w:lang w:eastAsia="zh-CN"/>
              </w:rPr>
              <w:t>9、投标人的投标保证金由同一企业或同一账户资金缴纳的;</w:t>
            </w:r>
            <w:r>
              <w:rPr>
                <w:rFonts w:hint="eastAsia"/>
                <w:color w:val="auto"/>
                <w:highlight w:val="none"/>
                <w:lang w:eastAsia="zh-CN"/>
              </w:rPr>
              <w:br w:type="textWrapping"/>
            </w:r>
            <w:r>
              <w:rPr>
                <w:rFonts w:hint="eastAsia"/>
                <w:color w:val="auto"/>
                <w:highlight w:val="none"/>
                <w:lang w:eastAsia="zh-CN"/>
              </w:rPr>
              <w:t>10、证明投标人与招标人、招标代理机构或其他投标人串通的其他情形及其他不符合法律、法规规定情形的。</w:t>
            </w:r>
          </w:p>
        </w:tc>
      </w:tr>
      <w:tr w14:paraId="3157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856" w:type="dxa"/>
            <w:vAlign w:val="top"/>
          </w:tcPr>
          <w:p w14:paraId="0170CC7D">
            <w:pPr>
              <w:spacing w:line="382" w:lineRule="auto"/>
              <w:rPr>
                <w:rFonts w:ascii="Arial"/>
                <w:sz w:val="21"/>
              </w:rPr>
            </w:pPr>
          </w:p>
          <w:p w14:paraId="5FB03947">
            <w:pPr>
              <w:pStyle w:val="11"/>
              <w:spacing w:before="68"/>
              <w:ind w:left="186"/>
            </w:pPr>
            <w:r>
              <w:rPr>
                <w:spacing w:val="-4"/>
              </w:rPr>
              <w:t>1.9.1</w:t>
            </w:r>
          </w:p>
        </w:tc>
        <w:tc>
          <w:tcPr>
            <w:tcW w:w="1977" w:type="dxa"/>
            <w:vAlign w:val="top"/>
          </w:tcPr>
          <w:p w14:paraId="2C2C106C">
            <w:pPr>
              <w:spacing w:line="382" w:lineRule="auto"/>
              <w:rPr>
                <w:rFonts w:ascii="Arial"/>
                <w:sz w:val="21"/>
              </w:rPr>
            </w:pPr>
          </w:p>
          <w:p w14:paraId="5705B986">
            <w:pPr>
              <w:pStyle w:val="11"/>
              <w:spacing w:before="68" w:line="221" w:lineRule="auto"/>
              <w:ind w:left="571"/>
            </w:pPr>
            <w:r>
              <w:rPr>
                <w:spacing w:val="-2"/>
              </w:rPr>
              <w:t>踏勘现场</w:t>
            </w:r>
          </w:p>
        </w:tc>
        <w:tc>
          <w:tcPr>
            <w:tcW w:w="5673" w:type="dxa"/>
            <w:vAlign w:val="top"/>
          </w:tcPr>
          <w:p w14:paraId="0848EFB8">
            <w:pPr>
              <w:pStyle w:val="11"/>
              <w:spacing w:before="133" w:line="222" w:lineRule="auto"/>
              <w:ind w:left="134"/>
            </w:pPr>
            <w:r>
              <w:rPr>
                <w:rFonts w:hint="eastAsia"/>
                <w:spacing w:val="-5"/>
                <w:lang w:eastAsia="zh-CN"/>
              </w:rPr>
              <w:t>☑</w:t>
            </w:r>
            <w:r>
              <w:rPr>
                <w:spacing w:val="-5"/>
              </w:rPr>
              <w:t>不统一组织</w:t>
            </w:r>
          </w:p>
          <w:p w14:paraId="75C90A08">
            <w:pPr>
              <w:pStyle w:val="11"/>
              <w:spacing w:before="66" w:line="221" w:lineRule="auto"/>
              <w:ind w:left="134"/>
            </w:pPr>
            <w:r>
              <w:rPr>
                <w:spacing w:val="-5"/>
              </w:rPr>
              <w:t>□统一组织，踏勘时间：</w:t>
            </w:r>
          </w:p>
          <w:p w14:paraId="104A3DDE">
            <w:pPr>
              <w:pStyle w:val="11"/>
              <w:spacing w:before="67" w:line="221" w:lineRule="auto"/>
              <w:ind w:left="956"/>
            </w:pPr>
            <w:r>
              <w:rPr>
                <w:spacing w:val="-5"/>
              </w:rPr>
              <w:t>踏勘集中地点：</w:t>
            </w:r>
          </w:p>
        </w:tc>
      </w:tr>
      <w:tr w14:paraId="6719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56" w:type="dxa"/>
            <w:vAlign w:val="top"/>
          </w:tcPr>
          <w:p w14:paraId="2E45D0D9">
            <w:pPr>
              <w:spacing w:line="469" w:lineRule="auto"/>
              <w:rPr>
                <w:rFonts w:ascii="Arial"/>
                <w:sz w:val="21"/>
              </w:rPr>
            </w:pPr>
          </w:p>
          <w:p w14:paraId="5AF6F89D">
            <w:pPr>
              <w:pStyle w:val="11"/>
              <w:spacing w:before="68"/>
              <w:ind w:left="134"/>
            </w:pPr>
            <w:r>
              <w:rPr>
                <w:spacing w:val="-3"/>
              </w:rPr>
              <w:t>1.10.1</w:t>
            </w:r>
          </w:p>
        </w:tc>
        <w:tc>
          <w:tcPr>
            <w:tcW w:w="1977" w:type="dxa"/>
            <w:vAlign w:val="top"/>
          </w:tcPr>
          <w:p w14:paraId="677AA0B0">
            <w:pPr>
              <w:spacing w:line="468" w:lineRule="auto"/>
              <w:rPr>
                <w:rFonts w:ascii="Arial"/>
                <w:sz w:val="21"/>
              </w:rPr>
            </w:pPr>
          </w:p>
          <w:p w14:paraId="32BB729F">
            <w:pPr>
              <w:pStyle w:val="11"/>
              <w:spacing w:before="69" w:line="220" w:lineRule="auto"/>
              <w:ind w:left="467"/>
            </w:pPr>
            <w:r>
              <w:rPr>
                <w:spacing w:val="-2"/>
              </w:rPr>
              <w:t>投标预备会</w:t>
            </w:r>
          </w:p>
        </w:tc>
        <w:tc>
          <w:tcPr>
            <w:tcW w:w="5673" w:type="dxa"/>
            <w:vAlign w:val="top"/>
          </w:tcPr>
          <w:p w14:paraId="42BA7418">
            <w:pPr>
              <w:pStyle w:val="11"/>
              <w:spacing w:before="220" w:line="222" w:lineRule="auto"/>
              <w:ind w:left="134"/>
            </w:pPr>
            <w:r>
              <w:rPr>
                <w:rFonts w:hint="eastAsia"/>
                <w:spacing w:val="-7"/>
                <w:lang w:eastAsia="zh-CN"/>
              </w:rPr>
              <w:t>☑</w:t>
            </w:r>
            <w:r>
              <w:rPr>
                <w:spacing w:val="-7"/>
              </w:rPr>
              <w:t>不召开</w:t>
            </w:r>
          </w:p>
          <w:p w14:paraId="0CAFDB61">
            <w:pPr>
              <w:pStyle w:val="11"/>
              <w:spacing w:before="66" w:line="222" w:lineRule="auto"/>
              <w:ind w:left="134"/>
            </w:pPr>
            <w:r>
              <w:rPr>
                <w:spacing w:val="-6"/>
              </w:rPr>
              <w:t>□召开，召开时间：</w:t>
            </w:r>
          </w:p>
          <w:p w14:paraId="7AA09B01">
            <w:pPr>
              <w:pStyle w:val="11"/>
              <w:spacing w:before="66" w:line="222" w:lineRule="auto"/>
              <w:ind w:left="963"/>
            </w:pPr>
            <w:r>
              <w:rPr>
                <w:spacing w:val="-8"/>
              </w:rPr>
              <w:t>召开地点：</w:t>
            </w:r>
          </w:p>
        </w:tc>
      </w:tr>
      <w:tr w14:paraId="422E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6" w:type="dxa"/>
            <w:vAlign w:val="top"/>
          </w:tcPr>
          <w:p w14:paraId="3AE9FDAD">
            <w:pPr>
              <w:pStyle w:val="11"/>
              <w:spacing w:before="238"/>
              <w:ind w:left="134"/>
            </w:pPr>
            <w:r>
              <w:rPr>
                <w:spacing w:val="-3"/>
              </w:rPr>
              <w:t>1.10.2</w:t>
            </w:r>
          </w:p>
        </w:tc>
        <w:tc>
          <w:tcPr>
            <w:tcW w:w="1977" w:type="dxa"/>
            <w:vAlign w:val="top"/>
          </w:tcPr>
          <w:p w14:paraId="11D1D215">
            <w:pPr>
              <w:pStyle w:val="11"/>
              <w:spacing w:before="80" w:line="246" w:lineRule="auto"/>
              <w:ind w:left="568" w:right="147" w:hanging="416"/>
            </w:pPr>
            <w:r>
              <w:rPr>
                <w:spacing w:val="-2"/>
              </w:rPr>
              <w:t>投标人提出问题的</w:t>
            </w:r>
            <w:r>
              <w:rPr>
                <w:spacing w:val="-1"/>
              </w:rPr>
              <w:t>截止时间</w:t>
            </w:r>
          </w:p>
        </w:tc>
        <w:tc>
          <w:tcPr>
            <w:tcW w:w="5673" w:type="dxa"/>
            <w:vAlign w:val="top"/>
          </w:tcPr>
          <w:p w14:paraId="397B3A86">
            <w:pPr>
              <w:pStyle w:val="11"/>
              <w:spacing w:before="80" w:line="220" w:lineRule="auto"/>
              <w:ind w:left="134"/>
            </w:pPr>
            <w:r>
              <w:rPr>
                <w:spacing w:val="-5"/>
              </w:rPr>
              <w:t>□召开投标预备会之日</w:t>
            </w:r>
            <w:r>
              <w:rPr>
                <w:spacing w:val="-96"/>
              </w:rPr>
              <w:t xml:space="preserve"> </w:t>
            </w:r>
            <w:r>
              <w:rPr>
                <w:spacing w:val="20"/>
                <w:u w:val="single" w:color="auto"/>
              </w:rPr>
              <w:t xml:space="preserve">     </w:t>
            </w:r>
            <w:r>
              <w:rPr>
                <w:spacing w:val="-56"/>
              </w:rPr>
              <w:t xml:space="preserve"> </w:t>
            </w:r>
            <w:r>
              <w:rPr>
                <w:spacing w:val="-5"/>
              </w:rPr>
              <w:t>日前</w:t>
            </w:r>
          </w:p>
          <w:p w14:paraId="59095A62">
            <w:pPr>
              <w:pStyle w:val="11"/>
              <w:spacing w:before="68" w:line="212" w:lineRule="auto"/>
              <w:ind w:left="134"/>
            </w:pPr>
            <w:r>
              <w:rPr>
                <w:rFonts w:hint="eastAsia"/>
                <w:spacing w:val="-19"/>
                <w:lang w:eastAsia="zh-CN"/>
              </w:rPr>
              <w:t>☑</w:t>
            </w:r>
            <w:r>
              <w:rPr>
                <w:spacing w:val="3"/>
              </w:rPr>
              <w:t xml:space="preserve">  </w:t>
            </w:r>
            <w:r>
              <w:rPr>
                <w:color w:val="0000FF"/>
                <w:spacing w:val="3"/>
              </w:rPr>
              <w:t xml:space="preserve">  </w:t>
            </w:r>
            <w:r>
              <w:rPr>
                <w:color w:val="0000FF"/>
                <w:spacing w:val="-19"/>
              </w:rPr>
              <w:t>年</w:t>
            </w:r>
            <w:r>
              <w:rPr>
                <w:color w:val="0000FF"/>
                <w:spacing w:val="6"/>
              </w:rPr>
              <w:t xml:space="preserve">  </w:t>
            </w:r>
            <w:r>
              <w:rPr>
                <w:color w:val="0000FF"/>
                <w:spacing w:val="-19"/>
              </w:rPr>
              <w:t>月</w:t>
            </w:r>
            <w:r>
              <w:rPr>
                <w:color w:val="0000FF"/>
                <w:spacing w:val="22"/>
              </w:rPr>
              <w:t xml:space="preserve">  </w:t>
            </w:r>
            <w:r>
              <w:rPr>
                <w:color w:val="0000FF"/>
                <w:spacing w:val="-19"/>
              </w:rPr>
              <w:t>日</w:t>
            </w:r>
            <w:r>
              <w:rPr>
                <w:color w:val="0000FF"/>
                <w:spacing w:val="6"/>
              </w:rPr>
              <w:t xml:space="preserve">   </w:t>
            </w:r>
            <w:r>
              <w:rPr>
                <w:color w:val="0000FF"/>
                <w:spacing w:val="-19"/>
              </w:rPr>
              <w:t>时</w:t>
            </w:r>
            <w:r>
              <w:rPr>
                <w:color w:val="0000FF"/>
                <w:spacing w:val="2"/>
              </w:rPr>
              <w:t xml:space="preserve">   </w:t>
            </w:r>
            <w:r>
              <w:rPr>
                <w:color w:val="0000FF"/>
                <w:spacing w:val="-19"/>
              </w:rPr>
              <w:t>分</w:t>
            </w:r>
          </w:p>
        </w:tc>
      </w:tr>
    </w:tbl>
    <w:p w14:paraId="4AFC0AF6">
      <w:pPr>
        <w:pStyle w:val="5"/>
      </w:pPr>
    </w:p>
    <w:p w14:paraId="46C6E5A3">
      <w:pPr>
        <w:sectPr>
          <w:footerReference r:id="rId21" w:type="default"/>
          <w:pgSz w:w="11905" w:h="16843"/>
          <w:pgMar w:top="969" w:right="1355" w:bottom="1026" w:left="1480" w:header="0" w:footer="754" w:gutter="0"/>
          <w:cols w:space="0" w:num="1"/>
          <w:rtlGutter w:val="0"/>
          <w:docGrid w:linePitch="0" w:charSpace="0"/>
        </w:sectPr>
      </w:pPr>
    </w:p>
    <w:p w14:paraId="26A2363C">
      <w:pPr>
        <w:spacing w:line="91" w:lineRule="auto"/>
        <w:rPr>
          <w:rFonts w:ascii="Arial"/>
          <w:sz w:val="2"/>
        </w:rPr>
      </w:pP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449D5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6CC0F782">
            <w:pPr>
              <w:pStyle w:val="11"/>
              <w:spacing w:before="168" w:line="221" w:lineRule="auto"/>
              <w:ind w:left="117"/>
            </w:pPr>
            <w:bookmarkStart w:id="1412" w:name="_GoBack"/>
            <w:bookmarkStart w:id="27" w:name="bookmark484"/>
            <w:bookmarkEnd w:id="27"/>
            <w:r>
              <w:rPr>
                <w:b/>
                <w:bCs/>
                <w:spacing w:val="-4"/>
              </w:rPr>
              <w:t>条款号</w:t>
            </w:r>
          </w:p>
        </w:tc>
        <w:tc>
          <w:tcPr>
            <w:tcW w:w="1977" w:type="dxa"/>
            <w:vAlign w:val="top"/>
          </w:tcPr>
          <w:p w14:paraId="1E24CE8D">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6F350A5A">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2B7F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56" w:type="dxa"/>
            <w:vAlign w:val="top"/>
          </w:tcPr>
          <w:p w14:paraId="6AA26673">
            <w:pPr>
              <w:spacing w:line="306" w:lineRule="auto"/>
              <w:rPr>
                <w:rFonts w:ascii="Arial"/>
                <w:sz w:val="21"/>
              </w:rPr>
            </w:pPr>
          </w:p>
          <w:p w14:paraId="4BBC73D4">
            <w:pPr>
              <w:spacing w:line="307" w:lineRule="auto"/>
              <w:rPr>
                <w:rFonts w:ascii="Arial"/>
                <w:sz w:val="21"/>
              </w:rPr>
            </w:pPr>
          </w:p>
          <w:p w14:paraId="0568E075">
            <w:pPr>
              <w:pStyle w:val="11"/>
              <w:spacing w:before="68"/>
              <w:ind w:left="239"/>
            </w:pPr>
            <w:r>
              <w:rPr>
                <w:spacing w:val="-5"/>
              </w:rPr>
              <w:t>1.11</w:t>
            </w:r>
          </w:p>
        </w:tc>
        <w:tc>
          <w:tcPr>
            <w:tcW w:w="1977" w:type="dxa"/>
            <w:vAlign w:val="top"/>
          </w:tcPr>
          <w:p w14:paraId="40AD63B3">
            <w:pPr>
              <w:spacing w:line="306" w:lineRule="auto"/>
              <w:rPr>
                <w:rFonts w:ascii="Arial"/>
                <w:sz w:val="21"/>
              </w:rPr>
            </w:pPr>
          </w:p>
          <w:p w14:paraId="1B877BE8">
            <w:pPr>
              <w:spacing w:line="307" w:lineRule="auto"/>
              <w:rPr>
                <w:rFonts w:ascii="Arial"/>
                <w:sz w:val="21"/>
              </w:rPr>
            </w:pPr>
          </w:p>
          <w:p w14:paraId="56A088D8">
            <w:pPr>
              <w:pStyle w:val="11"/>
              <w:spacing w:before="68" w:line="221" w:lineRule="auto"/>
              <w:ind w:left="678"/>
            </w:pPr>
            <w:r>
              <w:rPr>
                <w:spacing w:val="-5"/>
              </w:rPr>
              <w:t>分</w:t>
            </w:r>
            <w:r>
              <w:rPr>
                <w:spacing w:val="4"/>
              </w:rPr>
              <w:t xml:space="preserve">  </w:t>
            </w:r>
            <w:r>
              <w:rPr>
                <w:spacing w:val="-5"/>
              </w:rPr>
              <w:t>包</w:t>
            </w:r>
          </w:p>
        </w:tc>
        <w:tc>
          <w:tcPr>
            <w:tcW w:w="5673" w:type="dxa"/>
            <w:vAlign w:val="top"/>
          </w:tcPr>
          <w:p w14:paraId="1CEB051D">
            <w:pPr>
              <w:pStyle w:val="11"/>
              <w:spacing w:before="204" w:line="221" w:lineRule="auto"/>
              <w:ind w:left="134"/>
            </w:pPr>
            <w:r>
              <w:rPr>
                <w:rFonts w:hint="eastAsia"/>
                <w:spacing w:val="-7"/>
                <w:lang w:eastAsia="zh-CN"/>
              </w:rPr>
              <w:t>☑</w:t>
            </w:r>
            <w:r>
              <w:rPr>
                <w:spacing w:val="-7"/>
              </w:rPr>
              <w:t>不允许</w:t>
            </w:r>
          </w:p>
          <w:p w14:paraId="30A7F863">
            <w:pPr>
              <w:pStyle w:val="11"/>
              <w:spacing w:before="67" w:line="221" w:lineRule="auto"/>
              <w:ind w:left="134"/>
            </w:pPr>
            <w:r>
              <w:rPr>
                <w:spacing w:val="-5"/>
              </w:rPr>
              <w:t>□允许，分包内容要求：</w:t>
            </w:r>
          </w:p>
          <w:p w14:paraId="355D7D87">
            <w:pPr>
              <w:pStyle w:val="11"/>
              <w:spacing w:before="67" w:line="221" w:lineRule="auto"/>
              <w:ind w:left="958"/>
            </w:pPr>
            <w:r>
              <w:rPr>
                <w:spacing w:val="-5"/>
              </w:rPr>
              <w:t>分包金额要求：</w:t>
            </w:r>
          </w:p>
          <w:p w14:paraId="3A8AA67C">
            <w:pPr>
              <w:pStyle w:val="11"/>
              <w:spacing w:before="70" w:line="221" w:lineRule="auto"/>
              <w:ind w:left="954"/>
            </w:pPr>
            <w:r>
              <w:rPr>
                <w:spacing w:val="-1"/>
              </w:rPr>
              <w:t>接受分包的第三人资质要求：</w:t>
            </w:r>
          </w:p>
        </w:tc>
      </w:tr>
      <w:tr w14:paraId="56C6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856" w:type="dxa"/>
            <w:vAlign w:val="top"/>
          </w:tcPr>
          <w:p w14:paraId="3FF7C738">
            <w:pPr>
              <w:spacing w:line="241" w:lineRule="auto"/>
              <w:rPr>
                <w:rFonts w:ascii="Arial"/>
                <w:sz w:val="21"/>
              </w:rPr>
            </w:pPr>
          </w:p>
          <w:p w14:paraId="1C43D2DB">
            <w:pPr>
              <w:spacing w:line="241" w:lineRule="auto"/>
              <w:rPr>
                <w:rFonts w:ascii="Arial"/>
                <w:sz w:val="21"/>
              </w:rPr>
            </w:pPr>
          </w:p>
          <w:p w14:paraId="7D68CAAE">
            <w:pPr>
              <w:spacing w:line="241" w:lineRule="auto"/>
              <w:rPr>
                <w:rFonts w:ascii="Arial"/>
                <w:sz w:val="21"/>
              </w:rPr>
            </w:pPr>
          </w:p>
          <w:p w14:paraId="47D2419A">
            <w:pPr>
              <w:pStyle w:val="11"/>
              <w:spacing w:before="68"/>
              <w:ind w:left="239"/>
            </w:pPr>
            <w:r>
              <w:rPr>
                <w:spacing w:val="-5"/>
              </w:rPr>
              <w:t>1.12</w:t>
            </w:r>
          </w:p>
        </w:tc>
        <w:tc>
          <w:tcPr>
            <w:tcW w:w="1977" w:type="dxa"/>
            <w:vAlign w:val="top"/>
          </w:tcPr>
          <w:p w14:paraId="6EB018BA">
            <w:pPr>
              <w:spacing w:line="241" w:lineRule="auto"/>
              <w:rPr>
                <w:rFonts w:ascii="Arial"/>
                <w:sz w:val="21"/>
              </w:rPr>
            </w:pPr>
          </w:p>
          <w:p w14:paraId="396897C4">
            <w:pPr>
              <w:spacing w:line="241" w:lineRule="auto"/>
              <w:rPr>
                <w:rFonts w:ascii="Arial"/>
                <w:sz w:val="21"/>
              </w:rPr>
            </w:pPr>
          </w:p>
          <w:p w14:paraId="6E558BC7">
            <w:pPr>
              <w:spacing w:line="241" w:lineRule="auto"/>
              <w:rPr>
                <w:rFonts w:ascii="Arial"/>
                <w:sz w:val="21"/>
              </w:rPr>
            </w:pPr>
          </w:p>
          <w:p w14:paraId="629E3682">
            <w:pPr>
              <w:pStyle w:val="11"/>
              <w:spacing w:before="68" w:line="221" w:lineRule="auto"/>
              <w:ind w:left="675"/>
            </w:pPr>
            <w:r>
              <w:rPr>
                <w:spacing w:val="-4"/>
              </w:rPr>
              <w:t>偏</w:t>
            </w:r>
            <w:r>
              <w:rPr>
                <w:spacing w:val="6"/>
              </w:rPr>
              <w:t xml:space="preserve">  </w:t>
            </w:r>
            <w:r>
              <w:rPr>
                <w:spacing w:val="-4"/>
              </w:rPr>
              <w:t>离</w:t>
            </w:r>
          </w:p>
        </w:tc>
        <w:tc>
          <w:tcPr>
            <w:tcW w:w="5673" w:type="dxa"/>
            <w:vAlign w:val="top"/>
          </w:tcPr>
          <w:p w14:paraId="7F10C6D9">
            <w:pPr>
              <w:pStyle w:val="11"/>
              <w:spacing w:before="157" w:line="221" w:lineRule="auto"/>
              <w:ind w:left="134"/>
            </w:pPr>
            <w:r>
              <w:rPr>
                <w:rFonts w:hint="eastAsia"/>
                <w:spacing w:val="-7"/>
                <w:lang w:eastAsia="zh-CN"/>
              </w:rPr>
              <w:t>☑</w:t>
            </w:r>
            <w:r>
              <w:rPr>
                <w:spacing w:val="-7"/>
              </w:rPr>
              <w:t>不允许</w:t>
            </w:r>
          </w:p>
          <w:p w14:paraId="2BC62F3B">
            <w:pPr>
              <w:pStyle w:val="11"/>
              <w:spacing w:before="69" w:line="251" w:lineRule="auto"/>
              <w:ind w:left="114" w:right="109" w:firstLine="19"/>
            </w:pPr>
            <w:r>
              <w:rPr>
                <w:spacing w:val="14"/>
              </w:rPr>
              <w:t>□允许，</w:t>
            </w:r>
            <w:r>
              <w:rPr>
                <w:spacing w:val="-59"/>
              </w:rPr>
              <w:t xml:space="preserve"> </w:t>
            </w:r>
            <w:r>
              <w:rPr>
                <w:spacing w:val="14"/>
              </w:rPr>
              <w:t>可偏离的项目和范围见第七章“技术标准和要</w:t>
            </w:r>
            <w:r>
              <w:rPr>
                <w:spacing w:val="-3"/>
              </w:rPr>
              <w:t>求”：</w:t>
            </w:r>
          </w:p>
          <w:p w14:paraId="689455AF">
            <w:pPr>
              <w:pStyle w:val="11"/>
              <w:spacing w:before="69" w:line="221" w:lineRule="auto"/>
              <w:ind w:left="962"/>
            </w:pPr>
            <w:r>
              <w:rPr>
                <w:spacing w:val="-5"/>
              </w:rPr>
              <w:t>允许偏离最高项数：</w:t>
            </w:r>
          </w:p>
          <w:p w14:paraId="55783F31">
            <w:pPr>
              <w:pStyle w:val="11"/>
              <w:spacing w:before="67" w:line="221" w:lineRule="auto"/>
              <w:ind w:left="955"/>
            </w:pPr>
            <w:r>
              <w:rPr>
                <w:spacing w:val="-5"/>
              </w:rPr>
              <w:t>偏差调整方法：</w:t>
            </w:r>
          </w:p>
        </w:tc>
      </w:tr>
      <w:tr w14:paraId="2B27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15383254">
            <w:pPr>
              <w:pStyle w:val="11"/>
              <w:spacing w:before="76"/>
              <w:ind w:left="173"/>
            </w:pPr>
            <w:r>
              <w:rPr>
                <w:spacing w:val="-2"/>
              </w:rPr>
              <w:t>2.1.1</w:t>
            </w:r>
          </w:p>
          <w:p w14:paraId="1DF2A41D">
            <w:pPr>
              <w:pStyle w:val="11"/>
              <w:spacing w:before="48" w:line="208" w:lineRule="auto"/>
              <w:ind w:left="177"/>
            </w:pPr>
            <w:r>
              <w:rPr>
                <w:spacing w:val="-5"/>
              </w:rPr>
              <w:t>（9）</w:t>
            </w:r>
          </w:p>
        </w:tc>
        <w:tc>
          <w:tcPr>
            <w:tcW w:w="1977" w:type="dxa"/>
            <w:vAlign w:val="top"/>
          </w:tcPr>
          <w:p w14:paraId="5FB96B1A">
            <w:pPr>
              <w:pStyle w:val="11"/>
              <w:spacing w:before="77" w:line="245" w:lineRule="auto"/>
              <w:ind w:left="675" w:right="147" w:hanging="523"/>
            </w:pPr>
            <w:r>
              <w:rPr>
                <w:spacing w:val="-2"/>
              </w:rPr>
              <w:t>构成招标文件的其他材料</w:t>
            </w:r>
          </w:p>
        </w:tc>
        <w:tc>
          <w:tcPr>
            <w:tcW w:w="5673" w:type="dxa"/>
            <w:vAlign w:val="top"/>
          </w:tcPr>
          <w:p w14:paraId="1D071034">
            <w:pPr>
              <w:rPr>
                <w:rFonts w:ascii="Arial"/>
                <w:sz w:val="21"/>
              </w:rPr>
            </w:pPr>
            <w:r>
              <w:rPr>
                <w:rFonts w:hint="eastAsia"/>
              </w:rPr>
              <w:t xml:space="preserve">对招标文件所作的澄清、修改文件（如有）、清单、图纸（如有） </w:t>
            </w:r>
          </w:p>
        </w:tc>
      </w:tr>
      <w:tr w14:paraId="16DE1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56" w:type="dxa"/>
            <w:vAlign w:val="top"/>
          </w:tcPr>
          <w:p w14:paraId="718D5F91">
            <w:pPr>
              <w:pStyle w:val="11"/>
              <w:spacing w:before="293"/>
              <w:ind w:left="173"/>
            </w:pPr>
            <w:r>
              <w:rPr>
                <w:spacing w:val="-2"/>
              </w:rPr>
              <w:t>2.2.1</w:t>
            </w:r>
          </w:p>
        </w:tc>
        <w:tc>
          <w:tcPr>
            <w:tcW w:w="1977" w:type="dxa"/>
            <w:vAlign w:val="top"/>
          </w:tcPr>
          <w:p w14:paraId="0B70A240">
            <w:pPr>
              <w:pStyle w:val="11"/>
              <w:spacing w:before="131" w:line="270" w:lineRule="auto"/>
              <w:ind w:left="151" w:right="147" w:firstLine="1"/>
            </w:pPr>
            <w:r>
              <w:rPr>
                <w:spacing w:val="-2"/>
              </w:rPr>
              <w:t>投标人要求澄清招</w:t>
            </w:r>
            <w:r>
              <w:rPr>
                <w:spacing w:val="-1"/>
              </w:rPr>
              <w:t>标文件的截止时间</w:t>
            </w:r>
          </w:p>
        </w:tc>
        <w:tc>
          <w:tcPr>
            <w:tcW w:w="5673" w:type="dxa"/>
            <w:vAlign w:val="top"/>
          </w:tcPr>
          <w:p w14:paraId="622016D5">
            <w:pPr>
              <w:pStyle w:val="11"/>
              <w:spacing w:before="292" w:line="221" w:lineRule="auto"/>
              <w:ind w:left="114"/>
            </w:pPr>
            <w:r>
              <w:rPr>
                <w:spacing w:val="-3"/>
              </w:rPr>
              <w:t>递交投标文件截止之日</w:t>
            </w:r>
            <w:r>
              <w:rPr>
                <w:spacing w:val="-99"/>
              </w:rPr>
              <w:t xml:space="preserve"> </w:t>
            </w:r>
            <w:r>
              <w:rPr>
                <w:spacing w:val="20"/>
                <w:u w:val="single" w:color="auto"/>
              </w:rPr>
              <w:t xml:space="preserve">  </w:t>
            </w:r>
            <w:r>
              <w:rPr>
                <w:rFonts w:hint="eastAsia"/>
                <w:spacing w:val="20"/>
                <w:u w:val="single" w:color="auto"/>
                <w:lang w:val="en-US" w:eastAsia="zh-CN"/>
              </w:rPr>
              <w:t>10</w:t>
            </w:r>
            <w:r>
              <w:rPr>
                <w:spacing w:val="20"/>
                <w:u w:val="single" w:color="auto"/>
              </w:rPr>
              <w:t xml:space="preserve">   </w:t>
            </w:r>
            <w:r>
              <w:rPr>
                <w:spacing w:val="-57"/>
              </w:rPr>
              <w:t xml:space="preserve"> </w:t>
            </w:r>
            <w:r>
              <w:rPr>
                <w:spacing w:val="-3"/>
              </w:rPr>
              <w:t>日前</w:t>
            </w:r>
          </w:p>
        </w:tc>
      </w:tr>
      <w:tr w14:paraId="6214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856" w:type="dxa"/>
            <w:vAlign w:val="top"/>
          </w:tcPr>
          <w:p w14:paraId="4D03A411">
            <w:pPr>
              <w:spacing w:line="251" w:lineRule="auto"/>
              <w:rPr>
                <w:rFonts w:ascii="Arial"/>
                <w:sz w:val="21"/>
              </w:rPr>
            </w:pPr>
          </w:p>
          <w:p w14:paraId="08510EF2">
            <w:pPr>
              <w:spacing w:line="251" w:lineRule="auto"/>
              <w:rPr>
                <w:rFonts w:ascii="Arial"/>
                <w:sz w:val="21"/>
              </w:rPr>
            </w:pPr>
          </w:p>
          <w:p w14:paraId="486083DB">
            <w:pPr>
              <w:spacing w:line="251" w:lineRule="auto"/>
              <w:rPr>
                <w:rFonts w:ascii="Arial"/>
                <w:sz w:val="21"/>
              </w:rPr>
            </w:pPr>
          </w:p>
          <w:p w14:paraId="569B14D7">
            <w:pPr>
              <w:spacing w:line="251" w:lineRule="auto"/>
              <w:rPr>
                <w:rFonts w:ascii="Arial"/>
                <w:sz w:val="21"/>
              </w:rPr>
            </w:pPr>
          </w:p>
          <w:p w14:paraId="71E82CF9">
            <w:pPr>
              <w:spacing w:line="251" w:lineRule="auto"/>
              <w:rPr>
                <w:rFonts w:ascii="Arial"/>
                <w:sz w:val="21"/>
              </w:rPr>
            </w:pPr>
          </w:p>
          <w:p w14:paraId="502718FE">
            <w:pPr>
              <w:spacing w:line="252" w:lineRule="auto"/>
              <w:rPr>
                <w:rFonts w:ascii="Arial"/>
                <w:sz w:val="21"/>
              </w:rPr>
            </w:pPr>
          </w:p>
          <w:p w14:paraId="0DF7358D">
            <w:pPr>
              <w:spacing w:line="252" w:lineRule="auto"/>
              <w:rPr>
                <w:rFonts w:ascii="Arial"/>
                <w:sz w:val="21"/>
              </w:rPr>
            </w:pPr>
          </w:p>
          <w:p w14:paraId="5671C49D">
            <w:pPr>
              <w:pStyle w:val="11"/>
              <w:spacing w:before="69"/>
              <w:ind w:left="279"/>
            </w:pPr>
            <w:r>
              <w:rPr>
                <w:spacing w:val="-2"/>
              </w:rPr>
              <w:t>2.4</w:t>
            </w:r>
          </w:p>
        </w:tc>
        <w:tc>
          <w:tcPr>
            <w:tcW w:w="1977" w:type="dxa"/>
            <w:vAlign w:val="top"/>
          </w:tcPr>
          <w:p w14:paraId="14455A02">
            <w:pPr>
              <w:spacing w:line="266" w:lineRule="auto"/>
              <w:rPr>
                <w:rFonts w:ascii="Arial"/>
                <w:sz w:val="21"/>
              </w:rPr>
            </w:pPr>
          </w:p>
          <w:p w14:paraId="78BD2E34">
            <w:pPr>
              <w:spacing w:line="266" w:lineRule="auto"/>
              <w:rPr>
                <w:rFonts w:ascii="Arial"/>
                <w:sz w:val="21"/>
              </w:rPr>
            </w:pPr>
          </w:p>
          <w:p w14:paraId="364A9A28">
            <w:pPr>
              <w:spacing w:line="267" w:lineRule="auto"/>
              <w:rPr>
                <w:rFonts w:ascii="Arial"/>
                <w:sz w:val="21"/>
              </w:rPr>
            </w:pPr>
          </w:p>
          <w:p w14:paraId="4E21485A">
            <w:pPr>
              <w:spacing w:line="267" w:lineRule="auto"/>
              <w:rPr>
                <w:rFonts w:ascii="Arial"/>
                <w:sz w:val="21"/>
              </w:rPr>
            </w:pPr>
          </w:p>
          <w:p w14:paraId="13B5B255">
            <w:pPr>
              <w:spacing w:line="267" w:lineRule="auto"/>
              <w:rPr>
                <w:rFonts w:ascii="Arial"/>
                <w:sz w:val="21"/>
              </w:rPr>
            </w:pPr>
          </w:p>
          <w:p w14:paraId="3537EA52">
            <w:pPr>
              <w:spacing w:line="267" w:lineRule="auto"/>
              <w:rPr>
                <w:rFonts w:ascii="Arial"/>
                <w:sz w:val="21"/>
              </w:rPr>
            </w:pPr>
          </w:p>
          <w:p w14:paraId="25232C77">
            <w:pPr>
              <w:pStyle w:val="11"/>
              <w:spacing w:before="69" w:line="283" w:lineRule="auto"/>
              <w:ind w:left="570" w:right="250" w:hanging="312"/>
            </w:pPr>
            <w:r>
              <w:rPr>
                <w:spacing w:val="-2"/>
              </w:rPr>
              <w:t>异议受理部门及联系方式</w:t>
            </w:r>
          </w:p>
        </w:tc>
        <w:tc>
          <w:tcPr>
            <w:tcW w:w="5673" w:type="dxa"/>
            <w:vAlign w:val="top"/>
          </w:tcPr>
          <w:p w14:paraId="04197405">
            <w:pPr>
              <w:pStyle w:val="11"/>
              <w:spacing w:before="77" w:line="221" w:lineRule="auto"/>
              <w:ind w:left="114"/>
            </w:pPr>
            <w:r>
              <w:rPr>
                <w:spacing w:val="-12"/>
              </w:rPr>
              <w:t>招</w:t>
            </w:r>
            <w:r>
              <w:rPr>
                <w:spacing w:val="12"/>
              </w:rPr>
              <w:t xml:space="preserve"> </w:t>
            </w:r>
            <w:r>
              <w:rPr>
                <w:spacing w:val="-12"/>
              </w:rPr>
              <w:t>标</w:t>
            </w:r>
            <w:r>
              <w:rPr>
                <w:spacing w:val="8"/>
              </w:rPr>
              <w:t xml:space="preserve"> </w:t>
            </w:r>
            <w:r>
              <w:rPr>
                <w:spacing w:val="-12"/>
              </w:rPr>
              <w:t>人：</w:t>
            </w:r>
          </w:p>
          <w:p w14:paraId="0362BF8D">
            <w:pPr>
              <w:pStyle w:val="11"/>
              <w:spacing w:before="69" w:line="223" w:lineRule="auto"/>
              <w:ind w:left="115"/>
            </w:pPr>
            <w:r>
              <w:rPr>
                <w:spacing w:val="-13"/>
              </w:rPr>
              <w:t>名</w:t>
            </w:r>
            <w:r>
              <w:rPr>
                <w:spacing w:val="2"/>
              </w:rPr>
              <w:t xml:space="preserve">    </w:t>
            </w:r>
            <w:r>
              <w:rPr>
                <w:spacing w:val="-13"/>
              </w:rPr>
              <w:t>称：</w:t>
            </w:r>
            <w:r>
              <w:rPr>
                <w:rFonts w:hint="eastAsia" w:ascii="宋体" w:hAnsi="宋体" w:eastAsia="宋体" w:cs="宋体"/>
                <w:szCs w:val="21"/>
                <w:u w:val="single"/>
              </w:rPr>
              <w:t>营口市动物疫病预防控制中心</w:t>
            </w:r>
          </w:p>
          <w:p w14:paraId="2B80C1DA">
            <w:pPr>
              <w:adjustRightInd w:val="0"/>
              <w:snapToGrid w:val="0"/>
              <w:spacing w:line="360" w:lineRule="auto"/>
            </w:pPr>
            <w:r>
              <w:rPr>
                <w:spacing w:val="-12"/>
              </w:rPr>
              <w:t>地</w:t>
            </w:r>
            <w:r>
              <w:rPr>
                <w:spacing w:val="2"/>
              </w:rPr>
              <w:t xml:space="preserve">    </w:t>
            </w:r>
            <w:r>
              <w:rPr>
                <w:spacing w:val="-12"/>
              </w:rPr>
              <w:t>址：</w:t>
            </w:r>
            <w:r>
              <w:rPr>
                <w:rFonts w:hint="eastAsia" w:ascii="宋体" w:hAnsi="宋体" w:eastAsia="宋体" w:cs="宋体"/>
                <w:szCs w:val="21"/>
                <w:u w:val="single"/>
              </w:rPr>
              <w:t>营口市西市区青花大街西30号</w:t>
            </w:r>
          </w:p>
          <w:p w14:paraId="7B0664B0">
            <w:pPr>
              <w:pStyle w:val="11"/>
              <w:spacing w:before="57" w:line="223" w:lineRule="auto"/>
              <w:ind w:left="137"/>
              <w:rPr>
                <w:rFonts w:hint="default"/>
                <w:lang w:val="en-US"/>
              </w:rPr>
            </w:pPr>
            <w:r>
              <w:rPr>
                <w:spacing w:val="-20"/>
              </w:rPr>
              <w:t>电</w:t>
            </w:r>
            <w:r>
              <w:rPr>
                <w:spacing w:val="2"/>
              </w:rPr>
              <w:t xml:space="preserve">    </w:t>
            </w:r>
            <w:r>
              <w:rPr>
                <w:spacing w:val="-20"/>
              </w:rPr>
              <w:t>话：</w:t>
            </w:r>
            <w:r>
              <w:rPr>
                <w:rFonts w:hint="eastAsia"/>
                <w:spacing w:val="-20"/>
                <w:lang w:val="en-US" w:eastAsia="zh-CN"/>
              </w:rPr>
              <w:t>0417-2888756</w:t>
            </w:r>
          </w:p>
          <w:p w14:paraId="613B81BC">
            <w:pPr>
              <w:pStyle w:val="11"/>
              <w:spacing w:before="68"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00E3F67E">
            <w:pPr>
              <w:pStyle w:val="11"/>
              <w:spacing w:before="69" w:line="221" w:lineRule="auto"/>
              <w:ind w:left="128"/>
              <w:rPr>
                <w:rFonts w:hint="eastAsia" w:eastAsia="宋体"/>
                <w:lang w:val="en-US" w:eastAsia="zh-CN"/>
              </w:rPr>
            </w:pPr>
            <w:r>
              <w:rPr>
                <w:spacing w:val="-9"/>
              </w:rPr>
              <w:t>邮政编码：</w:t>
            </w:r>
            <w:r>
              <w:rPr>
                <w:rFonts w:hint="eastAsia"/>
                <w:spacing w:val="-9"/>
                <w:lang w:val="en-US" w:eastAsia="zh-CN"/>
              </w:rPr>
              <w:t>/</w:t>
            </w:r>
          </w:p>
          <w:p w14:paraId="76D9EF15">
            <w:pPr>
              <w:pStyle w:val="11"/>
              <w:spacing w:before="68" w:line="220" w:lineRule="auto"/>
              <w:ind w:left="114"/>
            </w:pPr>
            <w:r>
              <w:rPr>
                <w:spacing w:val="-5"/>
              </w:rPr>
              <w:t>招标代理机构：</w:t>
            </w:r>
          </w:p>
          <w:p w14:paraId="305628CF">
            <w:pPr>
              <w:widowControl/>
              <w:adjustRightInd w:val="0"/>
              <w:snapToGrid w:val="0"/>
              <w:spacing w:line="360" w:lineRule="auto"/>
              <w:jc w:val="left"/>
            </w:pPr>
            <w:r>
              <w:rPr>
                <w:spacing w:val="-13"/>
              </w:rPr>
              <w:t>名</w:t>
            </w:r>
            <w:r>
              <w:rPr>
                <w:spacing w:val="2"/>
              </w:rPr>
              <w:t xml:space="preserve">    </w:t>
            </w:r>
            <w:r>
              <w:rPr>
                <w:spacing w:val="-13"/>
              </w:rPr>
              <w:t>称：</w:t>
            </w:r>
            <w:r>
              <w:rPr>
                <w:rFonts w:hint="eastAsia" w:ascii="宋体" w:hAnsi="宋体" w:eastAsia="宋体" w:cs="宋体"/>
                <w:szCs w:val="21"/>
                <w:u w:val="single"/>
              </w:rPr>
              <w:t>营口公物咨询管理有限公司</w:t>
            </w:r>
          </w:p>
          <w:p w14:paraId="09C85B6D">
            <w:pPr>
              <w:pStyle w:val="11"/>
              <w:spacing w:before="66" w:line="230" w:lineRule="auto"/>
              <w:ind w:left="113"/>
            </w:pPr>
            <w:r>
              <w:rPr>
                <w:spacing w:val="-12"/>
              </w:rPr>
              <w:t>地</w:t>
            </w:r>
            <w:r>
              <w:rPr>
                <w:spacing w:val="2"/>
              </w:rPr>
              <w:t xml:space="preserve">    </w:t>
            </w:r>
            <w:r>
              <w:rPr>
                <w:spacing w:val="-12"/>
              </w:rPr>
              <w:t>址：</w:t>
            </w:r>
            <w:r>
              <w:rPr>
                <w:rFonts w:hint="eastAsia" w:ascii="宋体" w:hAnsi="宋体" w:eastAsia="宋体" w:cs="宋体"/>
                <w:szCs w:val="21"/>
                <w:u w:val="single"/>
              </w:rPr>
              <w:t>营口市渤海大街西64号</w:t>
            </w:r>
          </w:p>
          <w:p w14:paraId="6C1B0AF8">
            <w:pPr>
              <w:pStyle w:val="11"/>
              <w:spacing w:before="57" w:line="223" w:lineRule="auto"/>
              <w:ind w:left="137"/>
              <w:rPr>
                <w:rFonts w:hint="default" w:eastAsia="宋体"/>
                <w:u w:val="single"/>
                <w:lang w:val="en-US" w:eastAsia="zh-CN"/>
              </w:rPr>
            </w:pPr>
            <w:r>
              <w:rPr>
                <w:spacing w:val="-20"/>
              </w:rPr>
              <w:t>电</w:t>
            </w:r>
            <w:r>
              <w:rPr>
                <w:spacing w:val="2"/>
              </w:rPr>
              <w:t xml:space="preserve">    </w:t>
            </w:r>
            <w:r>
              <w:rPr>
                <w:spacing w:val="-20"/>
              </w:rPr>
              <w:t>话：</w:t>
            </w:r>
            <w:r>
              <w:rPr>
                <w:rFonts w:hint="eastAsia"/>
                <w:spacing w:val="-20"/>
                <w:u w:val="single"/>
                <w:lang w:val="en-US" w:eastAsia="zh-CN"/>
              </w:rPr>
              <w:t>0417-2801618</w:t>
            </w:r>
          </w:p>
          <w:p w14:paraId="353CBE75">
            <w:pPr>
              <w:pStyle w:val="11"/>
              <w:spacing w:before="68"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7661397A">
            <w:pPr>
              <w:pStyle w:val="11"/>
              <w:spacing w:before="70" w:line="207" w:lineRule="auto"/>
              <w:ind w:left="128"/>
              <w:rPr>
                <w:rFonts w:hint="eastAsia" w:eastAsia="宋体"/>
                <w:lang w:val="en-US" w:eastAsia="zh-CN"/>
              </w:rPr>
            </w:pPr>
            <w:r>
              <w:rPr>
                <w:spacing w:val="-9"/>
              </w:rPr>
              <w:t>邮政编码：</w:t>
            </w:r>
            <w:r>
              <w:rPr>
                <w:rFonts w:hint="eastAsia"/>
                <w:spacing w:val="-9"/>
                <w:lang w:val="en-US" w:eastAsia="zh-CN"/>
              </w:rPr>
              <w:t>/</w:t>
            </w:r>
          </w:p>
        </w:tc>
      </w:tr>
      <w:tr w14:paraId="2D7D5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1EAD3D7F">
            <w:pPr>
              <w:pStyle w:val="11"/>
              <w:spacing w:before="78"/>
              <w:ind w:left="175"/>
            </w:pPr>
            <w:r>
              <w:rPr>
                <w:spacing w:val="-2"/>
              </w:rPr>
              <w:t>3.1.1</w:t>
            </w:r>
          </w:p>
          <w:p w14:paraId="251B9A0C">
            <w:pPr>
              <w:pStyle w:val="11"/>
              <w:spacing w:before="48" w:line="207" w:lineRule="auto"/>
              <w:ind w:left="124"/>
            </w:pPr>
            <w:r>
              <w:rPr>
                <w:spacing w:val="-4"/>
              </w:rPr>
              <w:t>（10）</w:t>
            </w:r>
          </w:p>
        </w:tc>
        <w:tc>
          <w:tcPr>
            <w:tcW w:w="1977" w:type="dxa"/>
            <w:vAlign w:val="top"/>
          </w:tcPr>
          <w:p w14:paraId="3314B9FF">
            <w:pPr>
              <w:pStyle w:val="11"/>
              <w:spacing w:before="77" w:line="245" w:lineRule="auto"/>
              <w:ind w:left="675" w:right="147" w:hanging="523"/>
            </w:pPr>
            <w:r>
              <w:rPr>
                <w:spacing w:val="-2"/>
              </w:rPr>
              <w:t>构成投标文件的其他材料</w:t>
            </w:r>
          </w:p>
        </w:tc>
        <w:tc>
          <w:tcPr>
            <w:tcW w:w="5673" w:type="dxa"/>
            <w:vAlign w:val="top"/>
          </w:tcPr>
          <w:p w14:paraId="51F02683">
            <w:pPr>
              <w:rPr>
                <w:rFonts w:ascii="Arial"/>
                <w:sz w:val="21"/>
              </w:rPr>
            </w:pPr>
            <w:r>
              <w:rPr>
                <w:rFonts w:hint="eastAsia"/>
              </w:rPr>
              <w:t>投标人认为的其他材料</w:t>
            </w:r>
          </w:p>
        </w:tc>
      </w:tr>
      <w:tr w14:paraId="29783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856" w:type="dxa"/>
            <w:vAlign w:val="top"/>
          </w:tcPr>
          <w:p w14:paraId="25F75F47">
            <w:pPr>
              <w:spacing w:line="243" w:lineRule="auto"/>
              <w:rPr>
                <w:rFonts w:ascii="Arial"/>
                <w:sz w:val="21"/>
              </w:rPr>
            </w:pPr>
          </w:p>
          <w:p w14:paraId="395323A1">
            <w:pPr>
              <w:spacing w:line="244" w:lineRule="auto"/>
              <w:rPr>
                <w:rFonts w:ascii="Arial"/>
                <w:sz w:val="21"/>
              </w:rPr>
            </w:pPr>
          </w:p>
          <w:p w14:paraId="72FA8A23">
            <w:pPr>
              <w:pStyle w:val="11"/>
              <w:spacing w:before="69"/>
              <w:ind w:left="175"/>
            </w:pPr>
            <w:r>
              <w:rPr>
                <w:spacing w:val="-2"/>
              </w:rPr>
              <w:t>3.2.4</w:t>
            </w:r>
          </w:p>
        </w:tc>
        <w:tc>
          <w:tcPr>
            <w:tcW w:w="1977" w:type="dxa"/>
            <w:vAlign w:val="top"/>
          </w:tcPr>
          <w:p w14:paraId="2B26B654">
            <w:pPr>
              <w:spacing w:line="243" w:lineRule="auto"/>
              <w:rPr>
                <w:rFonts w:ascii="Arial"/>
                <w:sz w:val="21"/>
              </w:rPr>
            </w:pPr>
          </w:p>
          <w:p w14:paraId="3EFBBF77">
            <w:pPr>
              <w:spacing w:line="244" w:lineRule="auto"/>
              <w:rPr>
                <w:rFonts w:ascii="Arial"/>
                <w:sz w:val="21"/>
              </w:rPr>
            </w:pPr>
          </w:p>
          <w:p w14:paraId="70F961CA">
            <w:pPr>
              <w:pStyle w:val="11"/>
              <w:spacing w:before="69" w:line="219" w:lineRule="auto"/>
              <w:ind w:left="364"/>
            </w:pPr>
            <w:r>
              <w:rPr>
                <w:spacing w:val="-2"/>
              </w:rPr>
              <w:t>最高投标限价</w:t>
            </w:r>
          </w:p>
        </w:tc>
        <w:tc>
          <w:tcPr>
            <w:tcW w:w="5673" w:type="dxa"/>
            <w:vAlign w:val="top"/>
          </w:tcPr>
          <w:p w14:paraId="73E66D71">
            <w:pPr>
              <w:pStyle w:val="11"/>
              <w:spacing w:before="79" w:line="219" w:lineRule="auto"/>
              <w:ind w:left="134"/>
            </w:pPr>
            <w:r>
              <w:rPr>
                <w:spacing w:val="-3"/>
              </w:rPr>
              <w:t>□不设最高投标限价</w:t>
            </w:r>
          </w:p>
          <w:p w14:paraId="6C70EB21">
            <w:pPr>
              <w:pStyle w:val="11"/>
              <w:spacing w:before="72" w:line="219" w:lineRule="auto"/>
              <w:ind w:left="134"/>
            </w:pPr>
            <w:r>
              <w:rPr>
                <w:rFonts w:hint="eastAsia"/>
                <w:spacing w:val="-2"/>
                <w:lang w:eastAsia="zh-CN"/>
              </w:rPr>
              <w:t>☑</w:t>
            </w:r>
            <w:r>
              <w:rPr>
                <w:spacing w:val="-2"/>
              </w:rPr>
              <w:t>设最高投标限价，最高投标限价：</w:t>
            </w:r>
            <w:r>
              <w:rPr>
                <w:spacing w:val="-2"/>
                <w:u w:val="single" w:color="auto"/>
              </w:rPr>
              <w:t xml:space="preserve"> </w:t>
            </w:r>
            <w:r>
              <w:rPr>
                <w:rFonts w:hint="eastAsia"/>
                <w:spacing w:val="-2"/>
                <w:u w:val="single" w:color="auto"/>
              </w:rPr>
              <w:t>410,600.07</w:t>
            </w:r>
            <w:r>
              <w:rPr>
                <w:spacing w:val="-2"/>
                <w:u w:val="single" w:color="auto"/>
              </w:rPr>
              <w:t xml:space="preserve">   </w:t>
            </w:r>
            <w:r>
              <w:rPr>
                <w:spacing w:val="-94"/>
              </w:rPr>
              <w:t xml:space="preserve"> </w:t>
            </w:r>
            <w:r>
              <w:rPr>
                <w:spacing w:val="-2"/>
              </w:rPr>
              <w:t>元。</w:t>
            </w:r>
          </w:p>
          <w:p w14:paraId="5BEF55FA">
            <w:pPr>
              <w:pStyle w:val="11"/>
              <w:spacing w:before="71" w:line="244" w:lineRule="auto"/>
              <w:ind w:left="114" w:right="759" w:firstLine="1"/>
              <w:rPr>
                <w:spacing w:val="-4"/>
              </w:rPr>
            </w:pPr>
            <w:r>
              <w:rPr>
                <w:spacing w:val="-3"/>
              </w:rPr>
              <w:t>最高投标限价公布时间：投标截止时间</w:t>
            </w:r>
            <w:r>
              <w:rPr>
                <w:spacing w:val="-3"/>
                <w:u w:val="single" w:color="auto"/>
              </w:rPr>
              <w:t xml:space="preserve"> </w:t>
            </w:r>
            <w:r>
              <w:rPr>
                <w:rFonts w:hint="eastAsia"/>
                <w:spacing w:val="-3"/>
                <w:u w:val="single" w:color="auto"/>
                <w:lang w:val="en-US" w:eastAsia="zh-CN"/>
              </w:rPr>
              <w:t>/</w:t>
            </w:r>
            <w:r>
              <w:rPr>
                <w:spacing w:val="-4"/>
                <w:u w:val="single" w:color="auto"/>
              </w:rPr>
              <w:t xml:space="preserve">  </w:t>
            </w:r>
            <w:r>
              <w:rPr>
                <w:spacing w:val="-60"/>
              </w:rPr>
              <w:t xml:space="preserve"> </w:t>
            </w:r>
            <w:r>
              <w:rPr>
                <w:spacing w:val="-4"/>
              </w:rPr>
              <w:t>日前。</w:t>
            </w:r>
          </w:p>
          <w:p w14:paraId="58B8B384">
            <w:pPr>
              <w:pStyle w:val="11"/>
              <w:spacing w:before="71" w:line="244" w:lineRule="auto"/>
              <w:ind w:left="114" w:right="759" w:firstLine="1"/>
              <w:rPr>
                <w:rFonts w:hint="eastAsia" w:eastAsia="宋体"/>
                <w:lang w:val="en-US" w:eastAsia="zh-CN"/>
              </w:rPr>
            </w:pPr>
            <w:r>
              <w:rPr>
                <w:spacing w:val="-7"/>
              </w:rPr>
              <w:t>其他要求：</w:t>
            </w:r>
            <w:r>
              <w:rPr>
                <w:rFonts w:hint="eastAsia"/>
                <w:spacing w:val="-7"/>
                <w:lang w:val="en-US" w:eastAsia="zh-CN"/>
              </w:rPr>
              <w:t>1、投标报价超出最高限价的，作无效标处理。2、工程量清单中，暂列金作为不可竞争项，须按给定的金额（20000元）进行填报，不得擅自修改，否则作无效标文件处理。</w:t>
            </w:r>
          </w:p>
        </w:tc>
      </w:tr>
      <w:tr w14:paraId="5B18E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6" w:type="dxa"/>
            <w:vAlign w:val="top"/>
          </w:tcPr>
          <w:p w14:paraId="4659DC61">
            <w:pPr>
              <w:pStyle w:val="11"/>
              <w:spacing w:before="146"/>
              <w:ind w:left="175"/>
            </w:pPr>
            <w:r>
              <w:rPr>
                <w:spacing w:val="-2"/>
              </w:rPr>
              <w:t>3.2.5</w:t>
            </w:r>
          </w:p>
        </w:tc>
        <w:tc>
          <w:tcPr>
            <w:tcW w:w="1977" w:type="dxa"/>
            <w:vAlign w:val="top"/>
          </w:tcPr>
          <w:p w14:paraId="6986A6C4">
            <w:pPr>
              <w:pStyle w:val="11"/>
              <w:spacing w:before="146" w:line="219" w:lineRule="auto"/>
              <w:ind w:left="568"/>
            </w:pPr>
            <w:r>
              <w:rPr>
                <w:spacing w:val="-1"/>
              </w:rPr>
              <w:t>报价说明</w:t>
            </w:r>
          </w:p>
        </w:tc>
        <w:tc>
          <w:tcPr>
            <w:tcW w:w="5673" w:type="dxa"/>
            <w:vAlign w:val="top"/>
          </w:tcPr>
          <w:p w14:paraId="27C02C6E">
            <w:pPr>
              <w:spacing w:line="320" w:lineRule="exact"/>
              <w:jc w:val="left"/>
            </w:pPr>
            <w:r>
              <w:rPr>
                <w:rFonts w:hint="eastAsia"/>
              </w:rPr>
              <w:t>报价方式：</w:t>
            </w:r>
          </w:p>
          <w:p w14:paraId="1343F080">
            <w:pPr>
              <w:spacing w:line="320" w:lineRule="exact"/>
            </w:pPr>
            <w:r>
              <w:rPr>
                <w:rFonts w:hint="eastAsia"/>
              </w:rPr>
              <w:t>☑人民币价格</w:t>
            </w:r>
          </w:p>
          <w:p w14:paraId="11C1EB5A">
            <w:pPr>
              <w:spacing w:line="320" w:lineRule="exact"/>
            </w:pPr>
            <w:r>
              <w:rPr>
                <w:rFonts w:hint="eastAsia"/>
              </w:rPr>
              <w:t>□综合费率（参与价格评审的为综合费率）</w:t>
            </w:r>
          </w:p>
          <w:p w14:paraId="50EA05DD">
            <w:pPr>
              <w:spacing w:line="320" w:lineRule="exact"/>
            </w:pPr>
            <w:r>
              <w:rPr>
                <w:rFonts w:hint="eastAsia"/>
              </w:rPr>
              <w:t>□下浮率（参与价格评审的为下浮率）</w:t>
            </w:r>
          </w:p>
          <w:p w14:paraId="1F891A23">
            <w:pPr>
              <w:spacing w:line="320" w:lineRule="exact"/>
            </w:pPr>
            <w:r>
              <w:rPr>
                <w:rFonts w:hint="eastAsia"/>
              </w:rPr>
              <w:t>□综合单价（参与价格评审的为综合单价）</w:t>
            </w:r>
          </w:p>
          <w:p w14:paraId="1C90076D">
            <w:pPr>
              <w:spacing w:line="320" w:lineRule="exact"/>
            </w:pPr>
            <w:r>
              <w:rPr>
                <w:rFonts w:hint="eastAsia"/>
              </w:rPr>
              <w:t>特别说明：非人民币价格方式报价，投标人均应根据实际情况合理填报转换的人民币价格。</w:t>
            </w:r>
          </w:p>
          <w:p w14:paraId="6F03FE9A">
            <w:pPr>
              <w:rPr>
                <w:rFonts w:ascii="Arial"/>
                <w:sz w:val="21"/>
              </w:rPr>
            </w:pPr>
            <w:r>
              <w:rPr>
                <w:rFonts w:hint="eastAsia"/>
              </w:rPr>
              <w:t>报价要求：</w:t>
            </w:r>
            <w:r>
              <w:rPr>
                <w:rFonts w:hint="eastAsia"/>
                <w:u w:val="single"/>
              </w:rPr>
              <w:t>/</w:t>
            </w:r>
          </w:p>
        </w:tc>
      </w:tr>
      <w:tr w14:paraId="3D31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6" w:type="dxa"/>
            <w:vAlign w:val="top"/>
          </w:tcPr>
          <w:p w14:paraId="06BE79DB">
            <w:pPr>
              <w:pStyle w:val="11"/>
              <w:spacing w:before="146"/>
              <w:ind w:left="175"/>
            </w:pPr>
            <w:r>
              <w:rPr>
                <w:spacing w:val="-2"/>
              </w:rPr>
              <w:t>3.3.1</w:t>
            </w:r>
          </w:p>
        </w:tc>
        <w:tc>
          <w:tcPr>
            <w:tcW w:w="1977" w:type="dxa"/>
            <w:vAlign w:val="top"/>
          </w:tcPr>
          <w:p w14:paraId="375DE3AE">
            <w:pPr>
              <w:pStyle w:val="11"/>
              <w:spacing w:before="146" w:line="221" w:lineRule="auto"/>
              <w:ind w:left="467"/>
            </w:pPr>
            <w:r>
              <w:rPr>
                <w:spacing w:val="-2"/>
              </w:rPr>
              <w:t>投标有效期</w:t>
            </w:r>
          </w:p>
        </w:tc>
        <w:tc>
          <w:tcPr>
            <w:tcW w:w="5673" w:type="dxa"/>
            <w:vAlign w:val="top"/>
          </w:tcPr>
          <w:p w14:paraId="23B0ABE9">
            <w:pPr>
              <w:pStyle w:val="11"/>
              <w:spacing w:before="146" w:line="221" w:lineRule="auto"/>
              <w:ind w:left="147"/>
            </w:pPr>
            <w:r>
              <w:rPr>
                <w:spacing w:val="-7"/>
              </w:rPr>
              <w:t>自投标截止之日起</w:t>
            </w:r>
            <w:r>
              <w:rPr>
                <w:rFonts w:hint="eastAsia"/>
                <w:spacing w:val="-105"/>
                <w:u w:val="single"/>
                <w:lang w:val="en-US" w:eastAsia="zh-CN"/>
              </w:rPr>
              <w:t>9</w:t>
            </w:r>
            <w:r>
              <w:rPr>
                <w:spacing w:val="-60"/>
                <w:u w:val="single"/>
              </w:rPr>
              <w:t xml:space="preserve"> </w:t>
            </w:r>
            <w:r>
              <w:rPr>
                <w:rFonts w:hint="eastAsia"/>
                <w:spacing w:val="-60"/>
                <w:u w:val="single"/>
                <w:lang w:val="en-US" w:eastAsia="zh-CN"/>
              </w:rPr>
              <w:t xml:space="preserve">  0    </w:t>
            </w:r>
            <w:r>
              <w:rPr>
                <w:spacing w:val="-7"/>
              </w:rPr>
              <w:t>日内有效</w:t>
            </w:r>
          </w:p>
        </w:tc>
      </w:tr>
      <w:tr w14:paraId="4EDB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856" w:type="dxa"/>
            <w:vAlign w:val="top"/>
          </w:tcPr>
          <w:p w14:paraId="6A481C41">
            <w:pPr>
              <w:spacing w:line="269" w:lineRule="auto"/>
              <w:rPr>
                <w:rFonts w:ascii="Arial"/>
                <w:sz w:val="21"/>
              </w:rPr>
            </w:pPr>
          </w:p>
          <w:p w14:paraId="6B253E71">
            <w:pPr>
              <w:spacing w:line="269" w:lineRule="auto"/>
              <w:rPr>
                <w:rFonts w:ascii="Arial"/>
                <w:sz w:val="21"/>
              </w:rPr>
            </w:pPr>
          </w:p>
          <w:p w14:paraId="15EBEC2C">
            <w:pPr>
              <w:spacing w:line="269" w:lineRule="auto"/>
              <w:rPr>
                <w:rFonts w:ascii="Arial"/>
                <w:sz w:val="21"/>
              </w:rPr>
            </w:pPr>
          </w:p>
          <w:p w14:paraId="58D79346">
            <w:pPr>
              <w:pStyle w:val="11"/>
              <w:spacing w:before="69"/>
              <w:ind w:left="175"/>
            </w:pPr>
            <w:r>
              <w:rPr>
                <w:spacing w:val="-2"/>
              </w:rPr>
              <w:t>3.4.1</w:t>
            </w:r>
          </w:p>
        </w:tc>
        <w:tc>
          <w:tcPr>
            <w:tcW w:w="1977" w:type="dxa"/>
            <w:vAlign w:val="top"/>
          </w:tcPr>
          <w:p w14:paraId="75614578">
            <w:pPr>
              <w:spacing w:line="269" w:lineRule="auto"/>
              <w:rPr>
                <w:rFonts w:ascii="Arial"/>
                <w:color w:val="auto"/>
                <w:sz w:val="21"/>
              </w:rPr>
            </w:pPr>
          </w:p>
          <w:p w14:paraId="3DB208AF">
            <w:pPr>
              <w:spacing w:line="269" w:lineRule="auto"/>
              <w:rPr>
                <w:rFonts w:ascii="Arial"/>
                <w:color w:val="auto"/>
                <w:sz w:val="21"/>
              </w:rPr>
            </w:pPr>
          </w:p>
          <w:p w14:paraId="6660A8A6">
            <w:pPr>
              <w:spacing w:line="270" w:lineRule="auto"/>
              <w:rPr>
                <w:rFonts w:ascii="Arial"/>
                <w:color w:val="auto"/>
                <w:sz w:val="21"/>
              </w:rPr>
            </w:pPr>
          </w:p>
          <w:p w14:paraId="35428DA5">
            <w:pPr>
              <w:pStyle w:val="11"/>
              <w:spacing w:before="68" w:line="221" w:lineRule="auto"/>
              <w:ind w:left="467"/>
              <w:rPr>
                <w:color w:val="auto"/>
              </w:rPr>
            </w:pPr>
            <w:r>
              <w:rPr>
                <w:color w:val="auto"/>
                <w:spacing w:val="-2"/>
              </w:rPr>
              <w:t>投标保证金</w:t>
            </w:r>
          </w:p>
        </w:tc>
        <w:tc>
          <w:tcPr>
            <w:tcW w:w="5673" w:type="dxa"/>
            <w:vAlign w:val="top"/>
          </w:tcPr>
          <w:p w14:paraId="67785743">
            <w:pPr>
              <w:pStyle w:val="11"/>
              <w:spacing w:before="79" w:line="221" w:lineRule="auto"/>
              <w:ind w:left="134"/>
              <w:rPr>
                <w:color w:val="auto"/>
              </w:rPr>
            </w:pPr>
            <w:r>
              <w:rPr>
                <w:rFonts w:hint="eastAsia"/>
                <w:color w:val="auto"/>
                <w:spacing w:val="-7"/>
                <w:lang w:eastAsia="zh-CN"/>
              </w:rPr>
              <w:t>☑</w:t>
            </w:r>
            <w:r>
              <w:rPr>
                <w:color w:val="auto"/>
                <w:spacing w:val="-7"/>
              </w:rPr>
              <w:t>不提交</w:t>
            </w:r>
          </w:p>
          <w:p w14:paraId="237BD2B9">
            <w:pPr>
              <w:pStyle w:val="11"/>
              <w:spacing w:before="70" w:line="221" w:lineRule="auto"/>
              <w:ind w:left="134"/>
              <w:rPr>
                <w:color w:val="auto"/>
              </w:rPr>
            </w:pPr>
            <w:r>
              <w:rPr>
                <w:rFonts w:hint="eastAsia"/>
                <w:color w:val="auto"/>
                <w:spacing w:val="-7"/>
                <w:lang w:eastAsia="zh-CN"/>
              </w:rPr>
              <w:t>□</w:t>
            </w:r>
            <w:r>
              <w:rPr>
                <w:color w:val="auto"/>
                <w:spacing w:val="-7"/>
              </w:rPr>
              <w:t>提交，</w:t>
            </w:r>
          </w:p>
          <w:p w14:paraId="0623134C">
            <w:pPr>
              <w:pStyle w:val="11"/>
              <w:spacing w:before="67" w:line="220" w:lineRule="auto"/>
              <w:ind w:left="128"/>
              <w:rPr>
                <w:color w:val="auto"/>
              </w:rPr>
            </w:pPr>
            <w:r>
              <w:rPr>
                <w:color w:val="auto"/>
                <w:spacing w:val="-4"/>
              </w:rPr>
              <w:t>1.递交截止时间（到账时间</w:t>
            </w:r>
            <w:r>
              <w:rPr>
                <w:color w:val="auto"/>
                <w:spacing w:val="18"/>
              </w:rPr>
              <w:t>）：</w:t>
            </w:r>
            <w:r>
              <w:rPr>
                <w:b/>
                <w:bCs/>
                <w:color w:val="auto"/>
                <w:spacing w:val="-4"/>
              </w:rPr>
              <w:t>同本标段投标截止时间。</w:t>
            </w:r>
          </w:p>
          <w:p w14:paraId="5DD4A995">
            <w:pPr>
              <w:pStyle w:val="11"/>
              <w:spacing w:before="69" w:line="219" w:lineRule="auto"/>
              <w:ind w:left="115"/>
              <w:rPr>
                <w:color w:val="auto"/>
              </w:rPr>
            </w:pPr>
            <w:r>
              <w:rPr>
                <w:color w:val="auto"/>
                <w:spacing w:val="-4"/>
              </w:rPr>
              <w:t>2.金额：</w:t>
            </w:r>
            <w:r>
              <w:rPr>
                <w:color w:val="auto"/>
                <w:spacing w:val="-4"/>
                <w:u w:val="single" w:color="auto"/>
              </w:rPr>
              <w:t xml:space="preserve">   </w:t>
            </w:r>
            <w:r>
              <w:rPr>
                <w:color w:val="auto"/>
                <w:spacing w:val="-95"/>
              </w:rPr>
              <w:t xml:space="preserve"> </w:t>
            </w:r>
            <w:r>
              <w:rPr>
                <w:color w:val="auto"/>
                <w:spacing w:val="-4"/>
              </w:rPr>
              <w:t>元。</w:t>
            </w:r>
          </w:p>
          <w:p w14:paraId="490F1976">
            <w:pPr>
              <w:pStyle w:val="11"/>
              <w:spacing w:before="72" w:line="221" w:lineRule="auto"/>
              <w:ind w:left="117"/>
              <w:rPr>
                <w:color w:val="auto"/>
              </w:rPr>
            </w:pPr>
            <w:r>
              <w:rPr>
                <w:color w:val="auto"/>
                <w:spacing w:val="-4"/>
              </w:rPr>
              <w:t>3.形式：</w:t>
            </w:r>
            <w:r>
              <w:rPr>
                <w:color w:val="auto"/>
                <w:spacing w:val="-60"/>
              </w:rPr>
              <w:t xml:space="preserve"> </w:t>
            </w:r>
            <w:r>
              <w:rPr>
                <w:rFonts w:hint="eastAsia"/>
                <w:color w:val="auto"/>
                <w:spacing w:val="-4"/>
                <w:lang w:eastAsia="zh-CN"/>
              </w:rPr>
              <w:t>□</w:t>
            </w:r>
            <w:r>
              <w:rPr>
                <w:color w:val="auto"/>
                <w:spacing w:val="-4"/>
              </w:rPr>
              <w:t xml:space="preserve">现金   </w:t>
            </w:r>
            <w:r>
              <w:rPr>
                <w:rFonts w:hint="eastAsia"/>
                <w:color w:val="auto"/>
                <w:spacing w:val="-4"/>
                <w:lang w:eastAsia="zh-CN"/>
              </w:rPr>
              <w:t>□</w:t>
            </w:r>
            <w:r>
              <w:rPr>
                <w:color w:val="auto"/>
                <w:spacing w:val="-4"/>
              </w:rPr>
              <w:t>保函（保险）</w:t>
            </w:r>
            <w:r>
              <w:rPr>
                <w:color w:val="auto"/>
                <w:spacing w:val="18"/>
              </w:rPr>
              <w:t xml:space="preserve">  </w:t>
            </w:r>
            <w:r>
              <w:rPr>
                <w:color w:val="auto"/>
                <w:spacing w:val="-4"/>
              </w:rPr>
              <w:t>□其他形式</w:t>
            </w:r>
          </w:p>
          <w:p w14:paraId="69341130">
            <w:pPr>
              <w:pStyle w:val="11"/>
              <w:spacing w:before="68" w:line="211" w:lineRule="auto"/>
              <w:ind w:left="112"/>
              <w:rPr>
                <w:color w:val="auto"/>
              </w:rPr>
            </w:pPr>
            <w:r>
              <w:rPr>
                <w:color w:val="auto"/>
                <w:spacing w:val="-5"/>
              </w:rPr>
              <w:t>4.递交方式：</w:t>
            </w:r>
          </w:p>
        </w:tc>
      </w:tr>
    </w:tbl>
    <w:p w14:paraId="03B43B9C">
      <w:pPr>
        <w:pStyle w:val="5"/>
      </w:pPr>
    </w:p>
    <w:p w14:paraId="4B77E1DD">
      <w:pPr>
        <w:spacing w:line="91" w:lineRule="auto"/>
        <w:rPr>
          <w:rFonts w:ascii="Arial"/>
          <w:sz w:val="2"/>
        </w:rPr>
      </w:pP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50DE4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3C38410E">
            <w:pPr>
              <w:pStyle w:val="11"/>
              <w:spacing w:before="168" w:line="221" w:lineRule="auto"/>
              <w:ind w:left="117"/>
            </w:pPr>
            <w:bookmarkStart w:id="28" w:name="bookmark485"/>
            <w:bookmarkEnd w:id="28"/>
            <w:r>
              <w:rPr>
                <w:b/>
                <w:bCs/>
                <w:spacing w:val="-4"/>
              </w:rPr>
              <w:t>条款号</w:t>
            </w:r>
          </w:p>
        </w:tc>
        <w:tc>
          <w:tcPr>
            <w:tcW w:w="1977" w:type="dxa"/>
            <w:vAlign w:val="top"/>
          </w:tcPr>
          <w:p w14:paraId="57CCD4BC">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39C2CFFB">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08F81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3" w:hRule="atLeast"/>
        </w:trPr>
        <w:tc>
          <w:tcPr>
            <w:tcW w:w="856" w:type="dxa"/>
            <w:vAlign w:val="top"/>
          </w:tcPr>
          <w:p w14:paraId="4357EE45">
            <w:pPr>
              <w:rPr>
                <w:rFonts w:ascii="Arial"/>
                <w:sz w:val="21"/>
              </w:rPr>
            </w:pPr>
          </w:p>
        </w:tc>
        <w:tc>
          <w:tcPr>
            <w:tcW w:w="1977" w:type="dxa"/>
            <w:vAlign w:val="top"/>
          </w:tcPr>
          <w:p w14:paraId="752533CA">
            <w:pPr>
              <w:rPr>
                <w:rFonts w:ascii="Arial"/>
                <w:sz w:val="21"/>
              </w:rPr>
            </w:pPr>
          </w:p>
        </w:tc>
        <w:tc>
          <w:tcPr>
            <w:tcW w:w="5673" w:type="dxa"/>
            <w:vAlign w:val="top"/>
          </w:tcPr>
          <w:p w14:paraId="2754ACDA">
            <w:pPr>
              <w:pStyle w:val="11"/>
              <w:spacing w:before="76" w:line="221" w:lineRule="auto"/>
              <w:ind w:left="112"/>
            </w:pPr>
            <w:r>
              <w:rPr>
                <w:spacing w:val="-3"/>
              </w:rPr>
              <w:t>4.1</w:t>
            </w:r>
            <w:r>
              <w:rPr>
                <w:spacing w:val="-39"/>
              </w:rPr>
              <w:t xml:space="preserve"> </w:t>
            </w:r>
            <w:r>
              <w:rPr>
                <w:spacing w:val="-3"/>
              </w:rPr>
              <w:t>现金</w:t>
            </w:r>
          </w:p>
          <w:p w14:paraId="1557F85E">
            <w:pPr>
              <w:pStyle w:val="11"/>
              <w:spacing w:before="66" w:line="221" w:lineRule="auto"/>
              <w:ind w:left="539"/>
            </w:pPr>
            <w:r>
              <w:rPr>
                <w:spacing w:val="-3"/>
              </w:rPr>
              <w:t>（1）收款信息</w:t>
            </w:r>
          </w:p>
          <w:p w14:paraId="3F44C91B">
            <w:pPr>
              <w:pStyle w:val="11"/>
              <w:spacing w:before="70" w:line="221" w:lineRule="auto"/>
              <w:ind w:left="540"/>
            </w:pPr>
            <w:r>
              <w:rPr>
                <w:spacing w:val="-4"/>
              </w:rPr>
              <w:t>收款单位</w:t>
            </w:r>
            <w:r>
              <w:t>：</w:t>
            </w:r>
            <w:r>
              <w:rPr>
                <w:spacing w:val="1"/>
                <w:u w:val="single" w:color="auto"/>
              </w:rPr>
              <w:t xml:space="preserve">                     </w:t>
            </w:r>
            <w:r>
              <w:rPr>
                <w:u w:val="single" w:color="auto"/>
              </w:rPr>
              <w:t>；</w:t>
            </w:r>
          </w:p>
          <w:p w14:paraId="04EFCFAE">
            <w:pPr>
              <w:pStyle w:val="11"/>
              <w:spacing w:before="68" w:line="221" w:lineRule="auto"/>
              <w:ind w:left="534"/>
            </w:pPr>
            <w:r>
              <w:rPr>
                <w:spacing w:val="-2"/>
              </w:rPr>
              <w:t>开户银行</w:t>
            </w:r>
            <w:r>
              <w:rPr>
                <w:spacing w:val="-1"/>
              </w:rPr>
              <w:t>：</w:t>
            </w:r>
            <w:r>
              <w:rPr>
                <w:spacing w:val="1"/>
                <w:u w:val="single" w:color="auto"/>
              </w:rPr>
              <w:t xml:space="preserve">                     </w:t>
            </w:r>
            <w:r>
              <w:rPr>
                <w:spacing w:val="-1"/>
                <w:u w:val="single" w:color="auto"/>
              </w:rPr>
              <w:t>；</w:t>
            </w:r>
          </w:p>
          <w:p w14:paraId="1510D20D">
            <w:pPr>
              <w:pStyle w:val="11"/>
              <w:spacing w:before="67" w:line="221" w:lineRule="auto"/>
              <w:ind w:left="536"/>
            </w:pPr>
            <w:r>
              <w:rPr>
                <w:spacing w:val="-2"/>
              </w:rPr>
              <w:t>账户账号：</w:t>
            </w:r>
            <w:r>
              <w:rPr>
                <w:spacing w:val="1"/>
                <w:u w:val="single" w:color="auto"/>
              </w:rPr>
              <w:t xml:space="preserve">                     </w:t>
            </w:r>
            <w:r>
              <w:rPr>
                <w:spacing w:val="-2"/>
                <w:u w:val="single" w:color="auto"/>
              </w:rPr>
              <w:t>。</w:t>
            </w:r>
          </w:p>
          <w:p w14:paraId="4D427B47">
            <w:pPr>
              <w:pStyle w:val="11"/>
              <w:spacing w:before="70" w:line="221" w:lineRule="auto"/>
              <w:ind w:left="539"/>
            </w:pPr>
            <w:r>
              <w:rPr>
                <w:spacing w:val="-4"/>
              </w:rPr>
              <w:t>（2）收款说明</w:t>
            </w:r>
          </w:p>
          <w:p w14:paraId="7C54AAE7">
            <w:pPr>
              <w:pStyle w:val="11"/>
              <w:spacing w:before="68" w:line="220" w:lineRule="auto"/>
              <w:ind w:left="535"/>
            </w:pPr>
            <w:r>
              <w:rPr>
                <w:spacing w:val="-1"/>
              </w:rPr>
              <w:t>投标人应在投标截止时间前通过企业基本账户递交至</w:t>
            </w:r>
          </w:p>
          <w:p w14:paraId="182D8A7B">
            <w:pPr>
              <w:pStyle w:val="11"/>
              <w:spacing w:before="69" w:line="221" w:lineRule="auto"/>
              <w:ind w:left="112"/>
            </w:pPr>
            <w:r>
              <w:rPr>
                <w:spacing w:val="-1"/>
              </w:rPr>
              <w:t>4.1（1）规定的账户，否则视为无效投标保证金。</w:t>
            </w:r>
          </w:p>
          <w:p w14:paraId="5546E323">
            <w:pPr>
              <w:pStyle w:val="11"/>
              <w:spacing w:before="70" w:line="221" w:lineRule="auto"/>
              <w:ind w:left="112"/>
            </w:pPr>
            <w:r>
              <w:rPr>
                <w:spacing w:val="-2"/>
              </w:rPr>
              <w:t>4.2</w:t>
            </w:r>
            <w:r>
              <w:rPr>
                <w:spacing w:val="-40"/>
              </w:rPr>
              <w:t xml:space="preserve"> </w:t>
            </w:r>
            <w:r>
              <w:rPr>
                <w:spacing w:val="-2"/>
              </w:rPr>
              <w:t>保函（保险）</w:t>
            </w:r>
          </w:p>
          <w:p w14:paraId="2279D814">
            <w:pPr>
              <w:pStyle w:val="11"/>
              <w:spacing w:before="69" w:line="266" w:lineRule="auto"/>
              <w:ind w:left="113" w:right="214" w:firstLine="426"/>
            </w:pPr>
            <w:r>
              <w:rPr>
                <w:spacing w:val="-1"/>
              </w:rPr>
              <w:t>（1）投标人可通过辽宁省工程建设项目电子保函保险</w:t>
            </w:r>
            <w:r>
              <w:t>基础服务平台跨地区、跨行业自由服务试点金融平</w:t>
            </w:r>
            <w:r>
              <w:rPr>
                <w:spacing w:val="-1"/>
              </w:rPr>
              <w:t>台或金融机构任一渠道自主选择购买保函（保险</w:t>
            </w:r>
            <w:r>
              <w:rPr>
                <w:spacing w:val="10"/>
              </w:rPr>
              <w:t>），</w:t>
            </w:r>
            <w:r>
              <w:rPr>
                <w:spacing w:val="-1"/>
              </w:rPr>
              <w:t>鼓励企业使</w:t>
            </w:r>
            <w:r>
              <w:rPr>
                <w:spacing w:val="-2"/>
              </w:rPr>
              <w:t>用电子保函（保险）等形式提交保证金。</w:t>
            </w:r>
          </w:p>
          <w:p w14:paraId="577BA182">
            <w:pPr>
              <w:pStyle w:val="11"/>
              <w:spacing w:before="71" w:line="271" w:lineRule="auto"/>
              <w:ind w:left="113" w:right="216" w:firstLine="426"/>
            </w:pPr>
            <w:r>
              <w:rPr>
                <w:spacing w:val="-1"/>
              </w:rPr>
              <w:t>（2）投标人应在投标截止时间前购买完成并生效。购</w:t>
            </w:r>
            <w:r>
              <w:t>买保函（保险）的财务费用应当通过企业基本账户</w:t>
            </w:r>
            <w:r>
              <w:rPr>
                <w:spacing w:val="-1"/>
              </w:rPr>
              <w:t>或主体</w:t>
            </w:r>
            <w:r>
              <w:t>信息库登记的企业账户缴纳。纸质保函（保险）和</w:t>
            </w:r>
            <w:r>
              <w:rPr>
                <w:spacing w:val="-1"/>
              </w:rPr>
              <w:t>电子保</w:t>
            </w:r>
            <w:r>
              <w:t>函（保险）均能实现出函机构官方媒介或政府部门</w:t>
            </w:r>
            <w:r>
              <w:rPr>
                <w:spacing w:val="-1"/>
              </w:rPr>
              <w:t>业务系</w:t>
            </w:r>
            <w:r>
              <w:rPr>
                <w:spacing w:val="-3"/>
              </w:rPr>
              <w:t>统在线验真。购买保函（保险）</w:t>
            </w:r>
            <w:r>
              <w:rPr>
                <w:spacing w:val="-33"/>
              </w:rPr>
              <w:t xml:space="preserve"> </w:t>
            </w:r>
            <w:r>
              <w:rPr>
                <w:spacing w:val="-3"/>
              </w:rPr>
              <w:t>的财务费用不是通过企业</w:t>
            </w:r>
            <w:r>
              <w:t>账户缴纳或无法在线验真的保函（保险）视为</w:t>
            </w:r>
            <w:r>
              <w:rPr>
                <w:spacing w:val="-1"/>
              </w:rPr>
              <w:t>无效保函</w:t>
            </w:r>
          </w:p>
          <w:p w14:paraId="090501DC">
            <w:pPr>
              <w:pStyle w:val="11"/>
              <w:spacing w:before="69" w:line="221" w:lineRule="auto"/>
              <w:ind w:left="119"/>
            </w:pPr>
            <w:r>
              <w:rPr>
                <w:spacing w:val="-7"/>
              </w:rPr>
              <w:t>（保险）。</w:t>
            </w:r>
          </w:p>
          <w:p w14:paraId="01FEE427">
            <w:pPr>
              <w:pStyle w:val="11"/>
              <w:spacing w:before="70" w:line="221" w:lineRule="auto"/>
              <w:ind w:left="112"/>
            </w:pPr>
            <w:r>
              <w:rPr>
                <w:spacing w:val="-3"/>
              </w:rPr>
              <w:t>4.3</w:t>
            </w:r>
            <w:r>
              <w:rPr>
                <w:spacing w:val="-40"/>
              </w:rPr>
              <w:t xml:space="preserve"> </w:t>
            </w:r>
            <w:r>
              <w:rPr>
                <w:spacing w:val="-3"/>
              </w:rPr>
              <w:t>其他</w:t>
            </w:r>
          </w:p>
          <w:p w14:paraId="01269647">
            <w:pPr>
              <w:pStyle w:val="11"/>
              <w:spacing w:before="66" w:line="257" w:lineRule="auto"/>
              <w:ind w:left="114" w:right="306" w:firstLine="417"/>
              <w:jc w:val="both"/>
            </w:pPr>
            <w:r>
              <w:rPr>
                <w:spacing w:val="-1"/>
              </w:rPr>
              <w:t>采用汇票等其他方式缴纳投标保证金的，也应参照现</w:t>
            </w:r>
            <w:r>
              <w:t>金方式缴纳要求执行。招标人要求可以不缴纳</w:t>
            </w:r>
            <w:r>
              <w:rPr>
                <w:spacing w:val="-1"/>
              </w:rPr>
              <w:t>投标保证金</w:t>
            </w:r>
            <w:r>
              <w:rPr>
                <w:spacing w:val="-2"/>
              </w:rPr>
              <w:t>的除外。</w:t>
            </w:r>
          </w:p>
        </w:tc>
      </w:tr>
      <w:tr w14:paraId="27ED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856" w:type="dxa"/>
            <w:vAlign w:val="top"/>
          </w:tcPr>
          <w:p w14:paraId="45930757">
            <w:pPr>
              <w:spacing w:line="323" w:lineRule="auto"/>
              <w:rPr>
                <w:rFonts w:ascii="Arial"/>
                <w:sz w:val="21"/>
              </w:rPr>
            </w:pPr>
          </w:p>
          <w:p w14:paraId="55D884E6">
            <w:pPr>
              <w:spacing w:line="323" w:lineRule="auto"/>
              <w:rPr>
                <w:rFonts w:ascii="Arial"/>
                <w:sz w:val="21"/>
              </w:rPr>
            </w:pPr>
          </w:p>
          <w:p w14:paraId="53991138">
            <w:pPr>
              <w:pStyle w:val="11"/>
              <w:spacing w:before="69"/>
              <w:ind w:left="175"/>
            </w:pPr>
            <w:r>
              <w:rPr>
                <w:spacing w:val="-2"/>
              </w:rPr>
              <w:t>3.4.3</w:t>
            </w:r>
          </w:p>
        </w:tc>
        <w:tc>
          <w:tcPr>
            <w:tcW w:w="1977" w:type="dxa"/>
            <w:vAlign w:val="top"/>
          </w:tcPr>
          <w:p w14:paraId="5E28425C">
            <w:pPr>
              <w:spacing w:line="243" w:lineRule="auto"/>
              <w:rPr>
                <w:rFonts w:ascii="Arial"/>
                <w:sz w:val="21"/>
              </w:rPr>
            </w:pPr>
          </w:p>
          <w:p w14:paraId="36D20C56">
            <w:pPr>
              <w:spacing w:line="243" w:lineRule="auto"/>
              <w:rPr>
                <w:rFonts w:ascii="Arial"/>
                <w:sz w:val="21"/>
              </w:rPr>
            </w:pPr>
          </w:p>
          <w:p w14:paraId="0783F85B">
            <w:pPr>
              <w:pStyle w:val="11"/>
              <w:spacing w:before="68" w:line="286" w:lineRule="auto"/>
              <w:ind w:left="674" w:right="250" w:hanging="418"/>
            </w:pPr>
            <w:r>
              <w:rPr>
                <w:spacing w:val="-1"/>
              </w:rPr>
              <w:t>退还投标保证金及利息</w:t>
            </w:r>
          </w:p>
        </w:tc>
        <w:tc>
          <w:tcPr>
            <w:tcW w:w="5673" w:type="dxa"/>
            <w:vAlign w:val="top"/>
          </w:tcPr>
          <w:p w14:paraId="1A94782A">
            <w:pPr>
              <w:pStyle w:val="11"/>
              <w:spacing w:before="77" w:line="221" w:lineRule="auto"/>
              <w:ind w:left="113"/>
            </w:pPr>
            <w:r>
              <w:rPr>
                <w:spacing w:val="-1"/>
              </w:rPr>
              <w:t>计息标准：</w:t>
            </w:r>
            <w:r>
              <w:rPr>
                <w:spacing w:val="-1"/>
                <w:u w:val="single" w:color="auto"/>
              </w:rPr>
              <w:t>人民银行同期活期存款利率。</w:t>
            </w:r>
          </w:p>
          <w:p w14:paraId="597172A4">
            <w:pPr>
              <w:pStyle w:val="11"/>
              <w:spacing w:before="71" w:line="221" w:lineRule="auto"/>
              <w:ind w:left="113"/>
            </w:pPr>
            <w:r>
              <w:rPr>
                <w:spacing w:val="-1"/>
              </w:rPr>
              <w:t>计息时间：</w:t>
            </w:r>
            <w:r>
              <w:rPr>
                <w:spacing w:val="-1"/>
                <w:u w:val="single" w:color="auto"/>
              </w:rPr>
              <w:t>投标保证金到账之日至退还的前一日。</w:t>
            </w:r>
          </w:p>
          <w:p w14:paraId="726F032D">
            <w:pPr>
              <w:pStyle w:val="11"/>
              <w:spacing w:before="66" w:line="257" w:lineRule="auto"/>
              <w:ind w:left="1166" w:right="104" w:hanging="1052"/>
            </w:pPr>
            <w:r>
              <w:rPr>
                <w:spacing w:val="-3"/>
              </w:rPr>
              <w:t>退还办法：</w:t>
            </w:r>
            <w:r>
              <w:rPr>
                <w:spacing w:val="-3"/>
                <w:u w:val="single" w:color="auto"/>
              </w:rPr>
              <w:t>评标结果公示期满后</w:t>
            </w:r>
            <w:r>
              <w:rPr>
                <w:spacing w:val="-36"/>
                <w:u w:val="single" w:color="auto"/>
              </w:rPr>
              <w:t xml:space="preserve"> </w:t>
            </w:r>
            <w:r>
              <w:rPr>
                <w:spacing w:val="-3"/>
                <w:u w:val="single" w:color="auto"/>
              </w:rPr>
              <w:t>5 日内，非中标候选人的现</w:t>
            </w:r>
            <w:r>
              <w:rPr>
                <w:spacing w:val="-4"/>
                <w:u w:val="single" w:color="auto"/>
              </w:rPr>
              <w:t>金保证金按原路径自动退回；合同归档</w:t>
            </w:r>
            <w:r>
              <w:rPr>
                <w:spacing w:val="-36"/>
                <w:u w:val="single" w:color="auto"/>
              </w:rPr>
              <w:t xml:space="preserve"> </w:t>
            </w:r>
            <w:r>
              <w:rPr>
                <w:spacing w:val="-4"/>
                <w:u w:val="single" w:color="auto"/>
              </w:rPr>
              <w:t>5 日内，</w:t>
            </w:r>
            <w:r>
              <w:rPr>
                <w:spacing w:val="-1"/>
                <w:u w:val="single" w:color="auto"/>
              </w:rPr>
              <w:t>中标人的现金投标保证金按原路径自动退回。</w:t>
            </w:r>
          </w:p>
        </w:tc>
      </w:tr>
      <w:tr w14:paraId="4CDF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56" w:type="dxa"/>
            <w:vAlign w:val="top"/>
          </w:tcPr>
          <w:p w14:paraId="572C1286">
            <w:pPr>
              <w:pStyle w:val="11"/>
              <w:spacing w:before="240"/>
              <w:ind w:left="175"/>
            </w:pPr>
            <w:r>
              <w:rPr>
                <w:spacing w:val="-2"/>
              </w:rPr>
              <w:t>3.5.2</w:t>
            </w:r>
          </w:p>
        </w:tc>
        <w:tc>
          <w:tcPr>
            <w:tcW w:w="1977" w:type="dxa"/>
            <w:vAlign w:val="top"/>
          </w:tcPr>
          <w:p w14:paraId="1C8CCF34">
            <w:pPr>
              <w:pStyle w:val="11"/>
              <w:spacing w:before="78" w:line="245" w:lineRule="auto"/>
              <w:ind w:left="481" w:right="147" w:hanging="328"/>
            </w:pPr>
            <w:r>
              <w:rPr>
                <w:spacing w:val="-2"/>
              </w:rPr>
              <w:t>企业近年财务状况</w:t>
            </w:r>
            <w:r>
              <w:rPr>
                <w:spacing w:val="-5"/>
              </w:rPr>
              <w:t>的年份要求</w:t>
            </w:r>
          </w:p>
        </w:tc>
        <w:tc>
          <w:tcPr>
            <w:tcW w:w="5673" w:type="dxa"/>
            <w:vAlign w:val="top"/>
          </w:tcPr>
          <w:p w14:paraId="3285C0BE">
            <w:pPr>
              <w:pStyle w:val="11"/>
              <w:spacing w:before="239" w:line="221" w:lineRule="auto"/>
              <w:ind w:left="112"/>
            </w:pPr>
            <w:r>
              <w:rPr>
                <w:spacing w:val="-2"/>
              </w:rPr>
              <w:t>近</w:t>
            </w:r>
            <w:r>
              <w:rPr>
                <w:spacing w:val="-2"/>
                <w:u w:val="single" w:color="auto"/>
              </w:rPr>
              <w:t xml:space="preserve"> </w:t>
            </w:r>
            <w:r>
              <w:rPr>
                <w:rFonts w:hint="eastAsia"/>
                <w:spacing w:val="-2"/>
                <w:u w:val="single" w:color="auto"/>
                <w:lang w:val="en-US" w:eastAsia="zh-CN"/>
              </w:rPr>
              <w:t>/</w:t>
            </w:r>
            <w:r>
              <w:rPr>
                <w:spacing w:val="-2"/>
                <w:u w:val="single" w:color="auto"/>
              </w:rPr>
              <w:t xml:space="preserve">  </w:t>
            </w:r>
            <w:r>
              <w:rPr>
                <w:spacing w:val="-92"/>
              </w:rPr>
              <w:t xml:space="preserve"> </w:t>
            </w:r>
            <w:r>
              <w:rPr>
                <w:spacing w:val="-2"/>
              </w:rPr>
              <w:t>年，指</w:t>
            </w:r>
            <w:r>
              <w:rPr>
                <w:spacing w:val="-2"/>
                <w:u w:val="single" w:color="auto"/>
              </w:rPr>
              <w:t xml:space="preserve">     </w:t>
            </w:r>
            <w:r>
              <w:rPr>
                <w:spacing w:val="-96"/>
              </w:rPr>
              <w:t xml:space="preserve"> </w:t>
            </w:r>
            <w:r>
              <w:rPr>
                <w:spacing w:val="-2"/>
              </w:rPr>
              <w:t>年度、</w:t>
            </w:r>
            <w:r>
              <w:rPr>
                <w:spacing w:val="-2"/>
                <w:u w:val="single" w:color="auto"/>
              </w:rPr>
              <w:t xml:space="preserve">     </w:t>
            </w:r>
            <w:r>
              <w:rPr>
                <w:spacing w:val="-96"/>
              </w:rPr>
              <w:t xml:space="preserve"> </w:t>
            </w:r>
            <w:r>
              <w:rPr>
                <w:spacing w:val="-2"/>
              </w:rPr>
              <w:t>年度和</w:t>
            </w:r>
            <w:r>
              <w:rPr>
                <w:spacing w:val="-2"/>
                <w:u w:val="single" w:color="auto"/>
              </w:rPr>
              <w:t xml:space="preserve">     </w:t>
            </w:r>
            <w:r>
              <w:rPr>
                <w:spacing w:val="-96"/>
              </w:rPr>
              <w:t xml:space="preserve"> </w:t>
            </w:r>
            <w:r>
              <w:rPr>
                <w:spacing w:val="-2"/>
              </w:rPr>
              <w:t>年度。</w:t>
            </w:r>
          </w:p>
        </w:tc>
      </w:tr>
      <w:tr w14:paraId="6992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56" w:type="dxa"/>
            <w:vAlign w:val="top"/>
          </w:tcPr>
          <w:p w14:paraId="695CB04B">
            <w:pPr>
              <w:spacing w:line="327" w:lineRule="auto"/>
              <w:rPr>
                <w:rFonts w:ascii="Arial"/>
                <w:sz w:val="21"/>
              </w:rPr>
            </w:pPr>
          </w:p>
          <w:p w14:paraId="682A7CA5">
            <w:pPr>
              <w:pStyle w:val="11"/>
              <w:spacing w:before="69"/>
              <w:ind w:left="175"/>
            </w:pPr>
            <w:r>
              <w:rPr>
                <w:spacing w:val="-2"/>
              </w:rPr>
              <w:t>3.5.3</w:t>
            </w:r>
          </w:p>
        </w:tc>
        <w:tc>
          <w:tcPr>
            <w:tcW w:w="1977" w:type="dxa"/>
            <w:vAlign w:val="top"/>
          </w:tcPr>
          <w:p w14:paraId="2C716647">
            <w:pPr>
              <w:pStyle w:val="11"/>
              <w:spacing w:before="78" w:line="221" w:lineRule="auto"/>
              <w:ind w:left="153"/>
            </w:pPr>
            <w:r>
              <w:rPr>
                <w:spacing w:val="-1"/>
              </w:rPr>
              <w:t>企业近年已完成的</w:t>
            </w:r>
          </w:p>
          <w:p w14:paraId="1FBBAFD9">
            <w:pPr>
              <w:pStyle w:val="11"/>
              <w:spacing w:before="67" w:line="221" w:lineRule="auto"/>
              <w:ind w:left="150"/>
            </w:pPr>
            <w:r>
              <w:rPr>
                <w:spacing w:val="-1"/>
              </w:rPr>
              <w:t>类似项目的年份要</w:t>
            </w:r>
          </w:p>
          <w:p w14:paraId="4BED13F3">
            <w:pPr>
              <w:pStyle w:val="11"/>
              <w:spacing w:before="70" w:line="206" w:lineRule="auto"/>
              <w:ind w:left="886"/>
            </w:pPr>
            <w:r>
              <w:t>求</w:t>
            </w:r>
          </w:p>
        </w:tc>
        <w:tc>
          <w:tcPr>
            <w:tcW w:w="5673" w:type="dxa"/>
            <w:vAlign w:val="top"/>
          </w:tcPr>
          <w:p w14:paraId="4E877554">
            <w:pPr>
              <w:spacing w:line="327" w:lineRule="auto"/>
              <w:rPr>
                <w:rFonts w:ascii="Arial"/>
                <w:sz w:val="21"/>
              </w:rPr>
            </w:pPr>
          </w:p>
          <w:p w14:paraId="4906E98C">
            <w:pPr>
              <w:pStyle w:val="11"/>
              <w:spacing w:before="68" w:line="221" w:lineRule="auto"/>
              <w:ind w:left="112"/>
            </w:pPr>
            <w:r>
              <w:rPr>
                <w:spacing w:val="-6"/>
              </w:rPr>
              <w:t>近</w:t>
            </w:r>
            <w:r>
              <w:rPr>
                <w:spacing w:val="-6"/>
                <w:u w:val="single" w:color="auto"/>
              </w:rPr>
              <w:t xml:space="preserve">  </w:t>
            </w:r>
            <w:r>
              <w:rPr>
                <w:rFonts w:hint="eastAsia"/>
                <w:spacing w:val="-6"/>
                <w:u w:val="single" w:color="auto"/>
                <w:lang w:val="en-US" w:eastAsia="zh-CN"/>
              </w:rPr>
              <w:t>/</w:t>
            </w:r>
            <w:r>
              <w:rPr>
                <w:spacing w:val="-6"/>
                <w:u w:val="single" w:color="auto"/>
              </w:rPr>
              <w:t xml:space="preserve"> </w:t>
            </w:r>
            <w:r>
              <w:rPr>
                <w:spacing w:val="-93"/>
              </w:rPr>
              <w:t xml:space="preserve"> </w:t>
            </w:r>
            <w:r>
              <w:rPr>
                <w:spacing w:val="-6"/>
              </w:rPr>
              <w:t>年，指</w:t>
            </w:r>
            <w:r>
              <w:rPr>
                <w:spacing w:val="-6"/>
                <w:u w:val="single" w:color="auto"/>
              </w:rPr>
              <w:t xml:space="preserve">   </w:t>
            </w:r>
            <w:r>
              <w:rPr>
                <w:spacing w:val="-96"/>
              </w:rPr>
              <w:t xml:space="preserve"> </w:t>
            </w:r>
            <w:r>
              <w:rPr>
                <w:spacing w:val="-6"/>
              </w:rPr>
              <w:t>年</w:t>
            </w:r>
            <w:r>
              <w:rPr>
                <w:spacing w:val="-104"/>
              </w:rPr>
              <w:t xml:space="preserve"> </w:t>
            </w:r>
            <w:r>
              <w:rPr>
                <w:spacing w:val="52"/>
                <w:u w:val="single" w:color="auto"/>
              </w:rPr>
              <w:t xml:space="preserve">  </w:t>
            </w:r>
            <w:r>
              <w:rPr>
                <w:spacing w:val="-92"/>
              </w:rPr>
              <w:t xml:space="preserve"> </w:t>
            </w:r>
            <w:r>
              <w:rPr>
                <w:spacing w:val="-6"/>
              </w:rPr>
              <w:t>月</w:t>
            </w:r>
            <w:r>
              <w:rPr>
                <w:spacing w:val="51"/>
                <w:u w:val="single" w:color="auto"/>
              </w:rPr>
              <w:t xml:space="preserve">  </w:t>
            </w:r>
            <w:r>
              <w:rPr>
                <w:spacing w:val="-60"/>
              </w:rPr>
              <w:t xml:space="preserve"> </w:t>
            </w:r>
            <w:r>
              <w:rPr>
                <w:spacing w:val="-6"/>
              </w:rPr>
              <w:t>日─</w:t>
            </w:r>
            <w:r>
              <w:rPr>
                <w:spacing w:val="-105"/>
              </w:rPr>
              <w:t xml:space="preserve"> </w:t>
            </w:r>
            <w:r>
              <w:rPr>
                <w:spacing w:val="52"/>
                <w:u w:val="single" w:color="auto"/>
              </w:rPr>
              <w:t xml:space="preserve">  </w:t>
            </w:r>
            <w:r>
              <w:rPr>
                <w:spacing w:val="-96"/>
              </w:rPr>
              <w:t xml:space="preserve"> </w:t>
            </w:r>
            <w:r>
              <w:rPr>
                <w:spacing w:val="-6"/>
              </w:rPr>
              <w:t>年</w:t>
            </w:r>
            <w:r>
              <w:rPr>
                <w:spacing w:val="51"/>
                <w:u w:val="single" w:color="auto"/>
              </w:rPr>
              <w:t xml:space="preserve">  </w:t>
            </w:r>
            <w:r>
              <w:rPr>
                <w:spacing w:val="-91"/>
              </w:rPr>
              <w:t xml:space="preserve"> </w:t>
            </w:r>
            <w:r>
              <w:rPr>
                <w:spacing w:val="-6"/>
              </w:rPr>
              <w:t>月</w:t>
            </w:r>
            <w:r>
              <w:rPr>
                <w:spacing w:val="-105"/>
              </w:rPr>
              <w:t xml:space="preserve"> </w:t>
            </w:r>
            <w:r>
              <w:rPr>
                <w:spacing w:val="52"/>
                <w:u w:val="single" w:color="auto"/>
              </w:rPr>
              <w:t xml:space="preserve">  </w:t>
            </w:r>
            <w:r>
              <w:rPr>
                <w:spacing w:val="-60"/>
              </w:rPr>
              <w:t xml:space="preserve"> </w:t>
            </w:r>
            <w:r>
              <w:rPr>
                <w:spacing w:val="-6"/>
              </w:rPr>
              <w:t>日</w:t>
            </w:r>
          </w:p>
        </w:tc>
      </w:tr>
      <w:tr w14:paraId="38E3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56" w:type="dxa"/>
            <w:vAlign w:val="top"/>
          </w:tcPr>
          <w:p w14:paraId="14D62F56">
            <w:pPr>
              <w:spacing w:line="328" w:lineRule="auto"/>
              <w:rPr>
                <w:rFonts w:ascii="Arial"/>
                <w:sz w:val="21"/>
              </w:rPr>
            </w:pPr>
          </w:p>
          <w:p w14:paraId="539FB597">
            <w:pPr>
              <w:pStyle w:val="11"/>
              <w:spacing w:before="68"/>
              <w:ind w:left="175"/>
            </w:pPr>
            <w:r>
              <w:rPr>
                <w:spacing w:val="-2"/>
              </w:rPr>
              <w:t>3.5.5</w:t>
            </w:r>
          </w:p>
        </w:tc>
        <w:tc>
          <w:tcPr>
            <w:tcW w:w="1977" w:type="dxa"/>
            <w:vAlign w:val="top"/>
          </w:tcPr>
          <w:p w14:paraId="1634622A">
            <w:pPr>
              <w:pStyle w:val="11"/>
              <w:spacing w:before="78" w:line="221" w:lineRule="auto"/>
              <w:ind w:left="153"/>
            </w:pPr>
            <w:r>
              <w:rPr>
                <w:spacing w:val="-1"/>
              </w:rPr>
              <w:t>企业近年发生的诉</w:t>
            </w:r>
          </w:p>
          <w:p w14:paraId="05B8E539">
            <w:pPr>
              <w:pStyle w:val="11"/>
              <w:spacing w:before="67" w:line="221" w:lineRule="auto"/>
              <w:ind w:left="150"/>
            </w:pPr>
            <w:r>
              <w:rPr>
                <w:spacing w:val="-1"/>
              </w:rPr>
              <w:t>讼及仲裁情况的年</w:t>
            </w:r>
          </w:p>
          <w:p w14:paraId="0102A965">
            <w:pPr>
              <w:pStyle w:val="11"/>
              <w:spacing w:before="70" w:line="206" w:lineRule="auto"/>
              <w:ind w:left="675"/>
            </w:pPr>
            <w:r>
              <w:rPr>
                <w:spacing w:val="-2"/>
              </w:rPr>
              <w:t>份要求</w:t>
            </w:r>
          </w:p>
        </w:tc>
        <w:tc>
          <w:tcPr>
            <w:tcW w:w="5673" w:type="dxa"/>
            <w:vAlign w:val="top"/>
          </w:tcPr>
          <w:p w14:paraId="4B4BFA01">
            <w:pPr>
              <w:spacing w:line="327" w:lineRule="auto"/>
              <w:rPr>
                <w:rFonts w:ascii="Arial"/>
                <w:sz w:val="21"/>
              </w:rPr>
            </w:pPr>
          </w:p>
          <w:p w14:paraId="1467BF88">
            <w:pPr>
              <w:pStyle w:val="11"/>
              <w:spacing w:before="69" w:line="221" w:lineRule="auto"/>
              <w:ind w:left="112"/>
            </w:pPr>
            <w:r>
              <w:rPr>
                <w:spacing w:val="-6"/>
              </w:rPr>
              <w:t>近</w:t>
            </w:r>
            <w:r>
              <w:rPr>
                <w:spacing w:val="-6"/>
                <w:u w:val="single" w:color="auto"/>
              </w:rPr>
              <w:t xml:space="preserve">  </w:t>
            </w:r>
            <w:r>
              <w:rPr>
                <w:rFonts w:hint="eastAsia"/>
                <w:spacing w:val="-6"/>
                <w:u w:val="single" w:color="auto"/>
                <w:lang w:val="en-US" w:eastAsia="zh-CN"/>
              </w:rPr>
              <w:t>/</w:t>
            </w:r>
            <w:r>
              <w:rPr>
                <w:spacing w:val="-6"/>
                <w:u w:val="single" w:color="auto"/>
              </w:rPr>
              <w:t xml:space="preserve"> </w:t>
            </w:r>
            <w:r>
              <w:rPr>
                <w:spacing w:val="-93"/>
              </w:rPr>
              <w:t xml:space="preserve"> </w:t>
            </w:r>
            <w:r>
              <w:rPr>
                <w:spacing w:val="-6"/>
              </w:rPr>
              <w:t>年，指</w:t>
            </w:r>
            <w:r>
              <w:rPr>
                <w:spacing w:val="-6"/>
                <w:u w:val="single" w:color="auto"/>
              </w:rPr>
              <w:t xml:space="preserve">   </w:t>
            </w:r>
            <w:r>
              <w:rPr>
                <w:spacing w:val="-96"/>
              </w:rPr>
              <w:t xml:space="preserve"> </w:t>
            </w:r>
            <w:r>
              <w:rPr>
                <w:spacing w:val="-6"/>
              </w:rPr>
              <w:t>年</w:t>
            </w:r>
            <w:r>
              <w:rPr>
                <w:spacing w:val="-104"/>
              </w:rPr>
              <w:t xml:space="preserve"> </w:t>
            </w:r>
            <w:r>
              <w:rPr>
                <w:spacing w:val="52"/>
                <w:u w:val="single" w:color="auto"/>
              </w:rPr>
              <w:t xml:space="preserve">  </w:t>
            </w:r>
            <w:r>
              <w:rPr>
                <w:spacing w:val="-92"/>
              </w:rPr>
              <w:t xml:space="preserve"> </w:t>
            </w:r>
            <w:r>
              <w:rPr>
                <w:spacing w:val="-6"/>
              </w:rPr>
              <w:t>月</w:t>
            </w:r>
            <w:r>
              <w:rPr>
                <w:spacing w:val="51"/>
                <w:u w:val="single" w:color="auto"/>
              </w:rPr>
              <w:t xml:space="preserve">  </w:t>
            </w:r>
            <w:r>
              <w:rPr>
                <w:spacing w:val="-60"/>
              </w:rPr>
              <w:t xml:space="preserve"> </w:t>
            </w:r>
            <w:r>
              <w:rPr>
                <w:spacing w:val="-6"/>
              </w:rPr>
              <w:t>日─</w:t>
            </w:r>
            <w:r>
              <w:rPr>
                <w:spacing w:val="-105"/>
              </w:rPr>
              <w:t xml:space="preserve"> </w:t>
            </w:r>
            <w:r>
              <w:rPr>
                <w:spacing w:val="52"/>
                <w:u w:val="single" w:color="auto"/>
              </w:rPr>
              <w:t xml:space="preserve">  </w:t>
            </w:r>
            <w:r>
              <w:rPr>
                <w:spacing w:val="-96"/>
              </w:rPr>
              <w:t xml:space="preserve"> </w:t>
            </w:r>
            <w:r>
              <w:rPr>
                <w:spacing w:val="-6"/>
              </w:rPr>
              <w:t>年</w:t>
            </w:r>
            <w:r>
              <w:rPr>
                <w:spacing w:val="51"/>
                <w:u w:val="single" w:color="auto"/>
              </w:rPr>
              <w:t xml:space="preserve">  </w:t>
            </w:r>
            <w:r>
              <w:rPr>
                <w:spacing w:val="-91"/>
              </w:rPr>
              <w:t xml:space="preserve"> </w:t>
            </w:r>
            <w:r>
              <w:rPr>
                <w:spacing w:val="-6"/>
              </w:rPr>
              <w:t>月</w:t>
            </w:r>
            <w:r>
              <w:rPr>
                <w:spacing w:val="-105"/>
              </w:rPr>
              <w:t xml:space="preserve"> </w:t>
            </w:r>
            <w:r>
              <w:rPr>
                <w:spacing w:val="52"/>
                <w:u w:val="single" w:color="auto"/>
              </w:rPr>
              <w:t xml:space="preserve">  </w:t>
            </w:r>
            <w:r>
              <w:rPr>
                <w:spacing w:val="-60"/>
              </w:rPr>
              <w:t xml:space="preserve"> </w:t>
            </w:r>
            <w:r>
              <w:rPr>
                <w:spacing w:val="-6"/>
              </w:rPr>
              <w:t>日</w:t>
            </w:r>
          </w:p>
        </w:tc>
      </w:tr>
      <w:tr w14:paraId="27B73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56" w:type="dxa"/>
            <w:vAlign w:val="top"/>
          </w:tcPr>
          <w:p w14:paraId="3E59DE84">
            <w:pPr>
              <w:spacing w:line="331" w:lineRule="auto"/>
              <w:rPr>
                <w:rFonts w:ascii="Arial"/>
                <w:sz w:val="21"/>
              </w:rPr>
            </w:pPr>
          </w:p>
          <w:p w14:paraId="2C71AF16">
            <w:pPr>
              <w:pStyle w:val="11"/>
              <w:spacing w:before="68"/>
              <w:ind w:left="175"/>
            </w:pPr>
            <w:r>
              <w:rPr>
                <w:spacing w:val="-2"/>
              </w:rPr>
              <w:t>3.5.9</w:t>
            </w:r>
          </w:p>
        </w:tc>
        <w:tc>
          <w:tcPr>
            <w:tcW w:w="1977" w:type="dxa"/>
            <w:vAlign w:val="top"/>
          </w:tcPr>
          <w:p w14:paraId="061EF832">
            <w:pPr>
              <w:pStyle w:val="11"/>
              <w:spacing w:before="79" w:line="221" w:lineRule="auto"/>
              <w:ind w:left="153"/>
            </w:pPr>
            <w:r>
              <w:rPr>
                <w:spacing w:val="-1"/>
              </w:rPr>
              <w:t>项目经理近年已完</w:t>
            </w:r>
          </w:p>
          <w:p w14:paraId="7FE97A02">
            <w:pPr>
              <w:pStyle w:val="11"/>
              <w:spacing w:before="70" w:line="221" w:lineRule="auto"/>
              <w:ind w:left="152"/>
            </w:pPr>
            <w:r>
              <w:rPr>
                <w:spacing w:val="-1"/>
              </w:rPr>
              <w:t>成的类似项目的年</w:t>
            </w:r>
          </w:p>
          <w:p w14:paraId="70A4FB21">
            <w:pPr>
              <w:pStyle w:val="11"/>
              <w:spacing w:before="68" w:line="206" w:lineRule="auto"/>
              <w:ind w:left="675"/>
            </w:pPr>
            <w:r>
              <w:rPr>
                <w:spacing w:val="-2"/>
              </w:rPr>
              <w:t>份要求</w:t>
            </w:r>
          </w:p>
        </w:tc>
        <w:tc>
          <w:tcPr>
            <w:tcW w:w="5673" w:type="dxa"/>
            <w:vAlign w:val="top"/>
          </w:tcPr>
          <w:p w14:paraId="7671294C">
            <w:pPr>
              <w:spacing w:line="330" w:lineRule="auto"/>
              <w:rPr>
                <w:rFonts w:ascii="Arial"/>
                <w:sz w:val="21"/>
              </w:rPr>
            </w:pPr>
          </w:p>
          <w:p w14:paraId="19509623">
            <w:pPr>
              <w:pStyle w:val="11"/>
              <w:spacing w:before="69" w:line="221" w:lineRule="auto"/>
              <w:ind w:left="112"/>
            </w:pPr>
            <w:r>
              <w:rPr>
                <w:spacing w:val="-6"/>
              </w:rPr>
              <w:t>近</w:t>
            </w:r>
            <w:r>
              <w:rPr>
                <w:spacing w:val="-6"/>
                <w:u w:val="single" w:color="auto"/>
              </w:rPr>
              <w:t xml:space="preserve"> </w:t>
            </w:r>
            <w:r>
              <w:rPr>
                <w:rFonts w:hint="eastAsia"/>
                <w:spacing w:val="-6"/>
                <w:u w:val="single" w:color="auto"/>
                <w:lang w:val="en-US" w:eastAsia="zh-CN"/>
              </w:rPr>
              <w:t>/</w:t>
            </w:r>
            <w:r>
              <w:rPr>
                <w:spacing w:val="-6"/>
                <w:u w:val="single" w:color="auto"/>
              </w:rPr>
              <w:t xml:space="preserve">  </w:t>
            </w:r>
            <w:r>
              <w:rPr>
                <w:spacing w:val="-93"/>
              </w:rPr>
              <w:t xml:space="preserve"> </w:t>
            </w:r>
            <w:r>
              <w:rPr>
                <w:spacing w:val="-6"/>
              </w:rPr>
              <w:t>年，指</w:t>
            </w:r>
            <w:r>
              <w:rPr>
                <w:spacing w:val="-6"/>
                <w:u w:val="single" w:color="auto"/>
              </w:rPr>
              <w:t xml:space="preserve">   </w:t>
            </w:r>
            <w:r>
              <w:rPr>
                <w:spacing w:val="-96"/>
              </w:rPr>
              <w:t xml:space="preserve"> </w:t>
            </w:r>
            <w:r>
              <w:rPr>
                <w:spacing w:val="-6"/>
              </w:rPr>
              <w:t>年</w:t>
            </w:r>
            <w:r>
              <w:rPr>
                <w:spacing w:val="-104"/>
              </w:rPr>
              <w:t xml:space="preserve"> </w:t>
            </w:r>
            <w:r>
              <w:rPr>
                <w:spacing w:val="52"/>
                <w:u w:val="single" w:color="auto"/>
              </w:rPr>
              <w:t xml:space="preserve">  </w:t>
            </w:r>
            <w:r>
              <w:rPr>
                <w:spacing w:val="-92"/>
              </w:rPr>
              <w:t xml:space="preserve"> </w:t>
            </w:r>
            <w:r>
              <w:rPr>
                <w:spacing w:val="-6"/>
              </w:rPr>
              <w:t>月</w:t>
            </w:r>
            <w:r>
              <w:rPr>
                <w:spacing w:val="51"/>
                <w:u w:val="single" w:color="auto"/>
              </w:rPr>
              <w:t xml:space="preserve">  </w:t>
            </w:r>
            <w:r>
              <w:rPr>
                <w:spacing w:val="-60"/>
              </w:rPr>
              <w:t xml:space="preserve"> </w:t>
            </w:r>
            <w:r>
              <w:rPr>
                <w:spacing w:val="-6"/>
              </w:rPr>
              <w:t>日─</w:t>
            </w:r>
            <w:r>
              <w:rPr>
                <w:spacing w:val="-105"/>
              </w:rPr>
              <w:t xml:space="preserve"> </w:t>
            </w:r>
            <w:r>
              <w:rPr>
                <w:spacing w:val="52"/>
                <w:u w:val="single" w:color="auto"/>
              </w:rPr>
              <w:t xml:space="preserve">  </w:t>
            </w:r>
            <w:r>
              <w:rPr>
                <w:spacing w:val="-96"/>
              </w:rPr>
              <w:t xml:space="preserve"> </w:t>
            </w:r>
            <w:r>
              <w:rPr>
                <w:spacing w:val="-6"/>
              </w:rPr>
              <w:t>年</w:t>
            </w:r>
            <w:r>
              <w:rPr>
                <w:spacing w:val="51"/>
                <w:u w:val="single" w:color="auto"/>
              </w:rPr>
              <w:t xml:space="preserve">  </w:t>
            </w:r>
            <w:r>
              <w:rPr>
                <w:spacing w:val="-91"/>
              </w:rPr>
              <w:t xml:space="preserve"> </w:t>
            </w:r>
            <w:r>
              <w:rPr>
                <w:spacing w:val="-6"/>
              </w:rPr>
              <w:t>月</w:t>
            </w:r>
            <w:r>
              <w:rPr>
                <w:spacing w:val="-105"/>
              </w:rPr>
              <w:t xml:space="preserve"> </w:t>
            </w:r>
            <w:r>
              <w:rPr>
                <w:spacing w:val="52"/>
                <w:u w:val="single" w:color="auto"/>
              </w:rPr>
              <w:t xml:space="preserve">  </w:t>
            </w:r>
            <w:r>
              <w:rPr>
                <w:spacing w:val="-60"/>
              </w:rPr>
              <w:t xml:space="preserve"> </w:t>
            </w:r>
            <w:r>
              <w:rPr>
                <w:spacing w:val="-6"/>
              </w:rPr>
              <w:t>日</w:t>
            </w:r>
          </w:p>
        </w:tc>
      </w:tr>
      <w:tr w14:paraId="7851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6" w:type="dxa"/>
            <w:vAlign w:val="top"/>
          </w:tcPr>
          <w:p w14:paraId="34D85EED">
            <w:pPr>
              <w:pStyle w:val="11"/>
              <w:spacing w:before="204"/>
              <w:ind w:left="281"/>
            </w:pPr>
            <w:r>
              <w:rPr>
                <w:spacing w:val="-3"/>
              </w:rPr>
              <w:t>3.6</w:t>
            </w:r>
          </w:p>
        </w:tc>
        <w:tc>
          <w:tcPr>
            <w:tcW w:w="1977" w:type="dxa"/>
            <w:vAlign w:val="top"/>
          </w:tcPr>
          <w:p w14:paraId="4571FDEF">
            <w:pPr>
              <w:pStyle w:val="11"/>
              <w:spacing w:before="204" w:line="221" w:lineRule="auto"/>
              <w:ind w:left="153"/>
            </w:pPr>
            <w:r>
              <w:rPr>
                <w:spacing w:val="-1"/>
              </w:rPr>
              <w:t>是否允许递交备选</w:t>
            </w:r>
          </w:p>
        </w:tc>
        <w:tc>
          <w:tcPr>
            <w:tcW w:w="5673" w:type="dxa"/>
            <w:vAlign w:val="top"/>
          </w:tcPr>
          <w:p w14:paraId="455853BC">
            <w:pPr>
              <w:pStyle w:val="11"/>
              <w:spacing w:before="204" w:line="221" w:lineRule="auto"/>
              <w:ind w:left="116"/>
            </w:pPr>
            <w:r>
              <w:rPr>
                <w:spacing w:val="-2"/>
              </w:rPr>
              <w:t>不允许</w:t>
            </w:r>
          </w:p>
        </w:tc>
      </w:tr>
    </w:tbl>
    <w:p w14:paraId="7BC2FBE1">
      <w:pPr>
        <w:pStyle w:val="5"/>
      </w:pPr>
    </w:p>
    <w:p w14:paraId="41270FC3">
      <w:pPr>
        <w:sectPr>
          <w:footerReference r:id="rId22" w:type="default"/>
          <w:pgSz w:w="11905" w:h="16843"/>
          <w:pgMar w:top="969" w:right="1355" w:bottom="1026" w:left="1480" w:header="0" w:footer="754" w:gutter="0"/>
          <w:cols w:space="0" w:num="1"/>
          <w:rtlGutter w:val="0"/>
          <w:docGrid w:linePitch="0" w:charSpace="0"/>
        </w:sectPr>
      </w:pPr>
    </w:p>
    <w:p w14:paraId="01226398">
      <w:pPr>
        <w:spacing w:line="91" w:lineRule="auto"/>
        <w:rPr>
          <w:rFonts w:ascii="Arial"/>
          <w:sz w:val="2"/>
        </w:rPr>
      </w:pP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77"/>
        <w:gridCol w:w="5673"/>
      </w:tblGrid>
      <w:tr w14:paraId="69381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06061E96">
            <w:pPr>
              <w:pStyle w:val="11"/>
              <w:spacing w:before="168" w:line="221" w:lineRule="auto"/>
              <w:ind w:left="117"/>
            </w:pPr>
            <w:bookmarkStart w:id="29" w:name="bookmark486"/>
            <w:bookmarkEnd w:id="29"/>
            <w:r>
              <w:rPr>
                <w:b/>
                <w:bCs/>
                <w:spacing w:val="-4"/>
              </w:rPr>
              <w:t>条款号</w:t>
            </w:r>
          </w:p>
        </w:tc>
        <w:tc>
          <w:tcPr>
            <w:tcW w:w="1977" w:type="dxa"/>
            <w:vAlign w:val="top"/>
          </w:tcPr>
          <w:p w14:paraId="667416A1">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73" w:type="dxa"/>
            <w:vAlign w:val="top"/>
          </w:tcPr>
          <w:p w14:paraId="2CE0CBAB">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6DFE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23F0E7DA">
            <w:pPr>
              <w:rPr>
                <w:rFonts w:ascii="Arial"/>
                <w:sz w:val="21"/>
              </w:rPr>
            </w:pPr>
          </w:p>
        </w:tc>
        <w:tc>
          <w:tcPr>
            <w:tcW w:w="1977" w:type="dxa"/>
            <w:vAlign w:val="top"/>
          </w:tcPr>
          <w:p w14:paraId="34BA9CFF">
            <w:pPr>
              <w:pStyle w:val="11"/>
              <w:spacing w:before="76" w:line="221" w:lineRule="auto"/>
              <w:ind w:left="572"/>
            </w:pPr>
            <w:r>
              <w:rPr>
                <w:spacing w:val="-2"/>
              </w:rPr>
              <w:t>投标方案</w:t>
            </w:r>
          </w:p>
        </w:tc>
        <w:tc>
          <w:tcPr>
            <w:tcW w:w="5673" w:type="dxa"/>
            <w:vAlign w:val="top"/>
          </w:tcPr>
          <w:p w14:paraId="13E9E357">
            <w:pPr>
              <w:rPr>
                <w:rFonts w:ascii="Arial"/>
                <w:sz w:val="21"/>
              </w:rPr>
            </w:pPr>
          </w:p>
        </w:tc>
      </w:tr>
      <w:tr w14:paraId="2C2C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2581FEBE">
            <w:pPr>
              <w:pStyle w:val="11"/>
              <w:spacing w:before="236"/>
              <w:ind w:left="175"/>
            </w:pPr>
            <w:r>
              <w:rPr>
                <w:spacing w:val="-2"/>
              </w:rPr>
              <w:t>3.7.4</w:t>
            </w:r>
          </w:p>
        </w:tc>
        <w:tc>
          <w:tcPr>
            <w:tcW w:w="1977" w:type="dxa"/>
            <w:vAlign w:val="top"/>
          </w:tcPr>
          <w:p w14:paraId="1FA27871">
            <w:pPr>
              <w:pStyle w:val="11"/>
              <w:spacing w:before="75" w:line="246" w:lineRule="auto"/>
              <w:ind w:left="790" w:right="250" w:hanging="531"/>
              <w:rPr>
                <w:color w:val="0000FF"/>
              </w:rPr>
            </w:pPr>
            <w:r>
              <w:rPr>
                <w:color w:val="0000FF"/>
                <w:spacing w:val="-2"/>
              </w:rPr>
              <w:t>是否采用模块化</w:t>
            </w:r>
            <w:r>
              <w:rPr>
                <w:color w:val="0000FF"/>
                <w:spacing w:val="-4"/>
              </w:rPr>
              <w:t>暗标</w:t>
            </w:r>
          </w:p>
        </w:tc>
        <w:tc>
          <w:tcPr>
            <w:tcW w:w="5673" w:type="dxa"/>
            <w:vAlign w:val="top"/>
          </w:tcPr>
          <w:p w14:paraId="135BA7A4">
            <w:pPr>
              <w:pStyle w:val="11"/>
              <w:spacing w:before="75" w:line="220" w:lineRule="auto"/>
              <w:ind w:left="134"/>
              <w:rPr>
                <w:color w:val="0000FF"/>
              </w:rPr>
            </w:pPr>
            <w:r>
              <w:rPr>
                <w:rFonts w:hint="eastAsia"/>
                <w:color w:val="0000FF"/>
                <w:spacing w:val="-6"/>
                <w:lang w:eastAsia="zh-CN"/>
              </w:rPr>
              <w:t>☑</w:t>
            </w:r>
            <w:r>
              <w:rPr>
                <w:color w:val="0000FF"/>
                <w:spacing w:val="-6"/>
              </w:rPr>
              <w:t>采用</w:t>
            </w:r>
          </w:p>
          <w:p w14:paraId="418E43A0">
            <w:pPr>
              <w:pStyle w:val="11"/>
              <w:spacing w:before="69" w:line="211" w:lineRule="auto"/>
              <w:ind w:left="134"/>
              <w:rPr>
                <w:color w:val="0000FF"/>
              </w:rPr>
            </w:pPr>
            <w:r>
              <w:rPr>
                <w:color w:val="0000FF"/>
                <w:spacing w:val="-7"/>
              </w:rPr>
              <w:t>□不采用</w:t>
            </w:r>
          </w:p>
        </w:tc>
      </w:tr>
      <w:tr w14:paraId="3B03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56" w:type="dxa"/>
            <w:vAlign w:val="top"/>
          </w:tcPr>
          <w:p w14:paraId="4B707F28">
            <w:pPr>
              <w:pStyle w:val="11"/>
              <w:spacing w:before="244"/>
              <w:ind w:left="170"/>
            </w:pPr>
            <w:r>
              <w:rPr>
                <w:spacing w:val="-1"/>
              </w:rPr>
              <w:t>4.2.1</w:t>
            </w:r>
          </w:p>
        </w:tc>
        <w:tc>
          <w:tcPr>
            <w:tcW w:w="1977" w:type="dxa"/>
            <w:vAlign w:val="top"/>
          </w:tcPr>
          <w:p w14:paraId="4184AC39">
            <w:pPr>
              <w:pStyle w:val="11"/>
              <w:spacing w:before="244" w:line="221" w:lineRule="auto"/>
              <w:ind w:left="364"/>
              <w:rPr>
                <w:color w:val="0000FF"/>
              </w:rPr>
            </w:pPr>
            <w:r>
              <w:rPr>
                <w:color w:val="0000FF"/>
                <w:spacing w:val="-2"/>
              </w:rPr>
              <w:t>投标截止时间</w:t>
            </w:r>
          </w:p>
        </w:tc>
        <w:tc>
          <w:tcPr>
            <w:tcW w:w="5673" w:type="dxa"/>
            <w:vAlign w:val="top"/>
          </w:tcPr>
          <w:p w14:paraId="7ECB7DD5">
            <w:pPr>
              <w:pStyle w:val="11"/>
              <w:tabs>
                <w:tab w:val="left" w:pos="840"/>
              </w:tabs>
              <w:spacing w:before="243" w:line="221" w:lineRule="auto"/>
              <w:ind w:left="104"/>
              <w:rPr>
                <w:color w:val="0000FF"/>
              </w:rPr>
            </w:pPr>
            <w:r>
              <w:rPr>
                <w:color w:val="0000FF"/>
                <w:u w:val="single" w:color="auto"/>
              </w:rPr>
              <w:tab/>
            </w:r>
            <w:r>
              <w:rPr>
                <w:color w:val="0000FF"/>
                <w:spacing w:val="-96"/>
              </w:rPr>
              <w:t xml:space="preserve"> </w:t>
            </w:r>
            <w:r>
              <w:rPr>
                <w:color w:val="0000FF"/>
                <w:spacing w:val="-17"/>
              </w:rPr>
              <w:t>年</w:t>
            </w:r>
            <w:r>
              <w:rPr>
                <w:color w:val="0000FF"/>
                <w:spacing w:val="20"/>
                <w:u w:val="single" w:color="auto"/>
              </w:rPr>
              <w:t xml:space="preserve">     </w:t>
            </w:r>
            <w:r>
              <w:rPr>
                <w:color w:val="0000FF"/>
                <w:spacing w:val="-88"/>
              </w:rPr>
              <w:t xml:space="preserve"> </w:t>
            </w:r>
            <w:r>
              <w:rPr>
                <w:color w:val="0000FF"/>
                <w:spacing w:val="-17"/>
              </w:rPr>
              <w:t>月</w:t>
            </w:r>
            <w:r>
              <w:rPr>
                <w:color w:val="0000FF"/>
                <w:spacing w:val="-105"/>
              </w:rPr>
              <w:t xml:space="preserve"> </w:t>
            </w:r>
            <w:r>
              <w:rPr>
                <w:color w:val="0000FF"/>
                <w:spacing w:val="26"/>
                <w:u w:val="single" w:color="auto"/>
              </w:rPr>
              <w:t xml:space="preserve">    </w:t>
            </w:r>
            <w:r>
              <w:rPr>
                <w:color w:val="0000FF"/>
                <w:spacing w:val="-61"/>
              </w:rPr>
              <w:t xml:space="preserve"> </w:t>
            </w:r>
            <w:r>
              <w:rPr>
                <w:color w:val="0000FF"/>
                <w:spacing w:val="-17"/>
              </w:rPr>
              <w:t>日</w:t>
            </w:r>
            <w:r>
              <w:rPr>
                <w:color w:val="0000FF"/>
                <w:u w:val="single" w:color="auto"/>
              </w:rPr>
              <w:t xml:space="preserve">      </w:t>
            </w:r>
            <w:r>
              <w:rPr>
                <w:color w:val="0000FF"/>
                <w:spacing w:val="-85"/>
              </w:rPr>
              <w:t xml:space="preserve"> </w:t>
            </w:r>
            <w:r>
              <w:rPr>
                <w:color w:val="0000FF"/>
                <w:spacing w:val="-17"/>
              </w:rPr>
              <w:t>时</w:t>
            </w:r>
            <w:r>
              <w:rPr>
                <w:color w:val="0000FF"/>
                <w:spacing w:val="25"/>
                <w:u w:val="single" w:color="auto"/>
              </w:rPr>
              <w:t xml:space="preserve">    </w:t>
            </w:r>
            <w:r>
              <w:rPr>
                <w:color w:val="0000FF"/>
                <w:spacing w:val="-91"/>
              </w:rPr>
              <w:t xml:space="preserve"> </w:t>
            </w:r>
            <w:r>
              <w:rPr>
                <w:color w:val="0000FF"/>
                <w:spacing w:val="-17"/>
              </w:rPr>
              <w:t>分。</w:t>
            </w:r>
          </w:p>
        </w:tc>
      </w:tr>
      <w:tr w14:paraId="48A6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56" w:type="dxa"/>
            <w:vAlign w:val="top"/>
          </w:tcPr>
          <w:p w14:paraId="06B889A9">
            <w:pPr>
              <w:pStyle w:val="11"/>
              <w:spacing w:before="280"/>
              <w:ind w:left="170"/>
            </w:pPr>
            <w:r>
              <w:rPr>
                <w:spacing w:val="-1"/>
              </w:rPr>
              <w:t>4.2.3</w:t>
            </w:r>
          </w:p>
        </w:tc>
        <w:tc>
          <w:tcPr>
            <w:tcW w:w="1977" w:type="dxa"/>
            <w:vAlign w:val="top"/>
          </w:tcPr>
          <w:p w14:paraId="6422B91C">
            <w:pPr>
              <w:pStyle w:val="11"/>
              <w:spacing w:before="279" w:line="221" w:lineRule="auto"/>
              <w:ind w:left="153"/>
            </w:pPr>
            <w:r>
              <w:rPr>
                <w:spacing w:val="-1"/>
              </w:rPr>
              <w:t>是否退还投标文件</w:t>
            </w:r>
          </w:p>
        </w:tc>
        <w:tc>
          <w:tcPr>
            <w:tcW w:w="5673" w:type="dxa"/>
            <w:vAlign w:val="top"/>
          </w:tcPr>
          <w:p w14:paraId="43A46E2F">
            <w:pPr>
              <w:pStyle w:val="11"/>
              <w:spacing w:before="119" w:line="221" w:lineRule="auto"/>
              <w:ind w:left="134"/>
            </w:pPr>
            <w:r>
              <w:rPr>
                <w:rFonts w:hint="eastAsia"/>
                <w:spacing w:val="-7"/>
                <w:lang w:eastAsia="zh-CN"/>
              </w:rPr>
              <w:t>☑</w:t>
            </w:r>
            <w:r>
              <w:rPr>
                <w:spacing w:val="-7"/>
              </w:rPr>
              <w:t>否</w:t>
            </w:r>
          </w:p>
          <w:p w14:paraId="6CE8E174">
            <w:pPr>
              <w:pStyle w:val="11"/>
              <w:spacing w:before="69" w:line="222" w:lineRule="auto"/>
              <w:ind w:left="134"/>
            </w:pPr>
            <w:r>
              <w:rPr>
                <w:spacing w:val="-3"/>
              </w:rPr>
              <w:t>□是，退还具体安排：</w:t>
            </w:r>
          </w:p>
        </w:tc>
      </w:tr>
      <w:tr w14:paraId="2CBC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56" w:type="dxa"/>
            <w:vAlign w:val="top"/>
          </w:tcPr>
          <w:p w14:paraId="475F25D0">
            <w:pPr>
              <w:spacing w:line="274" w:lineRule="auto"/>
              <w:rPr>
                <w:rFonts w:ascii="Arial"/>
                <w:sz w:val="21"/>
              </w:rPr>
            </w:pPr>
          </w:p>
          <w:p w14:paraId="4CE78939">
            <w:pPr>
              <w:spacing w:line="275" w:lineRule="auto"/>
              <w:rPr>
                <w:rFonts w:ascii="Arial"/>
                <w:sz w:val="21"/>
              </w:rPr>
            </w:pPr>
          </w:p>
          <w:p w14:paraId="7B5D616C">
            <w:pPr>
              <w:pStyle w:val="11"/>
              <w:spacing w:before="69"/>
              <w:ind w:left="175"/>
            </w:pPr>
            <w:r>
              <w:rPr>
                <w:spacing w:val="-2"/>
              </w:rPr>
              <w:t>5.1.1</w:t>
            </w:r>
          </w:p>
        </w:tc>
        <w:tc>
          <w:tcPr>
            <w:tcW w:w="1977" w:type="dxa"/>
            <w:vAlign w:val="top"/>
          </w:tcPr>
          <w:p w14:paraId="5C5BBAD0">
            <w:pPr>
              <w:spacing w:line="275" w:lineRule="auto"/>
              <w:rPr>
                <w:rFonts w:ascii="Arial"/>
                <w:sz w:val="21"/>
              </w:rPr>
            </w:pPr>
          </w:p>
          <w:p w14:paraId="400E9171">
            <w:pPr>
              <w:spacing w:line="275" w:lineRule="auto"/>
              <w:rPr>
                <w:rFonts w:ascii="Arial"/>
                <w:sz w:val="21"/>
              </w:rPr>
            </w:pPr>
          </w:p>
          <w:p w14:paraId="4D4D5B72">
            <w:pPr>
              <w:pStyle w:val="11"/>
              <w:spacing w:before="68" w:line="221" w:lineRule="auto"/>
              <w:ind w:left="362"/>
            </w:pPr>
            <w:r>
              <w:rPr>
                <w:spacing w:val="-1"/>
              </w:rPr>
              <w:t>开标组织方式</w:t>
            </w:r>
          </w:p>
        </w:tc>
        <w:tc>
          <w:tcPr>
            <w:tcW w:w="5673" w:type="dxa"/>
            <w:vAlign w:val="top"/>
          </w:tcPr>
          <w:p w14:paraId="5643C276">
            <w:pPr>
              <w:pStyle w:val="11"/>
              <w:spacing w:before="141" w:line="221" w:lineRule="auto"/>
              <w:ind w:left="134"/>
            </w:pPr>
            <w:r>
              <w:rPr>
                <w:spacing w:val="-4"/>
              </w:rPr>
              <w:t>□现场集中开标</w:t>
            </w:r>
          </w:p>
          <w:p w14:paraId="63D1BBC7">
            <w:pPr>
              <w:pStyle w:val="11"/>
              <w:spacing w:before="67" w:line="221" w:lineRule="auto"/>
              <w:ind w:left="134"/>
            </w:pPr>
            <w:r>
              <w:rPr>
                <w:rFonts w:hint="eastAsia"/>
                <w:spacing w:val="-4"/>
                <w:lang w:eastAsia="zh-CN"/>
              </w:rPr>
              <w:t>☑</w:t>
            </w:r>
            <w:r>
              <w:rPr>
                <w:spacing w:val="-4"/>
              </w:rPr>
              <w:t>远程不见面开标</w:t>
            </w:r>
          </w:p>
          <w:p w14:paraId="23237ABB">
            <w:pPr>
              <w:pStyle w:val="11"/>
              <w:spacing w:before="70" w:line="251" w:lineRule="auto"/>
              <w:ind w:left="114" w:right="106" w:firstLine="19"/>
            </w:pPr>
            <w:r>
              <w:rPr>
                <w:spacing w:val="7"/>
              </w:rPr>
              <w:t>□现场集中和远程不见面开标同时进行。投标人自行选择</w:t>
            </w:r>
            <w:r>
              <w:rPr>
                <w:spacing w:val="-1"/>
              </w:rPr>
              <w:t>参与开标的方式。</w:t>
            </w:r>
          </w:p>
        </w:tc>
      </w:tr>
      <w:tr w14:paraId="29AB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6" w:type="dxa"/>
            <w:vAlign w:val="top"/>
          </w:tcPr>
          <w:p w14:paraId="0CA53FDD">
            <w:pPr>
              <w:pStyle w:val="11"/>
              <w:spacing w:before="197"/>
              <w:ind w:left="175"/>
            </w:pPr>
            <w:r>
              <w:rPr>
                <w:spacing w:val="-2"/>
              </w:rPr>
              <w:t>5.1.2</w:t>
            </w:r>
          </w:p>
        </w:tc>
        <w:tc>
          <w:tcPr>
            <w:tcW w:w="1977" w:type="dxa"/>
            <w:vAlign w:val="top"/>
          </w:tcPr>
          <w:p w14:paraId="5ED47A94">
            <w:pPr>
              <w:pStyle w:val="11"/>
              <w:spacing w:before="197" w:line="221" w:lineRule="auto"/>
              <w:ind w:left="364"/>
            </w:pPr>
            <w:r>
              <w:rPr>
                <w:spacing w:val="-2"/>
              </w:rPr>
              <w:t>组织开标地点</w:t>
            </w:r>
          </w:p>
        </w:tc>
        <w:tc>
          <w:tcPr>
            <w:tcW w:w="5673" w:type="dxa"/>
            <w:vAlign w:val="top"/>
          </w:tcPr>
          <w:p w14:paraId="215E0DF0">
            <w:pPr>
              <w:rPr>
                <w:rFonts w:ascii="Arial"/>
                <w:sz w:val="21"/>
              </w:rPr>
            </w:pPr>
            <w:r>
              <w:rPr>
                <w:rFonts w:hint="eastAsia" w:ascii="宋体" w:hAnsi="宋体" w:eastAsia="宋体" w:cs="宋体"/>
                <w:szCs w:val="21"/>
              </w:rPr>
              <w:t>营口市营商环境建设中心（营口市公共资源交易中心）</w:t>
            </w:r>
          </w:p>
        </w:tc>
      </w:tr>
      <w:tr w14:paraId="1E84C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56" w:type="dxa"/>
            <w:vAlign w:val="top"/>
          </w:tcPr>
          <w:p w14:paraId="469D7DF9">
            <w:pPr>
              <w:pStyle w:val="11"/>
              <w:spacing w:before="300"/>
              <w:ind w:left="175"/>
            </w:pPr>
            <w:r>
              <w:rPr>
                <w:spacing w:val="-2"/>
              </w:rPr>
              <w:t>5.2.1</w:t>
            </w:r>
          </w:p>
          <w:p w14:paraId="33DD4FF0">
            <w:pPr>
              <w:pStyle w:val="11"/>
              <w:spacing w:before="48" w:line="233" w:lineRule="auto"/>
              <w:ind w:left="177"/>
            </w:pPr>
            <w:r>
              <w:rPr>
                <w:spacing w:val="-5"/>
              </w:rPr>
              <w:t>（9）</w:t>
            </w:r>
          </w:p>
        </w:tc>
        <w:tc>
          <w:tcPr>
            <w:tcW w:w="1977" w:type="dxa"/>
            <w:vAlign w:val="top"/>
          </w:tcPr>
          <w:p w14:paraId="62987665">
            <w:pPr>
              <w:spacing w:line="390" w:lineRule="auto"/>
              <w:rPr>
                <w:rFonts w:ascii="Arial"/>
                <w:sz w:val="21"/>
              </w:rPr>
            </w:pPr>
          </w:p>
          <w:p w14:paraId="177109B5">
            <w:pPr>
              <w:pStyle w:val="11"/>
              <w:spacing w:before="68" w:line="221" w:lineRule="auto"/>
              <w:ind w:left="569"/>
            </w:pPr>
            <w:r>
              <w:rPr>
                <w:spacing w:val="-1"/>
              </w:rPr>
              <w:t>解密时间</w:t>
            </w:r>
          </w:p>
        </w:tc>
        <w:tc>
          <w:tcPr>
            <w:tcW w:w="5673" w:type="dxa"/>
            <w:vAlign w:val="top"/>
          </w:tcPr>
          <w:p w14:paraId="69AA48B7">
            <w:pPr>
              <w:pStyle w:val="11"/>
              <w:spacing w:before="142" w:line="275" w:lineRule="auto"/>
              <w:ind w:left="113" w:right="104"/>
              <w:jc w:val="both"/>
            </w:pPr>
            <w:r>
              <w:rPr>
                <w:spacing w:val="-1"/>
              </w:rPr>
              <w:t>招标人发出解密提示后</w:t>
            </w:r>
            <w:r>
              <w:rPr>
                <w:spacing w:val="-97"/>
              </w:rPr>
              <w:t xml:space="preserve"> </w:t>
            </w:r>
            <w:r>
              <w:rPr>
                <w:spacing w:val="19"/>
                <w:u w:val="single" w:color="auto"/>
              </w:rPr>
              <w:t xml:space="preserve">  </w:t>
            </w:r>
            <w:r>
              <w:rPr>
                <w:rFonts w:hint="eastAsia"/>
                <w:spacing w:val="19"/>
                <w:u w:val="single" w:color="auto"/>
                <w:lang w:val="en-US" w:eastAsia="zh-CN"/>
              </w:rPr>
              <w:t>30</w:t>
            </w:r>
            <w:r>
              <w:rPr>
                <w:spacing w:val="19"/>
                <w:u w:val="single" w:color="auto"/>
              </w:rPr>
              <w:t xml:space="preserve">   </w:t>
            </w:r>
            <w:r>
              <w:rPr>
                <w:spacing w:val="-92"/>
              </w:rPr>
              <w:t xml:space="preserve"> </w:t>
            </w:r>
            <w:r>
              <w:rPr>
                <w:spacing w:val="-1"/>
              </w:rPr>
              <w:t>分钟内。遇到投标人较多或其他特殊情况在</w:t>
            </w:r>
            <w:r>
              <w:rPr>
                <w:spacing w:val="21"/>
                <w:u w:val="single" w:color="auto"/>
              </w:rPr>
              <w:t xml:space="preserve"> </w:t>
            </w:r>
            <w:r>
              <w:rPr>
                <w:rFonts w:hint="eastAsia"/>
                <w:spacing w:val="21"/>
                <w:u w:val="single" w:color="auto"/>
                <w:lang w:val="en-US" w:eastAsia="zh-CN"/>
              </w:rPr>
              <w:t>30</w:t>
            </w:r>
            <w:r>
              <w:rPr>
                <w:spacing w:val="21"/>
                <w:u w:val="single" w:color="auto"/>
              </w:rPr>
              <w:t xml:space="preserve">    </w:t>
            </w:r>
            <w:r>
              <w:rPr>
                <w:spacing w:val="-93"/>
              </w:rPr>
              <w:t xml:space="preserve"> </w:t>
            </w:r>
            <w:r>
              <w:rPr>
                <w:spacing w:val="-1"/>
              </w:rPr>
              <w:t>分钟内无法完成解密的，可报项目行政</w:t>
            </w:r>
            <w:r>
              <w:rPr>
                <w:spacing w:val="-2"/>
              </w:rPr>
              <w:t>监督部门适当延长解密时间。</w:t>
            </w:r>
          </w:p>
        </w:tc>
      </w:tr>
      <w:tr w14:paraId="3633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856" w:type="dxa"/>
            <w:vAlign w:val="top"/>
          </w:tcPr>
          <w:p w14:paraId="62F5EFB8">
            <w:pPr>
              <w:spacing w:line="295" w:lineRule="auto"/>
              <w:rPr>
                <w:rFonts w:ascii="Arial"/>
                <w:sz w:val="21"/>
              </w:rPr>
            </w:pPr>
          </w:p>
          <w:p w14:paraId="682D8972">
            <w:pPr>
              <w:spacing w:line="296" w:lineRule="auto"/>
              <w:rPr>
                <w:rFonts w:ascii="Arial"/>
                <w:sz w:val="21"/>
              </w:rPr>
            </w:pPr>
          </w:p>
          <w:p w14:paraId="733F6447">
            <w:pPr>
              <w:pStyle w:val="11"/>
              <w:spacing w:before="69"/>
              <w:ind w:left="172"/>
            </w:pPr>
            <w:r>
              <w:rPr>
                <w:spacing w:val="-2"/>
              </w:rPr>
              <w:t>6.1.1</w:t>
            </w:r>
          </w:p>
        </w:tc>
        <w:tc>
          <w:tcPr>
            <w:tcW w:w="1977" w:type="dxa"/>
            <w:vAlign w:val="top"/>
          </w:tcPr>
          <w:p w14:paraId="50347BE0">
            <w:pPr>
              <w:spacing w:line="295" w:lineRule="auto"/>
              <w:rPr>
                <w:rFonts w:ascii="Arial"/>
                <w:sz w:val="21"/>
              </w:rPr>
            </w:pPr>
          </w:p>
          <w:p w14:paraId="1C933161">
            <w:pPr>
              <w:spacing w:line="296" w:lineRule="auto"/>
              <w:rPr>
                <w:rFonts w:ascii="Arial"/>
                <w:sz w:val="21"/>
              </w:rPr>
            </w:pPr>
          </w:p>
          <w:p w14:paraId="2FAC7F48">
            <w:pPr>
              <w:pStyle w:val="11"/>
              <w:spacing w:before="68" w:line="220" w:lineRule="auto"/>
              <w:ind w:left="149"/>
            </w:pPr>
            <w:r>
              <w:rPr>
                <w:spacing w:val="-1"/>
              </w:rPr>
              <w:t>评标委员会的组建</w:t>
            </w:r>
          </w:p>
        </w:tc>
        <w:tc>
          <w:tcPr>
            <w:tcW w:w="5673" w:type="dxa"/>
            <w:vAlign w:val="top"/>
          </w:tcPr>
          <w:p w14:paraId="226B9B29">
            <w:pPr>
              <w:pStyle w:val="11"/>
              <w:spacing w:before="182" w:line="281" w:lineRule="auto"/>
              <w:ind w:left="113" w:right="152" w:hanging="1"/>
              <w:rPr>
                <w:color w:val="0000FF"/>
              </w:rPr>
            </w:pPr>
            <w:r>
              <w:rPr>
                <w:color w:val="0000FF"/>
                <w:spacing w:val="-2"/>
              </w:rPr>
              <w:t>评标委员会构成：</w:t>
            </w:r>
            <w:r>
              <w:rPr>
                <w:color w:val="0000FF"/>
                <w:spacing w:val="16"/>
                <w:u w:val="single" w:color="auto"/>
              </w:rPr>
              <w:t xml:space="preserve">   </w:t>
            </w:r>
            <w:r>
              <w:rPr>
                <w:rFonts w:hint="eastAsia"/>
                <w:color w:val="0000FF"/>
                <w:spacing w:val="16"/>
                <w:u w:val="single" w:color="auto"/>
                <w:lang w:val="en-US" w:eastAsia="zh-CN"/>
              </w:rPr>
              <w:t>5</w:t>
            </w:r>
            <w:r>
              <w:rPr>
                <w:color w:val="0000FF"/>
                <w:spacing w:val="16"/>
                <w:u w:val="single" w:color="auto"/>
              </w:rPr>
              <w:t xml:space="preserve">  </w:t>
            </w:r>
            <w:r>
              <w:rPr>
                <w:color w:val="0000FF"/>
                <w:spacing w:val="-94"/>
              </w:rPr>
              <w:t xml:space="preserve"> </w:t>
            </w:r>
            <w:r>
              <w:rPr>
                <w:color w:val="0000FF"/>
                <w:spacing w:val="-2"/>
              </w:rPr>
              <w:t>人，其中招标人代表</w:t>
            </w:r>
            <w:r>
              <w:rPr>
                <w:color w:val="0000FF"/>
                <w:spacing w:val="-2"/>
                <w:u w:val="single" w:color="auto"/>
              </w:rPr>
              <w:t xml:space="preserve">   </w:t>
            </w:r>
            <w:r>
              <w:rPr>
                <w:rFonts w:hint="eastAsia"/>
                <w:color w:val="0000FF"/>
                <w:spacing w:val="-2"/>
                <w:u w:val="single" w:color="auto"/>
                <w:lang w:val="en-US" w:eastAsia="zh-CN"/>
              </w:rPr>
              <w:t>1</w:t>
            </w:r>
            <w:r>
              <w:rPr>
                <w:color w:val="0000FF"/>
                <w:spacing w:val="-2"/>
                <w:u w:val="single" w:color="auto"/>
              </w:rPr>
              <w:t xml:space="preserve">  </w:t>
            </w:r>
            <w:r>
              <w:rPr>
                <w:color w:val="0000FF"/>
                <w:spacing w:val="-95"/>
              </w:rPr>
              <w:t xml:space="preserve"> </w:t>
            </w:r>
            <w:r>
              <w:rPr>
                <w:color w:val="0000FF"/>
                <w:spacing w:val="-2"/>
              </w:rPr>
              <w:t>人，</w:t>
            </w:r>
            <w:r>
              <w:rPr>
                <w:color w:val="0000FF"/>
                <w:spacing w:val="-9"/>
              </w:rPr>
              <w:t>专家</w:t>
            </w:r>
            <w:r>
              <w:rPr>
                <w:color w:val="0000FF"/>
                <w:u w:val="single" w:color="auto"/>
              </w:rPr>
              <w:t xml:space="preserve">    </w:t>
            </w:r>
            <w:r>
              <w:rPr>
                <w:rFonts w:hint="eastAsia"/>
                <w:color w:val="0000FF"/>
                <w:u w:val="single" w:color="auto"/>
                <w:lang w:val="en-US" w:eastAsia="zh-CN"/>
              </w:rPr>
              <w:t>4</w:t>
            </w:r>
            <w:r>
              <w:rPr>
                <w:color w:val="0000FF"/>
                <w:u w:val="single" w:color="auto"/>
              </w:rPr>
              <w:t xml:space="preserve">  </w:t>
            </w:r>
            <w:r>
              <w:rPr>
                <w:color w:val="0000FF"/>
                <w:spacing w:val="8"/>
              </w:rPr>
              <w:t xml:space="preserve"> </w:t>
            </w:r>
            <w:r>
              <w:rPr>
                <w:color w:val="0000FF"/>
                <w:spacing w:val="-9"/>
              </w:rPr>
              <w:t>人；</w:t>
            </w:r>
          </w:p>
          <w:p w14:paraId="1F10EB45">
            <w:pPr>
              <w:pStyle w:val="11"/>
              <w:spacing w:line="284" w:lineRule="auto"/>
              <w:ind w:left="124" w:right="108" w:hanging="12"/>
            </w:pPr>
            <w:r>
              <w:rPr>
                <w:spacing w:val="4"/>
              </w:rPr>
              <w:t>评标专家确定方式：</w:t>
            </w:r>
            <w:r>
              <w:rPr>
                <w:spacing w:val="-10"/>
              </w:rPr>
              <w:t xml:space="preserve"> </w:t>
            </w:r>
            <w:r>
              <w:rPr>
                <w:spacing w:val="4"/>
                <w:u w:val="single" w:color="auto"/>
              </w:rPr>
              <w:t>从辽宁省综合评标专家库相应专业中</w:t>
            </w:r>
            <w:r>
              <w:rPr>
                <w:spacing w:val="-3"/>
                <w:u w:val="single" w:color="auto"/>
              </w:rPr>
              <w:t>随机抽取产生。</w:t>
            </w:r>
          </w:p>
        </w:tc>
      </w:tr>
      <w:tr w14:paraId="1F65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6" w:type="dxa"/>
            <w:vAlign w:val="top"/>
          </w:tcPr>
          <w:p w14:paraId="64602FC7">
            <w:pPr>
              <w:pStyle w:val="11"/>
              <w:spacing w:before="174"/>
              <w:ind w:left="278"/>
            </w:pPr>
            <w:r>
              <w:rPr>
                <w:spacing w:val="-2"/>
              </w:rPr>
              <w:t>6.3</w:t>
            </w:r>
          </w:p>
        </w:tc>
        <w:tc>
          <w:tcPr>
            <w:tcW w:w="1977" w:type="dxa"/>
            <w:vAlign w:val="top"/>
          </w:tcPr>
          <w:p w14:paraId="4C2AF7CB">
            <w:pPr>
              <w:pStyle w:val="11"/>
              <w:spacing w:before="174" w:line="220" w:lineRule="auto"/>
              <w:ind w:left="360"/>
            </w:pPr>
            <w:r>
              <w:rPr>
                <w:spacing w:val="-1"/>
              </w:rPr>
              <w:t>评标采用方式</w:t>
            </w:r>
          </w:p>
        </w:tc>
        <w:tc>
          <w:tcPr>
            <w:tcW w:w="5673" w:type="dxa"/>
            <w:vAlign w:val="top"/>
          </w:tcPr>
          <w:p w14:paraId="1E30D754">
            <w:pPr>
              <w:pStyle w:val="11"/>
              <w:spacing w:before="174" w:line="220" w:lineRule="auto"/>
              <w:ind w:left="134"/>
            </w:pPr>
            <w:r>
              <w:rPr>
                <w:rFonts w:hint="eastAsia"/>
                <w:spacing w:val="-1"/>
                <w:lang w:eastAsia="zh-CN"/>
              </w:rPr>
              <w:t>☑</w:t>
            </w:r>
            <w:r>
              <w:rPr>
                <w:spacing w:val="-1"/>
              </w:rPr>
              <w:t>本地集中评标方式       □远程异地评</w:t>
            </w:r>
            <w:r>
              <w:rPr>
                <w:spacing w:val="-2"/>
              </w:rPr>
              <w:t>标方式</w:t>
            </w:r>
          </w:p>
        </w:tc>
      </w:tr>
      <w:tr w14:paraId="5E055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6" w:type="dxa"/>
            <w:vAlign w:val="top"/>
          </w:tcPr>
          <w:p w14:paraId="30DDCE36">
            <w:pPr>
              <w:spacing w:line="346" w:lineRule="auto"/>
              <w:rPr>
                <w:rFonts w:ascii="Arial"/>
                <w:sz w:val="21"/>
              </w:rPr>
            </w:pPr>
          </w:p>
          <w:p w14:paraId="16BE5718">
            <w:pPr>
              <w:pStyle w:val="11"/>
              <w:spacing w:before="68"/>
              <w:ind w:left="278"/>
            </w:pPr>
            <w:r>
              <w:rPr>
                <w:spacing w:val="-2"/>
              </w:rPr>
              <w:t>6.4</w:t>
            </w:r>
          </w:p>
        </w:tc>
        <w:tc>
          <w:tcPr>
            <w:tcW w:w="1977" w:type="dxa"/>
            <w:vAlign w:val="top"/>
          </w:tcPr>
          <w:p w14:paraId="09C3F9F4">
            <w:pPr>
              <w:pStyle w:val="11"/>
              <w:spacing w:before="68" w:line="220" w:lineRule="auto"/>
              <w:ind w:left="149"/>
              <w:rPr>
                <w:spacing w:val="-1"/>
              </w:rPr>
            </w:pPr>
          </w:p>
          <w:p w14:paraId="2D38134B">
            <w:pPr>
              <w:pStyle w:val="11"/>
              <w:spacing w:before="68" w:line="220" w:lineRule="auto"/>
              <w:ind w:left="149"/>
            </w:pPr>
            <w:r>
              <w:rPr>
                <w:spacing w:val="-1"/>
              </w:rPr>
              <w:t>评标结果公示媒介</w:t>
            </w:r>
          </w:p>
        </w:tc>
        <w:tc>
          <w:tcPr>
            <w:tcW w:w="5673" w:type="dxa"/>
            <w:vAlign w:val="top"/>
          </w:tcPr>
          <w:p w14:paraId="485589B4">
            <w:pPr>
              <w:pStyle w:val="11"/>
              <w:spacing w:before="68"/>
              <w:ind w:left="134"/>
            </w:pPr>
            <w:r>
              <w:rPr>
                <w:rFonts w:hint="eastAsia"/>
              </w:rPr>
              <w:t xml:space="preserve">辽宁省招标投标监管网、沈阳农交中心电子招标采购交易平台、全国公共资源交易平台（辽宁省• </w:t>
            </w:r>
            <w:r>
              <w:rPr>
                <w:rFonts w:hint="eastAsia"/>
                <w:lang w:val="en-US" w:eastAsia="zh-CN"/>
              </w:rPr>
              <w:t>营口</w:t>
            </w:r>
            <w:r>
              <w:rPr>
                <w:rFonts w:hint="eastAsia"/>
              </w:rPr>
              <w:t>市）</w:t>
            </w:r>
          </w:p>
        </w:tc>
      </w:tr>
      <w:tr w14:paraId="7044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6" w:type="dxa"/>
            <w:vAlign w:val="top"/>
          </w:tcPr>
          <w:p w14:paraId="085DB830">
            <w:pPr>
              <w:spacing w:line="298" w:lineRule="auto"/>
              <w:rPr>
                <w:rFonts w:ascii="Arial"/>
                <w:sz w:val="21"/>
              </w:rPr>
            </w:pPr>
          </w:p>
          <w:p w14:paraId="0BBE5BE9">
            <w:pPr>
              <w:pStyle w:val="11"/>
              <w:spacing w:before="68"/>
              <w:ind w:left="281"/>
            </w:pPr>
            <w:r>
              <w:rPr>
                <w:spacing w:val="-3"/>
              </w:rPr>
              <w:t>7.1</w:t>
            </w:r>
          </w:p>
        </w:tc>
        <w:tc>
          <w:tcPr>
            <w:tcW w:w="1977" w:type="dxa"/>
            <w:vAlign w:val="top"/>
          </w:tcPr>
          <w:p w14:paraId="5A778E67">
            <w:pPr>
              <w:pStyle w:val="11"/>
              <w:spacing w:before="209" w:line="283" w:lineRule="auto"/>
              <w:ind w:left="359" w:right="147" w:hanging="206"/>
            </w:pPr>
            <w:r>
              <w:rPr>
                <w:spacing w:val="-2"/>
              </w:rPr>
              <w:t>是否授权评标委员</w:t>
            </w:r>
            <w:r>
              <w:rPr>
                <w:spacing w:val="-1"/>
              </w:rPr>
              <w:t>会确定中标人</w:t>
            </w:r>
          </w:p>
        </w:tc>
        <w:tc>
          <w:tcPr>
            <w:tcW w:w="5673" w:type="dxa"/>
            <w:vAlign w:val="top"/>
          </w:tcPr>
          <w:p w14:paraId="7542472D">
            <w:pPr>
              <w:pStyle w:val="11"/>
              <w:spacing w:before="210" w:line="224" w:lineRule="auto"/>
              <w:ind w:left="134"/>
            </w:pPr>
            <w:r>
              <w:rPr>
                <w:spacing w:val="-7"/>
              </w:rPr>
              <w:t>□是</w:t>
            </w:r>
          </w:p>
          <w:p w14:paraId="27062F7C">
            <w:pPr>
              <w:pStyle w:val="11"/>
              <w:spacing w:before="64" w:line="220" w:lineRule="auto"/>
              <w:ind w:left="134"/>
            </w:pPr>
            <w:r>
              <w:rPr>
                <w:rFonts w:hint="eastAsia"/>
                <w:spacing w:val="-2"/>
                <w:lang w:eastAsia="zh-CN"/>
              </w:rPr>
              <w:t>☑</w:t>
            </w:r>
            <w:r>
              <w:rPr>
                <w:spacing w:val="-2"/>
              </w:rPr>
              <w:t>否，推荐的中标候选人数：</w:t>
            </w:r>
            <w:r>
              <w:rPr>
                <w:spacing w:val="-2"/>
                <w:u w:val="single" w:color="auto"/>
              </w:rPr>
              <w:t xml:space="preserve"> 1-3</w:t>
            </w:r>
            <w:r>
              <w:rPr>
                <w:spacing w:val="-40"/>
                <w:u w:val="single" w:color="auto"/>
              </w:rPr>
              <w:t xml:space="preserve"> </w:t>
            </w:r>
            <w:r>
              <w:rPr>
                <w:spacing w:val="-2"/>
                <w:u w:val="single" w:color="auto"/>
              </w:rPr>
              <w:t xml:space="preserve">名  </w:t>
            </w:r>
            <w:r>
              <w:rPr>
                <w:spacing w:val="-2"/>
              </w:rPr>
              <w:t>。</w:t>
            </w:r>
          </w:p>
        </w:tc>
      </w:tr>
      <w:tr w14:paraId="276C7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856" w:type="dxa"/>
            <w:vAlign w:val="top"/>
          </w:tcPr>
          <w:p w14:paraId="73046B43">
            <w:pPr>
              <w:spacing w:line="272" w:lineRule="auto"/>
              <w:rPr>
                <w:rFonts w:ascii="Arial"/>
                <w:sz w:val="21"/>
              </w:rPr>
            </w:pPr>
          </w:p>
          <w:p w14:paraId="42D86B02">
            <w:pPr>
              <w:spacing w:line="273" w:lineRule="auto"/>
              <w:rPr>
                <w:rFonts w:ascii="Arial"/>
                <w:sz w:val="21"/>
              </w:rPr>
            </w:pPr>
          </w:p>
          <w:p w14:paraId="24515933">
            <w:pPr>
              <w:pStyle w:val="11"/>
              <w:spacing w:before="68"/>
              <w:ind w:left="176"/>
            </w:pPr>
            <w:r>
              <w:rPr>
                <w:spacing w:val="-2"/>
              </w:rPr>
              <w:t>7.3.1</w:t>
            </w:r>
          </w:p>
        </w:tc>
        <w:tc>
          <w:tcPr>
            <w:tcW w:w="1977" w:type="dxa"/>
            <w:vAlign w:val="top"/>
          </w:tcPr>
          <w:p w14:paraId="2E6D4E96">
            <w:pPr>
              <w:spacing w:line="272" w:lineRule="auto"/>
              <w:rPr>
                <w:rFonts w:ascii="Arial"/>
                <w:sz w:val="21"/>
              </w:rPr>
            </w:pPr>
          </w:p>
          <w:p w14:paraId="6840C5A3">
            <w:pPr>
              <w:spacing w:line="273" w:lineRule="auto"/>
              <w:rPr>
                <w:rFonts w:ascii="Arial"/>
                <w:sz w:val="21"/>
              </w:rPr>
            </w:pPr>
          </w:p>
          <w:p w14:paraId="381AD94D">
            <w:pPr>
              <w:pStyle w:val="11"/>
              <w:spacing w:before="68" w:line="221" w:lineRule="auto"/>
              <w:ind w:left="468"/>
            </w:pPr>
            <w:r>
              <w:rPr>
                <w:spacing w:val="-2"/>
              </w:rPr>
              <w:t>履约保证金</w:t>
            </w:r>
          </w:p>
        </w:tc>
        <w:tc>
          <w:tcPr>
            <w:tcW w:w="5673" w:type="dxa"/>
            <w:vAlign w:val="top"/>
          </w:tcPr>
          <w:p w14:paraId="6BED5434">
            <w:pPr>
              <w:pStyle w:val="11"/>
              <w:spacing w:before="136" w:line="221" w:lineRule="auto"/>
              <w:ind w:left="134"/>
            </w:pPr>
            <w:r>
              <w:rPr>
                <w:rFonts w:hint="eastAsia"/>
                <w:spacing w:val="-7"/>
                <w:lang w:eastAsia="zh-CN"/>
              </w:rPr>
              <w:t>☑</w:t>
            </w:r>
            <w:r>
              <w:rPr>
                <w:spacing w:val="-7"/>
              </w:rPr>
              <w:t>不提交</w:t>
            </w:r>
          </w:p>
          <w:p w14:paraId="576C7F05">
            <w:pPr>
              <w:pStyle w:val="11"/>
              <w:spacing w:before="67" w:line="221" w:lineRule="auto"/>
              <w:ind w:left="134"/>
            </w:pPr>
            <w:r>
              <w:rPr>
                <w:spacing w:val="-4"/>
              </w:rPr>
              <w:t>□提交，履约保证金的形式：</w:t>
            </w:r>
          </w:p>
          <w:p w14:paraId="7327CCDB">
            <w:pPr>
              <w:pStyle w:val="11"/>
              <w:spacing w:before="69" w:line="250" w:lineRule="auto"/>
              <w:ind w:left="116" w:right="834" w:firstLine="858"/>
            </w:pPr>
            <w:r>
              <w:rPr>
                <w:spacing w:val="-7"/>
              </w:rPr>
              <w:t>□现金</w:t>
            </w:r>
            <w:r>
              <w:rPr>
                <w:spacing w:val="7"/>
              </w:rPr>
              <w:t xml:space="preserve">      </w:t>
            </w:r>
            <w:r>
              <w:rPr>
                <w:spacing w:val="-7"/>
              </w:rPr>
              <w:t>□担保（保险）</w:t>
            </w:r>
            <w:r>
              <w:rPr>
                <w:spacing w:val="35"/>
              </w:rPr>
              <w:t xml:space="preserve"> </w:t>
            </w:r>
            <w:r>
              <w:rPr>
                <w:spacing w:val="-7"/>
              </w:rPr>
              <w:t>□其他形式</w:t>
            </w:r>
            <w:r>
              <w:rPr>
                <w:spacing w:val="-1"/>
              </w:rPr>
              <w:t>履约保证金的金额：合同总价的</w:t>
            </w:r>
            <w:r>
              <w:rPr>
                <w:spacing w:val="-1"/>
                <w:u w:val="single" w:color="auto"/>
              </w:rPr>
              <w:t>（最大值</w:t>
            </w:r>
            <w:r>
              <w:rPr>
                <w:spacing w:val="-40"/>
                <w:u w:val="single" w:color="auto"/>
              </w:rPr>
              <w:t xml:space="preserve"> </w:t>
            </w:r>
            <w:r>
              <w:rPr>
                <w:spacing w:val="-1"/>
                <w:u w:val="single" w:color="auto"/>
              </w:rPr>
              <w:t>5）</w:t>
            </w:r>
            <w:r>
              <w:rPr>
                <w:spacing w:val="-1"/>
              </w:rPr>
              <w:t>%</w:t>
            </w:r>
          </w:p>
        </w:tc>
      </w:tr>
      <w:tr w14:paraId="7866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56" w:type="dxa"/>
            <w:vAlign w:val="top"/>
          </w:tcPr>
          <w:p w14:paraId="6688339F">
            <w:pPr>
              <w:spacing w:line="260" w:lineRule="auto"/>
              <w:rPr>
                <w:rFonts w:ascii="Arial"/>
                <w:sz w:val="21"/>
              </w:rPr>
            </w:pPr>
          </w:p>
          <w:p w14:paraId="5BAA4FF9">
            <w:pPr>
              <w:spacing w:line="261" w:lineRule="auto"/>
              <w:rPr>
                <w:rFonts w:ascii="Arial"/>
                <w:sz w:val="21"/>
              </w:rPr>
            </w:pPr>
          </w:p>
          <w:p w14:paraId="219A581D">
            <w:pPr>
              <w:spacing w:line="261" w:lineRule="auto"/>
              <w:rPr>
                <w:rFonts w:ascii="Arial"/>
                <w:sz w:val="21"/>
              </w:rPr>
            </w:pPr>
          </w:p>
          <w:p w14:paraId="22F2AFCD">
            <w:pPr>
              <w:pStyle w:val="11"/>
              <w:spacing w:before="68"/>
              <w:ind w:left="277"/>
            </w:pPr>
            <w:r>
              <w:rPr>
                <w:spacing w:val="-2"/>
              </w:rPr>
              <w:t>9.5</w:t>
            </w:r>
          </w:p>
        </w:tc>
        <w:tc>
          <w:tcPr>
            <w:tcW w:w="1977" w:type="dxa"/>
            <w:vAlign w:val="top"/>
          </w:tcPr>
          <w:p w14:paraId="3E33AE57">
            <w:pPr>
              <w:spacing w:line="260" w:lineRule="auto"/>
              <w:rPr>
                <w:rFonts w:ascii="Arial"/>
                <w:sz w:val="21"/>
              </w:rPr>
            </w:pPr>
          </w:p>
          <w:p w14:paraId="60ADD9ED">
            <w:pPr>
              <w:spacing w:line="260" w:lineRule="auto"/>
              <w:rPr>
                <w:rFonts w:ascii="Arial"/>
                <w:sz w:val="21"/>
              </w:rPr>
            </w:pPr>
          </w:p>
          <w:p w14:paraId="1FB6A1DF">
            <w:pPr>
              <w:spacing w:line="261" w:lineRule="auto"/>
              <w:rPr>
                <w:rFonts w:ascii="Arial"/>
                <w:sz w:val="21"/>
              </w:rPr>
            </w:pPr>
          </w:p>
          <w:p w14:paraId="48DBAED2">
            <w:pPr>
              <w:pStyle w:val="11"/>
              <w:spacing w:before="68" w:line="221" w:lineRule="auto"/>
              <w:ind w:left="364"/>
            </w:pPr>
            <w:r>
              <w:rPr>
                <w:spacing w:val="-2"/>
              </w:rPr>
              <w:t>行政监督部门</w:t>
            </w:r>
          </w:p>
        </w:tc>
        <w:tc>
          <w:tcPr>
            <w:tcW w:w="5673" w:type="dxa"/>
            <w:vAlign w:val="top"/>
          </w:tcPr>
          <w:p w14:paraId="4D0AB1B9">
            <w:pPr>
              <w:pStyle w:val="11"/>
              <w:spacing w:before="214" w:line="223" w:lineRule="auto"/>
              <w:ind w:left="115"/>
              <w:rPr>
                <w:rFonts w:hint="default" w:eastAsia="宋体"/>
                <w:lang w:val="en-US" w:eastAsia="zh-CN"/>
              </w:rPr>
            </w:pPr>
            <w:r>
              <w:rPr>
                <w:spacing w:val="-13"/>
              </w:rPr>
              <w:t>名</w:t>
            </w:r>
            <w:r>
              <w:rPr>
                <w:spacing w:val="2"/>
              </w:rPr>
              <w:t xml:space="preserve">    </w:t>
            </w:r>
            <w:r>
              <w:rPr>
                <w:spacing w:val="-13"/>
              </w:rPr>
              <w:t>称：</w:t>
            </w:r>
            <w:r>
              <w:rPr>
                <w:rFonts w:hint="eastAsia"/>
                <w:spacing w:val="-13"/>
                <w:lang w:val="en-US" w:eastAsia="zh-CN"/>
              </w:rPr>
              <w:t>营口市农业农村局</w:t>
            </w:r>
          </w:p>
          <w:p w14:paraId="45AF0D5E">
            <w:pPr>
              <w:pStyle w:val="11"/>
              <w:spacing w:before="65" w:line="230" w:lineRule="auto"/>
              <w:ind w:left="113"/>
            </w:pPr>
            <w:r>
              <w:rPr>
                <w:spacing w:val="-12"/>
              </w:rPr>
              <w:t>地</w:t>
            </w:r>
            <w:r>
              <w:rPr>
                <w:spacing w:val="2"/>
              </w:rPr>
              <w:t xml:space="preserve">    </w:t>
            </w:r>
            <w:r>
              <w:rPr>
                <w:spacing w:val="-12"/>
              </w:rPr>
              <w:t>址：</w:t>
            </w:r>
            <w:r>
              <w:rPr>
                <w:rFonts w:hint="eastAsia"/>
                <w:spacing w:val="-12"/>
              </w:rPr>
              <w:t>营口市西市区青花大街西30号</w:t>
            </w:r>
          </w:p>
          <w:p w14:paraId="214000A4">
            <w:pPr>
              <w:pStyle w:val="11"/>
              <w:spacing w:before="59" w:line="223" w:lineRule="auto"/>
              <w:ind w:left="137"/>
              <w:rPr>
                <w:rFonts w:hint="eastAsia"/>
                <w:color w:val="0000FF"/>
                <w:spacing w:val="-20"/>
              </w:rPr>
            </w:pPr>
            <w:r>
              <w:rPr>
                <w:color w:val="0000FF"/>
                <w:spacing w:val="-20"/>
              </w:rPr>
              <w:t>电</w:t>
            </w:r>
            <w:r>
              <w:rPr>
                <w:color w:val="0000FF"/>
                <w:spacing w:val="2"/>
              </w:rPr>
              <w:t xml:space="preserve">    </w:t>
            </w:r>
            <w:r>
              <w:rPr>
                <w:color w:val="0000FF"/>
                <w:spacing w:val="-20"/>
              </w:rPr>
              <w:t>话：</w:t>
            </w:r>
            <w:r>
              <w:rPr>
                <w:rFonts w:hint="eastAsia"/>
                <w:color w:val="0000FF"/>
                <w:spacing w:val="-20"/>
              </w:rPr>
              <w:t>0417-2888733</w:t>
            </w:r>
          </w:p>
          <w:p w14:paraId="769999D1">
            <w:pPr>
              <w:pStyle w:val="11"/>
              <w:spacing w:before="65" w:line="220" w:lineRule="auto"/>
              <w:ind w:left="111"/>
              <w:rPr>
                <w:rFonts w:hint="eastAsia" w:eastAsia="宋体"/>
                <w:lang w:val="en-US" w:eastAsia="zh-CN"/>
              </w:rPr>
            </w:pPr>
            <w:r>
              <w:rPr>
                <w:spacing w:val="-12"/>
              </w:rPr>
              <w:t>传</w:t>
            </w:r>
            <w:r>
              <w:rPr>
                <w:spacing w:val="2"/>
              </w:rPr>
              <w:t xml:space="preserve">    </w:t>
            </w:r>
            <w:r>
              <w:rPr>
                <w:spacing w:val="-12"/>
              </w:rPr>
              <w:t>真：</w:t>
            </w:r>
            <w:r>
              <w:rPr>
                <w:rFonts w:hint="eastAsia"/>
                <w:spacing w:val="-12"/>
                <w:lang w:val="en-US" w:eastAsia="zh-CN"/>
              </w:rPr>
              <w:t>/</w:t>
            </w:r>
          </w:p>
          <w:p w14:paraId="71169D79">
            <w:pPr>
              <w:pStyle w:val="11"/>
              <w:spacing w:before="69" w:line="221" w:lineRule="auto"/>
              <w:ind w:left="128"/>
              <w:rPr>
                <w:rFonts w:hint="eastAsia" w:eastAsia="宋体"/>
                <w:lang w:val="en-US" w:eastAsia="zh-CN"/>
              </w:rPr>
            </w:pPr>
            <w:r>
              <w:rPr>
                <w:spacing w:val="-9"/>
              </w:rPr>
              <w:t>邮政编码：</w:t>
            </w:r>
            <w:r>
              <w:rPr>
                <w:rFonts w:hint="eastAsia"/>
                <w:spacing w:val="-9"/>
                <w:lang w:val="en-US" w:eastAsia="zh-CN"/>
              </w:rPr>
              <w:t>/</w:t>
            </w:r>
          </w:p>
        </w:tc>
      </w:tr>
    </w:tbl>
    <w:p w14:paraId="67B929A2">
      <w:pPr>
        <w:pStyle w:val="5"/>
      </w:pPr>
    </w:p>
    <w:p w14:paraId="2A6800CD">
      <w:pPr>
        <w:sectPr>
          <w:footerReference r:id="rId23" w:type="default"/>
          <w:pgSz w:w="11905" w:h="16843"/>
          <w:pgMar w:top="969" w:right="1355" w:bottom="1026" w:left="1480" w:header="0" w:footer="754" w:gutter="0"/>
          <w:cols w:space="0" w:num="1"/>
          <w:rtlGutter w:val="0"/>
          <w:docGrid w:linePitch="0" w:charSpace="0"/>
        </w:sectPr>
      </w:pPr>
    </w:p>
    <w:p w14:paraId="1036815B">
      <w:pPr>
        <w:spacing w:line="91" w:lineRule="auto"/>
        <w:rPr>
          <w:rFonts w:ascii="Arial"/>
          <w:sz w:val="2"/>
        </w:rPr>
      </w:pPr>
    </w:p>
    <w:tbl>
      <w:tblPr>
        <w:tblStyle w:val="10"/>
        <w:tblW w:w="8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82"/>
        <w:gridCol w:w="5668"/>
      </w:tblGrid>
      <w:tr w14:paraId="0DB0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6" w:type="dxa"/>
            <w:vAlign w:val="top"/>
          </w:tcPr>
          <w:p w14:paraId="7A499965">
            <w:pPr>
              <w:pStyle w:val="11"/>
              <w:spacing w:before="168" w:line="221" w:lineRule="auto"/>
              <w:ind w:left="117"/>
            </w:pPr>
            <w:bookmarkStart w:id="30" w:name="bookmark487"/>
            <w:bookmarkEnd w:id="30"/>
            <w:r>
              <w:rPr>
                <w:b/>
                <w:bCs/>
                <w:spacing w:val="-4"/>
              </w:rPr>
              <w:t>条款号</w:t>
            </w:r>
          </w:p>
        </w:tc>
        <w:tc>
          <w:tcPr>
            <w:tcW w:w="1982" w:type="dxa"/>
            <w:vAlign w:val="top"/>
          </w:tcPr>
          <w:p w14:paraId="222873EE">
            <w:pPr>
              <w:pStyle w:val="11"/>
              <w:spacing w:before="168" w:line="221" w:lineRule="auto"/>
              <w:ind w:left="255"/>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668" w:type="dxa"/>
            <w:vAlign w:val="top"/>
          </w:tcPr>
          <w:p w14:paraId="1023421E">
            <w:pPr>
              <w:pStyle w:val="11"/>
              <w:spacing w:before="168" w:line="221" w:lineRule="auto"/>
              <w:ind w:left="2102"/>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14:paraId="1E33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56" w:type="dxa"/>
            <w:vAlign w:val="top"/>
          </w:tcPr>
          <w:p w14:paraId="276DC162">
            <w:pPr>
              <w:pStyle w:val="11"/>
              <w:spacing w:before="183" w:line="241" w:lineRule="auto"/>
              <w:ind w:left="342"/>
            </w:pPr>
            <w:r>
              <w:rPr>
                <w:spacing w:val="-6"/>
              </w:rPr>
              <w:t>10</w:t>
            </w:r>
          </w:p>
        </w:tc>
        <w:tc>
          <w:tcPr>
            <w:tcW w:w="7650" w:type="dxa"/>
            <w:gridSpan w:val="2"/>
            <w:vAlign w:val="top"/>
          </w:tcPr>
          <w:p w14:paraId="11C4D38B">
            <w:pPr>
              <w:pStyle w:val="11"/>
              <w:spacing w:before="183" w:line="221" w:lineRule="auto"/>
              <w:ind w:left="121"/>
            </w:pPr>
            <w:r>
              <w:rPr>
                <w:b/>
                <w:bCs/>
                <w:spacing w:val="-4"/>
              </w:rPr>
              <w:t>需要补充的其他内容</w:t>
            </w:r>
          </w:p>
        </w:tc>
      </w:tr>
      <w:tr w14:paraId="4BDC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56" w:type="dxa"/>
            <w:vAlign w:val="top"/>
          </w:tcPr>
          <w:p w14:paraId="68D502A6">
            <w:pPr>
              <w:pStyle w:val="11"/>
              <w:spacing w:before="191"/>
              <w:ind w:left="239"/>
            </w:pPr>
            <w:r>
              <w:rPr>
                <w:spacing w:val="-5"/>
              </w:rPr>
              <w:t>10.1</w:t>
            </w:r>
          </w:p>
        </w:tc>
        <w:tc>
          <w:tcPr>
            <w:tcW w:w="7650" w:type="dxa"/>
            <w:gridSpan w:val="2"/>
            <w:vAlign w:val="top"/>
          </w:tcPr>
          <w:p w14:paraId="5F02FDD9">
            <w:pPr>
              <w:pStyle w:val="11"/>
              <w:spacing w:before="191" w:line="221" w:lineRule="auto"/>
              <w:ind w:left="111"/>
            </w:pPr>
            <w:r>
              <w:rPr>
                <w:b/>
                <w:bCs/>
                <w:spacing w:val="-4"/>
              </w:rPr>
              <w:t>词语定义</w:t>
            </w:r>
          </w:p>
        </w:tc>
      </w:tr>
      <w:tr w14:paraId="4616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2D6E3896">
            <w:pPr>
              <w:pStyle w:val="11"/>
              <w:spacing w:before="237"/>
              <w:ind w:left="134"/>
            </w:pPr>
            <w:r>
              <w:rPr>
                <w:spacing w:val="-3"/>
              </w:rPr>
              <w:t>10.1.1</w:t>
            </w:r>
          </w:p>
        </w:tc>
        <w:tc>
          <w:tcPr>
            <w:tcW w:w="1982" w:type="dxa"/>
            <w:vAlign w:val="top"/>
          </w:tcPr>
          <w:p w14:paraId="19937182">
            <w:pPr>
              <w:pStyle w:val="11"/>
              <w:spacing w:before="236" w:line="221" w:lineRule="auto"/>
              <w:ind w:left="570"/>
            </w:pPr>
            <w:r>
              <w:rPr>
                <w:spacing w:val="-2"/>
              </w:rPr>
              <w:t>类似项目</w:t>
            </w:r>
          </w:p>
        </w:tc>
        <w:tc>
          <w:tcPr>
            <w:tcW w:w="5668" w:type="dxa"/>
            <w:vAlign w:val="top"/>
          </w:tcPr>
          <w:p w14:paraId="7F5BC14B">
            <w:pPr>
              <w:pStyle w:val="11"/>
              <w:spacing w:before="77" w:line="245" w:lineRule="auto"/>
              <w:ind w:left="112" w:right="104" w:firstLine="3"/>
            </w:pPr>
            <w:r>
              <w:rPr>
                <w:color w:val="FF0000"/>
                <w:spacing w:val="-2"/>
              </w:rPr>
              <w:t>指合同金额大于</w:t>
            </w:r>
            <w:r>
              <w:rPr>
                <w:color w:val="FF0000"/>
                <w:spacing w:val="38"/>
                <w:u w:val="single" w:color="auto"/>
              </w:rPr>
              <w:t xml:space="preserve">  </w:t>
            </w:r>
            <w:r>
              <w:rPr>
                <w:rFonts w:hint="eastAsia"/>
                <w:color w:val="FF0000"/>
                <w:spacing w:val="38"/>
                <w:u w:val="single" w:color="auto"/>
                <w:lang w:val="en-US" w:eastAsia="zh-CN"/>
              </w:rPr>
              <w:t>40</w:t>
            </w:r>
            <w:r>
              <w:rPr>
                <w:color w:val="FF0000"/>
                <w:spacing w:val="38"/>
                <w:u w:val="single" w:color="auto"/>
              </w:rPr>
              <w:t xml:space="preserve"> </w:t>
            </w:r>
            <w:r>
              <w:rPr>
                <w:color w:val="FF0000"/>
                <w:spacing w:val="-90"/>
              </w:rPr>
              <w:t xml:space="preserve"> </w:t>
            </w:r>
            <w:r>
              <w:rPr>
                <w:color w:val="FF0000"/>
                <w:spacing w:val="-2"/>
              </w:rPr>
              <w:t>万元</w:t>
            </w:r>
            <w:r>
              <w:rPr>
                <w:color w:val="FF0000"/>
                <w:spacing w:val="33"/>
                <w:u w:val="single" w:color="auto"/>
              </w:rPr>
              <w:t xml:space="preserve"> </w:t>
            </w:r>
            <w:r>
              <w:rPr>
                <w:rFonts w:hint="eastAsia"/>
                <w:color w:val="FF0000"/>
                <w:spacing w:val="33"/>
                <w:u w:val="single" w:color="auto"/>
                <w:lang w:val="en-US" w:eastAsia="zh-CN"/>
              </w:rPr>
              <w:t>农业农村</w:t>
            </w:r>
            <w:r>
              <w:rPr>
                <w:color w:val="FF0000"/>
                <w:spacing w:val="33"/>
                <w:u w:val="single" w:color="auto"/>
              </w:rPr>
              <w:t xml:space="preserve">  </w:t>
            </w:r>
            <w:r>
              <w:rPr>
                <w:color w:val="FF0000"/>
                <w:spacing w:val="-93"/>
              </w:rPr>
              <w:t xml:space="preserve"> </w:t>
            </w:r>
            <w:r>
              <w:rPr>
                <w:color w:val="FF0000"/>
                <w:spacing w:val="-2"/>
              </w:rPr>
              <w:t>工程，且项目已完成工程竣工</w:t>
            </w:r>
            <w:r>
              <w:rPr>
                <w:color w:val="FF0000"/>
                <w:spacing w:val="-8"/>
              </w:rPr>
              <w:t>验收。</w:t>
            </w:r>
          </w:p>
        </w:tc>
      </w:tr>
      <w:tr w14:paraId="598B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56" w:type="dxa"/>
            <w:vAlign w:val="top"/>
          </w:tcPr>
          <w:p w14:paraId="215C079A">
            <w:pPr>
              <w:pStyle w:val="11"/>
              <w:spacing w:before="184"/>
              <w:ind w:left="134"/>
            </w:pPr>
            <w:r>
              <w:rPr>
                <w:spacing w:val="-3"/>
              </w:rPr>
              <w:t>10.1.2</w:t>
            </w:r>
          </w:p>
        </w:tc>
        <w:tc>
          <w:tcPr>
            <w:tcW w:w="1982" w:type="dxa"/>
            <w:vAlign w:val="top"/>
          </w:tcPr>
          <w:p w14:paraId="7842ED7A">
            <w:pPr>
              <w:pStyle w:val="11"/>
              <w:spacing w:before="184" w:line="221" w:lineRule="auto"/>
              <w:ind w:left="361"/>
            </w:pPr>
            <w:r>
              <w:rPr>
                <w:spacing w:val="-1"/>
              </w:rPr>
              <w:t>类似项目时间</w:t>
            </w:r>
          </w:p>
        </w:tc>
        <w:tc>
          <w:tcPr>
            <w:tcW w:w="5668" w:type="dxa"/>
            <w:vAlign w:val="top"/>
          </w:tcPr>
          <w:p w14:paraId="55337B7D">
            <w:pPr>
              <w:pStyle w:val="11"/>
              <w:spacing w:before="184" w:line="221" w:lineRule="auto"/>
              <w:ind w:left="134"/>
            </w:pPr>
            <w:r>
              <w:rPr>
                <w:rFonts w:hint="eastAsia"/>
                <w:spacing w:val="-2"/>
                <w:lang w:eastAsia="zh-CN"/>
              </w:rPr>
              <w:t>☑</w:t>
            </w:r>
            <w:r>
              <w:rPr>
                <w:spacing w:val="-2"/>
              </w:rPr>
              <w:t>合同签订时间为准    □竣工验收时间为准</w:t>
            </w:r>
          </w:p>
        </w:tc>
      </w:tr>
      <w:tr w14:paraId="1783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233C32CD">
            <w:pPr>
              <w:pStyle w:val="11"/>
              <w:spacing w:before="237"/>
              <w:ind w:left="134"/>
            </w:pPr>
            <w:r>
              <w:rPr>
                <w:spacing w:val="-4"/>
              </w:rPr>
              <w:t>10.1.3</w:t>
            </w:r>
          </w:p>
        </w:tc>
        <w:tc>
          <w:tcPr>
            <w:tcW w:w="1982" w:type="dxa"/>
            <w:vAlign w:val="top"/>
          </w:tcPr>
          <w:p w14:paraId="5A90F69F">
            <w:pPr>
              <w:pStyle w:val="11"/>
              <w:spacing w:before="237" w:line="220" w:lineRule="auto"/>
              <w:ind w:left="782"/>
            </w:pPr>
            <w:r>
              <w:rPr>
                <w:spacing w:val="-2"/>
              </w:rPr>
              <w:t>盖章</w:t>
            </w:r>
          </w:p>
        </w:tc>
        <w:tc>
          <w:tcPr>
            <w:tcW w:w="5668" w:type="dxa"/>
            <w:vAlign w:val="top"/>
          </w:tcPr>
          <w:p w14:paraId="506E42BE">
            <w:pPr>
              <w:pStyle w:val="11"/>
              <w:spacing w:before="77" w:line="245" w:lineRule="auto"/>
              <w:ind w:left="130" w:right="106" w:hanging="16"/>
            </w:pPr>
            <w:r>
              <w:rPr>
                <w:spacing w:val="8"/>
              </w:rPr>
              <w:t>盖单位章指盖单位公章，签章指法定代表人或授</w:t>
            </w:r>
            <w:r>
              <w:rPr>
                <w:spacing w:val="7"/>
              </w:rPr>
              <w:t>权委托人</w:t>
            </w:r>
            <w:r>
              <w:rPr>
                <w:spacing w:val="-1"/>
              </w:rPr>
              <w:t>的个人印鉴或签字，以上均为法定意义上电子签名。</w:t>
            </w:r>
          </w:p>
        </w:tc>
      </w:tr>
      <w:tr w14:paraId="6CEA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6" w:type="dxa"/>
            <w:vAlign w:val="top"/>
          </w:tcPr>
          <w:p w14:paraId="2C289FCB">
            <w:pPr>
              <w:pStyle w:val="11"/>
              <w:spacing w:before="147"/>
              <w:ind w:left="134"/>
            </w:pPr>
            <w:r>
              <w:rPr>
                <w:spacing w:val="-4"/>
              </w:rPr>
              <w:t>10.1.4</w:t>
            </w:r>
          </w:p>
        </w:tc>
        <w:tc>
          <w:tcPr>
            <w:tcW w:w="1982" w:type="dxa"/>
            <w:vAlign w:val="top"/>
          </w:tcPr>
          <w:p w14:paraId="2E3FA8EB">
            <w:pPr>
              <w:pStyle w:val="11"/>
              <w:spacing w:before="146" w:line="221" w:lineRule="auto"/>
              <w:ind w:left="364"/>
            </w:pPr>
            <w:r>
              <w:rPr>
                <w:spacing w:val="-2"/>
              </w:rPr>
              <w:t>获奖表彰时间</w:t>
            </w:r>
          </w:p>
        </w:tc>
        <w:tc>
          <w:tcPr>
            <w:tcW w:w="5668" w:type="dxa"/>
            <w:vAlign w:val="top"/>
          </w:tcPr>
          <w:p w14:paraId="7B001FE6">
            <w:pPr>
              <w:pStyle w:val="11"/>
              <w:spacing w:before="147" w:line="220" w:lineRule="auto"/>
              <w:ind w:left="137"/>
            </w:pPr>
            <w:r>
              <w:rPr>
                <w:spacing w:val="-3"/>
              </w:rPr>
              <w:t>以表彰文件、获奖证书的颁发时间为准。</w:t>
            </w:r>
          </w:p>
        </w:tc>
      </w:tr>
      <w:tr w14:paraId="001D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42585753">
            <w:pPr>
              <w:pStyle w:val="11"/>
              <w:spacing w:before="238"/>
              <w:ind w:left="134"/>
            </w:pPr>
            <w:r>
              <w:rPr>
                <w:spacing w:val="-4"/>
              </w:rPr>
              <w:t>10.1.5</w:t>
            </w:r>
          </w:p>
        </w:tc>
        <w:tc>
          <w:tcPr>
            <w:tcW w:w="1982" w:type="dxa"/>
            <w:vAlign w:val="top"/>
          </w:tcPr>
          <w:p w14:paraId="118E5E34">
            <w:pPr>
              <w:pStyle w:val="11"/>
              <w:spacing w:before="238" w:line="221" w:lineRule="auto"/>
              <w:ind w:left="573"/>
            </w:pPr>
            <w:r>
              <w:rPr>
                <w:spacing w:val="-3"/>
              </w:rPr>
              <w:t>不良行为</w:t>
            </w:r>
          </w:p>
        </w:tc>
        <w:tc>
          <w:tcPr>
            <w:tcW w:w="5668" w:type="dxa"/>
            <w:vAlign w:val="top"/>
          </w:tcPr>
          <w:p w14:paraId="552559CC">
            <w:pPr>
              <w:pStyle w:val="11"/>
              <w:spacing w:before="77" w:line="245" w:lineRule="auto"/>
              <w:ind w:left="115" w:right="477"/>
            </w:pPr>
            <w:r>
              <w:rPr>
                <w:spacing w:val="-2"/>
              </w:rPr>
              <w:t>指投标人须知前附表第</w:t>
            </w:r>
            <w:r>
              <w:rPr>
                <w:spacing w:val="-15"/>
              </w:rPr>
              <w:t xml:space="preserve"> </w:t>
            </w:r>
            <w:r>
              <w:rPr>
                <w:spacing w:val="-2"/>
              </w:rPr>
              <w:t>1.4.3（9）至（16）目规定的情</w:t>
            </w:r>
            <w:r>
              <w:rPr>
                <w:spacing w:val="-10"/>
              </w:rPr>
              <w:t>形。</w:t>
            </w:r>
          </w:p>
        </w:tc>
      </w:tr>
      <w:tr w14:paraId="41351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476A4ADE">
            <w:pPr>
              <w:pStyle w:val="11"/>
              <w:spacing w:before="239"/>
              <w:ind w:left="134"/>
            </w:pPr>
            <w:r>
              <w:rPr>
                <w:spacing w:val="-4"/>
              </w:rPr>
              <w:t>10.1.6</w:t>
            </w:r>
          </w:p>
        </w:tc>
        <w:tc>
          <w:tcPr>
            <w:tcW w:w="1982" w:type="dxa"/>
            <w:vAlign w:val="top"/>
          </w:tcPr>
          <w:p w14:paraId="3AF3B089">
            <w:pPr>
              <w:pStyle w:val="11"/>
              <w:spacing w:before="239" w:line="221" w:lineRule="auto"/>
              <w:ind w:left="783"/>
            </w:pPr>
            <w:r>
              <w:rPr>
                <w:spacing w:val="-2"/>
              </w:rPr>
              <w:t>现金</w:t>
            </w:r>
          </w:p>
        </w:tc>
        <w:tc>
          <w:tcPr>
            <w:tcW w:w="5668" w:type="dxa"/>
            <w:vAlign w:val="top"/>
          </w:tcPr>
          <w:p w14:paraId="090AFF3F">
            <w:pPr>
              <w:pStyle w:val="11"/>
              <w:spacing w:before="77" w:line="245" w:lineRule="auto"/>
              <w:ind w:left="114" w:right="316"/>
            </w:pPr>
            <w:r>
              <w:rPr>
                <w:spacing w:val="-1"/>
              </w:rPr>
              <w:t>投标保证金、履约保证金现金缴纳方式指通过电汇、支票</w:t>
            </w:r>
            <w:r>
              <w:rPr>
                <w:spacing w:val="-2"/>
              </w:rPr>
              <w:t>等广义现金方式缴纳而非现金钞票。</w:t>
            </w:r>
          </w:p>
        </w:tc>
      </w:tr>
      <w:tr w14:paraId="1322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56" w:type="dxa"/>
            <w:vAlign w:val="top"/>
          </w:tcPr>
          <w:p w14:paraId="507AB799">
            <w:pPr>
              <w:pStyle w:val="11"/>
              <w:spacing w:before="239"/>
              <w:ind w:left="239"/>
            </w:pPr>
            <w:r>
              <w:rPr>
                <w:spacing w:val="-5"/>
              </w:rPr>
              <w:t>10.2</w:t>
            </w:r>
          </w:p>
        </w:tc>
        <w:tc>
          <w:tcPr>
            <w:tcW w:w="1982" w:type="dxa"/>
            <w:vAlign w:val="top"/>
          </w:tcPr>
          <w:p w14:paraId="138FCAFA">
            <w:pPr>
              <w:pStyle w:val="11"/>
              <w:spacing w:before="77" w:line="245" w:lineRule="auto"/>
              <w:ind w:left="362" w:right="250" w:hanging="87"/>
            </w:pPr>
            <w:r>
              <w:rPr>
                <w:spacing w:val="-4"/>
              </w:rPr>
              <w:t>中标后须提交的</w:t>
            </w:r>
            <w:r>
              <w:rPr>
                <w:spacing w:val="-2"/>
              </w:rPr>
              <w:t>纸质投标文件</w:t>
            </w:r>
          </w:p>
        </w:tc>
        <w:tc>
          <w:tcPr>
            <w:tcW w:w="5668" w:type="dxa"/>
            <w:vAlign w:val="top"/>
          </w:tcPr>
          <w:p w14:paraId="7B736660">
            <w:pPr>
              <w:pStyle w:val="11"/>
              <w:spacing w:before="77" w:line="245" w:lineRule="auto"/>
              <w:ind w:left="130" w:right="203" w:hanging="17"/>
            </w:pPr>
            <w:r>
              <w:rPr>
                <w:spacing w:val="-1"/>
              </w:rPr>
              <w:t>份数：</w:t>
            </w:r>
            <w:r>
              <w:rPr>
                <w:spacing w:val="-1"/>
                <w:u w:val="single" w:color="auto"/>
              </w:rPr>
              <w:t xml:space="preserve">  </w:t>
            </w:r>
            <w:r>
              <w:rPr>
                <w:rFonts w:hint="eastAsia"/>
                <w:spacing w:val="-1"/>
                <w:u w:val="single" w:color="auto"/>
                <w:lang w:val="en-US" w:eastAsia="zh-CN"/>
              </w:rPr>
              <w:t>4</w:t>
            </w:r>
            <w:r>
              <w:rPr>
                <w:spacing w:val="-1"/>
                <w:u w:val="single" w:color="auto"/>
              </w:rPr>
              <w:t xml:space="preserve">   </w:t>
            </w:r>
            <w:r>
              <w:rPr>
                <w:spacing w:val="-82"/>
              </w:rPr>
              <w:t xml:space="preserve"> </w:t>
            </w:r>
            <w:r>
              <w:rPr>
                <w:spacing w:val="-1"/>
              </w:rPr>
              <w:t>份，中标人提交的纸质投标文件应当与投标时</w:t>
            </w:r>
            <w:r>
              <w:rPr>
                <w:spacing w:val="-2"/>
              </w:rPr>
              <w:t>的电子投标文件内容一致。</w:t>
            </w:r>
          </w:p>
        </w:tc>
      </w:tr>
      <w:tr w14:paraId="5704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856" w:type="dxa"/>
            <w:vAlign w:val="top"/>
          </w:tcPr>
          <w:p w14:paraId="3471493F">
            <w:pPr>
              <w:spacing w:line="251" w:lineRule="auto"/>
              <w:rPr>
                <w:rFonts w:ascii="Arial"/>
                <w:sz w:val="21"/>
              </w:rPr>
            </w:pPr>
          </w:p>
          <w:p w14:paraId="51D0F91F">
            <w:pPr>
              <w:spacing w:line="251" w:lineRule="auto"/>
              <w:rPr>
                <w:rFonts w:ascii="Arial"/>
                <w:sz w:val="21"/>
              </w:rPr>
            </w:pPr>
          </w:p>
          <w:p w14:paraId="3679FA01">
            <w:pPr>
              <w:spacing w:line="251" w:lineRule="auto"/>
              <w:rPr>
                <w:rFonts w:ascii="Arial"/>
                <w:sz w:val="21"/>
              </w:rPr>
            </w:pPr>
          </w:p>
          <w:p w14:paraId="33CBE9B5">
            <w:pPr>
              <w:spacing w:line="252" w:lineRule="auto"/>
              <w:rPr>
                <w:rFonts w:ascii="Arial"/>
                <w:sz w:val="21"/>
              </w:rPr>
            </w:pPr>
          </w:p>
          <w:p w14:paraId="4AD0ECB2">
            <w:pPr>
              <w:pStyle w:val="11"/>
              <w:spacing w:before="69"/>
              <w:ind w:left="239"/>
            </w:pPr>
            <w:r>
              <w:rPr>
                <w:spacing w:val="-5"/>
              </w:rPr>
              <w:t>10.6</w:t>
            </w:r>
          </w:p>
        </w:tc>
        <w:tc>
          <w:tcPr>
            <w:tcW w:w="1982" w:type="dxa"/>
            <w:vAlign w:val="top"/>
          </w:tcPr>
          <w:p w14:paraId="497747AB">
            <w:pPr>
              <w:spacing w:line="251" w:lineRule="auto"/>
              <w:rPr>
                <w:rFonts w:ascii="Arial"/>
                <w:sz w:val="21"/>
              </w:rPr>
            </w:pPr>
          </w:p>
          <w:p w14:paraId="1AFDD957">
            <w:pPr>
              <w:spacing w:line="251" w:lineRule="auto"/>
              <w:rPr>
                <w:rFonts w:ascii="Arial"/>
                <w:sz w:val="21"/>
              </w:rPr>
            </w:pPr>
          </w:p>
          <w:p w14:paraId="46BCA7F0">
            <w:pPr>
              <w:spacing w:line="251" w:lineRule="auto"/>
              <w:rPr>
                <w:rFonts w:ascii="Arial"/>
                <w:sz w:val="21"/>
              </w:rPr>
            </w:pPr>
          </w:p>
          <w:p w14:paraId="1FE2C078">
            <w:pPr>
              <w:spacing w:line="252" w:lineRule="auto"/>
              <w:rPr>
                <w:rFonts w:ascii="Arial"/>
                <w:sz w:val="21"/>
              </w:rPr>
            </w:pPr>
          </w:p>
          <w:p w14:paraId="690C4716">
            <w:pPr>
              <w:pStyle w:val="11"/>
              <w:spacing w:before="68" w:line="221" w:lineRule="auto"/>
              <w:ind w:left="256"/>
            </w:pPr>
            <w:r>
              <w:rPr>
                <w:spacing w:val="-1"/>
              </w:rPr>
              <w:t>招标代理服务费</w:t>
            </w:r>
          </w:p>
        </w:tc>
        <w:tc>
          <w:tcPr>
            <w:tcW w:w="5668" w:type="dxa"/>
            <w:vAlign w:val="top"/>
          </w:tcPr>
          <w:p w14:paraId="2BECCEE3">
            <w:pPr>
              <w:pStyle w:val="11"/>
              <w:spacing w:before="119" w:line="220" w:lineRule="auto"/>
              <w:ind w:left="134"/>
            </w:pPr>
            <w:r>
              <w:rPr>
                <w:spacing w:val="-2"/>
              </w:rPr>
              <w:t>□本项目不收取招标代理服务费。</w:t>
            </w:r>
          </w:p>
          <w:p w14:paraId="53082CA7">
            <w:pPr>
              <w:pStyle w:val="11"/>
              <w:spacing w:before="71" w:line="220" w:lineRule="auto"/>
              <w:ind w:left="134"/>
            </w:pPr>
            <w:r>
              <w:rPr>
                <w:rFonts w:hint="eastAsia"/>
                <w:spacing w:val="-2"/>
                <w:lang w:eastAsia="zh-CN"/>
              </w:rPr>
              <w:t>☑</w:t>
            </w:r>
            <w:r>
              <w:rPr>
                <w:spacing w:val="-2"/>
              </w:rPr>
              <w:t>本项目收取招标代理服务费。具体要求如下：</w:t>
            </w:r>
          </w:p>
          <w:p w14:paraId="56C2DDC3">
            <w:pPr>
              <w:pStyle w:val="11"/>
              <w:spacing w:before="69" w:line="221" w:lineRule="auto"/>
              <w:ind w:left="345"/>
            </w:pPr>
            <w:r>
              <w:rPr>
                <w:spacing w:val="-4"/>
              </w:rPr>
              <w:t>□由招标人支付。</w:t>
            </w:r>
          </w:p>
          <w:p w14:paraId="625E3457">
            <w:pPr>
              <w:pStyle w:val="11"/>
              <w:spacing w:before="67" w:line="221" w:lineRule="auto"/>
              <w:ind w:left="345"/>
            </w:pPr>
            <w:r>
              <w:rPr>
                <w:rFonts w:hint="eastAsia"/>
                <w:spacing w:val="-4"/>
                <w:lang w:eastAsia="zh-CN"/>
              </w:rPr>
              <w:t>☑</w:t>
            </w:r>
            <w:r>
              <w:rPr>
                <w:spacing w:val="-4"/>
              </w:rPr>
              <w:t>由中标人支付。</w:t>
            </w:r>
          </w:p>
          <w:p w14:paraId="7B92903F">
            <w:pPr>
              <w:pStyle w:val="11"/>
              <w:spacing w:before="70" w:line="221" w:lineRule="auto"/>
              <w:ind w:left="639"/>
            </w:pPr>
            <w:r>
              <w:rPr>
                <w:color w:val="0000FF"/>
                <w:spacing w:val="-2"/>
              </w:rPr>
              <w:t>支付标准</w:t>
            </w:r>
            <w:r>
              <w:rPr>
                <w:color w:val="0000FF"/>
                <w:spacing w:val="-1"/>
              </w:rPr>
              <w:t>：</w:t>
            </w:r>
            <w:r>
              <w:rPr>
                <w:rFonts w:hint="eastAsia"/>
                <w:color w:val="0000FF"/>
                <w:spacing w:val="5"/>
                <w:u w:val="single" w:color="auto"/>
                <w:lang w:val="en-US" w:eastAsia="zh-CN"/>
              </w:rPr>
              <w:t>固定价格6000元</w:t>
            </w:r>
            <w:r>
              <w:rPr>
                <w:color w:val="0000FF"/>
                <w:spacing w:val="5"/>
                <w:u w:val="single" w:color="auto"/>
              </w:rPr>
              <w:t xml:space="preserve"> </w:t>
            </w:r>
            <w:r>
              <w:rPr>
                <w:rFonts w:hint="eastAsia"/>
                <w:color w:val="0000FF"/>
                <w:spacing w:val="5"/>
                <w:u w:val="single" w:color="auto"/>
                <w:lang w:eastAsia="zh-CN"/>
              </w:rPr>
              <w:t>，含在投标报价中，不得单独列项。</w:t>
            </w:r>
            <w:r>
              <w:rPr>
                <w:color w:val="0000FF"/>
                <w:spacing w:val="5"/>
                <w:u w:val="single" w:color="auto"/>
              </w:rPr>
              <w:t xml:space="preserve"> </w:t>
            </w:r>
            <w:r>
              <w:rPr>
                <w:color w:val="0000FF"/>
                <w:spacing w:val="16"/>
              </w:rPr>
              <w:t xml:space="preserve"> </w:t>
            </w:r>
            <w:r>
              <w:rPr>
                <w:spacing w:val="-1"/>
              </w:rPr>
              <w:t>；</w:t>
            </w:r>
          </w:p>
          <w:p w14:paraId="588F17D8">
            <w:pPr>
              <w:pStyle w:val="11"/>
              <w:spacing w:before="67" w:line="221" w:lineRule="auto"/>
              <w:ind w:left="639"/>
            </w:pPr>
            <w:r>
              <w:rPr>
                <w:spacing w:val="-2"/>
              </w:rPr>
              <w:t>支付方式</w:t>
            </w:r>
            <w:r>
              <w:rPr>
                <w:spacing w:val="-1"/>
              </w:rPr>
              <w:t>：</w:t>
            </w:r>
            <w:r>
              <w:rPr>
                <w:u w:val="single" w:color="auto"/>
              </w:rPr>
              <w:t xml:space="preserve"> </w:t>
            </w:r>
            <w:r>
              <w:rPr>
                <w:rFonts w:hint="eastAsia"/>
                <w:u w:val="single" w:color="auto"/>
                <w:lang w:val="en-US" w:eastAsia="zh-CN"/>
              </w:rPr>
              <w:t>电汇</w:t>
            </w:r>
            <w:r>
              <w:rPr>
                <w:u w:val="single" w:color="auto"/>
              </w:rPr>
              <w:t xml:space="preserve"> </w:t>
            </w:r>
            <w:r>
              <w:rPr>
                <w:spacing w:val="-1"/>
              </w:rPr>
              <w:t>；</w:t>
            </w:r>
          </w:p>
          <w:p w14:paraId="2A66CC5B">
            <w:pPr>
              <w:pStyle w:val="11"/>
              <w:spacing w:before="68" w:line="221" w:lineRule="auto"/>
              <w:ind w:left="639"/>
              <w:rPr>
                <w:spacing w:val="-1"/>
              </w:rPr>
            </w:pPr>
            <w:r>
              <w:rPr>
                <w:spacing w:val="-1"/>
              </w:rPr>
              <w:t>支付时间：</w:t>
            </w:r>
            <w:r>
              <w:rPr>
                <w:spacing w:val="-1"/>
                <w:u w:val="single" w:color="auto"/>
              </w:rPr>
              <w:t xml:space="preserve">  </w:t>
            </w:r>
            <w:r>
              <w:rPr>
                <w:rFonts w:hint="eastAsia"/>
                <w:spacing w:val="-1"/>
                <w:u w:val="single" w:color="auto"/>
              </w:rPr>
              <w:t>领取中标通知书前一次性支付</w:t>
            </w:r>
            <w:r>
              <w:rPr>
                <w:spacing w:val="-1"/>
                <w:u w:val="single" w:color="auto"/>
              </w:rPr>
              <w:t xml:space="preserve">  </w:t>
            </w:r>
            <w:r>
              <w:rPr>
                <w:spacing w:val="-1"/>
              </w:rPr>
              <w:t>。</w:t>
            </w:r>
          </w:p>
          <w:p w14:paraId="74F92A2C">
            <w:pPr>
              <w:ind w:firstLine="630" w:firstLineChars="300"/>
              <w:rPr>
                <w:rFonts w:hint="eastAsia"/>
              </w:rPr>
            </w:pPr>
            <w:r>
              <w:rPr>
                <w:rFonts w:hint="eastAsia"/>
              </w:rPr>
              <w:t>公司名称：营口公物咨询管理有限公司</w:t>
            </w:r>
          </w:p>
          <w:p w14:paraId="476F9C13">
            <w:pPr>
              <w:ind w:firstLine="630" w:firstLineChars="300"/>
              <w:rPr>
                <w:rFonts w:hint="eastAsia"/>
              </w:rPr>
            </w:pPr>
            <w:r>
              <w:rPr>
                <w:rFonts w:hint="eastAsia"/>
              </w:rPr>
              <w:t>开户银行：工商银行营口新华支行</w:t>
            </w:r>
          </w:p>
          <w:p w14:paraId="7B9AC1FE">
            <w:pPr>
              <w:ind w:firstLine="630" w:firstLineChars="300"/>
              <w:rPr>
                <w:rFonts w:hint="eastAsia"/>
              </w:rPr>
            </w:pPr>
            <w:r>
              <w:rPr>
                <w:rFonts w:hint="eastAsia"/>
              </w:rPr>
              <w:t>银行账户：0709 0005 0920 0078 196</w:t>
            </w:r>
          </w:p>
          <w:p w14:paraId="05FA1C22">
            <w:pPr>
              <w:pStyle w:val="11"/>
              <w:spacing w:before="68" w:line="221" w:lineRule="auto"/>
              <w:ind w:left="639"/>
              <w:rPr>
                <w:spacing w:val="-1"/>
              </w:rPr>
            </w:pPr>
          </w:p>
        </w:tc>
      </w:tr>
      <w:tr w14:paraId="6B6B4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56" w:type="dxa"/>
            <w:vAlign w:val="top"/>
          </w:tcPr>
          <w:p w14:paraId="32ABF4EF">
            <w:pPr>
              <w:spacing w:line="422" w:lineRule="auto"/>
              <w:rPr>
                <w:rFonts w:ascii="Arial"/>
                <w:sz w:val="21"/>
              </w:rPr>
            </w:pPr>
          </w:p>
          <w:p w14:paraId="266827CC">
            <w:pPr>
              <w:pStyle w:val="11"/>
              <w:spacing w:before="68"/>
              <w:ind w:left="239"/>
            </w:pPr>
            <w:r>
              <w:rPr>
                <w:spacing w:val="-6"/>
              </w:rPr>
              <w:t>10.7</w:t>
            </w:r>
          </w:p>
        </w:tc>
        <w:tc>
          <w:tcPr>
            <w:tcW w:w="1982" w:type="dxa"/>
            <w:vAlign w:val="top"/>
          </w:tcPr>
          <w:p w14:paraId="33AE3F7A">
            <w:pPr>
              <w:spacing w:line="263" w:lineRule="auto"/>
              <w:rPr>
                <w:rFonts w:ascii="Arial"/>
                <w:sz w:val="21"/>
              </w:rPr>
            </w:pPr>
          </w:p>
          <w:p w14:paraId="564C517E">
            <w:pPr>
              <w:pStyle w:val="11"/>
              <w:spacing w:before="69" w:line="283" w:lineRule="auto"/>
              <w:ind w:left="806" w:right="147" w:hanging="655"/>
            </w:pPr>
            <w:r>
              <w:rPr>
                <w:spacing w:val="-1"/>
              </w:rPr>
              <w:t>招标人补充的其他</w:t>
            </w:r>
            <w:r>
              <w:rPr>
                <w:spacing w:val="-8"/>
              </w:rPr>
              <w:t>内容</w:t>
            </w:r>
          </w:p>
        </w:tc>
        <w:tc>
          <w:tcPr>
            <w:tcW w:w="5668" w:type="dxa"/>
            <w:vAlign w:val="top"/>
          </w:tcPr>
          <w:p w14:paraId="511636F9">
            <w:pPr>
              <w:pStyle w:val="11"/>
              <w:numPr>
                <w:ilvl w:val="0"/>
                <w:numId w:val="1"/>
              </w:numPr>
              <w:spacing w:before="68" w:line="332" w:lineRule="exact"/>
              <w:ind w:left="126"/>
              <w:rPr>
                <w:rFonts w:hint="eastAsia"/>
                <w:color w:val="auto"/>
                <w:highlight w:val="none"/>
                <w:lang w:val="en-US" w:eastAsia="zh-CN"/>
              </w:rPr>
            </w:pPr>
            <w:r>
              <w:rPr>
                <w:rFonts w:hint="eastAsia"/>
                <w:color w:val="auto"/>
                <w:highlight w:val="none"/>
              </w:rPr>
              <w:t xml:space="preserve">交易中心服务费:投标人中标后，在领取中标通知书前建设工程交易服务费按辽发改价【2023】128号文件规定执行。由中标人向营口市建设工程交易服务中心有限公司缴纳，其中由招标人交纳部分已含在招标控制价中，中标单位的费用承担应在投标报价中自行考虑，但此项费用不得在投标报价中单列，并在办理中标手续时一并交纳。咨询电话：0417-2972506   0417-2972510           </w:t>
            </w:r>
            <w:r>
              <w:rPr>
                <w:rFonts w:hint="eastAsia"/>
                <w:color w:val="auto"/>
                <w:highlight w:val="none"/>
              </w:rPr>
              <w:br w:type="textWrapping"/>
            </w:r>
            <w:r>
              <w:rPr>
                <w:rFonts w:hint="eastAsia"/>
                <w:color w:val="auto"/>
                <w:highlight w:val="none"/>
                <w:lang w:val="en-US" w:eastAsia="zh-CN"/>
              </w:rPr>
              <w:t>2</w:t>
            </w:r>
            <w:r>
              <w:rPr>
                <w:rFonts w:hint="eastAsia"/>
                <w:color w:val="auto"/>
                <w:highlight w:val="none"/>
              </w:rPr>
              <w:t>.</w:t>
            </w:r>
            <w:r>
              <w:rPr>
                <w:rFonts w:hint="eastAsia"/>
                <w:color w:val="auto"/>
                <w:highlight w:val="yellow"/>
              </w:rPr>
              <w:t>合同约定方式：固定总价合同。</w:t>
            </w:r>
            <w:r>
              <w:rPr>
                <w:rFonts w:hint="eastAsia"/>
                <w:color w:val="auto"/>
                <w:highlight w:val="yellow"/>
              </w:rPr>
              <w:br w:type="textWrapping"/>
            </w:r>
            <w:r>
              <w:rPr>
                <w:rFonts w:hint="eastAsia"/>
                <w:color w:val="auto"/>
                <w:highlight w:val="yellow"/>
                <w:lang w:val="en-US" w:eastAsia="zh-CN"/>
              </w:rPr>
              <w:t>3</w:t>
            </w:r>
            <w:r>
              <w:rPr>
                <w:rFonts w:hint="eastAsia"/>
                <w:color w:val="auto"/>
                <w:highlight w:val="yellow"/>
              </w:rPr>
              <w:t xml:space="preserve">.合同签订 ：招标人与中标人应于中标通知书发出之日起30日内，按照招标文件和中标人的投标文件签订建设工程施工合同。双方不得再另行订立背离合同实质性内容的其它协议。中标人应当按照合同约定履行义务，完成中标项目施工，不得将中标项目施工转让(转包)给他人。   </w:t>
            </w:r>
            <w:r>
              <w:rPr>
                <w:rFonts w:hint="eastAsia"/>
                <w:color w:val="auto"/>
                <w:highlight w:val="none"/>
              </w:rPr>
              <w:t xml:space="preserve">          </w:t>
            </w:r>
            <w:r>
              <w:rPr>
                <w:rFonts w:hint="eastAsia"/>
                <w:color w:val="auto"/>
                <w:highlight w:val="none"/>
              </w:rPr>
              <w:br w:type="textWrapping"/>
            </w:r>
            <w:r>
              <w:rPr>
                <w:rFonts w:hint="eastAsia"/>
                <w:color w:val="auto"/>
                <w:highlight w:val="none"/>
                <w:lang w:val="en-US" w:eastAsia="zh-CN"/>
              </w:rPr>
              <w:t>4</w:t>
            </w:r>
            <w:r>
              <w:rPr>
                <w:rFonts w:hint="eastAsia"/>
                <w:color w:val="auto"/>
                <w:highlight w:val="none"/>
              </w:rPr>
              <w:t xml:space="preserve">.开标注意事项 ：                      </w:t>
            </w:r>
            <w:r>
              <w:rPr>
                <w:rFonts w:hint="eastAsia"/>
                <w:color w:val="auto"/>
                <w:highlight w:val="none"/>
              </w:rPr>
              <w:br w:type="textWrapping"/>
            </w:r>
            <w:r>
              <w:rPr>
                <w:rFonts w:hint="eastAsia"/>
                <w:color w:val="auto"/>
                <w:highlight w:val="none"/>
              </w:rPr>
              <w:t>开标前投标人自行在网上进行二次刷卡及授权委托人身份认证</w:t>
            </w:r>
            <w:r>
              <w:rPr>
                <w:rFonts w:hint="eastAsia"/>
                <w:color w:val="auto"/>
                <w:highlight w:val="none"/>
                <w:lang w:eastAsia="zh-CN"/>
              </w:rPr>
              <w:t>：</w:t>
            </w:r>
            <w:r>
              <w:rPr>
                <w:rFonts w:hint="eastAsia"/>
                <w:color w:val="auto"/>
                <w:highlight w:val="none"/>
              </w:rPr>
              <w:t xml:space="preserve">              </w:t>
            </w:r>
            <w:r>
              <w:rPr>
                <w:rFonts w:hint="eastAsia"/>
                <w:color w:val="auto"/>
                <w:highlight w:val="none"/>
              </w:rPr>
              <w:br w:type="textWrapping"/>
            </w:r>
            <w:r>
              <w:rPr>
                <w:rFonts w:hint="eastAsia"/>
                <w:color w:val="auto"/>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r>
              <w:rPr>
                <w:rFonts w:hint="eastAsia"/>
                <w:color w:val="auto"/>
                <w:highlight w:val="none"/>
              </w:rPr>
              <w:br w:type="textWrapping"/>
            </w:r>
            <w:r>
              <w:rPr>
                <w:rFonts w:hint="eastAsia"/>
                <w:color w:val="auto"/>
                <w:highlight w:val="none"/>
              </w:rPr>
              <w:t xml:space="preserve">②投标文件采用网络递交，实行网络开标的，若网络解密失败，将拒绝其投标。              </w:t>
            </w:r>
            <w:r>
              <w:rPr>
                <w:rFonts w:hint="eastAsia"/>
                <w:color w:val="auto"/>
                <w:highlight w:val="none"/>
              </w:rPr>
              <w:br w:type="textWrapping"/>
            </w:r>
            <w:r>
              <w:rPr>
                <w:rFonts w:hint="eastAsia"/>
                <w:color w:val="auto"/>
                <w:highlight w:val="none"/>
                <w:lang w:val="en-US" w:eastAsia="zh-CN"/>
              </w:rPr>
              <w:t>5</w:t>
            </w:r>
            <w:r>
              <w:rPr>
                <w:rFonts w:hint="eastAsia"/>
                <w:color w:val="auto"/>
                <w:highlight w:val="none"/>
              </w:rPr>
              <w:t xml:space="preserve">.外埠企业投标：外埠投标人入辽承揽业务需按照辽住建【2016】1号文件执行。             </w:t>
            </w:r>
            <w:r>
              <w:rPr>
                <w:rFonts w:hint="eastAsia"/>
                <w:color w:val="auto"/>
                <w:highlight w:val="none"/>
              </w:rPr>
              <w:br w:type="textWrapping"/>
            </w:r>
            <w:r>
              <w:rPr>
                <w:rFonts w:hint="eastAsia"/>
                <w:color w:val="auto"/>
                <w:highlight w:val="none"/>
                <w:lang w:val="en-US" w:eastAsia="zh-CN"/>
              </w:rPr>
              <w:t>6</w:t>
            </w:r>
            <w:r>
              <w:rPr>
                <w:rFonts w:hint="eastAsia"/>
                <w:color w:val="auto"/>
                <w:highlight w:val="none"/>
              </w:rPr>
              <w:t xml:space="preserve">.投标人中标后需提交纸质投标文件，纸质投标文件要求必须整洁，不得活页装订，采用胶装的方式，装订成一册，如不能装订成一册的，可分册装订，但需标明每册的内容。             </w:t>
            </w:r>
            <w:r>
              <w:rPr>
                <w:rFonts w:hint="eastAsia"/>
                <w:color w:val="auto"/>
                <w:highlight w:val="none"/>
              </w:rPr>
              <w:br w:type="textWrapping"/>
            </w:r>
            <w:r>
              <w:rPr>
                <w:rFonts w:hint="eastAsia"/>
                <w:color w:val="auto"/>
                <w:highlight w:val="none"/>
                <w:lang w:val="en-US" w:eastAsia="zh-CN"/>
              </w:rPr>
              <w:t>7</w:t>
            </w:r>
            <w:r>
              <w:rPr>
                <w:rFonts w:hint="eastAsia"/>
                <w:color w:val="auto"/>
                <w:highlight w:val="none"/>
              </w:rPr>
              <w:t xml:space="preserve">.本项目招标文件中，如有部分内容前后不一致的，以投标人须知前附表为准。             </w:t>
            </w:r>
            <w:r>
              <w:rPr>
                <w:rFonts w:hint="eastAsia"/>
                <w:color w:val="auto"/>
                <w:highlight w:val="none"/>
              </w:rPr>
              <w:br w:type="textWrapping"/>
            </w:r>
            <w:r>
              <w:rPr>
                <w:rFonts w:hint="eastAsia"/>
                <w:color w:val="auto"/>
                <w:highlight w:val="none"/>
                <w:lang w:val="en-US" w:eastAsia="zh-CN"/>
              </w:rPr>
              <w:t>8</w:t>
            </w:r>
            <w:r>
              <w:rPr>
                <w:rFonts w:hint="eastAsia"/>
                <w:color w:val="auto"/>
                <w:highlight w:val="none"/>
              </w:rPr>
              <w:t xml:space="preserve">.注意事项：             </w:t>
            </w:r>
            <w:r>
              <w:rPr>
                <w:rFonts w:hint="eastAsia"/>
                <w:color w:val="auto"/>
                <w:highlight w:val="none"/>
              </w:rPr>
              <w:br w:type="textWrapping"/>
            </w:r>
            <w:r>
              <w:rPr>
                <w:rFonts w:hint="eastAsia"/>
                <w:color w:val="auto"/>
                <w:highlight w:val="none"/>
              </w:rPr>
              <w:t xml:space="preserve">1、投标人须随时关注系统发布的通知（补遗文件、补充通知、招标控制价等信息），招标代理机构不再另行通知。             </w:t>
            </w:r>
            <w:r>
              <w:rPr>
                <w:rFonts w:hint="eastAsia"/>
                <w:color w:val="auto"/>
                <w:highlight w:val="none"/>
              </w:rPr>
              <w:br w:type="textWrapping"/>
            </w:r>
            <w:r>
              <w:rPr>
                <w:rFonts w:hint="eastAsia"/>
                <w:color w:val="auto"/>
                <w:highlight w:val="none"/>
              </w:rPr>
              <w:t xml:space="preserve">2、投标单位如有疑问，以邮件形式发送至招标代理机构（ykgongwu@163.com）并电话确认，预留联系人、联系电话、单位名称。             </w:t>
            </w:r>
            <w:r>
              <w:rPr>
                <w:rFonts w:hint="eastAsia"/>
                <w:color w:val="auto"/>
                <w:highlight w:val="none"/>
              </w:rPr>
              <w:br w:type="textWrapping"/>
            </w:r>
            <w:r>
              <w:rPr>
                <w:rFonts w:hint="eastAsia"/>
                <w:color w:val="auto"/>
                <w:highlight w:val="none"/>
                <w:lang w:val="en-US" w:eastAsia="zh-CN"/>
              </w:rPr>
              <w:t>9.投标人上传的投标文件应按招标文件要求进行签章，对无法完成 CA 签章的，应将按招标文件要求完成签章的扫描页或图片页，随投标文件一同上传，否则评审过程中带来的一切不利后果均由投标人自负。</w:t>
            </w:r>
          </w:p>
          <w:p w14:paraId="37038586">
            <w:pPr>
              <w:pStyle w:val="11"/>
              <w:numPr>
                <w:ilvl w:val="0"/>
                <w:numId w:val="0"/>
              </w:numPr>
              <w:spacing w:before="68" w:line="332" w:lineRule="exact"/>
              <w:ind w:firstLine="210" w:firstLineChars="100"/>
              <w:rPr>
                <w:rFonts w:hint="default"/>
                <w:color w:val="auto"/>
                <w:highlight w:val="none"/>
                <w:lang w:val="en-US" w:eastAsia="zh-CN"/>
              </w:rPr>
            </w:pPr>
            <w:r>
              <w:rPr>
                <w:rFonts w:hint="eastAsia"/>
                <w:color w:val="auto"/>
                <w:highlight w:val="yellow"/>
                <w:lang w:val="en-US" w:eastAsia="zh-CN"/>
              </w:rPr>
              <w:t>10.付款方式：全部施工完成后一次性支付至合同金额的80%，工程竣工验收合格并经财政结算审核后支付至结算金额的98%，余款作为质保金，质保期结束无质量问题无息返还（具体时间以双方签订的合同为准）。</w:t>
            </w:r>
          </w:p>
        </w:tc>
      </w:tr>
    </w:tbl>
    <w:p w14:paraId="66831376">
      <w:pPr>
        <w:pStyle w:val="5"/>
      </w:pPr>
    </w:p>
    <w:p w14:paraId="29C0B3F2">
      <w:pPr>
        <w:sectPr>
          <w:footerReference r:id="rId24" w:type="default"/>
          <w:pgSz w:w="11905" w:h="16843"/>
          <w:pgMar w:top="969" w:right="1355" w:bottom="1026" w:left="1480" w:header="0" w:footer="754" w:gutter="0"/>
          <w:cols w:space="0" w:num="1"/>
          <w:rtlGutter w:val="0"/>
          <w:docGrid w:linePitch="0" w:charSpace="0"/>
        </w:sectPr>
      </w:pPr>
    </w:p>
    <w:p w14:paraId="3B6B3003">
      <w:pPr>
        <w:spacing w:before="156" w:line="219" w:lineRule="auto"/>
        <w:ind w:left="23"/>
        <w:outlineLvl w:val="1"/>
        <w:rPr>
          <w:rFonts w:ascii="黑体" w:hAnsi="黑体" w:eastAsia="黑体" w:cs="黑体"/>
          <w:sz w:val="28"/>
          <w:szCs w:val="28"/>
        </w:rPr>
      </w:pPr>
      <w:bookmarkStart w:id="31" w:name="bookmark21"/>
      <w:bookmarkEnd w:id="31"/>
      <w:bookmarkStart w:id="32" w:name="bookmark488"/>
      <w:bookmarkEnd w:id="32"/>
      <w:r>
        <w:rPr>
          <w:rFonts w:ascii="黑体" w:hAnsi="黑体" w:eastAsia="黑体" w:cs="黑体"/>
          <w:spacing w:val="-1"/>
          <w:sz w:val="28"/>
          <w:szCs w:val="28"/>
        </w:rPr>
        <w:t>投标人须知正文部分</w:t>
      </w:r>
    </w:p>
    <w:p w14:paraId="59564B06">
      <w:pPr>
        <w:spacing w:before="127" w:line="233" w:lineRule="auto"/>
        <w:ind w:left="47"/>
        <w:outlineLvl w:val="1"/>
        <w:rPr>
          <w:rFonts w:ascii="黑体" w:hAnsi="黑体" w:eastAsia="黑体" w:cs="黑体"/>
          <w:sz w:val="28"/>
          <w:szCs w:val="28"/>
        </w:rPr>
      </w:pPr>
      <w:bookmarkStart w:id="33" w:name="bookmark22"/>
      <w:bookmarkEnd w:id="33"/>
      <w:r>
        <w:rPr>
          <w:rFonts w:ascii="Times New Roman" w:hAnsi="Times New Roman" w:eastAsia="Times New Roman" w:cs="Times New Roman"/>
          <w:spacing w:val="-8"/>
          <w:sz w:val="28"/>
          <w:szCs w:val="28"/>
        </w:rPr>
        <w:t>1.</w:t>
      </w:r>
      <w:r>
        <w:rPr>
          <w:rFonts w:ascii="黑体" w:hAnsi="黑体" w:eastAsia="黑体" w:cs="黑体"/>
          <w:spacing w:val="-8"/>
          <w:sz w:val="28"/>
          <w:szCs w:val="28"/>
        </w:rPr>
        <w:t>总则</w:t>
      </w:r>
    </w:p>
    <w:p w14:paraId="1B6DA750">
      <w:pPr>
        <w:spacing w:before="41" w:line="232" w:lineRule="auto"/>
        <w:ind w:left="160"/>
        <w:outlineLvl w:val="2"/>
        <w:rPr>
          <w:rFonts w:ascii="黑体" w:hAnsi="黑体" w:eastAsia="黑体" w:cs="黑体"/>
          <w:sz w:val="24"/>
          <w:szCs w:val="24"/>
        </w:rPr>
      </w:pPr>
      <w:bookmarkStart w:id="34" w:name="bookmark23"/>
      <w:bookmarkEnd w:id="34"/>
      <w:r>
        <w:rPr>
          <w:rFonts w:ascii="Times New Roman" w:hAnsi="Times New Roman" w:eastAsia="Times New Roman" w:cs="Times New Roman"/>
          <w:spacing w:val="-4"/>
          <w:sz w:val="24"/>
          <w:szCs w:val="24"/>
        </w:rPr>
        <w:t xml:space="preserve">1.1 </w:t>
      </w:r>
      <w:r>
        <w:rPr>
          <w:rFonts w:ascii="黑体" w:hAnsi="黑体" w:eastAsia="黑体" w:cs="黑体"/>
          <w:spacing w:val="-4"/>
          <w:sz w:val="24"/>
          <w:szCs w:val="24"/>
        </w:rPr>
        <w:t>项目概况</w:t>
      </w:r>
    </w:p>
    <w:p w14:paraId="193CFB28">
      <w:pPr>
        <w:spacing w:before="117" w:line="286" w:lineRule="auto"/>
        <w:ind w:left="63" w:right="10" w:firstLine="396"/>
        <w:rPr>
          <w:rFonts w:ascii="宋体" w:hAnsi="宋体" w:eastAsia="宋体" w:cs="宋体"/>
          <w:sz w:val="21"/>
          <w:szCs w:val="21"/>
        </w:rPr>
      </w:pPr>
      <w:r>
        <w:rPr>
          <w:rFonts w:ascii="Times New Roman" w:hAnsi="Times New Roman" w:eastAsia="Times New Roman" w:cs="Times New Roman"/>
          <w:sz w:val="21"/>
          <w:szCs w:val="21"/>
        </w:rPr>
        <w:t xml:space="preserve">1.1.1  </w:t>
      </w:r>
      <w:r>
        <w:rPr>
          <w:rFonts w:ascii="宋体" w:hAnsi="宋体" w:eastAsia="宋体" w:cs="宋体"/>
          <w:sz w:val="21"/>
          <w:szCs w:val="21"/>
        </w:rPr>
        <w:t>根据《中华人民共和国招标投标法》等有关法律、法规</w:t>
      </w:r>
      <w:r>
        <w:rPr>
          <w:rFonts w:ascii="宋体" w:hAnsi="宋体" w:eastAsia="宋体" w:cs="宋体"/>
          <w:spacing w:val="-1"/>
          <w:sz w:val="21"/>
          <w:szCs w:val="21"/>
        </w:rPr>
        <w:t>和规章的规定，本招标项</w:t>
      </w:r>
      <w:r>
        <w:rPr>
          <w:rFonts w:ascii="宋体" w:hAnsi="宋体" w:eastAsia="宋体" w:cs="宋体"/>
          <w:spacing w:val="-3"/>
          <w:sz w:val="21"/>
          <w:szCs w:val="21"/>
        </w:rPr>
        <w:t>目已具备招标条件，现对该项目进行施工招标。</w:t>
      </w:r>
    </w:p>
    <w:p w14:paraId="47A23134">
      <w:pPr>
        <w:spacing w:before="147" w:line="234" w:lineRule="auto"/>
        <w:ind w:left="459"/>
        <w:rPr>
          <w:rFonts w:ascii="宋体" w:hAnsi="宋体" w:eastAsia="宋体" w:cs="宋体"/>
          <w:sz w:val="21"/>
          <w:szCs w:val="21"/>
        </w:rPr>
      </w:pPr>
      <w:r>
        <w:rPr>
          <w:rFonts w:ascii="Times New Roman" w:hAnsi="Times New Roman" w:eastAsia="Times New Roman" w:cs="Times New Roman"/>
          <w:spacing w:val="-2"/>
          <w:sz w:val="21"/>
          <w:szCs w:val="21"/>
        </w:rPr>
        <w:t xml:space="preserve">1.1.2  </w:t>
      </w:r>
      <w:r>
        <w:rPr>
          <w:rFonts w:ascii="宋体" w:hAnsi="宋体" w:eastAsia="宋体" w:cs="宋体"/>
          <w:spacing w:val="-2"/>
          <w:sz w:val="21"/>
          <w:szCs w:val="21"/>
        </w:rPr>
        <w:t>招标人：见投标人须知前附表。</w:t>
      </w:r>
    </w:p>
    <w:p w14:paraId="332A0F53">
      <w:pPr>
        <w:spacing w:before="134"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1.1.3  </w:t>
      </w:r>
      <w:r>
        <w:rPr>
          <w:rFonts w:ascii="宋体" w:hAnsi="宋体" w:eastAsia="宋体" w:cs="宋体"/>
          <w:spacing w:val="-1"/>
          <w:sz w:val="21"/>
          <w:szCs w:val="21"/>
        </w:rPr>
        <w:t>招标代理机构：见投标人须知前附表。</w:t>
      </w:r>
    </w:p>
    <w:p w14:paraId="2CBD9C17">
      <w:pPr>
        <w:spacing w:before="134"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1.1.4  </w:t>
      </w:r>
      <w:r>
        <w:rPr>
          <w:rFonts w:ascii="宋体" w:hAnsi="宋体" w:eastAsia="宋体" w:cs="宋体"/>
          <w:spacing w:val="-1"/>
          <w:sz w:val="21"/>
          <w:szCs w:val="21"/>
        </w:rPr>
        <w:t>招标项目名称：见投标人须知前附表。</w:t>
      </w:r>
    </w:p>
    <w:p w14:paraId="6697CFE2">
      <w:pPr>
        <w:spacing w:before="133"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1.1.5  </w:t>
      </w:r>
      <w:r>
        <w:rPr>
          <w:rFonts w:ascii="宋体" w:hAnsi="宋体" w:eastAsia="宋体" w:cs="宋体"/>
          <w:spacing w:val="-1"/>
          <w:sz w:val="21"/>
          <w:szCs w:val="21"/>
        </w:rPr>
        <w:t>项目建设地点：见投标人须知前附表。</w:t>
      </w:r>
    </w:p>
    <w:p w14:paraId="16D2DC2E">
      <w:pPr>
        <w:spacing w:before="101" w:line="234" w:lineRule="auto"/>
        <w:ind w:left="459"/>
        <w:rPr>
          <w:rFonts w:ascii="宋体" w:hAnsi="宋体" w:eastAsia="宋体" w:cs="宋体"/>
          <w:sz w:val="21"/>
          <w:szCs w:val="21"/>
        </w:rPr>
      </w:pPr>
      <w:r>
        <w:rPr>
          <w:rFonts w:ascii="Times New Roman" w:hAnsi="Times New Roman" w:eastAsia="Times New Roman" w:cs="Times New Roman"/>
          <w:spacing w:val="-3"/>
          <w:sz w:val="21"/>
          <w:szCs w:val="21"/>
        </w:rPr>
        <w:t>1.1.6</w:t>
      </w:r>
      <w:r>
        <w:rPr>
          <w:rFonts w:ascii="Times New Roman" w:hAnsi="Times New Roman" w:eastAsia="Times New Roman" w:cs="Times New Roman"/>
          <w:spacing w:val="22"/>
          <w:sz w:val="21"/>
          <w:szCs w:val="21"/>
        </w:rPr>
        <w:t xml:space="preserve">  </w:t>
      </w:r>
      <w:r>
        <w:rPr>
          <w:rFonts w:ascii="宋体" w:hAnsi="宋体" w:eastAsia="宋体" w:cs="宋体"/>
          <w:spacing w:val="-3"/>
          <w:sz w:val="21"/>
          <w:szCs w:val="21"/>
        </w:rPr>
        <w:t>电子交易系统：见投标人须知前附表。</w:t>
      </w:r>
    </w:p>
    <w:p w14:paraId="444D275B">
      <w:pPr>
        <w:spacing w:before="70" w:line="232" w:lineRule="auto"/>
        <w:ind w:left="160"/>
        <w:outlineLvl w:val="2"/>
        <w:rPr>
          <w:rFonts w:ascii="黑体" w:hAnsi="黑体" w:eastAsia="黑体" w:cs="黑体"/>
          <w:sz w:val="24"/>
          <w:szCs w:val="24"/>
        </w:rPr>
      </w:pPr>
      <w:bookmarkStart w:id="35" w:name="bookmark24"/>
      <w:bookmarkEnd w:id="35"/>
      <w:r>
        <w:rPr>
          <w:rFonts w:ascii="Times New Roman" w:hAnsi="Times New Roman" w:eastAsia="Times New Roman" w:cs="Times New Roman"/>
          <w:spacing w:val="-2"/>
          <w:sz w:val="24"/>
          <w:szCs w:val="24"/>
        </w:rPr>
        <w:t xml:space="preserve">1.2  </w:t>
      </w:r>
      <w:r>
        <w:rPr>
          <w:rFonts w:ascii="黑体" w:hAnsi="黑体" w:eastAsia="黑体" w:cs="黑体"/>
          <w:spacing w:val="-2"/>
          <w:sz w:val="24"/>
          <w:szCs w:val="24"/>
        </w:rPr>
        <w:t>项目的资金来源和落实情况</w:t>
      </w:r>
    </w:p>
    <w:p w14:paraId="1BFE1BF8">
      <w:pPr>
        <w:spacing w:before="116"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1.2.1  </w:t>
      </w:r>
      <w:r>
        <w:rPr>
          <w:rFonts w:ascii="宋体" w:hAnsi="宋体" w:eastAsia="宋体" w:cs="宋体"/>
          <w:spacing w:val="-1"/>
          <w:sz w:val="21"/>
          <w:szCs w:val="21"/>
        </w:rPr>
        <w:t>资金来源：见投标人须知前附表。</w:t>
      </w:r>
    </w:p>
    <w:p w14:paraId="7E141191">
      <w:pPr>
        <w:spacing w:before="135"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1.2.2  </w:t>
      </w:r>
      <w:r>
        <w:rPr>
          <w:rFonts w:ascii="宋体" w:hAnsi="宋体" w:eastAsia="宋体" w:cs="宋体"/>
          <w:spacing w:val="-1"/>
          <w:sz w:val="21"/>
          <w:szCs w:val="21"/>
        </w:rPr>
        <w:t>出资比例：见投标人须知前附表。</w:t>
      </w:r>
    </w:p>
    <w:p w14:paraId="389EF0DA">
      <w:pPr>
        <w:spacing w:before="132" w:line="233" w:lineRule="auto"/>
        <w:ind w:left="459"/>
        <w:rPr>
          <w:rFonts w:ascii="宋体" w:hAnsi="宋体" w:eastAsia="宋体" w:cs="宋体"/>
          <w:sz w:val="21"/>
          <w:szCs w:val="21"/>
        </w:rPr>
      </w:pPr>
      <w:r>
        <w:rPr>
          <w:rFonts w:ascii="Times New Roman" w:hAnsi="Times New Roman" w:eastAsia="Times New Roman" w:cs="Times New Roman"/>
          <w:spacing w:val="-2"/>
          <w:sz w:val="21"/>
          <w:szCs w:val="21"/>
        </w:rPr>
        <w:t xml:space="preserve">1.2.3  </w:t>
      </w:r>
      <w:r>
        <w:rPr>
          <w:rFonts w:ascii="宋体" w:hAnsi="宋体" w:eastAsia="宋体" w:cs="宋体"/>
          <w:spacing w:val="-2"/>
          <w:sz w:val="21"/>
          <w:szCs w:val="21"/>
        </w:rPr>
        <w:t>标段合同估算价：见投标人须知前附表。</w:t>
      </w:r>
    </w:p>
    <w:p w14:paraId="0C1F80EA">
      <w:pPr>
        <w:spacing w:before="136"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1.2.4  </w:t>
      </w:r>
      <w:r>
        <w:rPr>
          <w:rFonts w:ascii="宋体" w:hAnsi="宋体" w:eastAsia="宋体" w:cs="宋体"/>
          <w:spacing w:val="-1"/>
          <w:sz w:val="21"/>
          <w:szCs w:val="21"/>
        </w:rPr>
        <w:t>资金落实情况：见投标人须知前附表。</w:t>
      </w:r>
    </w:p>
    <w:p w14:paraId="3DD94E6D">
      <w:pPr>
        <w:spacing w:before="77" w:line="233" w:lineRule="auto"/>
        <w:ind w:left="160"/>
        <w:outlineLvl w:val="2"/>
        <w:rPr>
          <w:rFonts w:ascii="黑体" w:hAnsi="黑体" w:eastAsia="黑体" w:cs="黑体"/>
          <w:sz w:val="24"/>
          <w:szCs w:val="24"/>
        </w:rPr>
      </w:pPr>
      <w:bookmarkStart w:id="36" w:name="bookmark25"/>
      <w:bookmarkEnd w:id="36"/>
      <w:r>
        <w:rPr>
          <w:rFonts w:ascii="Times New Roman" w:hAnsi="Times New Roman" w:eastAsia="Times New Roman" w:cs="Times New Roman"/>
          <w:spacing w:val="-2"/>
          <w:sz w:val="24"/>
          <w:szCs w:val="24"/>
        </w:rPr>
        <w:t xml:space="preserve">1.3  </w:t>
      </w:r>
      <w:r>
        <w:rPr>
          <w:rFonts w:ascii="黑体" w:hAnsi="黑体" w:eastAsia="黑体" w:cs="黑体"/>
          <w:spacing w:val="-2"/>
          <w:sz w:val="24"/>
          <w:szCs w:val="24"/>
        </w:rPr>
        <w:t>招标范围、计划工期和质量标准</w:t>
      </w:r>
    </w:p>
    <w:p w14:paraId="44056419">
      <w:pPr>
        <w:spacing w:before="115"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1.3.1  </w:t>
      </w:r>
      <w:r>
        <w:rPr>
          <w:rFonts w:ascii="宋体" w:hAnsi="宋体" w:eastAsia="宋体" w:cs="宋体"/>
          <w:spacing w:val="-1"/>
          <w:sz w:val="21"/>
          <w:szCs w:val="21"/>
        </w:rPr>
        <w:t>招标范围：见投标人须知前附表。</w:t>
      </w:r>
    </w:p>
    <w:p w14:paraId="5766E23E">
      <w:pPr>
        <w:spacing w:before="132"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1.3.2  </w:t>
      </w:r>
      <w:r>
        <w:rPr>
          <w:rFonts w:ascii="宋体" w:hAnsi="宋体" w:eastAsia="宋体" w:cs="宋体"/>
          <w:spacing w:val="-1"/>
          <w:sz w:val="21"/>
          <w:szCs w:val="21"/>
        </w:rPr>
        <w:t>计划工期：见投标人须知前附表。</w:t>
      </w:r>
    </w:p>
    <w:p w14:paraId="19CA0CDE">
      <w:pPr>
        <w:spacing w:before="135"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1.3.3  </w:t>
      </w:r>
      <w:r>
        <w:rPr>
          <w:rFonts w:ascii="宋体" w:hAnsi="宋体" w:eastAsia="宋体" w:cs="宋体"/>
          <w:spacing w:val="-1"/>
          <w:sz w:val="21"/>
          <w:szCs w:val="21"/>
        </w:rPr>
        <w:t>质量标准：见投标人须知前附表。</w:t>
      </w:r>
    </w:p>
    <w:p w14:paraId="7D4CB55A">
      <w:pPr>
        <w:spacing w:before="76" w:line="233" w:lineRule="auto"/>
        <w:ind w:left="160"/>
        <w:outlineLvl w:val="2"/>
        <w:rPr>
          <w:rFonts w:ascii="黑体" w:hAnsi="黑体" w:eastAsia="黑体" w:cs="黑体"/>
          <w:sz w:val="24"/>
          <w:szCs w:val="24"/>
        </w:rPr>
      </w:pPr>
      <w:bookmarkStart w:id="37" w:name="bookmark26"/>
      <w:bookmarkEnd w:id="37"/>
      <w:r>
        <w:rPr>
          <w:rFonts w:ascii="Times New Roman" w:hAnsi="Times New Roman" w:eastAsia="Times New Roman" w:cs="Times New Roman"/>
          <w:spacing w:val="-3"/>
          <w:sz w:val="24"/>
          <w:szCs w:val="24"/>
        </w:rPr>
        <w:t xml:space="preserve">1.4  </w:t>
      </w:r>
      <w:r>
        <w:rPr>
          <w:rFonts w:ascii="黑体" w:hAnsi="黑体" w:eastAsia="黑体" w:cs="黑体"/>
          <w:spacing w:val="-3"/>
          <w:sz w:val="24"/>
          <w:szCs w:val="24"/>
        </w:rPr>
        <w:t>投标人资格要求</w:t>
      </w:r>
    </w:p>
    <w:p w14:paraId="7BD7C982">
      <w:pPr>
        <w:spacing w:before="115" w:line="234" w:lineRule="auto"/>
        <w:ind w:left="459"/>
        <w:rPr>
          <w:rFonts w:ascii="宋体" w:hAnsi="宋体" w:eastAsia="宋体" w:cs="宋体"/>
          <w:sz w:val="21"/>
          <w:szCs w:val="21"/>
        </w:rPr>
      </w:pP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投标人资质条件、能力和信誉</w:t>
      </w:r>
    </w:p>
    <w:p w14:paraId="47111607">
      <w:pPr>
        <w:spacing w:before="133"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）资质要求：见投标人须知前附表。</w:t>
      </w:r>
    </w:p>
    <w:p w14:paraId="56FE407B">
      <w:pPr>
        <w:spacing w:before="134" w:line="234" w:lineRule="auto"/>
        <w:ind w:left="343"/>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）财务要求：见投标人须知前附表（如适用）。</w:t>
      </w:r>
    </w:p>
    <w:p w14:paraId="69915A7E">
      <w:pPr>
        <w:spacing w:before="135" w:line="234" w:lineRule="auto"/>
        <w:ind w:left="343"/>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3</w:t>
      </w:r>
      <w:r>
        <w:rPr>
          <w:rFonts w:ascii="宋体" w:hAnsi="宋体" w:eastAsia="宋体" w:cs="宋体"/>
          <w:spacing w:val="-6"/>
          <w:sz w:val="21"/>
          <w:szCs w:val="21"/>
        </w:rPr>
        <w:t>）业绩要求：见投标人须知前附表（如适用）。</w:t>
      </w:r>
    </w:p>
    <w:p w14:paraId="1587EEE1">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）信誉要求：见投标人须知前附表。</w:t>
      </w:r>
    </w:p>
    <w:p w14:paraId="0395FC6B">
      <w:pPr>
        <w:spacing w:before="136" w:line="286" w:lineRule="auto"/>
        <w:ind w:left="26" w:right="30" w:firstLine="31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）项目经理的资格要求：应当具备工程施工类注册执业资格，具体要求见投标人须</w:t>
      </w:r>
      <w:r>
        <w:rPr>
          <w:rFonts w:ascii="宋体" w:hAnsi="宋体" w:eastAsia="宋体" w:cs="宋体"/>
          <w:spacing w:val="-5"/>
          <w:sz w:val="21"/>
          <w:szCs w:val="21"/>
        </w:rPr>
        <w:t>知前附表。</w:t>
      </w:r>
    </w:p>
    <w:p w14:paraId="42E18E6E">
      <w:pPr>
        <w:spacing w:before="148" w:line="234" w:lineRule="auto"/>
        <w:ind w:left="343"/>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6</w:t>
      </w:r>
      <w:r>
        <w:rPr>
          <w:rFonts w:ascii="宋体" w:hAnsi="宋体" w:eastAsia="宋体" w:cs="宋体"/>
          <w:spacing w:val="-5"/>
          <w:sz w:val="21"/>
          <w:szCs w:val="21"/>
        </w:rPr>
        <w:t>）施工机械设备要求：见投标人须知前附表（如适用）。</w:t>
      </w:r>
    </w:p>
    <w:p w14:paraId="29FD8E11">
      <w:pPr>
        <w:spacing w:before="135" w:line="234" w:lineRule="auto"/>
        <w:ind w:left="343"/>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7</w:t>
      </w:r>
      <w:r>
        <w:rPr>
          <w:rFonts w:ascii="宋体" w:hAnsi="宋体" w:eastAsia="宋体" w:cs="宋体"/>
          <w:spacing w:val="-4"/>
          <w:sz w:val="21"/>
          <w:szCs w:val="21"/>
        </w:rPr>
        <w:t>）项目管理机构主要人员要求：见投标人须知前附表</w:t>
      </w:r>
      <w:r>
        <w:rPr>
          <w:rFonts w:ascii="宋体" w:hAnsi="宋体" w:eastAsia="宋体" w:cs="宋体"/>
          <w:spacing w:val="-5"/>
          <w:sz w:val="21"/>
          <w:szCs w:val="21"/>
        </w:rPr>
        <w:t>（如适用）。</w:t>
      </w:r>
    </w:p>
    <w:p w14:paraId="122D4DD1">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）其他要求：见投标人须知前附表。</w:t>
      </w:r>
    </w:p>
    <w:p w14:paraId="245B159B">
      <w:pPr>
        <w:spacing w:before="132" w:line="344" w:lineRule="auto"/>
        <w:ind w:left="26" w:right="9" w:firstLine="432"/>
        <w:rPr>
          <w:rFonts w:ascii="宋体" w:hAnsi="宋体" w:eastAsia="宋体" w:cs="宋体"/>
          <w:sz w:val="21"/>
          <w:szCs w:val="21"/>
        </w:rPr>
      </w:pPr>
      <w:r>
        <w:rPr>
          <w:rFonts w:ascii="Times New Roman" w:hAnsi="Times New Roman" w:eastAsia="Times New Roman" w:cs="Times New Roman"/>
          <w:sz w:val="21"/>
          <w:szCs w:val="21"/>
        </w:rPr>
        <w:t xml:space="preserve">1.4.2  </w:t>
      </w:r>
      <w:r>
        <w:rPr>
          <w:rFonts w:ascii="宋体" w:hAnsi="宋体" w:eastAsia="宋体" w:cs="宋体"/>
          <w:sz w:val="21"/>
          <w:szCs w:val="21"/>
        </w:rPr>
        <w:t xml:space="preserve">投标人须知前附表规定接受联合体投标的，除应符合本章第 </w:t>
      </w:r>
      <w:r>
        <w:rPr>
          <w:rFonts w:ascii="Times New Roman" w:hAnsi="Times New Roman" w:eastAsia="Times New Roman" w:cs="Times New Roman"/>
          <w:sz w:val="21"/>
          <w:szCs w:val="21"/>
        </w:rPr>
        <w:t>1.</w:t>
      </w:r>
      <w:r>
        <w:rPr>
          <w:rFonts w:ascii="Times New Roman" w:hAnsi="Times New Roman" w:eastAsia="Times New Roman" w:cs="Times New Roman"/>
          <w:spacing w:val="-1"/>
          <w:sz w:val="21"/>
          <w:szCs w:val="21"/>
        </w:rPr>
        <w:t xml:space="preserve">4.1  </w:t>
      </w:r>
      <w:r>
        <w:rPr>
          <w:rFonts w:ascii="宋体" w:hAnsi="宋体" w:eastAsia="宋体" w:cs="宋体"/>
          <w:spacing w:val="-1"/>
          <w:sz w:val="21"/>
          <w:szCs w:val="21"/>
        </w:rPr>
        <w:t>项和投标人须</w:t>
      </w:r>
      <w:r>
        <w:rPr>
          <w:rFonts w:ascii="宋体" w:hAnsi="宋体" w:eastAsia="宋体" w:cs="宋体"/>
          <w:spacing w:val="-2"/>
          <w:sz w:val="21"/>
          <w:szCs w:val="21"/>
        </w:rPr>
        <w:t>知前附表的要求外，还应遵守以下规定：</w:t>
      </w:r>
    </w:p>
    <w:p w14:paraId="70A044A0">
      <w:pPr>
        <w:spacing w:before="19" w:line="286" w:lineRule="auto"/>
        <w:ind w:left="23" w:right="29" w:firstLine="319"/>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）联合体各方应按招标文件提供的格式签订联合体协议书，明确联合体牵头人和各</w:t>
      </w:r>
      <w:r>
        <w:rPr>
          <w:rFonts w:ascii="宋体" w:hAnsi="宋体" w:eastAsia="宋体" w:cs="宋体"/>
          <w:spacing w:val="-1"/>
          <w:sz w:val="21"/>
          <w:szCs w:val="21"/>
        </w:rPr>
        <w:t>方权利义务；</w:t>
      </w:r>
    </w:p>
    <w:p w14:paraId="27C8521B">
      <w:pPr>
        <w:spacing w:before="150"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）由同一专业的单位组成的联合体，按照资质等级较低的单位确定资质等级；</w:t>
      </w:r>
    </w:p>
    <w:p w14:paraId="76175464">
      <w:pPr>
        <w:spacing w:line="234" w:lineRule="auto"/>
        <w:rPr>
          <w:rFonts w:ascii="宋体" w:hAnsi="宋体" w:eastAsia="宋体" w:cs="宋体"/>
          <w:sz w:val="21"/>
          <w:szCs w:val="21"/>
        </w:rPr>
        <w:sectPr>
          <w:footerReference r:id="rId25" w:type="default"/>
          <w:pgSz w:w="11905" w:h="16843"/>
          <w:pgMar w:top="969" w:right="1355" w:bottom="1026" w:left="1480" w:header="0" w:footer="754" w:gutter="0"/>
          <w:cols w:space="0" w:num="1"/>
          <w:rtlGutter w:val="0"/>
          <w:docGrid w:linePitch="0" w:charSpace="0"/>
        </w:sectPr>
      </w:pPr>
    </w:p>
    <w:p w14:paraId="73F565E1">
      <w:pPr>
        <w:spacing w:before="148" w:line="343" w:lineRule="auto"/>
        <w:ind w:left="25" w:right="198" w:firstLine="318"/>
        <w:rPr>
          <w:rFonts w:ascii="宋体" w:hAnsi="宋体" w:eastAsia="宋体" w:cs="宋体"/>
          <w:sz w:val="21"/>
          <w:szCs w:val="21"/>
        </w:rPr>
      </w:pPr>
      <w:bookmarkStart w:id="38" w:name="bookmark489"/>
      <w:bookmarkEnd w:id="38"/>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）联合体各方不得再以自己名义单独或参加其他联合体在本招标项目中投标，否则</w:t>
      </w:r>
      <w:r>
        <w:rPr>
          <w:rFonts w:ascii="宋体" w:hAnsi="宋体" w:eastAsia="宋体" w:cs="宋体"/>
          <w:spacing w:val="-3"/>
          <w:sz w:val="21"/>
          <w:szCs w:val="21"/>
        </w:rPr>
        <w:t>各相关投标均无效。</w:t>
      </w:r>
    </w:p>
    <w:p w14:paraId="14470ACE">
      <w:pPr>
        <w:spacing w:before="20" w:line="234" w:lineRule="auto"/>
        <w:ind w:left="459"/>
        <w:rPr>
          <w:rFonts w:ascii="宋体" w:hAnsi="宋体" w:eastAsia="宋体" w:cs="宋体"/>
          <w:sz w:val="21"/>
          <w:szCs w:val="21"/>
        </w:rPr>
      </w:pPr>
      <w:r>
        <w:rPr>
          <w:rFonts w:ascii="Times New Roman" w:hAnsi="Times New Roman" w:eastAsia="Times New Roman" w:cs="Times New Roman"/>
          <w:spacing w:val="-2"/>
          <w:sz w:val="21"/>
          <w:szCs w:val="21"/>
        </w:rPr>
        <w:t xml:space="preserve">1.4.3  </w:t>
      </w:r>
      <w:r>
        <w:rPr>
          <w:rFonts w:ascii="宋体" w:hAnsi="宋体" w:eastAsia="宋体" w:cs="宋体"/>
          <w:spacing w:val="-2"/>
          <w:sz w:val="21"/>
          <w:szCs w:val="21"/>
        </w:rPr>
        <w:t>投标人不得存在下列情形之一：</w:t>
      </w:r>
    </w:p>
    <w:p w14:paraId="255975E8">
      <w:pPr>
        <w:spacing w:before="133" w:line="234" w:lineRule="auto"/>
        <w:ind w:left="343"/>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）为招标人不具有独立法人资格的附属</w:t>
      </w:r>
      <w:r>
        <w:rPr>
          <w:rFonts w:ascii="宋体" w:hAnsi="宋体" w:eastAsia="宋体" w:cs="宋体"/>
          <w:spacing w:val="-4"/>
          <w:sz w:val="21"/>
          <w:szCs w:val="21"/>
        </w:rPr>
        <w:t>机构（单位</w:t>
      </w:r>
      <w:r>
        <w:rPr>
          <w:rFonts w:ascii="宋体" w:hAnsi="宋体" w:eastAsia="宋体" w:cs="宋体"/>
          <w:spacing w:val="-28"/>
          <w:sz w:val="21"/>
          <w:szCs w:val="21"/>
        </w:rPr>
        <w:t>）；</w:t>
      </w:r>
    </w:p>
    <w:p w14:paraId="096AE197">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）为本标段前期准备提供设计或咨询服务的，但设计施工总承包的除</w:t>
      </w:r>
      <w:r>
        <w:rPr>
          <w:rFonts w:ascii="宋体" w:hAnsi="宋体" w:eastAsia="宋体" w:cs="宋体"/>
          <w:spacing w:val="-2"/>
          <w:sz w:val="21"/>
          <w:szCs w:val="21"/>
        </w:rPr>
        <w:t>外；</w:t>
      </w:r>
    </w:p>
    <w:p w14:paraId="68979B28">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）为本标段的监理人；</w:t>
      </w:r>
    </w:p>
    <w:p w14:paraId="5036CBC5">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）为本标段的代建人；</w:t>
      </w:r>
    </w:p>
    <w:p w14:paraId="0C938198">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）为本标段提供招标代理服务；</w:t>
      </w:r>
    </w:p>
    <w:p w14:paraId="3D8C96FB">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）与本标段的监理人或代建人或招标代理机构同为一个法定</w:t>
      </w:r>
      <w:r>
        <w:rPr>
          <w:rFonts w:ascii="宋体" w:hAnsi="宋体" w:eastAsia="宋体" w:cs="宋体"/>
          <w:spacing w:val="-2"/>
          <w:sz w:val="21"/>
          <w:szCs w:val="21"/>
        </w:rPr>
        <w:t>代表人；</w:t>
      </w:r>
    </w:p>
    <w:p w14:paraId="1CDAFA5F">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控股或参股；</w:t>
      </w:r>
    </w:p>
    <w:p w14:paraId="01F9A135">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任职或工作；</w:t>
      </w:r>
    </w:p>
    <w:p w14:paraId="21A709C4">
      <w:pPr>
        <w:spacing w:before="136" w:line="286" w:lineRule="auto"/>
        <w:ind w:left="46" w:right="200" w:firstLine="29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）被依法暂停或取消投标资格（指被本招标项目所在地县级及以上农业农村主管部</w:t>
      </w:r>
      <w:r>
        <w:rPr>
          <w:rFonts w:ascii="宋体" w:hAnsi="宋体" w:eastAsia="宋体" w:cs="宋体"/>
          <w:spacing w:val="-1"/>
          <w:sz w:val="21"/>
          <w:szCs w:val="21"/>
        </w:rPr>
        <w:t>门暂停或取消投标资格或禁止进入该区域市场且处于有效期内</w:t>
      </w:r>
      <w:r>
        <w:rPr>
          <w:rFonts w:ascii="宋体" w:hAnsi="宋体" w:eastAsia="宋体" w:cs="宋体"/>
          <w:spacing w:val="-54"/>
          <w:w w:val="97"/>
          <w:sz w:val="21"/>
          <w:szCs w:val="21"/>
        </w:rPr>
        <w:t>）；</w:t>
      </w:r>
    </w:p>
    <w:p w14:paraId="43844E03">
      <w:pPr>
        <w:spacing w:before="147" w:line="234" w:lineRule="auto"/>
        <w:ind w:left="34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7C50D463">
      <w:pPr>
        <w:spacing w:before="134" w:line="288" w:lineRule="auto"/>
        <w:ind w:left="25" w:right="179"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11</w:t>
      </w:r>
      <w:r>
        <w:rPr>
          <w:rFonts w:ascii="宋体" w:hAnsi="宋体" w:eastAsia="宋体" w:cs="宋体"/>
          <w:sz w:val="21"/>
          <w:szCs w:val="21"/>
        </w:rPr>
        <w:t>）财产被接管或冻结的；进入清算程序，或被宣告破产，或其他丧失履约能力的情</w:t>
      </w:r>
      <w:r>
        <w:rPr>
          <w:rFonts w:ascii="宋体" w:hAnsi="宋体" w:eastAsia="宋体" w:cs="宋体"/>
          <w:spacing w:val="-15"/>
          <w:sz w:val="21"/>
          <w:szCs w:val="21"/>
        </w:rPr>
        <w:t>形；</w:t>
      </w:r>
    </w:p>
    <w:p w14:paraId="5B7213EA">
      <w:pPr>
        <w:spacing w:before="146" w:line="286" w:lineRule="auto"/>
        <w:ind w:left="25" w:right="179"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）在最近三年内有骗取中标或严重违约或重大工程质量问题的 （以相关行业主 管部门的行政处罚决定或司法机关出具的有关</w:t>
      </w:r>
      <w:r>
        <w:rPr>
          <w:rFonts w:ascii="宋体" w:hAnsi="宋体" w:eastAsia="宋体" w:cs="宋体"/>
          <w:spacing w:val="-1"/>
          <w:sz w:val="21"/>
          <w:szCs w:val="21"/>
        </w:rPr>
        <w:t>法律文书为准</w:t>
      </w:r>
      <w:r>
        <w:rPr>
          <w:rFonts w:ascii="宋体" w:hAnsi="宋体" w:eastAsia="宋体" w:cs="宋体"/>
          <w:spacing w:val="-54"/>
          <w:w w:val="97"/>
          <w:sz w:val="21"/>
          <w:szCs w:val="21"/>
        </w:rPr>
        <w:t>）；</w:t>
      </w:r>
    </w:p>
    <w:p w14:paraId="246F2848">
      <w:pPr>
        <w:spacing w:before="150" w:line="286" w:lineRule="auto"/>
        <w:ind w:left="21" w:right="181" w:firstLine="321"/>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13</w:t>
      </w:r>
      <w:r>
        <w:rPr>
          <w:rFonts w:ascii="宋体" w:hAnsi="宋体" w:eastAsia="宋体" w:cs="宋体"/>
          <w:spacing w:val="-3"/>
          <w:sz w:val="21"/>
          <w:szCs w:val="21"/>
        </w:rPr>
        <w:t>）在“国家企业信用信息公示系统”（</w:t>
      </w:r>
      <w:r>
        <w:fldChar w:fldCharType="begin"/>
      </w:r>
      <w:r>
        <w:instrText xml:space="preserve"> HYPERLINK "https://www.gsxt.gov.cn" </w:instrText>
      </w:r>
      <w:r>
        <w:fldChar w:fldCharType="separate"/>
      </w:r>
      <w:r>
        <w:rPr>
          <w:rFonts w:ascii="Times New Roman" w:hAnsi="Times New Roman" w:eastAsia="Times New Roman" w:cs="Times New Roman"/>
          <w:spacing w:val="-3"/>
          <w:sz w:val="21"/>
          <w:szCs w:val="21"/>
        </w:rPr>
        <w:t>www.gsxt.gov.cn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22"/>
          <w:sz w:val="21"/>
          <w:szCs w:val="21"/>
        </w:rPr>
        <w:t xml:space="preserve"> </w:t>
      </w:r>
      <w:r>
        <w:rPr>
          <w:rFonts w:ascii="宋体" w:hAnsi="宋体" w:eastAsia="宋体" w:cs="宋体"/>
          <w:spacing w:val="-3"/>
          <w:sz w:val="21"/>
          <w:szCs w:val="21"/>
        </w:rPr>
        <w:t>）中被列入严重违法失 信企</w:t>
      </w:r>
      <w:r>
        <w:rPr>
          <w:rFonts w:ascii="宋体" w:hAnsi="宋体" w:eastAsia="宋体" w:cs="宋体"/>
          <w:spacing w:val="-1"/>
          <w:sz w:val="21"/>
          <w:szCs w:val="21"/>
        </w:rPr>
        <w:t>业名单；</w:t>
      </w:r>
    </w:p>
    <w:p w14:paraId="37BEDA1E">
      <w:pPr>
        <w:spacing w:before="149" w:line="283" w:lineRule="auto"/>
        <w:ind w:left="29" w:right="79" w:firstLine="314"/>
        <w:rPr>
          <w:rFonts w:ascii="宋体" w:hAnsi="宋体" w:eastAsia="宋体" w:cs="宋体"/>
          <w:sz w:val="21"/>
          <w:szCs w:val="21"/>
        </w:rPr>
      </w:pPr>
      <w:r>
        <w:rPr>
          <w:rFonts w:ascii="宋体" w:hAnsi="宋体" w:eastAsia="宋体" w:cs="宋体"/>
          <w:spacing w:val="15"/>
          <w:sz w:val="21"/>
          <w:szCs w:val="21"/>
        </w:rPr>
        <w:t>（</w:t>
      </w:r>
      <w:r>
        <w:rPr>
          <w:rFonts w:ascii="Times New Roman" w:hAnsi="Times New Roman" w:eastAsia="Times New Roman" w:cs="Times New Roman"/>
          <w:spacing w:val="15"/>
          <w:sz w:val="21"/>
          <w:szCs w:val="21"/>
        </w:rPr>
        <w:t>14</w:t>
      </w:r>
      <w:r>
        <w:rPr>
          <w:rFonts w:ascii="宋体" w:hAnsi="宋体" w:eastAsia="宋体" w:cs="宋体"/>
          <w:spacing w:val="15"/>
          <w:sz w:val="21"/>
          <w:szCs w:val="21"/>
        </w:rPr>
        <w:t>）</w:t>
      </w:r>
      <w:r>
        <w:rPr>
          <w:rFonts w:ascii="宋体" w:hAnsi="宋体" w:eastAsia="宋体" w:cs="宋体"/>
          <w:spacing w:val="-43"/>
          <w:sz w:val="21"/>
          <w:szCs w:val="21"/>
        </w:rPr>
        <w:t xml:space="preserve"> </w:t>
      </w:r>
      <w:r>
        <w:rPr>
          <w:rFonts w:ascii="宋体" w:hAnsi="宋体" w:eastAsia="宋体" w:cs="宋体"/>
          <w:spacing w:val="15"/>
          <w:sz w:val="21"/>
          <w:szCs w:val="21"/>
        </w:rPr>
        <w:t>在“信用中国”网站（</w:t>
      </w:r>
      <w:r>
        <w:fldChar w:fldCharType="begin"/>
      </w:r>
      <w:r>
        <w:instrText xml:space="preserve"> HYPERLINK "http://www.creditchina.gov.cn/" </w:instrText>
      </w:r>
      <w:r>
        <w:fldChar w:fldCharType="separate"/>
      </w:r>
      <w:r>
        <w:rPr>
          <w:rFonts w:ascii="Times New Roman" w:hAnsi="Times New Roman" w:eastAsia="Times New Roman" w:cs="Times New Roman"/>
          <w:sz w:val="21"/>
          <w:szCs w:val="21"/>
        </w:rPr>
        <w:t>www</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creditchina</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gov</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rPr>
        <w:fldChar w:fldCharType="end"/>
      </w:r>
      <w:r>
        <w:rPr>
          <w:rFonts w:ascii="宋体" w:hAnsi="宋体" w:eastAsia="宋体" w:cs="宋体"/>
          <w:spacing w:val="15"/>
          <w:sz w:val="21"/>
          <w:szCs w:val="21"/>
        </w:rPr>
        <w:t>）</w:t>
      </w:r>
      <w:r>
        <w:rPr>
          <w:rFonts w:ascii="宋体" w:hAnsi="宋体" w:eastAsia="宋体" w:cs="宋体"/>
          <w:spacing w:val="-55"/>
          <w:sz w:val="21"/>
          <w:szCs w:val="21"/>
        </w:rPr>
        <w:t xml:space="preserve"> </w:t>
      </w:r>
      <w:r>
        <w:rPr>
          <w:rFonts w:ascii="宋体" w:hAnsi="宋体" w:eastAsia="宋体" w:cs="宋体"/>
          <w:spacing w:val="15"/>
          <w:sz w:val="21"/>
          <w:szCs w:val="21"/>
        </w:rPr>
        <w:t>或“中国执行信息公开网”</w:t>
      </w:r>
      <w:r>
        <w:rPr>
          <w:rFonts w:ascii="宋体" w:hAnsi="宋体" w:eastAsia="宋体" w:cs="宋体"/>
          <w:sz w:val="21"/>
          <w:szCs w:val="21"/>
        </w:rPr>
        <w:t xml:space="preserve"> （</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w:t>
      </w:r>
      <w:r>
        <w:rPr>
          <w:rFonts w:ascii="Times New Roman" w:hAnsi="Times New Roman" w:eastAsia="Times New Roman" w:cs="Times New Roman"/>
          <w:spacing w:val="-1"/>
          <w:sz w:val="21"/>
          <w:szCs w:val="21"/>
        </w:rPr>
        <w:t>.cn/shixin/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 被列入失信被执行人名单；</w:t>
      </w:r>
    </w:p>
    <w:p w14:paraId="1C7B2F43">
      <w:pPr>
        <w:spacing w:before="15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15</w:t>
      </w:r>
      <w:r>
        <w:rPr>
          <w:rFonts w:ascii="宋体" w:hAnsi="宋体" w:eastAsia="宋体" w:cs="宋体"/>
          <w:spacing w:val="-1"/>
          <w:sz w:val="21"/>
          <w:szCs w:val="21"/>
        </w:rPr>
        <w:t>）在辽宁省农业农村工程招标投标监管平台被列入不良行为记录且在公布期内的；</w:t>
      </w:r>
    </w:p>
    <w:p w14:paraId="6C750954">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）法律法规规定的其他情形。</w:t>
      </w:r>
    </w:p>
    <w:p w14:paraId="1E7D85F2">
      <w:pPr>
        <w:spacing w:before="77" w:line="233" w:lineRule="auto"/>
        <w:ind w:left="160"/>
        <w:outlineLvl w:val="2"/>
        <w:rPr>
          <w:rFonts w:ascii="黑体" w:hAnsi="黑体" w:eastAsia="黑体" w:cs="黑体"/>
          <w:sz w:val="24"/>
          <w:szCs w:val="24"/>
        </w:rPr>
      </w:pPr>
      <w:bookmarkStart w:id="39" w:name="bookmark27"/>
      <w:bookmarkEnd w:id="39"/>
      <w:r>
        <w:rPr>
          <w:rFonts w:ascii="Times New Roman" w:hAnsi="Times New Roman" w:eastAsia="Times New Roman" w:cs="Times New Roman"/>
          <w:spacing w:val="-6"/>
          <w:sz w:val="24"/>
          <w:szCs w:val="24"/>
        </w:rPr>
        <w:t>1.5</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费用承担</w:t>
      </w:r>
    </w:p>
    <w:p w14:paraId="42EAEF68">
      <w:pPr>
        <w:spacing w:before="115" w:line="221" w:lineRule="auto"/>
        <w:ind w:left="445"/>
        <w:rPr>
          <w:rFonts w:ascii="宋体" w:hAnsi="宋体" w:eastAsia="宋体" w:cs="宋体"/>
          <w:sz w:val="21"/>
          <w:szCs w:val="21"/>
        </w:rPr>
      </w:pPr>
      <w:r>
        <w:rPr>
          <w:rFonts w:ascii="宋体" w:hAnsi="宋体" w:eastAsia="宋体" w:cs="宋体"/>
          <w:spacing w:val="-2"/>
          <w:sz w:val="21"/>
          <w:szCs w:val="21"/>
        </w:rPr>
        <w:t>投标人准备和参加投标活动发生的费用自理。</w:t>
      </w:r>
    </w:p>
    <w:p w14:paraId="52BA11B0">
      <w:pPr>
        <w:spacing w:before="91" w:line="232" w:lineRule="auto"/>
        <w:ind w:left="160"/>
        <w:outlineLvl w:val="2"/>
        <w:rPr>
          <w:rFonts w:ascii="黑体" w:hAnsi="黑体" w:eastAsia="黑体" w:cs="黑体"/>
          <w:sz w:val="24"/>
          <w:szCs w:val="24"/>
        </w:rPr>
      </w:pPr>
      <w:bookmarkStart w:id="40" w:name="bookmark28"/>
      <w:bookmarkEnd w:id="40"/>
      <w:r>
        <w:rPr>
          <w:rFonts w:ascii="Times New Roman" w:hAnsi="Times New Roman" w:eastAsia="Times New Roman" w:cs="Times New Roman"/>
          <w:spacing w:val="-7"/>
          <w:sz w:val="24"/>
          <w:szCs w:val="24"/>
        </w:rPr>
        <w:t>1.6</w:t>
      </w:r>
      <w:r>
        <w:rPr>
          <w:rFonts w:ascii="Times New Roman" w:hAnsi="Times New Roman" w:eastAsia="Times New Roman" w:cs="Times New Roman"/>
          <w:spacing w:val="4"/>
          <w:sz w:val="24"/>
          <w:szCs w:val="24"/>
        </w:rPr>
        <w:t xml:space="preserve">  </w:t>
      </w:r>
      <w:r>
        <w:rPr>
          <w:rFonts w:ascii="黑体" w:hAnsi="黑体" w:eastAsia="黑体" w:cs="黑体"/>
          <w:spacing w:val="-7"/>
          <w:sz w:val="24"/>
          <w:szCs w:val="24"/>
        </w:rPr>
        <w:t>保密</w:t>
      </w:r>
    </w:p>
    <w:p w14:paraId="023E4D16">
      <w:pPr>
        <w:spacing w:before="114" w:line="327" w:lineRule="auto"/>
        <w:ind w:left="22" w:right="182" w:firstLine="421"/>
        <w:rPr>
          <w:rFonts w:ascii="宋体" w:hAnsi="宋体" w:eastAsia="宋体" w:cs="宋体"/>
          <w:sz w:val="21"/>
          <w:szCs w:val="21"/>
        </w:rPr>
      </w:pPr>
      <w:r>
        <w:rPr>
          <w:rFonts w:ascii="宋体" w:hAnsi="宋体" w:eastAsia="宋体" w:cs="宋体"/>
          <w:spacing w:val="3"/>
          <w:sz w:val="21"/>
          <w:szCs w:val="21"/>
        </w:rPr>
        <w:t>参与招标投标活动的各方应对招标文件和投标文件中的商业和技术等秘</w:t>
      </w:r>
      <w:r>
        <w:rPr>
          <w:rFonts w:ascii="宋体" w:hAnsi="宋体" w:eastAsia="宋体" w:cs="宋体"/>
          <w:spacing w:val="2"/>
          <w:sz w:val="21"/>
          <w:szCs w:val="21"/>
        </w:rPr>
        <w:t>密保密，否则</w:t>
      </w:r>
      <w:r>
        <w:rPr>
          <w:rFonts w:ascii="宋体" w:hAnsi="宋体" w:eastAsia="宋体" w:cs="宋体"/>
          <w:spacing w:val="-2"/>
          <w:sz w:val="21"/>
          <w:szCs w:val="21"/>
        </w:rPr>
        <w:t>应承担相应的法律责任。</w:t>
      </w:r>
    </w:p>
    <w:p w14:paraId="3F8FA767">
      <w:pPr>
        <w:spacing w:before="1" w:line="232" w:lineRule="auto"/>
        <w:ind w:left="160"/>
        <w:outlineLvl w:val="2"/>
        <w:rPr>
          <w:rFonts w:ascii="黑体" w:hAnsi="黑体" w:eastAsia="黑体" w:cs="黑体"/>
          <w:sz w:val="24"/>
          <w:szCs w:val="24"/>
        </w:rPr>
      </w:pPr>
      <w:bookmarkStart w:id="41" w:name="bookmark29"/>
      <w:bookmarkEnd w:id="41"/>
      <w:r>
        <w:rPr>
          <w:rFonts w:ascii="Times New Roman" w:hAnsi="Times New Roman" w:eastAsia="Times New Roman" w:cs="Times New Roman"/>
          <w:spacing w:val="-3"/>
          <w:sz w:val="24"/>
          <w:szCs w:val="24"/>
        </w:rPr>
        <w:t xml:space="preserve">1.7  </w:t>
      </w:r>
      <w:r>
        <w:rPr>
          <w:rFonts w:ascii="黑体" w:hAnsi="黑体" w:eastAsia="黑体" w:cs="黑体"/>
          <w:spacing w:val="-3"/>
          <w:sz w:val="24"/>
          <w:szCs w:val="24"/>
        </w:rPr>
        <w:t>语言文字</w:t>
      </w:r>
    </w:p>
    <w:p w14:paraId="4E880047">
      <w:pPr>
        <w:spacing w:before="115" w:line="220" w:lineRule="auto"/>
        <w:ind w:left="443"/>
        <w:rPr>
          <w:rFonts w:ascii="宋体" w:hAnsi="宋体" w:eastAsia="宋体" w:cs="宋体"/>
          <w:sz w:val="21"/>
          <w:szCs w:val="21"/>
        </w:rPr>
      </w:pPr>
      <w:r>
        <w:rPr>
          <w:rFonts w:ascii="宋体" w:hAnsi="宋体" w:eastAsia="宋体" w:cs="宋体"/>
          <w:spacing w:val="-1"/>
          <w:sz w:val="21"/>
          <w:szCs w:val="21"/>
        </w:rPr>
        <w:t>招标投标文件使用的语言文字为中文。专用术语使用外文的，应附有中文注释。</w:t>
      </w:r>
    </w:p>
    <w:p w14:paraId="41384FCC">
      <w:pPr>
        <w:spacing w:before="93" w:line="233" w:lineRule="auto"/>
        <w:ind w:left="160"/>
        <w:outlineLvl w:val="2"/>
        <w:rPr>
          <w:rFonts w:ascii="黑体" w:hAnsi="黑体" w:eastAsia="黑体" w:cs="黑体"/>
          <w:sz w:val="24"/>
          <w:szCs w:val="24"/>
        </w:rPr>
      </w:pPr>
      <w:bookmarkStart w:id="42" w:name="bookmark30"/>
      <w:bookmarkEnd w:id="42"/>
      <w:r>
        <w:rPr>
          <w:rFonts w:ascii="Times New Roman" w:hAnsi="Times New Roman" w:eastAsia="Times New Roman" w:cs="Times New Roman"/>
          <w:spacing w:val="-6"/>
          <w:sz w:val="24"/>
          <w:szCs w:val="24"/>
        </w:rPr>
        <w:t>1.8</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计量单位</w:t>
      </w:r>
    </w:p>
    <w:p w14:paraId="5E1513E6">
      <w:pPr>
        <w:spacing w:before="113" w:line="220" w:lineRule="auto"/>
        <w:ind w:left="442"/>
        <w:rPr>
          <w:rFonts w:ascii="宋体" w:hAnsi="宋体" w:eastAsia="宋体" w:cs="宋体"/>
          <w:sz w:val="21"/>
          <w:szCs w:val="21"/>
        </w:rPr>
      </w:pPr>
      <w:r>
        <w:rPr>
          <w:rFonts w:ascii="宋体" w:hAnsi="宋体" w:eastAsia="宋体" w:cs="宋体"/>
          <w:spacing w:val="-1"/>
          <w:sz w:val="21"/>
          <w:szCs w:val="21"/>
        </w:rPr>
        <w:t>所有计量均采用中华人民共和国法定计量单位。</w:t>
      </w:r>
    </w:p>
    <w:p w14:paraId="049383B7">
      <w:pPr>
        <w:spacing w:before="92" w:line="233" w:lineRule="auto"/>
        <w:ind w:left="160"/>
        <w:outlineLvl w:val="2"/>
        <w:rPr>
          <w:rFonts w:ascii="黑体" w:hAnsi="黑体" w:eastAsia="黑体" w:cs="黑体"/>
          <w:sz w:val="24"/>
          <w:szCs w:val="24"/>
        </w:rPr>
      </w:pPr>
      <w:bookmarkStart w:id="43" w:name="bookmark31"/>
      <w:bookmarkEnd w:id="43"/>
      <w:r>
        <w:rPr>
          <w:rFonts w:ascii="Times New Roman" w:hAnsi="Times New Roman" w:eastAsia="Times New Roman" w:cs="Times New Roman"/>
          <w:spacing w:val="-6"/>
          <w:sz w:val="24"/>
          <w:szCs w:val="24"/>
        </w:rPr>
        <w:t>1.9</w:t>
      </w:r>
      <w:r>
        <w:rPr>
          <w:rFonts w:ascii="Times New Roman" w:hAnsi="Times New Roman" w:eastAsia="Times New Roman" w:cs="Times New Roman"/>
          <w:spacing w:val="7"/>
          <w:sz w:val="24"/>
          <w:szCs w:val="24"/>
        </w:rPr>
        <w:t xml:space="preserve">  </w:t>
      </w:r>
      <w:r>
        <w:rPr>
          <w:rFonts w:ascii="黑体" w:hAnsi="黑体" w:eastAsia="黑体" w:cs="黑体"/>
          <w:spacing w:val="-6"/>
          <w:sz w:val="24"/>
          <w:szCs w:val="24"/>
        </w:rPr>
        <w:t>踏勘现场</w:t>
      </w:r>
    </w:p>
    <w:p w14:paraId="61DDA068">
      <w:pPr>
        <w:spacing w:before="116" w:line="234" w:lineRule="auto"/>
        <w:jc w:val="right"/>
        <w:rPr>
          <w:rFonts w:ascii="宋体" w:hAnsi="宋体" w:eastAsia="宋体" w:cs="宋体"/>
          <w:sz w:val="21"/>
          <w:szCs w:val="21"/>
        </w:rPr>
      </w:pPr>
      <w:r>
        <w:rPr>
          <w:rFonts w:ascii="Times New Roman" w:hAnsi="Times New Roman" w:eastAsia="Times New Roman" w:cs="Times New Roman"/>
          <w:spacing w:val="-1"/>
          <w:sz w:val="21"/>
          <w:szCs w:val="21"/>
        </w:rPr>
        <w:t xml:space="preserve">1.9.1  </w:t>
      </w:r>
      <w:r>
        <w:rPr>
          <w:rFonts w:ascii="宋体" w:hAnsi="宋体" w:eastAsia="宋体" w:cs="宋体"/>
          <w:spacing w:val="-1"/>
          <w:sz w:val="21"/>
          <w:szCs w:val="21"/>
        </w:rPr>
        <w:t>投标人须知前附表规定组织踏勘现场的，招标人按投标人须知前附表规定的时间、</w:t>
      </w:r>
    </w:p>
    <w:p w14:paraId="3DDBE42D">
      <w:pPr>
        <w:spacing w:line="234" w:lineRule="auto"/>
        <w:rPr>
          <w:rFonts w:ascii="宋体" w:hAnsi="宋体" w:eastAsia="宋体" w:cs="宋体"/>
          <w:sz w:val="21"/>
          <w:szCs w:val="21"/>
        </w:rPr>
        <w:sectPr>
          <w:footerReference r:id="rId26" w:type="default"/>
          <w:pgSz w:w="11905" w:h="16843"/>
          <w:pgMar w:top="969" w:right="1355" w:bottom="1026" w:left="1480" w:header="0" w:footer="754" w:gutter="0"/>
          <w:cols w:space="0" w:num="1"/>
          <w:rtlGutter w:val="0"/>
          <w:docGrid w:linePitch="0" w:charSpace="0"/>
        </w:sectPr>
      </w:pPr>
    </w:p>
    <w:p w14:paraId="782ED756">
      <w:pPr>
        <w:spacing w:before="148" w:line="221" w:lineRule="auto"/>
        <w:ind w:left="22"/>
        <w:rPr>
          <w:rFonts w:ascii="宋体" w:hAnsi="宋体" w:eastAsia="宋体" w:cs="宋体"/>
          <w:sz w:val="21"/>
          <w:szCs w:val="21"/>
        </w:rPr>
      </w:pPr>
      <w:bookmarkStart w:id="44" w:name="bookmark490"/>
      <w:bookmarkEnd w:id="44"/>
      <w:r>
        <w:rPr>
          <w:rFonts w:ascii="宋体" w:hAnsi="宋体" w:eastAsia="宋体" w:cs="宋体"/>
          <w:spacing w:val="-2"/>
          <w:sz w:val="21"/>
          <w:szCs w:val="21"/>
        </w:rPr>
        <w:t>地点组织投标人踏勘项目现场。</w:t>
      </w:r>
    </w:p>
    <w:p w14:paraId="3261F52B">
      <w:pPr>
        <w:spacing w:before="148" w:line="234" w:lineRule="auto"/>
        <w:ind w:left="459"/>
        <w:rPr>
          <w:rFonts w:ascii="宋体" w:hAnsi="宋体" w:eastAsia="宋体" w:cs="宋体"/>
          <w:sz w:val="21"/>
          <w:szCs w:val="21"/>
        </w:rPr>
      </w:pPr>
      <w:r>
        <w:rPr>
          <w:rFonts w:ascii="Times New Roman" w:hAnsi="Times New Roman" w:eastAsia="Times New Roman" w:cs="Times New Roman"/>
          <w:spacing w:val="-1"/>
          <w:sz w:val="21"/>
          <w:szCs w:val="21"/>
        </w:rPr>
        <w:t xml:space="preserve">1.9.2  </w:t>
      </w:r>
      <w:r>
        <w:rPr>
          <w:rFonts w:ascii="宋体" w:hAnsi="宋体" w:eastAsia="宋体" w:cs="宋体"/>
          <w:spacing w:val="-1"/>
          <w:sz w:val="21"/>
          <w:szCs w:val="21"/>
        </w:rPr>
        <w:t>投标人踏勘现场发生的费用自理。</w:t>
      </w:r>
    </w:p>
    <w:p w14:paraId="410F235F">
      <w:pPr>
        <w:spacing w:before="134" w:line="234" w:lineRule="auto"/>
        <w:jc w:val="right"/>
        <w:rPr>
          <w:rFonts w:ascii="宋体" w:hAnsi="宋体" w:eastAsia="宋体" w:cs="宋体"/>
          <w:sz w:val="21"/>
          <w:szCs w:val="21"/>
        </w:rPr>
      </w:pPr>
      <w:r>
        <w:rPr>
          <w:rFonts w:ascii="Times New Roman" w:hAnsi="Times New Roman" w:eastAsia="Times New Roman" w:cs="Times New Roman"/>
          <w:spacing w:val="-1"/>
          <w:sz w:val="21"/>
          <w:szCs w:val="21"/>
        </w:rPr>
        <w:t xml:space="preserve">1.9.3  </w:t>
      </w:r>
      <w:r>
        <w:rPr>
          <w:rFonts w:ascii="宋体" w:hAnsi="宋体" w:eastAsia="宋体" w:cs="宋体"/>
          <w:spacing w:val="-1"/>
          <w:sz w:val="21"/>
          <w:szCs w:val="21"/>
        </w:rPr>
        <w:t>除招标人的原因外，投标人自行负责在踏勘现场中所发生的人员伤亡和财产损失。</w:t>
      </w:r>
    </w:p>
    <w:p w14:paraId="47F41DEB">
      <w:pPr>
        <w:spacing w:before="134" w:line="285" w:lineRule="auto"/>
        <w:ind w:left="23" w:right="179" w:firstLine="435"/>
        <w:rPr>
          <w:rFonts w:ascii="宋体" w:hAnsi="宋体" w:eastAsia="宋体" w:cs="宋体"/>
          <w:sz w:val="21"/>
          <w:szCs w:val="21"/>
        </w:rPr>
      </w:pPr>
      <w:r>
        <w:rPr>
          <w:rFonts w:ascii="Times New Roman" w:hAnsi="Times New Roman" w:eastAsia="Times New Roman" w:cs="Times New Roman"/>
          <w:sz w:val="21"/>
          <w:szCs w:val="21"/>
        </w:rPr>
        <w:t xml:space="preserve">1.9.4  </w:t>
      </w:r>
      <w:r>
        <w:rPr>
          <w:rFonts w:ascii="宋体" w:hAnsi="宋体" w:eastAsia="宋体" w:cs="宋体"/>
          <w:sz w:val="21"/>
          <w:szCs w:val="21"/>
        </w:rPr>
        <w:t>招标人在踏勘现场中介绍的工程场地和相关的周边环境</w:t>
      </w:r>
      <w:r>
        <w:rPr>
          <w:rFonts w:ascii="宋体" w:hAnsi="宋体" w:eastAsia="宋体" w:cs="宋体"/>
          <w:spacing w:val="-1"/>
          <w:sz w:val="21"/>
          <w:szCs w:val="21"/>
        </w:rPr>
        <w:t>情况，供投标人在编制投</w:t>
      </w:r>
      <w:r>
        <w:rPr>
          <w:rFonts w:ascii="宋体" w:hAnsi="宋体" w:eastAsia="宋体" w:cs="宋体"/>
          <w:sz w:val="21"/>
          <w:szCs w:val="21"/>
        </w:rPr>
        <w:t>标文件时参考，招标人不对投标人据此作出的判断和决</w:t>
      </w:r>
      <w:r>
        <w:rPr>
          <w:rFonts w:ascii="宋体" w:hAnsi="宋体" w:eastAsia="宋体" w:cs="宋体"/>
          <w:spacing w:val="-1"/>
          <w:sz w:val="21"/>
          <w:szCs w:val="21"/>
        </w:rPr>
        <w:t>策负责。</w:t>
      </w:r>
    </w:p>
    <w:p w14:paraId="0A21637C">
      <w:pPr>
        <w:spacing w:before="91" w:line="233" w:lineRule="auto"/>
        <w:ind w:left="160"/>
        <w:outlineLvl w:val="2"/>
        <w:rPr>
          <w:rFonts w:ascii="黑体" w:hAnsi="黑体" w:eastAsia="黑体" w:cs="黑体"/>
          <w:sz w:val="24"/>
          <w:szCs w:val="24"/>
        </w:rPr>
      </w:pPr>
      <w:bookmarkStart w:id="45" w:name="bookmark32"/>
      <w:bookmarkEnd w:id="45"/>
      <w:r>
        <w:rPr>
          <w:rFonts w:ascii="Times New Roman" w:hAnsi="Times New Roman" w:eastAsia="Times New Roman" w:cs="Times New Roman"/>
          <w:spacing w:val="-3"/>
          <w:sz w:val="24"/>
          <w:szCs w:val="24"/>
        </w:rPr>
        <w:t xml:space="preserve">1.10  </w:t>
      </w:r>
      <w:r>
        <w:rPr>
          <w:rFonts w:ascii="黑体" w:hAnsi="黑体" w:eastAsia="黑体" w:cs="黑体"/>
          <w:spacing w:val="-3"/>
          <w:sz w:val="24"/>
          <w:szCs w:val="24"/>
        </w:rPr>
        <w:t>投标预备会</w:t>
      </w:r>
    </w:p>
    <w:p w14:paraId="1B1DEA00">
      <w:pPr>
        <w:spacing w:before="116" w:line="286" w:lineRule="auto"/>
        <w:ind w:left="32" w:right="189" w:firstLine="426"/>
        <w:rPr>
          <w:rFonts w:ascii="宋体" w:hAnsi="宋体" w:eastAsia="宋体" w:cs="宋体"/>
          <w:sz w:val="21"/>
          <w:szCs w:val="21"/>
        </w:rPr>
      </w:pPr>
      <w:r>
        <w:rPr>
          <w:rFonts w:ascii="Times New Roman" w:hAnsi="Times New Roman" w:eastAsia="Times New Roman" w:cs="Times New Roman"/>
          <w:spacing w:val="2"/>
          <w:sz w:val="21"/>
          <w:szCs w:val="21"/>
        </w:rPr>
        <w:t xml:space="preserve">1.10.1  </w:t>
      </w:r>
      <w:r>
        <w:rPr>
          <w:rFonts w:ascii="宋体" w:hAnsi="宋体" w:eastAsia="宋体" w:cs="宋体"/>
          <w:spacing w:val="2"/>
          <w:sz w:val="21"/>
          <w:szCs w:val="21"/>
        </w:rPr>
        <w:t>投标人须知前附表规定召开投标预备会的，招标人按投标人须知前附表规定的</w:t>
      </w:r>
      <w:r>
        <w:rPr>
          <w:rFonts w:ascii="宋体" w:hAnsi="宋体" w:eastAsia="宋体" w:cs="宋体"/>
          <w:spacing w:val="-2"/>
          <w:sz w:val="21"/>
          <w:szCs w:val="21"/>
        </w:rPr>
        <w:t>时间和地点召开投标预备会，澄清投标人提出的问题。</w:t>
      </w:r>
    </w:p>
    <w:p w14:paraId="555E0C40">
      <w:pPr>
        <w:spacing w:before="149" w:line="286" w:lineRule="auto"/>
        <w:ind w:left="23" w:right="189" w:firstLine="435"/>
        <w:rPr>
          <w:rFonts w:ascii="宋体" w:hAnsi="宋体" w:eastAsia="宋体" w:cs="宋体"/>
          <w:sz w:val="21"/>
          <w:szCs w:val="21"/>
        </w:rPr>
      </w:pPr>
      <w:r>
        <w:rPr>
          <w:rFonts w:ascii="Times New Roman" w:hAnsi="Times New Roman" w:eastAsia="Times New Roman" w:cs="Times New Roman"/>
          <w:spacing w:val="2"/>
          <w:sz w:val="21"/>
          <w:szCs w:val="21"/>
        </w:rPr>
        <w:t xml:space="preserve">1.10.2  </w:t>
      </w:r>
      <w:r>
        <w:rPr>
          <w:rFonts w:ascii="宋体" w:hAnsi="宋体" w:eastAsia="宋体" w:cs="宋体"/>
          <w:spacing w:val="2"/>
          <w:sz w:val="21"/>
          <w:szCs w:val="21"/>
        </w:rPr>
        <w:t>在投标人须知前附表规定的时间前，投标人应通过电子交易系统以书面形式将</w:t>
      </w:r>
      <w:r>
        <w:rPr>
          <w:rFonts w:ascii="宋体" w:hAnsi="宋体" w:eastAsia="宋体" w:cs="宋体"/>
          <w:spacing w:val="-1"/>
          <w:sz w:val="21"/>
          <w:szCs w:val="21"/>
        </w:rPr>
        <w:t>提出的问题送达招标人，以便招标人在会议期间澄清。</w:t>
      </w:r>
    </w:p>
    <w:p w14:paraId="649DC852">
      <w:pPr>
        <w:spacing w:before="150" w:line="308" w:lineRule="auto"/>
        <w:ind w:left="23" w:right="187" w:firstLine="435"/>
        <w:rPr>
          <w:rFonts w:ascii="宋体" w:hAnsi="宋体" w:eastAsia="宋体" w:cs="宋体"/>
          <w:sz w:val="21"/>
          <w:szCs w:val="21"/>
        </w:rPr>
      </w:pPr>
      <w:r>
        <w:rPr>
          <w:rFonts w:ascii="Times New Roman" w:hAnsi="Times New Roman" w:eastAsia="Times New Roman" w:cs="Times New Roman"/>
          <w:spacing w:val="2"/>
          <w:sz w:val="21"/>
          <w:szCs w:val="21"/>
        </w:rPr>
        <w:t xml:space="preserve">1.10.3  </w:t>
      </w:r>
      <w:r>
        <w:rPr>
          <w:rFonts w:ascii="宋体" w:hAnsi="宋体" w:eastAsia="宋体" w:cs="宋体"/>
          <w:spacing w:val="2"/>
          <w:sz w:val="21"/>
          <w:szCs w:val="21"/>
        </w:rPr>
        <w:t>投标预备会后，招标人将对投标人所提问题的澄清，以投标人须知前附表规定</w:t>
      </w:r>
      <w:r>
        <w:rPr>
          <w:rFonts w:ascii="宋体" w:hAnsi="宋体" w:eastAsia="宋体" w:cs="宋体"/>
          <w:spacing w:val="3"/>
          <w:sz w:val="21"/>
          <w:szCs w:val="21"/>
        </w:rPr>
        <w:t>的时间内以书面形式通过法定公告公示信息发布媒介、</w:t>
      </w:r>
      <w:r>
        <w:rPr>
          <w:rFonts w:ascii="宋体" w:hAnsi="宋体" w:eastAsia="宋体" w:cs="宋体"/>
          <w:spacing w:val="2"/>
          <w:sz w:val="21"/>
          <w:szCs w:val="21"/>
        </w:rPr>
        <w:t>电子交易系统等渠道通知所有下载</w:t>
      </w:r>
      <w:r>
        <w:rPr>
          <w:rFonts w:ascii="宋体" w:hAnsi="宋体" w:eastAsia="宋体" w:cs="宋体"/>
          <w:spacing w:val="-1"/>
          <w:sz w:val="21"/>
          <w:szCs w:val="21"/>
        </w:rPr>
        <w:t>招标文件的投标人。该澄清内容为招标文件的组成部分。</w:t>
      </w:r>
    </w:p>
    <w:p w14:paraId="63009067">
      <w:pPr>
        <w:spacing w:before="92" w:line="233" w:lineRule="auto"/>
        <w:ind w:left="160"/>
        <w:outlineLvl w:val="2"/>
        <w:rPr>
          <w:rFonts w:ascii="黑体" w:hAnsi="黑体" w:eastAsia="黑体" w:cs="黑体"/>
          <w:sz w:val="24"/>
          <w:szCs w:val="24"/>
        </w:rPr>
      </w:pPr>
      <w:bookmarkStart w:id="46" w:name="bookmark33"/>
      <w:bookmarkEnd w:id="46"/>
      <w:r>
        <w:rPr>
          <w:rFonts w:ascii="Times New Roman" w:hAnsi="Times New Roman" w:eastAsia="Times New Roman" w:cs="Times New Roman"/>
          <w:spacing w:val="-8"/>
          <w:sz w:val="24"/>
          <w:szCs w:val="24"/>
        </w:rPr>
        <w:t>1.11</w:t>
      </w:r>
      <w:r>
        <w:rPr>
          <w:rFonts w:ascii="Times New Roman" w:hAnsi="Times New Roman" w:eastAsia="Times New Roman" w:cs="Times New Roman"/>
          <w:spacing w:val="8"/>
          <w:sz w:val="24"/>
          <w:szCs w:val="24"/>
        </w:rPr>
        <w:t xml:space="preserve">  </w:t>
      </w:r>
      <w:r>
        <w:rPr>
          <w:rFonts w:ascii="黑体" w:hAnsi="黑体" w:eastAsia="黑体" w:cs="黑体"/>
          <w:spacing w:val="-8"/>
          <w:sz w:val="24"/>
          <w:szCs w:val="24"/>
        </w:rPr>
        <w:t>分包</w:t>
      </w:r>
    </w:p>
    <w:p w14:paraId="2D659395">
      <w:pPr>
        <w:spacing w:before="115" w:line="285" w:lineRule="auto"/>
        <w:ind w:left="36" w:right="179" w:firstLine="423"/>
        <w:rPr>
          <w:rFonts w:ascii="宋体" w:hAnsi="宋体" w:eastAsia="宋体" w:cs="宋体"/>
          <w:sz w:val="21"/>
          <w:szCs w:val="21"/>
        </w:rPr>
      </w:pPr>
      <w:r>
        <w:rPr>
          <w:rFonts w:ascii="Times New Roman" w:hAnsi="Times New Roman" w:eastAsia="Times New Roman" w:cs="Times New Roman"/>
          <w:spacing w:val="2"/>
          <w:sz w:val="21"/>
          <w:szCs w:val="21"/>
        </w:rPr>
        <w:t xml:space="preserve">1.11.1  </w:t>
      </w:r>
      <w:r>
        <w:rPr>
          <w:rFonts w:ascii="宋体" w:hAnsi="宋体" w:eastAsia="宋体" w:cs="宋体"/>
          <w:spacing w:val="2"/>
          <w:sz w:val="21"/>
          <w:szCs w:val="21"/>
        </w:rPr>
        <w:t>投标人须知前附表规定应当由分包人实施的非主体、非关键性工作，投标人应</w:t>
      </w:r>
      <w:r>
        <w:rPr>
          <w:rFonts w:ascii="宋体" w:hAnsi="宋体" w:eastAsia="宋体" w:cs="宋体"/>
          <w:spacing w:val="-1"/>
          <w:sz w:val="21"/>
          <w:szCs w:val="21"/>
        </w:rPr>
        <w:t>当按照第五章“发包人要求”的规定提供分包人</w:t>
      </w:r>
      <w:r>
        <w:rPr>
          <w:rFonts w:hint="eastAsia" w:ascii="宋体" w:hAnsi="宋体" w:eastAsia="宋体" w:cs="宋体"/>
          <w:spacing w:val="-1"/>
          <w:sz w:val="21"/>
          <w:szCs w:val="21"/>
          <w:lang w:eastAsia="zh-CN"/>
        </w:rPr>
        <w:t>候选</w:t>
      </w:r>
      <w:r>
        <w:rPr>
          <w:rFonts w:ascii="宋体" w:hAnsi="宋体" w:eastAsia="宋体" w:cs="宋体"/>
          <w:spacing w:val="-1"/>
          <w:sz w:val="21"/>
          <w:szCs w:val="21"/>
        </w:rPr>
        <w:t>名单及其相应资料。</w:t>
      </w:r>
    </w:p>
    <w:p w14:paraId="5E027AF1">
      <w:pPr>
        <w:spacing w:before="152" w:line="286" w:lineRule="auto"/>
        <w:ind w:left="23" w:right="179" w:firstLine="435"/>
        <w:rPr>
          <w:rFonts w:ascii="宋体" w:hAnsi="宋体" w:eastAsia="宋体" w:cs="宋体"/>
          <w:sz w:val="21"/>
          <w:szCs w:val="21"/>
        </w:rPr>
      </w:pPr>
      <w:r>
        <w:rPr>
          <w:rFonts w:ascii="Times New Roman" w:hAnsi="Times New Roman" w:eastAsia="Times New Roman" w:cs="Times New Roman"/>
          <w:spacing w:val="2"/>
          <w:sz w:val="21"/>
          <w:szCs w:val="21"/>
        </w:rPr>
        <w:t xml:space="preserve">1.11.2  </w:t>
      </w:r>
      <w:r>
        <w:rPr>
          <w:rFonts w:ascii="宋体" w:hAnsi="宋体" w:eastAsia="宋体" w:cs="宋体"/>
          <w:spacing w:val="2"/>
          <w:sz w:val="21"/>
          <w:szCs w:val="21"/>
        </w:rPr>
        <w:t>投标人拟在中标后将中标项目的部分非主体、非关键性工作进行分包的，应符</w:t>
      </w:r>
      <w:r>
        <w:rPr>
          <w:rFonts w:ascii="宋体" w:hAnsi="宋体" w:eastAsia="宋体" w:cs="宋体"/>
          <w:spacing w:val="-1"/>
          <w:sz w:val="21"/>
          <w:szCs w:val="21"/>
        </w:rPr>
        <w:t>合投标人须知前附表规定的分包内容、分包金额和资质要求等限制性条件。</w:t>
      </w:r>
    </w:p>
    <w:p w14:paraId="091081D2">
      <w:pPr>
        <w:spacing w:before="92" w:line="233" w:lineRule="auto"/>
        <w:ind w:left="160"/>
        <w:outlineLvl w:val="2"/>
        <w:rPr>
          <w:rFonts w:ascii="黑体" w:hAnsi="黑体" w:eastAsia="黑体" w:cs="黑体"/>
          <w:sz w:val="24"/>
          <w:szCs w:val="24"/>
        </w:rPr>
      </w:pPr>
      <w:bookmarkStart w:id="47" w:name="bookmark34"/>
      <w:bookmarkEnd w:id="47"/>
      <w:r>
        <w:rPr>
          <w:rFonts w:ascii="Times New Roman" w:hAnsi="Times New Roman" w:eastAsia="Times New Roman" w:cs="Times New Roman"/>
          <w:spacing w:val="-6"/>
          <w:sz w:val="24"/>
          <w:szCs w:val="24"/>
        </w:rPr>
        <w:t>1.12</w:t>
      </w:r>
      <w:r>
        <w:rPr>
          <w:rFonts w:ascii="Times New Roman" w:hAnsi="Times New Roman" w:eastAsia="Times New Roman" w:cs="Times New Roman"/>
          <w:spacing w:val="5"/>
          <w:sz w:val="24"/>
          <w:szCs w:val="24"/>
        </w:rPr>
        <w:t xml:space="preserve">  </w:t>
      </w:r>
      <w:r>
        <w:rPr>
          <w:rFonts w:ascii="黑体" w:hAnsi="黑体" w:eastAsia="黑体" w:cs="黑体"/>
          <w:spacing w:val="-6"/>
          <w:sz w:val="24"/>
          <w:szCs w:val="24"/>
        </w:rPr>
        <w:t>偏离</w:t>
      </w:r>
    </w:p>
    <w:p w14:paraId="1FC74653">
      <w:pPr>
        <w:spacing w:before="112" w:line="354" w:lineRule="auto"/>
        <w:ind w:left="27" w:right="188" w:firstLine="357"/>
        <w:rPr>
          <w:rFonts w:ascii="宋体" w:hAnsi="宋体" w:eastAsia="宋体" w:cs="宋体"/>
          <w:sz w:val="21"/>
          <w:szCs w:val="21"/>
        </w:rPr>
      </w:pPr>
      <w:r>
        <w:rPr>
          <w:rFonts w:ascii="宋体" w:hAnsi="宋体" w:eastAsia="宋体" w:cs="宋体"/>
          <w:spacing w:val="4"/>
          <w:sz w:val="21"/>
          <w:szCs w:val="21"/>
        </w:rPr>
        <w:t>投标人须知前附表允许投标文件偏离招标文件某些要求的，偏离应当符合招标文件规</w:t>
      </w:r>
      <w:r>
        <w:rPr>
          <w:rFonts w:ascii="宋体" w:hAnsi="宋体" w:eastAsia="宋体" w:cs="宋体"/>
          <w:spacing w:val="-1"/>
          <w:sz w:val="21"/>
          <w:szCs w:val="21"/>
        </w:rPr>
        <w:t>定的偏离范围和幅度。</w:t>
      </w:r>
    </w:p>
    <w:p w14:paraId="00764C37">
      <w:pPr>
        <w:spacing w:before="5" w:line="233" w:lineRule="auto"/>
        <w:ind w:left="20"/>
        <w:outlineLvl w:val="1"/>
        <w:rPr>
          <w:rFonts w:ascii="黑体" w:hAnsi="黑体" w:eastAsia="黑体" w:cs="黑体"/>
          <w:sz w:val="28"/>
          <w:szCs w:val="28"/>
        </w:rPr>
      </w:pPr>
      <w:bookmarkStart w:id="48" w:name="bookmark35"/>
      <w:bookmarkEnd w:id="48"/>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招标文件</w:t>
      </w:r>
    </w:p>
    <w:p w14:paraId="3B09C61C">
      <w:pPr>
        <w:spacing w:before="41" w:line="233" w:lineRule="auto"/>
        <w:ind w:left="137"/>
        <w:outlineLvl w:val="2"/>
        <w:rPr>
          <w:rFonts w:ascii="黑体" w:hAnsi="黑体" w:eastAsia="黑体" w:cs="黑体"/>
          <w:sz w:val="24"/>
          <w:szCs w:val="24"/>
        </w:rPr>
      </w:pPr>
      <w:bookmarkStart w:id="49" w:name="bookmark36"/>
      <w:bookmarkEnd w:id="49"/>
      <w:r>
        <w:rPr>
          <w:rFonts w:ascii="Times New Roman" w:hAnsi="Times New Roman" w:eastAsia="Times New Roman" w:cs="Times New Roman"/>
          <w:spacing w:val="-1"/>
          <w:sz w:val="24"/>
          <w:szCs w:val="24"/>
        </w:rPr>
        <w:t xml:space="preserve">2.1  </w:t>
      </w:r>
      <w:r>
        <w:rPr>
          <w:rFonts w:ascii="黑体" w:hAnsi="黑体" w:eastAsia="黑体" w:cs="黑体"/>
          <w:spacing w:val="-1"/>
          <w:sz w:val="24"/>
          <w:szCs w:val="24"/>
        </w:rPr>
        <w:t>招标文件的组成</w:t>
      </w:r>
    </w:p>
    <w:p w14:paraId="7FFB8862">
      <w:pPr>
        <w:spacing w:before="114" w:line="234" w:lineRule="auto"/>
        <w:ind w:left="441"/>
        <w:rPr>
          <w:rFonts w:ascii="宋体" w:hAnsi="宋体" w:eastAsia="宋体" w:cs="宋体"/>
          <w:sz w:val="21"/>
          <w:szCs w:val="21"/>
        </w:rPr>
      </w:pPr>
      <w:r>
        <w:rPr>
          <w:rFonts w:ascii="Times New Roman" w:hAnsi="Times New Roman" w:eastAsia="Times New Roman" w:cs="Times New Roman"/>
          <w:spacing w:val="-1"/>
          <w:sz w:val="21"/>
          <w:szCs w:val="21"/>
        </w:rPr>
        <w:t xml:space="preserve">2.1.1 </w:t>
      </w:r>
      <w:r>
        <w:rPr>
          <w:rFonts w:ascii="宋体" w:hAnsi="宋体" w:eastAsia="宋体" w:cs="宋体"/>
          <w:spacing w:val="-1"/>
          <w:sz w:val="21"/>
          <w:szCs w:val="21"/>
        </w:rPr>
        <w:t>招标文件包括下列内容：</w:t>
      </w:r>
    </w:p>
    <w:p w14:paraId="70E9119B">
      <w:pPr>
        <w:spacing w:before="100" w:line="233" w:lineRule="auto"/>
        <w:ind w:left="388"/>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宋体" w:hAnsi="宋体" w:eastAsia="宋体" w:cs="宋体"/>
          <w:spacing w:val="-7"/>
          <w:sz w:val="21"/>
          <w:szCs w:val="21"/>
        </w:rPr>
        <w:t>）招标公告（或投标邀请书</w:t>
      </w:r>
      <w:r>
        <w:rPr>
          <w:rFonts w:ascii="宋体" w:hAnsi="宋体" w:eastAsia="宋体" w:cs="宋体"/>
          <w:spacing w:val="-17"/>
          <w:sz w:val="21"/>
          <w:szCs w:val="21"/>
        </w:rPr>
        <w:t>）；</w:t>
      </w:r>
    </w:p>
    <w:p w14:paraId="7AF8FC15">
      <w:pPr>
        <w:spacing w:before="96" w:line="235" w:lineRule="auto"/>
        <w:ind w:left="388"/>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）投标人须知；</w:t>
      </w:r>
    </w:p>
    <w:p w14:paraId="4B91E535">
      <w:pPr>
        <w:spacing w:before="93"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）评标办法；</w:t>
      </w:r>
    </w:p>
    <w:p w14:paraId="68933A5D">
      <w:pPr>
        <w:spacing w:before="94" w:line="234" w:lineRule="auto"/>
        <w:ind w:left="388"/>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4</w:t>
      </w:r>
      <w:r>
        <w:rPr>
          <w:rFonts w:ascii="宋体" w:hAnsi="宋体" w:eastAsia="宋体" w:cs="宋体"/>
          <w:spacing w:val="-4"/>
          <w:sz w:val="21"/>
          <w:szCs w:val="21"/>
        </w:rPr>
        <w:t>）合同条款及格式；</w:t>
      </w:r>
    </w:p>
    <w:p w14:paraId="05FE7EAD">
      <w:pPr>
        <w:spacing w:before="94" w:line="235" w:lineRule="auto"/>
        <w:ind w:left="388"/>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5</w:t>
      </w:r>
      <w:r>
        <w:rPr>
          <w:rFonts w:ascii="宋体" w:hAnsi="宋体" w:eastAsia="宋体" w:cs="宋体"/>
          <w:spacing w:val="-5"/>
          <w:sz w:val="21"/>
          <w:szCs w:val="21"/>
        </w:rPr>
        <w:t>）工程量清单；</w:t>
      </w:r>
    </w:p>
    <w:p w14:paraId="468A07B4">
      <w:pPr>
        <w:spacing w:before="92" w:line="236"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）图纸；</w:t>
      </w:r>
    </w:p>
    <w:p w14:paraId="64E8323B">
      <w:pPr>
        <w:spacing w:before="92" w:line="234" w:lineRule="auto"/>
        <w:ind w:left="388"/>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7</w:t>
      </w:r>
      <w:r>
        <w:rPr>
          <w:rFonts w:ascii="宋体" w:hAnsi="宋体" w:eastAsia="宋体" w:cs="宋体"/>
          <w:spacing w:val="-4"/>
          <w:sz w:val="21"/>
          <w:szCs w:val="21"/>
        </w:rPr>
        <w:t>）技术标准和要求；</w:t>
      </w:r>
    </w:p>
    <w:p w14:paraId="2B8D5018">
      <w:pPr>
        <w:spacing w:before="94"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r>
        <w:rPr>
          <w:rFonts w:ascii="宋体" w:hAnsi="宋体" w:eastAsia="宋体" w:cs="宋体"/>
          <w:spacing w:val="-2"/>
          <w:sz w:val="21"/>
          <w:szCs w:val="21"/>
        </w:rPr>
        <w:t>）投标文件格式；</w:t>
      </w:r>
    </w:p>
    <w:p w14:paraId="5432ED20">
      <w:pPr>
        <w:spacing w:before="93"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9</w:t>
      </w:r>
      <w:r>
        <w:rPr>
          <w:rFonts w:ascii="宋体" w:hAnsi="宋体" w:eastAsia="宋体" w:cs="宋体"/>
          <w:spacing w:val="-1"/>
          <w:sz w:val="21"/>
          <w:szCs w:val="21"/>
        </w:rPr>
        <w:t>）投标人须知前附表规定的其他资料。</w:t>
      </w:r>
    </w:p>
    <w:p w14:paraId="0CF4A840">
      <w:pPr>
        <w:spacing w:before="127" w:line="345" w:lineRule="auto"/>
        <w:ind w:left="23" w:right="176" w:firstLine="415"/>
        <w:rPr>
          <w:rFonts w:ascii="宋体" w:hAnsi="宋体" w:eastAsia="宋体" w:cs="宋体"/>
          <w:sz w:val="21"/>
          <w:szCs w:val="21"/>
        </w:rPr>
      </w:pPr>
      <w:r>
        <w:rPr>
          <w:rFonts w:ascii="Times New Roman" w:hAnsi="Times New Roman" w:eastAsia="Times New Roman" w:cs="Times New Roman"/>
          <w:spacing w:val="-2"/>
          <w:sz w:val="21"/>
          <w:szCs w:val="21"/>
        </w:rPr>
        <w:t>2.1.2</w:t>
      </w:r>
      <w:r>
        <w:rPr>
          <w:rFonts w:ascii="Times New Roman" w:hAnsi="Times New Roman" w:eastAsia="Times New Roman" w:cs="Times New Roman"/>
          <w:spacing w:val="23"/>
          <w:w w:val="101"/>
          <w:sz w:val="21"/>
          <w:szCs w:val="21"/>
        </w:rPr>
        <w:t xml:space="preserve"> </w:t>
      </w:r>
      <w:r>
        <w:rPr>
          <w:rFonts w:ascii="宋体" w:hAnsi="宋体" w:eastAsia="宋体" w:cs="宋体"/>
          <w:spacing w:val="-2"/>
          <w:sz w:val="21"/>
          <w:szCs w:val="21"/>
        </w:rPr>
        <w:t xml:space="preserve">根据本章第 </w:t>
      </w:r>
      <w:r>
        <w:rPr>
          <w:rFonts w:ascii="Times New Roman" w:hAnsi="Times New Roman" w:eastAsia="Times New Roman" w:cs="Times New Roman"/>
          <w:spacing w:val="-2"/>
          <w:sz w:val="21"/>
          <w:szCs w:val="21"/>
        </w:rPr>
        <w:t>1.10</w:t>
      </w:r>
      <w:r>
        <w:rPr>
          <w:rFonts w:ascii="Times New Roman" w:hAnsi="Times New Roman" w:eastAsia="Times New Roman" w:cs="Times New Roman"/>
          <w:spacing w:val="26"/>
          <w:sz w:val="21"/>
          <w:szCs w:val="21"/>
        </w:rPr>
        <w:t xml:space="preserve"> </w:t>
      </w:r>
      <w:r>
        <w:rPr>
          <w:rFonts w:ascii="宋体" w:hAnsi="宋体" w:eastAsia="宋体" w:cs="宋体"/>
          <w:spacing w:val="-2"/>
          <w:sz w:val="21"/>
          <w:szCs w:val="21"/>
        </w:rPr>
        <w:t xml:space="preserve">款、第 </w:t>
      </w:r>
      <w:r>
        <w:rPr>
          <w:rFonts w:ascii="Times New Roman" w:hAnsi="Times New Roman" w:eastAsia="Times New Roman" w:cs="Times New Roman"/>
          <w:spacing w:val="-2"/>
          <w:sz w:val="21"/>
          <w:szCs w:val="21"/>
        </w:rPr>
        <w:t>2.2</w:t>
      </w:r>
      <w:r>
        <w:rPr>
          <w:rFonts w:ascii="Times New Roman" w:hAnsi="Times New Roman" w:eastAsia="Times New Roman" w:cs="Times New Roman"/>
          <w:spacing w:val="23"/>
          <w:w w:val="101"/>
          <w:sz w:val="21"/>
          <w:szCs w:val="21"/>
        </w:rPr>
        <w:t xml:space="preserve"> </w:t>
      </w:r>
      <w:r>
        <w:rPr>
          <w:rFonts w:ascii="宋体" w:hAnsi="宋体" w:eastAsia="宋体" w:cs="宋体"/>
          <w:spacing w:val="-2"/>
          <w:sz w:val="21"/>
          <w:szCs w:val="21"/>
        </w:rPr>
        <w:t>款和第</w:t>
      </w:r>
      <w:r>
        <w:rPr>
          <w:rFonts w:ascii="宋体" w:hAnsi="宋体" w:eastAsia="宋体" w:cs="宋体"/>
          <w:spacing w:val="-31"/>
          <w:sz w:val="21"/>
          <w:szCs w:val="21"/>
        </w:rPr>
        <w:t xml:space="preserve"> </w:t>
      </w:r>
      <w:r>
        <w:rPr>
          <w:rFonts w:ascii="Times New Roman" w:hAnsi="Times New Roman" w:eastAsia="Times New Roman" w:cs="Times New Roman"/>
          <w:spacing w:val="-2"/>
          <w:sz w:val="21"/>
          <w:szCs w:val="21"/>
        </w:rPr>
        <w:t>2.3</w:t>
      </w:r>
      <w:r>
        <w:rPr>
          <w:rFonts w:ascii="Times New Roman" w:hAnsi="Times New Roman" w:eastAsia="Times New Roman" w:cs="Times New Roman"/>
          <w:spacing w:val="26"/>
          <w:w w:val="101"/>
          <w:sz w:val="21"/>
          <w:szCs w:val="21"/>
        </w:rPr>
        <w:t xml:space="preserve"> </w:t>
      </w:r>
      <w:r>
        <w:rPr>
          <w:rFonts w:ascii="宋体" w:hAnsi="宋体" w:eastAsia="宋体" w:cs="宋体"/>
          <w:spacing w:val="-2"/>
          <w:sz w:val="21"/>
          <w:szCs w:val="21"/>
        </w:rPr>
        <w:t>款</w:t>
      </w:r>
      <w:r>
        <w:rPr>
          <w:rFonts w:ascii="宋体" w:hAnsi="宋体" w:eastAsia="宋体" w:cs="宋体"/>
          <w:spacing w:val="-3"/>
          <w:sz w:val="21"/>
          <w:szCs w:val="21"/>
        </w:rPr>
        <w:t>对招标文件所作的澄清、修改，构成招标文件的组成部分。</w:t>
      </w:r>
    </w:p>
    <w:p w14:paraId="1A6BBBF6">
      <w:pPr>
        <w:spacing w:line="345" w:lineRule="auto"/>
        <w:rPr>
          <w:rFonts w:ascii="宋体" w:hAnsi="宋体" w:eastAsia="宋体" w:cs="宋体"/>
          <w:sz w:val="21"/>
          <w:szCs w:val="21"/>
        </w:rPr>
        <w:sectPr>
          <w:footerReference r:id="rId27" w:type="default"/>
          <w:pgSz w:w="11905" w:h="16843"/>
          <w:pgMar w:top="969" w:right="1355" w:bottom="1026" w:left="1480" w:header="0" w:footer="754" w:gutter="0"/>
          <w:cols w:space="0" w:num="1"/>
          <w:rtlGutter w:val="0"/>
          <w:docGrid w:linePitch="0" w:charSpace="0"/>
        </w:sectPr>
      </w:pPr>
    </w:p>
    <w:p w14:paraId="45D30E0E">
      <w:pPr>
        <w:spacing w:before="90" w:line="233" w:lineRule="auto"/>
        <w:ind w:left="137"/>
        <w:outlineLvl w:val="2"/>
        <w:rPr>
          <w:rFonts w:ascii="黑体" w:hAnsi="黑体" w:eastAsia="黑体" w:cs="黑体"/>
          <w:sz w:val="24"/>
          <w:szCs w:val="24"/>
        </w:rPr>
      </w:pPr>
      <w:bookmarkStart w:id="50" w:name="bookmark37"/>
      <w:bookmarkEnd w:id="50"/>
      <w:bookmarkStart w:id="51" w:name="bookmark491"/>
      <w:bookmarkEnd w:id="51"/>
      <w:r>
        <w:rPr>
          <w:rFonts w:ascii="Times New Roman" w:hAnsi="Times New Roman" w:eastAsia="Times New Roman" w:cs="Times New Roman"/>
          <w:spacing w:val="-1"/>
          <w:sz w:val="24"/>
          <w:szCs w:val="24"/>
        </w:rPr>
        <w:t xml:space="preserve">2.2  </w:t>
      </w:r>
      <w:r>
        <w:rPr>
          <w:rFonts w:ascii="黑体" w:hAnsi="黑体" w:eastAsia="黑体" w:cs="黑体"/>
          <w:spacing w:val="-1"/>
          <w:sz w:val="24"/>
          <w:szCs w:val="24"/>
        </w:rPr>
        <w:t>招标文件的澄清</w:t>
      </w:r>
    </w:p>
    <w:p w14:paraId="08288F45">
      <w:pPr>
        <w:spacing w:before="116" w:line="307" w:lineRule="auto"/>
        <w:ind w:left="27" w:right="168" w:firstLine="411"/>
        <w:rPr>
          <w:rFonts w:ascii="宋体" w:hAnsi="宋体" w:eastAsia="宋体" w:cs="宋体"/>
          <w:sz w:val="21"/>
          <w:szCs w:val="21"/>
        </w:rPr>
      </w:pPr>
      <w:r>
        <w:rPr>
          <w:rFonts w:ascii="Times New Roman" w:hAnsi="Times New Roman" w:eastAsia="Times New Roman" w:cs="Times New Roman"/>
          <w:sz w:val="21"/>
          <w:szCs w:val="21"/>
        </w:rPr>
        <w:t xml:space="preserve">2.2.1  </w:t>
      </w:r>
      <w:r>
        <w:rPr>
          <w:rFonts w:ascii="宋体" w:hAnsi="宋体" w:eastAsia="宋体" w:cs="宋体"/>
          <w:sz w:val="21"/>
          <w:szCs w:val="21"/>
        </w:rPr>
        <w:t>投标人应仔细阅读和检查招标文件的全部内容。如发现缺页或附件不全，应及时</w:t>
      </w:r>
      <w:r>
        <w:rPr>
          <w:rFonts w:ascii="宋体" w:hAnsi="宋体" w:eastAsia="宋体" w:cs="宋体"/>
          <w:spacing w:val="3"/>
          <w:sz w:val="21"/>
          <w:szCs w:val="21"/>
        </w:rPr>
        <w:t>向招标人提出，以便补齐。如有疑问，应在投标人须</w:t>
      </w:r>
      <w:r>
        <w:rPr>
          <w:rFonts w:ascii="宋体" w:hAnsi="宋体" w:eastAsia="宋体" w:cs="宋体"/>
          <w:spacing w:val="2"/>
          <w:sz w:val="21"/>
          <w:szCs w:val="21"/>
        </w:rPr>
        <w:t>知前附表规定的时间前，通过法定公</w:t>
      </w:r>
      <w:r>
        <w:rPr>
          <w:rFonts w:ascii="宋体" w:hAnsi="宋体" w:eastAsia="宋体" w:cs="宋体"/>
          <w:sz w:val="21"/>
          <w:szCs w:val="21"/>
        </w:rPr>
        <w:t>告公示信息发布媒介、电子交易系统等渠道以书面形式要求招标人对招标文</w:t>
      </w:r>
      <w:r>
        <w:rPr>
          <w:rFonts w:ascii="宋体" w:hAnsi="宋体" w:eastAsia="宋体" w:cs="宋体"/>
          <w:spacing w:val="-1"/>
          <w:sz w:val="21"/>
          <w:szCs w:val="21"/>
        </w:rPr>
        <w:t>件予以澄清。</w:t>
      </w:r>
    </w:p>
    <w:p w14:paraId="091983FB">
      <w:pPr>
        <w:spacing w:before="150" w:line="319" w:lineRule="auto"/>
        <w:ind w:left="21" w:right="4" w:firstLine="417"/>
        <w:rPr>
          <w:rFonts w:ascii="宋体" w:hAnsi="宋体" w:eastAsia="宋体" w:cs="宋体"/>
          <w:sz w:val="21"/>
          <w:szCs w:val="21"/>
        </w:rPr>
      </w:pPr>
      <w:r>
        <w:rPr>
          <w:rFonts w:ascii="Times New Roman" w:hAnsi="Times New Roman" w:eastAsia="Times New Roman" w:cs="Times New Roman"/>
          <w:sz w:val="21"/>
          <w:szCs w:val="21"/>
        </w:rPr>
        <w:t xml:space="preserve">2.2.2  </w:t>
      </w:r>
      <w:r>
        <w:rPr>
          <w:rFonts w:ascii="宋体" w:hAnsi="宋体" w:eastAsia="宋体" w:cs="宋体"/>
          <w:sz w:val="21"/>
          <w:szCs w:val="21"/>
        </w:rPr>
        <w:t>招标人对招标文件的澄清通过法定公告公示信息发布媒介、电子交易系统等渠道</w:t>
      </w:r>
      <w:r>
        <w:rPr>
          <w:rFonts w:ascii="宋体" w:hAnsi="宋体" w:eastAsia="宋体" w:cs="宋体"/>
          <w:spacing w:val="3"/>
          <w:sz w:val="21"/>
          <w:szCs w:val="21"/>
        </w:rPr>
        <w:t>以书面形式发给所有下载招标文件的投标人，但不指明澄清</w:t>
      </w:r>
      <w:r>
        <w:rPr>
          <w:rFonts w:ascii="宋体" w:hAnsi="宋体" w:eastAsia="宋体" w:cs="宋体"/>
          <w:spacing w:val="2"/>
          <w:sz w:val="21"/>
          <w:szCs w:val="21"/>
        </w:rPr>
        <w:t>问题的来源。澄清发出的时间</w:t>
      </w:r>
      <w:r>
        <w:rPr>
          <w:rFonts w:ascii="宋体" w:hAnsi="宋体" w:eastAsia="宋体" w:cs="宋体"/>
          <w:spacing w:val="-2"/>
          <w:sz w:val="21"/>
          <w:szCs w:val="21"/>
        </w:rPr>
        <w:t>距投标人须知前附表规定的投标截止时间不足</w:t>
      </w:r>
      <w:r>
        <w:rPr>
          <w:rFonts w:ascii="宋体" w:hAnsi="宋体" w:eastAsia="宋体" w:cs="宋体"/>
          <w:spacing w:val="-26"/>
          <w:sz w:val="21"/>
          <w:szCs w:val="21"/>
        </w:rPr>
        <w:t xml:space="preserve"> </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8"/>
          <w:w w:val="101"/>
          <w:sz w:val="21"/>
          <w:szCs w:val="21"/>
        </w:rPr>
        <w:t xml:space="preserve"> </w:t>
      </w:r>
      <w:r>
        <w:rPr>
          <w:rFonts w:ascii="宋体" w:hAnsi="宋体" w:eastAsia="宋体" w:cs="宋体"/>
          <w:spacing w:val="-2"/>
          <w:sz w:val="21"/>
          <w:szCs w:val="21"/>
        </w:rPr>
        <w:t>天的，并且澄清内容影响投标文件编制</w:t>
      </w:r>
      <w:r>
        <w:rPr>
          <w:rFonts w:ascii="宋体" w:hAnsi="宋体" w:eastAsia="宋体" w:cs="宋体"/>
          <w:spacing w:val="-3"/>
          <w:sz w:val="21"/>
          <w:szCs w:val="21"/>
        </w:rPr>
        <w:t>的，</w:t>
      </w:r>
      <w:r>
        <w:rPr>
          <w:rFonts w:ascii="宋体" w:hAnsi="宋体" w:eastAsia="宋体" w:cs="宋体"/>
          <w:spacing w:val="-1"/>
          <w:sz w:val="21"/>
          <w:szCs w:val="21"/>
        </w:rPr>
        <w:t>将相应延长投标截止时间。</w:t>
      </w:r>
    </w:p>
    <w:p w14:paraId="2B926C99">
      <w:pPr>
        <w:spacing w:before="147" w:line="309" w:lineRule="auto"/>
        <w:ind w:left="23" w:right="169" w:firstLine="415"/>
        <w:rPr>
          <w:rFonts w:ascii="宋体" w:hAnsi="宋体" w:eastAsia="宋体" w:cs="宋体"/>
          <w:sz w:val="21"/>
          <w:szCs w:val="21"/>
        </w:rPr>
      </w:pPr>
      <w:r>
        <w:rPr>
          <w:rFonts w:ascii="Times New Roman" w:hAnsi="Times New Roman" w:eastAsia="Times New Roman" w:cs="Times New Roman"/>
          <w:sz w:val="21"/>
          <w:szCs w:val="21"/>
        </w:rPr>
        <w:t xml:space="preserve">2.2.3  </w:t>
      </w:r>
      <w:r>
        <w:rPr>
          <w:rFonts w:ascii="宋体" w:hAnsi="宋体" w:eastAsia="宋体" w:cs="宋体"/>
          <w:sz w:val="21"/>
          <w:szCs w:val="21"/>
        </w:rPr>
        <w:t>投标人应实时自行关注法定公告公示信息发布媒介、电子交易系统等渠道上发出</w:t>
      </w:r>
      <w:r>
        <w:rPr>
          <w:rFonts w:ascii="宋体" w:hAnsi="宋体" w:eastAsia="宋体" w:cs="宋体"/>
          <w:spacing w:val="3"/>
          <w:sz w:val="21"/>
          <w:szCs w:val="21"/>
        </w:rPr>
        <w:t>的澄清通知，因投标人自身原因未及时获知澄清内容而</w:t>
      </w:r>
      <w:r>
        <w:rPr>
          <w:rFonts w:ascii="宋体" w:hAnsi="宋体" w:eastAsia="宋体" w:cs="宋体"/>
          <w:spacing w:val="2"/>
          <w:sz w:val="21"/>
          <w:szCs w:val="21"/>
        </w:rPr>
        <w:t>导致的任何后果将由投标人自行承</w:t>
      </w:r>
      <w:r>
        <w:rPr>
          <w:rFonts w:ascii="宋体" w:hAnsi="宋体" w:eastAsia="宋体" w:cs="宋体"/>
          <w:spacing w:val="-10"/>
          <w:sz w:val="21"/>
          <w:szCs w:val="21"/>
        </w:rPr>
        <w:t>担。</w:t>
      </w:r>
    </w:p>
    <w:p w14:paraId="7F4F521B">
      <w:pPr>
        <w:spacing w:before="147" w:line="293" w:lineRule="auto"/>
        <w:ind w:left="22" w:right="168" w:firstLine="416"/>
        <w:rPr>
          <w:rFonts w:ascii="宋体" w:hAnsi="宋体" w:eastAsia="宋体" w:cs="宋体"/>
          <w:sz w:val="21"/>
          <w:szCs w:val="21"/>
        </w:rPr>
      </w:pPr>
      <w:r>
        <w:rPr>
          <w:rFonts w:ascii="Times New Roman" w:hAnsi="Times New Roman" w:eastAsia="Times New Roman" w:cs="Times New Roman"/>
          <w:sz w:val="21"/>
          <w:szCs w:val="21"/>
        </w:rPr>
        <w:t xml:space="preserve">2.2.4  </w:t>
      </w:r>
      <w:r>
        <w:rPr>
          <w:rFonts w:ascii="宋体" w:hAnsi="宋体" w:eastAsia="宋体" w:cs="宋体"/>
          <w:sz w:val="21"/>
          <w:szCs w:val="21"/>
        </w:rPr>
        <w:t xml:space="preserve">除非招标人认为确有必要答复，否则，招标人有权拒绝回复投标人在本章前附表第 </w:t>
      </w:r>
      <w:r>
        <w:rPr>
          <w:rFonts w:ascii="Times New Roman" w:hAnsi="Times New Roman" w:eastAsia="Times New Roman" w:cs="Times New Roman"/>
          <w:sz w:val="21"/>
          <w:szCs w:val="21"/>
        </w:rPr>
        <w:t xml:space="preserve">2.2.1  </w:t>
      </w:r>
      <w:r>
        <w:rPr>
          <w:rFonts w:ascii="宋体" w:hAnsi="宋体" w:eastAsia="宋体" w:cs="宋体"/>
          <w:sz w:val="21"/>
          <w:szCs w:val="21"/>
        </w:rPr>
        <w:t>项规定的时间后的任何</w:t>
      </w:r>
      <w:r>
        <w:rPr>
          <w:rFonts w:ascii="宋体" w:hAnsi="宋体" w:eastAsia="宋体" w:cs="宋体"/>
          <w:spacing w:val="-1"/>
          <w:sz w:val="21"/>
          <w:szCs w:val="21"/>
        </w:rPr>
        <w:t>澄清要求。</w:t>
      </w:r>
    </w:p>
    <w:p w14:paraId="3208F967">
      <w:pPr>
        <w:spacing w:before="76" w:line="233" w:lineRule="auto"/>
        <w:ind w:left="137"/>
        <w:outlineLvl w:val="2"/>
        <w:rPr>
          <w:rFonts w:ascii="黑体" w:hAnsi="黑体" w:eastAsia="黑体" w:cs="黑体"/>
          <w:sz w:val="24"/>
          <w:szCs w:val="24"/>
        </w:rPr>
      </w:pPr>
      <w:bookmarkStart w:id="52" w:name="bookmark38"/>
      <w:bookmarkEnd w:id="52"/>
      <w:r>
        <w:rPr>
          <w:rFonts w:ascii="Times New Roman" w:hAnsi="Times New Roman" w:eastAsia="Times New Roman" w:cs="Times New Roman"/>
          <w:spacing w:val="-1"/>
          <w:sz w:val="24"/>
          <w:szCs w:val="24"/>
        </w:rPr>
        <w:t xml:space="preserve">2.3  </w:t>
      </w:r>
      <w:r>
        <w:rPr>
          <w:rFonts w:ascii="黑体" w:hAnsi="黑体" w:eastAsia="黑体" w:cs="黑体"/>
          <w:spacing w:val="-1"/>
          <w:sz w:val="24"/>
          <w:szCs w:val="24"/>
        </w:rPr>
        <w:t>招标文件的修改</w:t>
      </w:r>
    </w:p>
    <w:p w14:paraId="56BA1E0C">
      <w:pPr>
        <w:spacing w:before="116" w:line="319" w:lineRule="auto"/>
        <w:ind w:left="21" w:right="166" w:firstLine="416"/>
        <w:rPr>
          <w:rFonts w:ascii="宋体" w:hAnsi="宋体" w:eastAsia="宋体" w:cs="宋体"/>
          <w:sz w:val="21"/>
          <w:szCs w:val="21"/>
        </w:rPr>
      </w:pPr>
      <w:r>
        <w:rPr>
          <w:rFonts w:ascii="Times New Roman" w:hAnsi="Times New Roman" w:eastAsia="Times New Roman" w:cs="Times New Roman"/>
          <w:sz w:val="21"/>
          <w:szCs w:val="21"/>
        </w:rPr>
        <w:t xml:space="preserve">2.3.1  </w:t>
      </w:r>
      <w:r>
        <w:rPr>
          <w:rFonts w:ascii="宋体" w:hAnsi="宋体" w:eastAsia="宋体" w:cs="宋体"/>
          <w:sz w:val="21"/>
          <w:szCs w:val="21"/>
        </w:rPr>
        <w:t>招标人可以书面形式修改招标文件，并通过法定公告公示信息发布媒介、电子交</w:t>
      </w:r>
      <w:r>
        <w:rPr>
          <w:rFonts w:ascii="宋体" w:hAnsi="宋体" w:eastAsia="宋体" w:cs="宋体"/>
          <w:spacing w:val="3"/>
          <w:sz w:val="21"/>
          <w:szCs w:val="21"/>
        </w:rPr>
        <w:t>易系统等渠道通知所有已下载招标文件的投标人。修改招标文件的时间</w:t>
      </w:r>
      <w:r>
        <w:rPr>
          <w:rFonts w:ascii="宋体" w:hAnsi="宋体" w:eastAsia="宋体" w:cs="宋体"/>
          <w:spacing w:val="2"/>
          <w:sz w:val="21"/>
          <w:szCs w:val="21"/>
        </w:rPr>
        <w:t>距投标人须知前附</w:t>
      </w:r>
      <w:r>
        <w:rPr>
          <w:rFonts w:ascii="宋体" w:hAnsi="宋体" w:eastAsia="宋体" w:cs="宋体"/>
          <w:spacing w:val="-1"/>
          <w:sz w:val="21"/>
          <w:szCs w:val="21"/>
        </w:rPr>
        <w:t>表规定的投标截止时间不足</w:t>
      </w:r>
      <w:r>
        <w:rPr>
          <w:rFonts w:ascii="宋体" w:hAnsi="宋体" w:eastAsia="宋体" w:cs="宋体"/>
          <w:spacing w:val="-21"/>
          <w:sz w:val="21"/>
          <w:szCs w:val="21"/>
        </w:rPr>
        <w:t xml:space="preserve"> </w:t>
      </w:r>
      <w:r>
        <w:rPr>
          <w:rFonts w:ascii="Times New Roman" w:hAnsi="Times New Roman" w:eastAsia="Times New Roman" w:cs="Times New Roman"/>
          <w:spacing w:val="-1"/>
          <w:sz w:val="21"/>
          <w:szCs w:val="21"/>
        </w:rPr>
        <w:t>15</w:t>
      </w:r>
      <w:r>
        <w:rPr>
          <w:rFonts w:ascii="Times New Roman" w:hAnsi="Times New Roman" w:eastAsia="Times New Roman" w:cs="Times New Roman"/>
          <w:spacing w:val="17"/>
          <w:w w:val="101"/>
          <w:sz w:val="21"/>
          <w:szCs w:val="21"/>
        </w:rPr>
        <w:t xml:space="preserve"> </w:t>
      </w:r>
      <w:r>
        <w:rPr>
          <w:rFonts w:ascii="宋体" w:hAnsi="宋体" w:eastAsia="宋体" w:cs="宋体"/>
          <w:spacing w:val="-1"/>
          <w:sz w:val="21"/>
          <w:szCs w:val="21"/>
        </w:rPr>
        <w:t>天的，并且澄清内容影响投标文件编制的，将相应延长投标</w:t>
      </w:r>
      <w:r>
        <w:rPr>
          <w:rFonts w:ascii="宋体" w:hAnsi="宋体" w:eastAsia="宋体" w:cs="宋体"/>
          <w:spacing w:val="-4"/>
          <w:sz w:val="21"/>
          <w:szCs w:val="21"/>
        </w:rPr>
        <w:t>截止时间。</w:t>
      </w:r>
    </w:p>
    <w:p w14:paraId="48C16196">
      <w:pPr>
        <w:spacing w:before="146" w:line="309" w:lineRule="auto"/>
        <w:ind w:left="23" w:right="169" w:firstLine="415"/>
        <w:rPr>
          <w:rFonts w:ascii="宋体" w:hAnsi="宋体" w:eastAsia="宋体" w:cs="宋体"/>
          <w:sz w:val="21"/>
          <w:szCs w:val="21"/>
        </w:rPr>
      </w:pPr>
      <w:r>
        <w:rPr>
          <w:rFonts w:ascii="Times New Roman" w:hAnsi="Times New Roman" w:eastAsia="Times New Roman" w:cs="Times New Roman"/>
          <w:sz w:val="21"/>
          <w:szCs w:val="21"/>
        </w:rPr>
        <w:t xml:space="preserve">2.3.2  </w:t>
      </w:r>
      <w:r>
        <w:rPr>
          <w:rFonts w:ascii="宋体" w:hAnsi="宋体" w:eastAsia="宋体" w:cs="宋体"/>
          <w:sz w:val="21"/>
          <w:szCs w:val="21"/>
        </w:rPr>
        <w:t>投标人应实时自行关注法定公告公示信息发布媒介、电子交易系统等渠道上发出</w:t>
      </w:r>
      <w:r>
        <w:rPr>
          <w:rFonts w:ascii="宋体" w:hAnsi="宋体" w:eastAsia="宋体" w:cs="宋体"/>
          <w:spacing w:val="3"/>
          <w:sz w:val="21"/>
          <w:szCs w:val="21"/>
        </w:rPr>
        <w:t>的修改通知，因投标人自身原因未及时获知修改内容而</w:t>
      </w:r>
      <w:r>
        <w:rPr>
          <w:rFonts w:ascii="宋体" w:hAnsi="宋体" w:eastAsia="宋体" w:cs="宋体"/>
          <w:spacing w:val="2"/>
          <w:sz w:val="21"/>
          <w:szCs w:val="21"/>
        </w:rPr>
        <w:t>导致的任何后果将由投标人自行承</w:t>
      </w:r>
      <w:r>
        <w:rPr>
          <w:rFonts w:ascii="宋体" w:hAnsi="宋体" w:eastAsia="宋体" w:cs="宋体"/>
          <w:spacing w:val="-10"/>
          <w:sz w:val="21"/>
          <w:szCs w:val="21"/>
        </w:rPr>
        <w:t>担。</w:t>
      </w:r>
    </w:p>
    <w:p w14:paraId="0B4E8B22">
      <w:pPr>
        <w:spacing w:before="90" w:line="233" w:lineRule="auto"/>
        <w:ind w:left="137"/>
        <w:outlineLvl w:val="2"/>
        <w:rPr>
          <w:rFonts w:ascii="黑体" w:hAnsi="黑体" w:eastAsia="黑体" w:cs="黑体"/>
          <w:sz w:val="24"/>
          <w:szCs w:val="24"/>
        </w:rPr>
      </w:pPr>
      <w:bookmarkStart w:id="53" w:name="bookmark39"/>
      <w:bookmarkEnd w:id="53"/>
      <w:r>
        <w:rPr>
          <w:rFonts w:ascii="Times New Roman" w:hAnsi="Times New Roman" w:eastAsia="Times New Roman" w:cs="Times New Roman"/>
          <w:spacing w:val="-1"/>
          <w:sz w:val="24"/>
          <w:szCs w:val="24"/>
        </w:rPr>
        <w:t xml:space="preserve">2.4  </w:t>
      </w:r>
      <w:r>
        <w:rPr>
          <w:rFonts w:ascii="黑体" w:hAnsi="黑体" w:eastAsia="黑体" w:cs="黑体"/>
          <w:spacing w:val="-1"/>
          <w:sz w:val="24"/>
          <w:szCs w:val="24"/>
        </w:rPr>
        <w:t>招标文件的异议</w:t>
      </w:r>
    </w:p>
    <w:p w14:paraId="38CF25B1">
      <w:pPr>
        <w:spacing w:before="83" w:line="311" w:lineRule="auto"/>
        <w:ind w:left="23" w:firstLine="421"/>
        <w:rPr>
          <w:rFonts w:ascii="宋体" w:hAnsi="宋体" w:eastAsia="宋体" w:cs="宋体"/>
          <w:sz w:val="21"/>
          <w:szCs w:val="21"/>
        </w:rPr>
      </w:pPr>
      <w:r>
        <w:rPr>
          <w:rFonts w:ascii="宋体" w:hAnsi="宋体" w:eastAsia="宋体" w:cs="宋体"/>
          <w:sz w:val="21"/>
          <w:szCs w:val="21"/>
        </w:rPr>
        <w:t>投标人或者其他利害关系人对招标文件有异议的，</w:t>
      </w:r>
      <w:r>
        <w:rPr>
          <w:rFonts w:ascii="宋体" w:hAnsi="宋体" w:eastAsia="宋体" w:cs="宋体"/>
          <w:spacing w:val="-60"/>
          <w:sz w:val="21"/>
          <w:szCs w:val="21"/>
        </w:rPr>
        <w:t xml:space="preserve"> </w:t>
      </w:r>
      <w:r>
        <w:rPr>
          <w:rFonts w:ascii="宋体" w:hAnsi="宋体" w:eastAsia="宋体" w:cs="宋体"/>
          <w:sz w:val="21"/>
          <w:szCs w:val="21"/>
        </w:rPr>
        <w:t>应当在投标截</w:t>
      </w:r>
      <w:r>
        <w:rPr>
          <w:rFonts w:ascii="宋体" w:hAnsi="宋体" w:eastAsia="宋体" w:cs="宋体"/>
          <w:spacing w:val="-1"/>
          <w:sz w:val="21"/>
          <w:szCs w:val="21"/>
        </w:rPr>
        <w:t>止时间</w:t>
      </w:r>
      <w:r>
        <w:rPr>
          <w:rFonts w:ascii="宋体" w:hAnsi="宋体" w:eastAsia="宋体" w:cs="宋体"/>
          <w:spacing w:val="29"/>
          <w:sz w:val="21"/>
          <w:szCs w:val="21"/>
        </w:rPr>
        <w:t xml:space="preserve"> </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20"/>
          <w:w w:val="101"/>
          <w:sz w:val="21"/>
          <w:szCs w:val="21"/>
        </w:rPr>
        <w:t xml:space="preserve">  </w:t>
      </w:r>
      <w:r>
        <w:rPr>
          <w:rFonts w:ascii="宋体" w:hAnsi="宋体" w:eastAsia="宋体" w:cs="宋体"/>
          <w:spacing w:val="-1"/>
          <w:sz w:val="21"/>
          <w:szCs w:val="21"/>
        </w:rPr>
        <w:t xml:space="preserve">日前以书面形式提出。招标人将在收到异议之日起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日内作出答复；作出答复前，将暂停招</w:t>
      </w:r>
      <w:r>
        <w:rPr>
          <w:rFonts w:ascii="宋体" w:hAnsi="宋体" w:eastAsia="宋体" w:cs="宋体"/>
          <w:spacing w:val="-2"/>
          <w:sz w:val="21"/>
          <w:szCs w:val="21"/>
        </w:rPr>
        <w:t>标投标</w:t>
      </w:r>
      <w:r>
        <w:rPr>
          <w:rFonts w:ascii="宋体" w:hAnsi="宋体" w:eastAsia="宋体" w:cs="宋体"/>
          <w:spacing w:val="2"/>
          <w:sz w:val="21"/>
          <w:szCs w:val="21"/>
        </w:rPr>
        <w:t>活动。逾期提出的，招标人可不予受理。异议与答复应通过电子</w:t>
      </w:r>
      <w:r>
        <w:rPr>
          <w:rFonts w:ascii="宋体" w:hAnsi="宋体" w:eastAsia="宋体" w:cs="宋体"/>
          <w:spacing w:val="1"/>
          <w:sz w:val="21"/>
          <w:szCs w:val="21"/>
        </w:rPr>
        <w:t>交易系统以书面形式进行。</w:t>
      </w:r>
    </w:p>
    <w:p w14:paraId="24F219FD">
      <w:pPr>
        <w:spacing w:before="20" w:line="316" w:lineRule="auto"/>
        <w:ind w:left="23" w:right="176" w:firstLine="419"/>
        <w:rPr>
          <w:rFonts w:ascii="宋体" w:hAnsi="宋体" w:eastAsia="宋体" w:cs="宋体"/>
          <w:sz w:val="21"/>
          <w:szCs w:val="21"/>
        </w:rPr>
      </w:pPr>
      <w:r>
        <w:rPr>
          <w:rFonts w:ascii="宋体" w:hAnsi="宋体" w:eastAsia="宋体" w:cs="宋体"/>
          <w:spacing w:val="2"/>
          <w:sz w:val="21"/>
          <w:szCs w:val="21"/>
        </w:rPr>
        <w:t>本处所称异议是指投标人或者其他利害关系人认为招标文件的内容违反法律、法规、</w:t>
      </w:r>
      <w:r>
        <w:rPr>
          <w:rFonts w:ascii="宋体" w:hAnsi="宋体" w:eastAsia="宋体" w:cs="宋体"/>
          <w:spacing w:val="3"/>
          <w:sz w:val="21"/>
          <w:szCs w:val="21"/>
        </w:rPr>
        <w:t>规章的强制性规定，违反公开、公平、公正和诚实信用</w:t>
      </w:r>
      <w:r>
        <w:rPr>
          <w:rFonts w:ascii="宋体" w:hAnsi="宋体" w:eastAsia="宋体" w:cs="宋体"/>
          <w:spacing w:val="2"/>
          <w:sz w:val="21"/>
          <w:szCs w:val="21"/>
        </w:rPr>
        <w:t>原则，影响投标人投标而向招标人</w:t>
      </w:r>
      <w:r>
        <w:rPr>
          <w:rFonts w:ascii="宋体" w:hAnsi="宋体" w:eastAsia="宋体" w:cs="宋体"/>
          <w:sz w:val="21"/>
          <w:szCs w:val="21"/>
        </w:rPr>
        <w:t>提出的质疑。未在法定时间期限内未提出异议视为投标人权</w:t>
      </w:r>
      <w:r>
        <w:rPr>
          <w:rFonts w:ascii="宋体" w:hAnsi="宋体" w:eastAsia="宋体" w:cs="宋体"/>
          <w:spacing w:val="-1"/>
          <w:sz w:val="21"/>
          <w:szCs w:val="21"/>
        </w:rPr>
        <w:t>利灭失。</w:t>
      </w:r>
    </w:p>
    <w:p w14:paraId="68C4BC9F">
      <w:pPr>
        <w:spacing w:before="1" w:line="219" w:lineRule="auto"/>
        <w:ind w:left="443"/>
        <w:rPr>
          <w:rFonts w:ascii="宋体" w:hAnsi="宋体" w:eastAsia="宋体" w:cs="宋体"/>
          <w:sz w:val="21"/>
          <w:szCs w:val="21"/>
        </w:rPr>
      </w:pPr>
      <w:r>
        <w:rPr>
          <w:rFonts w:ascii="宋体" w:hAnsi="宋体" w:eastAsia="宋体" w:cs="宋体"/>
          <w:spacing w:val="-1"/>
          <w:sz w:val="21"/>
          <w:szCs w:val="21"/>
        </w:rPr>
        <w:t>有关异议受理部门及联系方式见投标人须知前附表。</w:t>
      </w:r>
    </w:p>
    <w:p w14:paraId="5A319B95">
      <w:pPr>
        <w:spacing w:before="149" w:line="233" w:lineRule="auto"/>
        <w:ind w:left="26"/>
        <w:outlineLvl w:val="1"/>
        <w:rPr>
          <w:rFonts w:ascii="黑体" w:hAnsi="黑体" w:eastAsia="黑体" w:cs="黑体"/>
          <w:sz w:val="28"/>
          <w:szCs w:val="28"/>
        </w:rPr>
      </w:pPr>
      <w:bookmarkStart w:id="54" w:name="bookmark40"/>
      <w:bookmarkEnd w:id="54"/>
      <w:r>
        <w:rPr>
          <w:rFonts w:ascii="Times New Roman" w:hAnsi="Times New Roman" w:eastAsia="Times New Roman" w:cs="Times New Roman"/>
          <w:spacing w:val="-1"/>
          <w:sz w:val="28"/>
          <w:szCs w:val="28"/>
        </w:rPr>
        <w:t xml:space="preserve">3.  </w:t>
      </w:r>
      <w:r>
        <w:rPr>
          <w:rFonts w:ascii="黑体" w:hAnsi="黑体" w:eastAsia="黑体" w:cs="黑体"/>
          <w:spacing w:val="-1"/>
          <w:sz w:val="28"/>
          <w:szCs w:val="28"/>
        </w:rPr>
        <w:t>投标文件</w:t>
      </w:r>
    </w:p>
    <w:p w14:paraId="4616D572">
      <w:pPr>
        <w:spacing w:before="41" w:line="233" w:lineRule="auto"/>
        <w:ind w:left="141"/>
        <w:outlineLvl w:val="2"/>
        <w:rPr>
          <w:rFonts w:ascii="黑体" w:hAnsi="黑体" w:eastAsia="黑体" w:cs="黑体"/>
          <w:sz w:val="24"/>
          <w:szCs w:val="24"/>
        </w:rPr>
      </w:pPr>
      <w:bookmarkStart w:id="55" w:name="bookmark41"/>
      <w:bookmarkEnd w:id="55"/>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投标文件的组成</w:t>
      </w:r>
    </w:p>
    <w:p w14:paraId="1524421F">
      <w:pPr>
        <w:spacing w:before="116" w:line="234" w:lineRule="auto"/>
        <w:ind w:left="445"/>
        <w:rPr>
          <w:rFonts w:ascii="宋体" w:hAnsi="宋体" w:eastAsia="宋体" w:cs="宋体"/>
          <w:sz w:val="21"/>
          <w:szCs w:val="21"/>
        </w:rPr>
      </w:pPr>
      <w:r>
        <w:rPr>
          <w:rFonts w:ascii="Times New Roman" w:hAnsi="Times New Roman" w:eastAsia="Times New Roman" w:cs="Times New Roman"/>
          <w:spacing w:val="-2"/>
          <w:sz w:val="21"/>
          <w:szCs w:val="21"/>
        </w:rPr>
        <w:t xml:space="preserve">3.1.1  </w:t>
      </w:r>
      <w:r>
        <w:rPr>
          <w:rFonts w:ascii="宋体" w:hAnsi="宋体" w:eastAsia="宋体" w:cs="宋体"/>
          <w:spacing w:val="-2"/>
          <w:sz w:val="21"/>
          <w:szCs w:val="21"/>
        </w:rPr>
        <w:t>投标文件应包括下列内容：</w:t>
      </w:r>
    </w:p>
    <w:p w14:paraId="2D312C92">
      <w:pPr>
        <w:spacing w:before="101" w:line="234" w:lineRule="auto"/>
        <w:ind w:left="38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）投标函及投标函附录等；</w:t>
      </w:r>
    </w:p>
    <w:p w14:paraId="22DA78F5">
      <w:pPr>
        <w:spacing w:before="94"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）法定代表人身份证明；</w:t>
      </w:r>
    </w:p>
    <w:p w14:paraId="75DDF536">
      <w:pPr>
        <w:spacing w:before="94" w:line="234" w:lineRule="auto"/>
        <w:ind w:left="388"/>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2</w:t>
      </w:r>
      <w:r>
        <w:rPr>
          <w:rFonts w:ascii="宋体" w:hAnsi="宋体" w:eastAsia="宋体" w:cs="宋体"/>
          <w:spacing w:val="-5"/>
          <w:sz w:val="21"/>
          <w:szCs w:val="21"/>
        </w:rPr>
        <w:t>）授权委托书；</w:t>
      </w:r>
    </w:p>
    <w:p w14:paraId="73782F29">
      <w:pPr>
        <w:spacing w:before="94" w:line="235"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）投标保证金；</w:t>
      </w:r>
    </w:p>
    <w:p w14:paraId="072AD8B2">
      <w:pPr>
        <w:spacing w:line="235" w:lineRule="auto"/>
        <w:rPr>
          <w:rFonts w:ascii="宋体" w:hAnsi="宋体" w:eastAsia="宋体" w:cs="宋体"/>
          <w:sz w:val="21"/>
          <w:szCs w:val="21"/>
        </w:rPr>
        <w:sectPr>
          <w:footerReference r:id="rId28" w:type="default"/>
          <w:pgSz w:w="11905" w:h="16843"/>
          <w:pgMar w:top="969" w:right="1355" w:bottom="1026" w:left="1480" w:header="0" w:footer="754" w:gutter="0"/>
          <w:cols w:space="0" w:num="1"/>
          <w:rtlGutter w:val="0"/>
          <w:docGrid w:linePitch="0" w:charSpace="0"/>
        </w:sectPr>
      </w:pPr>
    </w:p>
    <w:p w14:paraId="6E64CB20">
      <w:pPr>
        <w:spacing w:before="115" w:line="234" w:lineRule="auto"/>
        <w:ind w:left="388"/>
        <w:rPr>
          <w:rFonts w:ascii="宋体" w:hAnsi="宋体" w:eastAsia="宋体" w:cs="宋体"/>
          <w:sz w:val="21"/>
          <w:szCs w:val="21"/>
        </w:rPr>
      </w:pPr>
      <w:bookmarkStart w:id="56" w:name="bookmark492"/>
      <w:bookmarkEnd w:id="56"/>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）联合体协议书（如有</w:t>
      </w:r>
      <w:r>
        <w:rPr>
          <w:rFonts w:ascii="宋体" w:hAnsi="宋体" w:eastAsia="宋体" w:cs="宋体"/>
          <w:spacing w:val="-35"/>
          <w:sz w:val="21"/>
          <w:szCs w:val="21"/>
        </w:rPr>
        <w:t>）；</w:t>
      </w:r>
    </w:p>
    <w:p w14:paraId="41CF2599">
      <w:pPr>
        <w:spacing w:before="93"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）拟分包项目情况表；</w:t>
      </w:r>
    </w:p>
    <w:p w14:paraId="58299676">
      <w:pPr>
        <w:spacing w:before="93"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）项目管理机构；</w:t>
      </w:r>
    </w:p>
    <w:p w14:paraId="7E7EF7F7">
      <w:pPr>
        <w:spacing w:before="94"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）资格审查资料；</w:t>
      </w:r>
    </w:p>
    <w:p w14:paraId="7B600A9E">
      <w:pPr>
        <w:spacing w:before="94" w:line="233"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）已标价工程量清单；</w:t>
      </w:r>
    </w:p>
    <w:p w14:paraId="52820640">
      <w:pPr>
        <w:spacing w:before="94" w:line="236"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）施工组织设计；</w:t>
      </w:r>
    </w:p>
    <w:p w14:paraId="35781AD5">
      <w:pPr>
        <w:spacing w:before="92"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10</w:t>
      </w:r>
      <w:r>
        <w:rPr>
          <w:rFonts w:ascii="宋体" w:hAnsi="宋体" w:eastAsia="宋体" w:cs="宋体"/>
          <w:spacing w:val="-2"/>
          <w:sz w:val="21"/>
          <w:szCs w:val="21"/>
        </w:rPr>
        <w:t>）其他材料。</w:t>
      </w:r>
    </w:p>
    <w:p w14:paraId="006EF6F8">
      <w:pPr>
        <w:spacing w:before="127" w:line="326" w:lineRule="auto"/>
        <w:ind w:left="24" w:right="173" w:firstLine="358"/>
        <w:rPr>
          <w:rFonts w:ascii="宋体" w:hAnsi="宋体" w:eastAsia="宋体" w:cs="宋体"/>
          <w:sz w:val="21"/>
          <w:szCs w:val="21"/>
        </w:rPr>
      </w:pPr>
      <w:r>
        <w:rPr>
          <w:rFonts w:ascii="Times New Roman" w:hAnsi="Times New Roman" w:eastAsia="Times New Roman" w:cs="Times New Roman"/>
          <w:spacing w:val="1"/>
          <w:sz w:val="21"/>
          <w:szCs w:val="21"/>
        </w:rPr>
        <w:t xml:space="preserve">3.1.2  </w:t>
      </w:r>
      <w:r>
        <w:rPr>
          <w:rFonts w:ascii="宋体" w:hAnsi="宋体" w:eastAsia="宋体" w:cs="宋体"/>
          <w:spacing w:val="1"/>
          <w:sz w:val="21"/>
          <w:szCs w:val="21"/>
        </w:rPr>
        <w:t>投标人须知前附表规定不接受联合体投标的，或投标人没有组成联合体的，投标</w:t>
      </w:r>
      <w:r>
        <w:rPr>
          <w:rFonts w:ascii="宋体" w:hAnsi="宋体" w:eastAsia="宋体" w:cs="宋体"/>
          <w:spacing w:val="-1"/>
          <w:sz w:val="21"/>
          <w:szCs w:val="21"/>
        </w:rPr>
        <w:t>文件不包括本章第</w:t>
      </w:r>
      <w:r>
        <w:rPr>
          <w:rFonts w:ascii="宋体" w:hAnsi="宋体" w:eastAsia="宋体" w:cs="宋体"/>
          <w:spacing w:val="-35"/>
          <w:sz w:val="21"/>
          <w:szCs w:val="21"/>
        </w:rPr>
        <w:t xml:space="preserve"> </w:t>
      </w:r>
      <w:r>
        <w:rPr>
          <w:rFonts w:ascii="Times New Roman" w:hAnsi="Times New Roman" w:eastAsia="Times New Roman" w:cs="Times New Roman"/>
          <w:spacing w:val="-1"/>
          <w:sz w:val="21"/>
          <w:szCs w:val="21"/>
        </w:rPr>
        <w:t>3.1.1</w:t>
      </w: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）目所指的联合体协议书。</w:t>
      </w:r>
    </w:p>
    <w:p w14:paraId="41440B46">
      <w:pPr>
        <w:spacing w:before="1" w:line="232" w:lineRule="auto"/>
        <w:ind w:left="141"/>
        <w:outlineLvl w:val="2"/>
        <w:rPr>
          <w:rFonts w:ascii="黑体" w:hAnsi="黑体" w:eastAsia="黑体" w:cs="黑体"/>
          <w:sz w:val="24"/>
          <w:szCs w:val="24"/>
        </w:rPr>
      </w:pPr>
      <w:bookmarkStart w:id="57" w:name="bookmark42"/>
      <w:bookmarkEnd w:id="57"/>
      <w:r>
        <w:rPr>
          <w:rFonts w:ascii="Times New Roman" w:hAnsi="Times New Roman" w:eastAsia="Times New Roman" w:cs="Times New Roman"/>
          <w:spacing w:val="-1"/>
          <w:sz w:val="24"/>
          <w:szCs w:val="24"/>
        </w:rPr>
        <w:t xml:space="preserve">3.2  </w:t>
      </w:r>
      <w:r>
        <w:rPr>
          <w:rFonts w:ascii="黑体" w:hAnsi="黑体" w:eastAsia="黑体" w:cs="黑体"/>
          <w:spacing w:val="-1"/>
          <w:sz w:val="24"/>
          <w:szCs w:val="24"/>
        </w:rPr>
        <w:t>投标报价</w:t>
      </w:r>
    </w:p>
    <w:p w14:paraId="44A0843B">
      <w:pPr>
        <w:spacing w:before="116" w:line="233" w:lineRule="auto"/>
        <w:ind w:left="443"/>
        <w:rPr>
          <w:rFonts w:ascii="宋体" w:hAnsi="宋体" w:eastAsia="宋体" w:cs="宋体"/>
          <w:sz w:val="21"/>
          <w:szCs w:val="21"/>
        </w:rPr>
      </w:pPr>
      <w:r>
        <w:rPr>
          <w:rFonts w:ascii="Times New Roman" w:hAnsi="Times New Roman" w:eastAsia="Times New Roman" w:cs="Times New Roman"/>
          <w:sz w:val="21"/>
          <w:szCs w:val="21"/>
        </w:rPr>
        <w:t xml:space="preserve">3.2.1  </w:t>
      </w:r>
      <w:r>
        <w:rPr>
          <w:rFonts w:ascii="宋体" w:hAnsi="宋体" w:eastAsia="宋体" w:cs="宋体"/>
          <w:sz w:val="21"/>
          <w:szCs w:val="21"/>
        </w:rPr>
        <w:t>投标人应按第八章“投标文件格式”的要求填写</w:t>
      </w:r>
      <w:r>
        <w:rPr>
          <w:rFonts w:ascii="宋体" w:hAnsi="宋体" w:eastAsia="宋体" w:cs="宋体"/>
          <w:spacing w:val="-1"/>
          <w:sz w:val="21"/>
          <w:szCs w:val="21"/>
        </w:rPr>
        <w:t>价格清单。</w:t>
      </w:r>
    </w:p>
    <w:p w14:paraId="20E97C8D">
      <w:pPr>
        <w:spacing w:before="102" w:line="275" w:lineRule="auto"/>
        <w:ind w:left="22" w:right="168" w:firstLine="420"/>
        <w:rPr>
          <w:rFonts w:ascii="宋体" w:hAnsi="宋体" w:eastAsia="宋体" w:cs="宋体"/>
          <w:sz w:val="21"/>
          <w:szCs w:val="21"/>
        </w:rPr>
      </w:pPr>
      <w:r>
        <w:rPr>
          <w:rFonts w:ascii="Times New Roman" w:hAnsi="Times New Roman" w:eastAsia="Times New Roman" w:cs="Times New Roman"/>
          <w:sz w:val="21"/>
          <w:szCs w:val="21"/>
        </w:rPr>
        <w:t xml:space="preserve">3.2.2  </w:t>
      </w:r>
      <w:r>
        <w:rPr>
          <w:rFonts w:ascii="宋体" w:hAnsi="宋体" w:eastAsia="宋体" w:cs="宋体"/>
          <w:sz w:val="21"/>
          <w:szCs w:val="21"/>
        </w:rPr>
        <w:t>投标人在投标截止时间前修改投标函中的投标总报价，应同时修改第五章“工程</w:t>
      </w:r>
      <w:r>
        <w:rPr>
          <w:rFonts w:ascii="宋体" w:hAnsi="宋体" w:eastAsia="宋体" w:cs="宋体"/>
          <w:spacing w:val="-1"/>
          <w:sz w:val="21"/>
          <w:szCs w:val="21"/>
        </w:rPr>
        <w:t>量清单”中的相应报价。此修改须符合本章第</w:t>
      </w:r>
      <w:r>
        <w:rPr>
          <w:rFonts w:ascii="宋体" w:hAnsi="宋体" w:eastAsia="宋体" w:cs="宋体"/>
          <w:spacing w:val="-40"/>
          <w:sz w:val="21"/>
          <w:szCs w:val="21"/>
        </w:rPr>
        <w:t xml:space="preserve"> </w:t>
      </w:r>
      <w:r>
        <w:rPr>
          <w:rFonts w:ascii="Times New Roman" w:hAnsi="Times New Roman" w:eastAsia="Times New Roman" w:cs="Times New Roman"/>
          <w:spacing w:val="-1"/>
          <w:sz w:val="21"/>
          <w:szCs w:val="21"/>
        </w:rPr>
        <w:t xml:space="preserve">4.3 </w:t>
      </w:r>
      <w:r>
        <w:rPr>
          <w:rFonts w:ascii="宋体" w:hAnsi="宋体" w:eastAsia="宋体" w:cs="宋体"/>
          <w:spacing w:val="-1"/>
          <w:sz w:val="21"/>
          <w:szCs w:val="21"/>
        </w:rPr>
        <w:t>款的有关要求。</w:t>
      </w:r>
    </w:p>
    <w:p w14:paraId="0227DB68">
      <w:pPr>
        <w:spacing w:before="158" w:line="303" w:lineRule="auto"/>
        <w:ind w:left="8" w:right="173" w:firstLine="434"/>
        <w:rPr>
          <w:rFonts w:ascii="宋体" w:hAnsi="宋体" w:eastAsia="宋体" w:cs="宋体"/>
          <w:sz w:val="21"/>
          <w:szCs w:val="21"/>
        </w:rPr>
      </w:pPr>
      <w:r>
        <w:rPr>
          <w:rFonts w:ascii="Times New Roman" w:hAnsi="Times New Roman" w:eastAsia="Times New Roman" w:cs="Times New Roman"/>
          <w:spacing w:val="5"/>
          <w:sz w:val="21"/>
          <w:szCs w:val="21"/>
        </w:rPr>
        <w:t xml:space="preserve">3.2.3  </w:t>
      </w:r>
      <w:r>
        <w:rPr>
          <w:rFonts w:ascii="宋体" w:hAnsi="宋体" w:eastAsia="宋体" w:cs="宋体"/>
          <w:spacing w:val="5"/>
          <w:sz w:val="21"/>
          <w:szCs w:val="21"/>
        </w:rPr>
        <w:t>投标人在投标截止时间前修改投标函中的投标报价总额，应同时修改投标文件</w:t>
      </w:r>
      <w:r>
        <w:rPr>
          <w:rFonts w:ascii="宋体" w:hAnsi="宋体" w:eastAsia="宋体" w:cs="宋体"/>
          <w:spacing w:val="2"/>
          <w:sz w:val="21"/>
          <w:szCs w:val="21"/>
        </w:rPr>
        <w:t>“</w:t>
      </w:r>
      <w:r>
        <w:rPr>
          <w:rFonts w:ascii="宋体" w:hAnsi="宋体" w:eastAsia="宋体" w:cs="宋体"/>
          <w:spacing w:val="-64"/>
          <w:sz w:val="21"/>
          <w:szCs w:val="21"/>
        </w:rPr>
        <w:t xml:space="preserve"> </w:t>
      </w:r>
      <w:r>
        <w:rPr>
          <w:rFonts w:ascii="宋体" w:hAnsi="宋体" w:eastAsia="宋体" w:cs="宋体"/>
          <w:spacing w:val="2"/>
          <w:sz w:val="21"/>
          <w:szCs w:val="21"/>
        </w:rPr>
        <w:t>已标价工程量清单”中的相应报价，投标报价总额为各分项金额之和。此修改须符合本</w:t>
      </w:r>
    </w:p>
    <w:p w14:paraId="24B9C116">
      <w:pPr>
        <w:spacing w:before="193" w:line="234" w:lineRule="auto"/>
        <w:ind w:left="30"/>
        <w:rPr>
          <w:rFonts w:ascii="宋体" w:hAnsi="宋体" w:eastAsia="宋体" w:cs="宋体"/>
          <w:sz w:val="21"/>
          <w:szCs w:val="21"/>
        </w:rPr>
      </w:pPr>
      <w:r>
        <w:rPr>
          <w:rFonts w:ascii="宋体" w:hAnsi="宋体" w:eastAsia="宋体" w:cs="宋体"/>
          <w:spacing w:val="-3"/>
          <w:sz w:val="21"/>
          <w:szCs w:val="21"/>
        </w:rPr>
        <w:t>章第</w:t>
      </w:r>
      <w:r>
        <w:rPr>
          <w:rFonts w:ascii="宋体" w:hAnsi="宋体" w:eastAsia="宋体" w:cs="宋体"/>
          <w:spacing w:val="-43"/>
          <w:sz w:val="21"/>
          <w:szCs w:val="21"/>
        </w:rPr>
        <w:t xml:space="preserve"> </w:t>
      </w:r>
      <w:r>
        <w:rPr>
          <w:rFonts w:ascii="Times New Roman" w:hAnsi="Times New Roman" w:eastAsia="Times New Roman" w:cs="Times New Roman"/>
          <w:spacing w:val="-3"/>
          <w:sz w:val="21"/>
          <w:szCs w:val="21"/>
        </w:rPr>
        <w:t xml:space="preserve">4.3 </w:t>
      </w:r>
      <w:r>
        <w:rPr>
          <w:rFonts w:ascii="宋体" w:hAnsi="宋体" w:eastAsia="宋体" w:cs="宋体"/>
          <w:spacing w:val="-3"/>
          <w:sz w:val="21"/>
          <w:szCs w:val="21"/>
        </w:rPr>
        <w:t>款的有关要求。</w:t>
      </w:r>
    </w:p>
    <w:p w14:paraId="72F8C260">
      <w:pPr>
        <w:spacing w:before="141" w:line="285" w:lineRule="auto"/>
        <w:ind w:left="23" w:right="168" w:firstLine="419"/>
        <w:rPr>
          <w:rFonts w:ascii="宋体" w:hAnsi="宋体" w:eastAsia="宋体" w:cs="宋体"/>
          <w:sz w:val="21"/>
          <w:szCs w:val="21"/>
        </w:rPr>
      </w:pPr>
      <w:r>
        <w:rPr>
          <w:rFonts w:ascii="Times New Roman" w:hAnsi="Times New Roman" w:eastAsia="Times New Roman" w:cs="Times New Roman"/>
          <w:sz w:val="21"/>
          <w:szCs w:val="21"/>
        </w:rPr>
        <w:t xml:space="preserve">3.2.4  </w:t>
      </w:r>
      <w:r>
        <w:rPr>
          <w:rFonts w:ascii="宋体" w:hAnsi="宋体" w:eastAsia="宋体" w:cs="宋体"/>
          <w:sz w:val="21"/>
          <w:szCs w:val="21"/>
        </w:rPr>
        <w:t>招标人设有最高投标限价的，投标人的投标报价不得超过最高投标限价，最高投</w:t>
      </w:r>
      <w:r>
        <w:rPr>
          <w:rFonts w:ascii="宋体" w:hAnsi="宋体" w:eastAsia="宋体" w:cs="宋体"/>
          <w:spacing w:val="-1"/>
          <w:sz w:val="21"/>
          <w:szCs w:val="21"/>
        </w:rPr>
        <w:t>标限价或其计算方法在投标人须知前附表中载明。</w:t>
      </w:r>
    </w:p>
    <w:p w14:paraId="43EF0C0A">
      <w:pPr>
        <w:spacing w:before="152" w:line="233" w:lineRule="auto"/>
        <w:ind w:left="443"/>
        <w:rPr>
          <w:rFonts w:ascii="宋体" w:hAnsi="宋体" w:eastAsia="宋体" w:cs="宋体"/>
          <w:sz w:val="21"/>
          <w:szCs w:val="21"/>
        </w:rPr>
      </w:pPr>
      <w:r>
        <w:rPr>
          <w:rFonts w:ascii="Times New Roman" w:hAnsi="Times New Roman" w:eastAsia="Times New Roman" w:cs="Times New Roman"/>
          <w:sz w:val="21"/>
          <w:szCs w:val="21"/>
        </w:rPr>
        <w:t xml:space="preserve">3.2.5  </w:t>
      </w:r>
      <w:r>
        <w:rPr>
          <w:rFonts w:ascii="宋体" w:hAnsi="宋体" w:eastAsia="宋体" w:cs="宋体"/>
          <w:sz w:val="21"/>
          <w:szCs w:val="21"/>
        </w:rPr>
        <w:t>投标报价的其他要求见投标</w:t>
      </w:r>
      <w:r>
        <w:rPr>
          <w:rFonts w:ascii="宋体" w:hAnsi="宋体" w:eastAsia="宋体" w:cs="宋体"/>
          <w:spacing w:val="-1"/>
          <w:sz w:val="21"/>
          <w:szCs w:val="21"/>
        </w:rPr>
        <w:t>人须知前附表。</w:t>
      </w:r>
    </w:p>
    <w:p w14:paraId="0749EFDF">
      <w:pPr>
        <w:spacing w:before="77" w:line="232" w:lineRule="auto"/>
        <w:ind w:left="141"/>
        <w:outlineLvl w:val="2"/>
        <w:rPr>
          <w:rFonts w:ascii="黑体" w:hAnsi="黑体" w:eastAsia="黑体" w:cs="黑体"/>
          <w:sz w:val="24"/>
          <w:szCs w:val="24"/>
        </w:rPr>
      </w:pPr>
      <w:bookmarkStart w:id="58" w:name="bookmark43"/>
      <w:bookmarkEnd w:id="58"/>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投标有效期</w:t>
      </w:r>
    </w:p>
    <w:p w14:paraId="3B6B1D1F">
      <w:pPr>
        <w:spacing w:before="117" w:line="234" w:lineRule="auto"/>
        <w:ind w:left="443"/>
        <w:rPr>
          <w:rFonts w:ascii="宋体" w:hAnsi="宋体" w:eastAsia="宋体" w:cs="宋体"/>
          <w:sz w:val="21"/>
          <w:szCs w:val="21"/>
        </w:rPr>
      </w:pPr>
      <w:r>
        <w:rPr>
          <w:rFonts w:ascii="Times New Roman" w:hAnsi="Times New Roman" w:eastAsia="Times New Roman" w:cs="Times New Roman"/>
          <w:spacing w:val="-1"/>
          <w:sz w:val="21"/>
          <w:szCs w:val="21"/>
        </w:rPr>
        <w:t xml:space="preserve">3.3.1  </w:t>
      </w:r>
      <w:r>
        <w:rPr>
          <w:rFonts w:ascii="宋体" w:hAnsi="宋体" w:eastAsia="宋体" w:cs="宋体"/>
          <w:spacing w:val="-1"/>
          <w:sz w:val="21"/>
          <w:szCs w:val="21"/>
        </w:rPr>
        <w:t>除投标人须知前附表另有规定外，投标有效期</w:t>
      </w:r>
      <w:r>
        <w:rPr>
          <w:rFonts w:ascii="宋体" w:hAnsi="宋体" w:eastAsia="宋体" w:cs="宋体"/>
          <w:spacing w:val="-2"/>
          <w:sz w:val="21"/>
          <w:szCs w:val="21"/>
        </w:rPr>
        <w:t>为</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 xml:space="preserve">120 </w:t>
      </w:r>
      <w:r>
        <w:rPr>
          <w:rFonts w:ascii="宋体" w:hAnsi="宋体" w:eastAsia="宋体" w:cs="宋体"/>
          <w:spacing w:val="-2"/>
          <w:sz w:val="21"/>
          <w:szCs w:val="21"/>
        </w:rPr>
        <w:t>天。</w:t>
      </w:r>
    </w:p>
    <w:p w14:paraId="5E036D4B">
      <w:pPr>
        <w:spacing w:before="133" w:line="286" w:lineRule="auto"/>
        <w:ind w:left="40" w:right="168" w:firstLine="403"/>
        <w:rPr>
          <w:rFonts w:ascii="宋体" w:hAnsi="宋体" w:eastAsia="宋体" w:cs="宋体"/>
          <w:sz w:val="21"/>
          <w:szCs w:val="21"/>
        </w:rPr>
      </w:pPr>
      <w:r>
        <w:rPr>
          <w:rFonts w:ascii="Times New Roman" w:hAnsi="Times New Roman" w:eastAsia="Times New Roman" w:cs="Times New Roman"/>
          <w:sz w:val="21"/>
          <w:szCs w:val="21"/>
        </w:rPr>
        <w:t xml:space="preserve">3.3.2  </w:t>
      </w:r>
      <w:r>
        <w:rPr>
          <w:rFonts w:ascii="宋体" w:hAnsi="宋体" w:eastAsia="宋体" w:cs="宋体"/>
          <w:sz w:val="21"/>
          <w:szCs w:val="21"/>
        </w:rPr>
        <w:t>在投标有效期内，投标人撤销或修改其投标文件的，应承担招标文件和法律规定</w:t>
      </w:r>
      <w:r>
        <w:rPr>
          <w:rFonts w:ascii="宋体" w:hAnsi="宋体" w:eastAsia="宋体" w:cs="宋体"/>
          <w:spacing w:val="-6"/>
          <w:sz w:val="21"/>
          <w:szCs w:val="21"/>
        </w:rPr>
        <w:t>的责任。</w:t>
      </w:r>
    </w:p>
    <w:p w14:paraId="092E3D55">
      <w:pPr>
        <w:spacing w:before="149" w:line="321" w:lineRule="auto"/>
        <w:ind w:left="22" w:right="168" w:firstLine="420"/>
        <w:rPr>
          <w:rFonts w:ascii="宋体" w:hAnsi="宋体" w:eastAsia="宋体" w:cs="宋体"/>
          <w:sz w:val="21"/>
          <w:szCs w:val="21"/>
        </w:rPr>
      </w:pPr>
      <w:r>
        <w:rPr>
          <w:rFonts w:ascii="Times New Roman" w:hAnsi="Times New Roman" w:eastAsia="Times New Roman" w:cs="Times New Roman"/>
          <w:sz w:val="21"/>
          <w:szCs w:val="21"/>
        </w:rPr>
        <w:t xml:space="preserve">3.3.3  </w:t>
      </w:r>
      <w:r>
        <w:rPr>
          <w:rFonts w:ascii="宋体" w:hAnsi="宋体" w:eastAsia="宋体" w:cs="宋体"/>
          <w:sz w:val="21"/>
          <w:szCs w:val="21"/>
        </w:rPr>
        <w:t>出现特殊情况需要延长投标有效期的，招标人以书面形式通知所有投标人延长投</w:t>
      </w:r>
      <w:r>
        <w:rPr>
          <w:rFonts w:ascii="宋体" w:hAnsi="宋体" w:eastAsia="宋体" w:cs="宋体"/>
          <w:spacing w:val="3"/>
          <w:sz w:val="21"/>
          <w:szCs w:val="21"/>
        </w:rPr>
        <w:t>标有效期。投标人同意延长的，应相应延长其投标保证金</w:t>
      </w:r>
      <w:r>
        <w:rPr>
          <w:rFonts w:ascii="宋体" w:hAnsi="宋体" w:eastAsia="宋体" w:cs="宋体"/>
          <w:spacing w:val="2"/>
          <w:sz w:val="21"/>
          <w:szCs w:val="21"/>
        </w:rPr>
        <w:t>的有效期，但不得要求或被允许</w:t>
      </w:r>
      <w:r>
        <w:rPr>
          <w:rFonts w:ascii="宋体" w:hAnsi="宋体" w:eastAsia="宋体" w:cs="宋体"/>
          <w:spacing w:val="3"/>
          <w:sz w:val="21"/>
          <w:szCs w:val="21"/>
        </w:rPr>
        <w:t>修改或撤销其投标文件；投标人拒绝延长的，其投标失效</w:t>
      </w:r>
      <w:r>
        <w:rPr>
          <w:rFonts w:ascii="宋体" w:hAnsi="宋体" w:eastAsia="宋体" w:cs="宋体"/>
          <w:spacing w:val="2"/>
          <w:sz w:val="21"/>
          <w:szCs w:val="21"/>
        </w:rPr>
        <w:t>，但投标人有权收回其投标保证</w:t>
      </w:r>
      <w:r>
        <w:rPr>
          <w:rFonts w:ascii="宋体" w:hAnsi="宋体" w:eastAsia="宋体" w:cs="宋体"/>
          <w:spacing w:val="-10"/>
          <w:sz w:val="21"/>
          <w:szCs w:val="21"/>
        </w:rPr>
        <w:t>金。</w:t>
      </w:r>
    </w:p>
    <w:p w14:paraId="37AB060B">
      <w:pPr>
        <w:spacing w:before="84" w:line="233" w:lineRule="auto"/>
        <w:ind w:left="141"/>
        <w:outlineLvl w:val="2"/>
        <w:rPr>
          <w:rFonts w:ascii="黑体" w:hAnsi="黑体" w:eastAsia="黑体" w:cs="黑体"/>
          <w:sz w:val="24"/>
          <w:szCs w:val="24"/>
        </w:rPr>
      </w:pPr>
      <w:bookmarkStart w:id="59" w:name="bookmark44"/>
      <w:bookmarkEnd w:id="59"/>
      <w:r>
        <w:rPr>
          <w:rFonts w:ascii="Times New Roman" w:hAnsi="Times New Roman" w:eastAsia="Times New Roman" w:cs="Times New Roman"/>
          <w:spacing w:val="-1"/>
          <w:sz w:val="24"/>
          <w:szCs w:val="24"/>
        </w:rPr>
        <w:t xml:space="preserve">3.4  </w:t>
      </w:r>
      <w:r>
        <w:rPr>
          <w:rFonts w:ascii="黑体" w:hAnsi="黑体" w:eastAsia="黑体" w:cs="黑体"/>
          <w:spacing w:val="-1"/>
          <w:sz w:val="24"/>
          <w:szCs w:val="24"/>
        </w:rPr>
        <w:t>投标保证金</w:t>
      </w:r>
    </w:p>
    <w:p w14:paraId="00AEBB75">
      <w:pPr>
        <w:spacing w:before="114" w:line="350" w:lineRule="auto"/>
        <w:ind w:left="22" w:firstLine="420"/>
        <w:jc w:val="both"/>
        <w:rPr>
          <w:rFonts w:ascii="宋体" w:hAnsi="宋体" w:eastAsia="宋体" w:cs="宋体"/>
          <w:sz w:val="21"/>
          <w:szCs w:val="21"/>
        </w:rPr>
      </w:pPr>
      <w:r>
        <w:rPr>
          <w:rFonts w:ascii="Times New Roman" w:hAnsi="Times New Roman" w:eastAsia="Times New Roman" w:cs="Times New Roman"/>
          <w:sz w:val="21"/>
          <w:szCs w:val="21"/>
        </w:rPr>
        <w:t xml:space="preserve">3.4.1  </w:t>
      </w:r>
      <w:r>
        <w:rPr>
          <w:rFonts w:ascii="宋体" w:hAnsi="宋体" w:eastAsia="宋体" w:cs="宋体"/>
          <w:sz w:val="21"/>
          <w:szCs w:val="21"/>
        </w:rPr>
        <w:t>投标人在递交投标文件的同时，应按投标人须知前附表规定的金额、担保形式和</w:t>
      </w:r>
      <w:r>
        <w:rPr>
          <w:rFonts w:ascii="宋体" w:hAnsi="宋体" w:eastAsia="宋体" w:cs="宋体"/>
          <w:spacing w:val="3"/>
          <w:sz w:val="21"/>
          <w:szCs w:val="21"/>
        </w:rPr>
        <w:t>第八章“投标文件格式”规定的投标保证金格式递交投标</w:t>
      </w:r>
      <w:r>
        <w:rPr>
          <w:rFonts w:ascii="宋体" w:hAnsi="宋体" w:eastAsia="宋体" w:cs="宋体"/>
          <w:spacing w:val="2"/>
          <w:sz w:val="21"/>
          <w:szCs w:val="21"/>
        </w:rPr>
        <w:t>保证金，并作为其投标文件的组成部分。联合体投标的，其投标保证金由牵头人递交，并应符合</w:t>
      </w:r>
      <w:r>
        <w:rPr>
          <w:rFonts w:ascii="宋体" w:hAnsi="宋体" w:eastAsia="宋体" w:cs="宋体"/>
          <w:spacing w:val="1"/>
          <w:sz w:val="21"/>
          <w:szCs w:val="21"/>
        </w:rPr>
        <w:t>投标人须知前附表的规定。</w:t>
      </w:r>
    </w:p>
    <w:p w14:paraId="39C84DA4">
      <w:pPr>
        <w:spacing w:before="4" w:line="234" w:lineRule="auto"/>
        <w:ind w:left="443"/>
        <w:rPr>
          <w:rFonts w:ascii="宋体" w:hAnsi="宋体" w:eastAsia="宋体" w:cs="宋体"/>
          <w:sz w:val="21"/>
          <w:szCs w:val="21"/>
        </w:rPr>
      </w:pPr>
      <w:r>
        <w:rPr>
          <w:rFonts w:ascii="Times New Roman" w:hAnsi="Times New Roman" w:eastAsia="Times New Roman" w:cs="Times New Roman"/>
          <w:spacing w:val="-1"/>
          <w:sz w:val="21"/>
          <w:szCs w:val="21"/>
        </w:rPr>
        <w:t xml:space="preserve">3.4.2  </w:t>
      </w:r>
      <w:r>
        <w:rPr>
          <w:rFonts w:ascii="宋体" w:hAnsi="宋体" w:eastAsia="宋体" w:cs="宋体"/>
          <w:spacing w:val="-1"/>
          <w:sz w:val="21"/>
          <w:szCs w:val="21"/>
        </w:rPr>
        <w:t>投标人不按本章第</w:t>
      </w:r>
      <w:r>
        <w:rPr>
          <w:rFonts w:ascii="宋体" w:hAnsi="宋体" w:eastAsia="宋体" w:cs="宋体"/>
          <w:spacing w:val="-34"/>
          <w:sz w:val="21"/>
          <w:szCs w:val="21"/>
        </w:rPr>
        <w:t xml:space="preserve"> </w:t>
      </w:r>
      <w:r>
        <w:rPr>
          <w:rFonts w:ascii="Times New Roman" w:hAnsi="Times New Roman" w:eastAsia="Times New Roman" w:cs="Times New Roman"/>
          <w:spacing w:val="-1"/>
          <w:sz w:val="21"/>
          <w:szCs w:val="21"/>
        </w:rPr>
        <w:t xml:space="preserve">3.4.1 </w:t>
      </w:r>
      <w:r>
        <w:rPr>
          <w:rFonts w:ascii="宋体" w:hAnsi="宋体" w:eastAsia="宋体" w:cs="宋体"/>
          <w:spacing w:val="-1"/>
          <w:sz w:val="21"/>
          <w:szCs w:val="21"/>
        </w:rPr>
        <w:t>项要求提交投标保证金的，评标委员会将否决其投标。</w:t>
      </w:r>
    </w:p>
    <w:p w14:paraId="26138FDD">
      <w:pPr>
        <w:spacing w:before="134" w:line="308" w:lineRule="auto"/>
        <w:ind w:left="23" w:right="165"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3.4.3  </w:t>
      </w:r>
      <w:r>
        <w:rPr>
          <w:rFonts w:ascii="宋体" w:hAnsi="宋体" w:eastAsia="宋体" w:cs="宋体"/>
          <w:spacing w:val="-1"/>
          <w:sz w:val="21"/>
          <w:szCs w:val="21"/>
        </w:rPr>
        <w:t>招标人最迟将在中标人签订合同后</w:t>
      </w:r>
      <w:r>
        <w:rPr>
          <w:rFonts w:ascii="宋体" w:hAnsi="宋体" w:eastAsia="宋体" w:cs="宋体"/>
          <w:spacing w:val="-38"/>
          <w:sz w:val="21"/>
          <w:szCs w:val="21"/>
        </w:rPr>
        <w:t xml:space="preserve">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日</w:t>
      </w:r>
      <w:r>
        <w:rPr>
          <w:rFonts w:ascii="宋体" w:hAnsi="宋体" w:eastAsia="宋体" w:cs="宋体"/>
          <w:spacing w:val="-2"/>
          <w:sz w:val="21"/>
          <w:szCs w:val="21"/>
        </w:rPr>
        <w:t>内，向未中标的投标人和中标人退还投标</w:t>
      </w:r>
      <w:r>
        <w:rPr>
          <w:rFonts w:ascii="宋体" w:hAnsi="宋体" w:eastAsia="宋体" w:cs="宋体"/>
          <w:spacing w:val="3"/>
          <w:sz w:val="21"/>
          <w:szCs w:val="21"/>
        </w:rPr>
        <w:t>保证金。投标保证金以现金或者支票形式递交的，还应退还银行同期存款利息</w:t>
      </w:r>
      <w:r>
        <w:rPr>
          <w:rFonts w:ascii="宋体" w:hAnsi="宋体" w:eastAsia="宋体" w:cs="宋体"/>
          <w:spacing w:val="2"/>
          <w:sz w:val="21"/>
          <w:szCs w:val="21"/>
        </w:rPr>
        <w:t>。投标保证</w:t>
      </w:r>
      <w:r>
        <w:rPr>
          <w:rFonts w:ascii="宋体" w:hAnsi="宋体" w:eastAsia="宋体" w:cs="宋体"/>
          <w:spacing w:val="3"/>
          <w:sz w:val="21"/>
          <w:szCs w:val="21"/>
        </w:rPr>
        <w:t>金及利息的计息标准和退还方式见投标人须知前附表。</w:t>
      </w:r>
      <w:r>
        <w:rPr>
          <w:rFonts w:ascii="宋体" w:hAnsi="宋体" w:eastAsia="宋体" w:cs="宋体"/>
          <w:spacing w:val="2"/>
          <w:sz w:val="21"/>
          <w:szCs w:val="21"/>
        </w:rPr>
        <w:t>投标保证金缴纳及退还信息应在法</w:t>
      </w:r>
    </w:p>
    <w:p w14:paraId="7ED13779">
      <w:pPr>
        <w:spacing w:line="308" w:lineRule="auto"/>
        <w:rPr>
          <w:rFonts w:ascii="宋体" w:hAnsi="宋体" w:eastAsia="宋体" w:cs="宋体"/>
          <w:sz w:val="21"/>
          <w:szCs w:val="21"/>
        </w:rPr>
        <w:sectPr>
          <w:footerReference r:id="rId29" w:type="default"/>
          <w:pgSz w:w="11905" w:h="16843"/>
          <w:pgMar w:top="969" w:right="1355" w:bottom="1026" w:left="1480" w:header="0" w:footer="754" w:gutter="0"/>
          <w:cols w:space="0" w:num="1"/>
          <w:rtlGutter w:val="0"/>
          <w:docGrid w:linePitch="0" w:charSpace="0"/>
        </w:sectPr>
      </w:pPr>
    </w:p>
    <w:p w14:paraId="159CC308">
      <w:pPr>
        <w:spacing w:before="149" w:line="219" w:lineRule="auto"/>
        <w:ind w:left="27"/>
        <w:rPr>
          <w:rFonts w:ascii="宋体" w:hAnsi="宋体" w:eastAsia="宋体" w:cs="宋体"/>
          <w:sz w:val="21"/>
          <w:szCs w:val="21"/>
        </w:rPr>
      </w:pPr>
      <w:bookmarkStart w:id="60" w:name="bookmark493"/>
      <w:bookmarkEnd w:id="60"/>
      <w:r>
        <w:rPr>
          <w:rFonts w:ascii="宋体" w:hAnsi="宋体" w:eastAsia="宋体" w:cs="宋体"/>
          <w:spacing w:val="-1"/>
          <w:sz w:val="21"/>
          <w:szCs w:val="21"/>
        </w:rPr>
        <w:t>定公告公示信息发布媒介等进行公示，接受社会监督。</w:t>
      </w:r>
    </w:p>
    <w:p w14:paraId="5CB0D97E">
      <w:pPr>
        <w:spacing w:before="149" w:line="234" w:lineRule="auto"/>
        <w:ind w:left="443"/>
        <w:rPr>
          <w:rFonts w:ascii="宋体" w:hAnsi="宋体" w:eastAsia="宋体" w:cs="宋体"/>
          <w:sz w:val="21"/>
          <w:szCs w:val="21"/>
        </w:rPr>
      </w:pPr>
      <w:r>
        <w:rPr>
          <w:rFonts w:ascii="Times New Roman" w:hAnsi="Times New Roman" w:eastAsia="Times New Roman" w:cs="Times New Roman"/>
          <w:spacing w:val="-1"/>
          <w:sz w:val="21"/>
          <w:szCs w:val="21"/>
        </w:rPr>
        <w:t xml:space="preserve">3.4.4  </w:t>
      </w:r>
      <w:r>
        <w:rPr>
          <w:rFonts w:ascii="宋体" w:hAnsi="宋体" w:eastAsia="宋体" w:cs="宋体"/>
          <w:spacing w:val="-1"/>
          <w:sz w:val="21"/>
          <w:szCs w:val="21"/>
        </w:rPr>
        <w:t>有下列情形之一的，投标保证金将不</w:t>
      </w:r>
      <w:r>
        <w:rPr>
          <w:rFonts w:ascii="宋体" w:hAnsi="宋体" w:eastAsia="宋体" w:cs="宋体"/>
          <w:spacing w:val="-2"/>
          <w:sz w:val="21"/>
          <w:szCs w:val="21"/>
        </w:rPr>
        <w:t>予退还：</w:t>
      </w:r>
    </w:p>
    <w:p w14:paraId="61022A36">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）投标人在规定的投标有效期内撤销或修改其投标文件；</w:t>
      </w:r>
    </w:p>
    <w:p w14:paraId="52023460">
      <w:pPr>
        <w:spacing w:before="133" w:line="234" w:lineRule="auto"/>
        <w:ind w:left="34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）投标人在投标过程中有弄虚作假、围标</w:t>
      </w:r>
      <w:r>
        <w:rPr>
          <w:rFonts w:ascii="宋体" w:hAnsi="宋体" w:eastAsia="宋体" w:cs="宋体"/>
          <w:spacing w:val="-1"/>
          <w:sz w:val="21"/>
          <w:szCs w:val="21"/>
        </w:rPr>
        <w:t>串标等违法违规行为的；</w:t>
      </w:r>
    </w:p>
    <w:p w14:paraId="518C4A34">
      <w:pPr>
        <w:spacing w:before="133" w:line="286" w:lineRule="auto"/>
        <w:ind w:left="39" w:right="214" w:firstLine="30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）中标人在收到中标通知书后，无正当理由拒签合同、在签订合同</w:t>
      </w:r>
      <w:r>
        <w:rPr>
          <w:rFonts w:ascii="宋体" w:hAnsi="宋体" w:eastAsia="宋体" w:cs="宋体"/>
          <w:spacing w:val="1"/>
          <w:sz w:val="21"/>
          <w:szCs w:val="21"/>
        </w:rPr>
        <w:t>时向招标人提出</w:t>
      </w:r>
      <w:r>
        <w:rPr>
          <w:rFonts w:ascii="宋体" w:hAnsi="宋体" w:eastAsia="宋体" w:cs="宋体"/>
          <w:spacing w:val="-1"/>
          <w:sz w:val="21"/>
          <w:szCs w:val="21"/>
        </w:rPr>
        <w:t>附加条件或未按招标文件规定提交履约保证金。</w:t>
      </w:r>
    </w:p>
    <w:p w14:paraId="29468427">
      <w:pPr>
        <w:spacing w:before="92" w:line="233" w:lineRule="auto"/>
        <w:ind w:left="141"/>
        <w:outlineLvl w:val="2"/>
        <w:rPr>
          <w:rFonts w:ascii="黑体" w:hAnsi="黑体" w:eastAsia="黑体" w:cs="黑体"/>
          <w:sz w:val="24"/>
          <w:szCs w:val="24"/>
        </w:rPr>
      </w:pPr>
      <w:bookmarkStart w:id="61" w:name="bookmark45"/>
      <w:bookmarkEnd w:id="61"/>
      <w:r>
        <w:rPr>
          <w:rFonts w:ascii="Times New Roman" w:hAnsi="Times New Roman" w:eastAsia="Times New Roman" w:cs="Times New Roman"/>
          <w:spacing w:val="-3"/>
          <w:sz w:val="24"/>
          <w:szCs w:val="24"/>
        </w:rPr>
        <w:t>3.5</w:t>
      </w:r>
      <w:r>
        <w:rPr>
          <w:rFonts w:ascii="Times New Roman" w:hAnsi="Times New Roman" w:eastAsia="Times New Roman" w:cs="Times New Roman"/>
          <w:spacing w:val="9"/>
          <w:sz w:val="24"/>
          <w:szCs w:val="24"/>
        </w:rPr>
        <w:t xml:space="preserve">  </w:t>
      </w:r>
      <w:r>
        <w:rPr>
          <w:rFonts w:ascii="黑体" w:hAnsi="黑体" w:eastAsia="黑体" w:cs="黑体"/>
          <w:spacing w:val="-3"/>
          <w:sz w:val="24"/>
          <w:szCs w:val="24"/>
        </w:rPr>
        <w:t>资格审查资料</w:t>
      </w:r>
    </w:p>
    <w:p w14:paraId="133BA671">
      <w:pPr>
        <w:spacing w:before="115" w:line="234" w:lineRule="auto"/>
        <w:jc w:val="right"/>
        <w:rPr>
          <w:rFonts w:ascii="宋体" w:hAnsi="宋体" w:eastAsia="宋体" w:cs="宋体"/>
          <w:sz w:val="21"/>
          <w:szCs w:val="21"/>
        </w:rPr>
      </w:pPr>
      <w:r>
        <w:rPr>
          <w:rFonts w:ascii="Times New Roman" w:hAnsi="Times New Roman" w:eastAsia="Times New Roman" w:cs="Times New Roman"/>
          <w:spacing w:val="-1"/>
          <w:sz w:val="21"/>
          <w:szCs w:val="21"/>
        </w:rPr>
        <w:t xml:space="preserve">3.5.1  </w:t>
      </w:r>
      <w:r>
        <w:rPr>
          <w:rFonts w:ascii="宋体" w:hAnsi="宋体" w:eastAsia="宋体" w:cs="宋体"/>
          <w:spacing w:val="-1"/>
          <w:sz w:val="21"/>
          <w:szCs w:val="21"/>
        </w:rPr>
        <w:t>“投标人基本情况表”应附投标人营业执照、资质证书和安全生产许可证等材料。</w:t>
      </w:r>
    </w:p>
    <w:p w14:paraId="389AA551">
      <w:pPr>
        <w:spacing w:before="134" w:line="286" w:lineRule="auto"/>
        <w:ind w:left="23" w:right="179" w:firstLine="419"/>
        <w:rPr>
          <w:rFonts w:ascii="宋体" w:hAnsi="宋体" w:eastAsia="宋体" w:cs="宋体"/>
          <w:sz w:val="21"/>
          <w:szCs w:val="21"/>
        </w:rPr>
      </w:pPr>
      <w:r>
        <w:rPr>
          <w:rFonts w:ascii="Times New Roman" w:hAnsi="Times New Roman" w:eastAsia="Times New Roman" w:cs="Times New Roman"/>
          <w:sz w:val="21"/>
          <w:szCs w:val="21"/>
        </w:rPr>
        <w:t xml:space="preserve">3.5.2  </w:t>
      </w:r>
      <w:r>
        <w:rPr>
          <w:rFonts w:ascii="宋体" w:hAnsi="宋体" w:eastAsia="宋体" w:cs="宋体"/>
          <w:sz w:val="21"/>
          <w:szCs w:val="21"/>
        </w:rPr>
        <w:t>“近年财务状况表”应附经会计师事务所或审计机构审计的财务会计报表，具体</w:t>
      </w:r>
      <w:r>
        <w:rPr>
          <w:rFonts w:ascii="宋体" w:hAnsi="宋体" w:eastAsia="宋体" w:cs="宋体"/>
          <w:spacing w:val="-2"/>
          <w:sz w:val="21"/>
          <w:szCs w:val="21"/>
        </w:rPr>
        <w:t>年份要求见投标人须知前附表。</w:t>
      </w:r>
    </w:p>
    <w:p w14:paraId="40695F7D">
      <w:pPr>
        <w:spacing w:before="149" w:line="308" w:lineRule="auto"/>
        <w:ind w:left="22" w:right="179" w:firstLine="420"/>
        <w:rPr>
          <w:rFonts w:ascii="宋体" w:hAnsi="宋体" w:eastAsia="宋体" w:cs="宋体"/>
          <w:sz w:val="21"/>
          <w:szCs w:val="21"/>
        </w:rPr>
      </w:pPr>
      <w:r>
        <w:rPr>
          <w:rFonts w:ascii="Times New Roman" w:hAnsi="Times New Roman" w:eastAsia="Times New Roman" w:cs="Times New Roman"/>
          <w:sz w:val="21"/>
          <w:szCs w:val="21"/>
        </w:rPr>
        <w:t xml:space="preserve">3.5.3  </w:t>
      </w:r>
      <w:r>
        <w:rPr>
          <w:rFonts w:ascii="宋体" w:hAnsi="宋体" w:eastAsia="宋体" w:cs="宋体"/>
          <w:sz w:val="21"/>
          <w:szCs w:val="21"/>
        </w:rPr>
        <w:t>“近年完成的类似项目情况表”应附中标通知书和（或）合同协议书、工程接收</w:t>
      </w:r>
      <w:r>
        <w:rPr>
          <w:rFonts w:ascii="宋体" w:hAnsi="宋体" w:eastAsia="宋体" w:cs="宋体"/>
          <w:spacing w:val="3"/>
          <w:sz w:val="21"/>
          <w:szCs w:val="21"/>
        </w:rPr>
        <w:t>证书（工程竣工验收证书）等材料。具体年份要求见投标</w:t>
      </w:r>
      <w:r>
        <w:rPr>
          <w:rFonts w:ascii="宋体" w:hAnsi="宋体" w:eastAsia="宋体" w:cs="宋体"/>
          <w:spacing w:val="2"/>
          <w:sz w:val="21"/>
          <w:szCs w:val="21"/>
        </w:rPr>
        <w:t>人须知前附表，每张表格只填写</w:t>
      </w:r>
      <w:r>
        <w:rPr>
          <w:rFonts w:ascii="宋体" w:hAnsi="宋体" w:eastAsia="宋体" w:cs="宋体"/>
          <w:spacing w:val="-2"/>
          <w:sz w:val="21"/>
          <w:szCs w:val="21"/>
        </w:rPr>
        <w:t>一个项目，并标明序号。</w:t>
      </w:r>
    </w:p>
    <w:p w14:paraId="1ADC86ED">
      <w:pPr>
        <w:spacing w:before="151" w:line="285" w:lineRule="auto"/>
        <w:ind w:left="22"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3.5.4  </w:t>
      </w:r>
      <w:r>
        <w:rPr>
          <w:rFonts w:ascii="宋体" w:hAnsi="宋体" w:eastAsia="宋体" w:cs="宋体"/>
          <w:spacing w:val="-1"/>
          <w:sz w:val="21"/>
          <w:szCs w:val="21"/>
        </w:rPr>
        <w:t>“正在实施和新承接的项目情况表”应附中标通知书和（或）合同协议书等材料。</w:t>
      </w:r>
      <w:r>
        <w:rPr>
          <w:rFonts w:ascii="宋体" w:hAnsi="宋体" w:eastAsia="宋体" w:cs="宋体"/>
          <w:spacing w:val="-2"/>
          <w:sz w:val="21"/>
          <w:szCs w:val="21"/>
        </w:rPr>
        <w:t>每张表格只填写一个项目，并标明序号。</w:t>
      </w:r>
    </w:p>
    <w:p w14:paraId="56B2878F">
      <w:pPr>
        <w:spacing w:before="151" w:line="286" w:lineRule="auto"/>
        <w:ind w:left="29" w:right="179" w:firstLine="413"/>
        <w:rPr>
          <w:rFonts w:ascii="宋体" w:hAnsi="宋体" w:eastAsia="宋体" w:cs="宋体"/>
          <w:sz w:val="21"/>
          <w:szCs w:val="21"/>
        </w:rPr>
      </w:pPr>
      <w:r>
        <w:rPr>
          <w:rFonts w:ascii="Times New Roman" w:hAnsi="Times New Roman" w:eastAsia="Times New Roman" w:cs="Times New Roman"/>
          <w:sz w:val="21"/>
          <w:szCs w:val="21"/>
        </w:rPr>
        <w:t xml:space="preserve">3.5.5  </w:t>
      </w:r>
      <w:r>
        <w:rPr>
          <w:rFonts w:ascii="宋体" w:hAnsi="宋体" w:eastAsia="宋体" w:cs="宋体"/>
          <w:sz w:val="21"/>
          <w:szCs w:val="21"/>
        </w:rPr>
        <w:t>“近年发生的诉讼及仲裁情况”应说明相关情况，并附法院或仲裁机构作出的判决、裁决等有关法律文书，具体年份要求见</w:t>
      </w:r>
      <w:r>
        <w:rPr>
          <w:rFonts w:ascii="宋体" w:hAnsi="宋体" w:eastAsia="宋体" w:cs="宋体"/>
          <w:spacing w:val="-1"/>
          <w:sz w:val="21"/>
          <w:szCs w:val="21"/>
        </w:rPr>
        <w:t>投标人须知前附表。</w:t>
      </w:r>
    </w:p>
    <w:p w14:paraId="22689682">
      <w:pPr>
        <w:spacing w:before="149" w:line="286" w:lineRule="auto"/>
        <w:ind w:left="22" w:right="179" w:firstLine="420"/>
        <w:rPr>
          <w:rFonts w:ascii="宋体" w:hAnsi="宋体" w:eastAsia="宋体" w:cs="宋体"/>
          <w:sz w:val="21"/>
          <w:szCs w:val="21"/>
        </w:rPr>
      </w:pPr>
      <w:r>
        <w:rPr>
          <w:rFonts w:ascii="Times New Roman" w:hAnsi="Times New Roman" w:eastAsia="Times New Roman" w:cs="Times New Roman"/>
          <w:sz w:val="21"/>
          <w:szCs w:val="21"/>
        </w:rPr>
        <w:t xml:space="preserve">3.5.6  </w:t>
      </w:r>
      <w:r>
        <w:rPr>
          <w:rFonts w:ascii="宋体" w:hAnsi="宋体" w:eastAsia="宋体" w:cs="宋体"/>
          <w:sz w:val="21"/>
          <w:szCs w:val="21"/>
        </w:rPr>
        <w:t>投标人须知前附表规定接受</w:t>
      </w:r>
      <w:r>
        <w:rPr>
          <w:rFonts w:ascii="宋体" w:hAnsi="宋体" w:eastAsia="宋体" w:cs="宋体"/>
          <w:spacing w:val="-1"/>
          <w:sz w:val="21"/>
          <w:szCs w:val="21"/>
        </w:rPr>
        <w:t>联合体投标的，本章第</w:t>
      </w:r>
      <w:r>
        <w:rPr>
          <w:rFonts w:ascii="宋体" w:hAnsi="宋体" w:eastAsia="宋体" w:cs="宋体"/>
          <w:spacing w:val="-41"/>
          <w:sz w:val="21"/>
          <w:szCs w:val="21"/>
        </w:rPr>
        <w:t xml:space="preserve"> </w:t>
      </w:r>
      <w:r>
        <w:rPr>
          <w:rFonts w:ascii="Times New Roman" w:hAnsi="Times New Roman" w:eastAsia="Times New Roman" w:cs="Times New Roman"/>
          <w:spacing w:val="-1"/>
          <w:sz w:val="21"/>
          <w:szCs w:val="21"/>
        </w:rPr>
        <w:t>3.5.1</w:t>
      </w:r>
      <w:r>
        <w:rPr>
          <w:rFonts w:ascii="Times New Roman" w:hAnsi="Times New Roman" w:eastAsia="Times New Roman" w:cs="Times New Roman"/>
          <w:spacing w:val="14"/>
          <w:sz w:val="21"/>
          <w:szCs w:val="21"/>
        </w:rPr>
        <w:t xml:space="preserve"> </w:t>
      </w:r>
      <w:r>
        <w:rPr>
          <w:rFonts w:ascii="宋体" w:hAnsi="宋体" w:eastAsia="宋体" w:cs="宋体"/>
          <w:spacing w:val="-1"/>
          <w:sz w:val="21"/>
          <w:szCs w:val="21"/>
        </w:rPr>
        <w:t>项至第</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3.5.5 </w:t>
      </w:r>
      <w:r>
        <w:rPr>
          <w:rFonts w:ascii="宋体" w:hAnsi="宋体" w:eastAsia="宋体" w:cs="宋体"/>
          <w:spacing w:val="-1"/>
          <w:sz w:val="21"/>
          <w:szCs w:val="21"/>
        </w:rPr>
        <w:t>项规定的表格和资料应包括联合体各方相关情况。</w:t>
      </w:r>
    </w:p>
    <w:p w14:paraId="02597BEE">
      <w:pPr>
        <w:spacing w:before="150" w:line="285" w:lineRule="auto"/>
        <w:ind w:left="27" w:right="16" w:firstLine="415"/>
        <w:rPr>
          <w:rFonts w:ascii="宋体" w:hAnsi="宋体" w:eastAsia="宋体" w:cs="宋体"/>
          <w:sz w:val="21"/>
          <w:szCs w:val="21"/>
        </w:rPr>
      </w:pPr>
      <w:r>
        <w:rPr>
          <w:rFonts w:ascii="Times New Roman" w:hAnsi="Times New Roman" w:eastAsia="Times New Roman" w:cs="Times New Roman"/>
          <w:spacing w:val="-1"/>
          <w:sz w:val="21"/>
          <w:szCs w:val="21"/>
        </w:rPr>
        <w:t xml:space="preserve">3.5.7  </w:t>
      </w:r>
      <w:r>
        <w:rPr>
          <w:rFonts w:ascii="宋体" w:hAnsi="宋体" w:eastAsia="宋体" w:cs="宋体"/>
          <w:spacing w:val="-1"/>
          <w:sz w:val="21"/>
          <w:szCs w:val="21"/>
        </w:rPr>
        <w:t>投标人应按招标文件第八章“投标文件格式”中规定的表格内容填写资格审查表，并按各资格审查表的具体要求提供相关证件及证</w:t>
      </w:r>
      <w:r>
        <w:rPr>
          <w:rFonts w:ascii="宋体" w:hAnsi="宋体" w:eastAsia="宋体" w:cs="宋体"/>
          <w:spacing w:val="-2"/>
          <w:sz w:val="21"/>
          <w:szCs w:val="21"/>
        </w:rPr>
        <w:t>明材料。</w:t>
      </w:r>
    </w:p>
    <w:p w14:paraId="773227EE">
      <w:pPr>
        <w:spacing w:before="151" w:line="234" w:lineRule="auto"/>
        <w:ind w:left="443"/>
        <w:rPr>
          <w:rFonts w:ascii="宋体" w:hAnsi="宋体" w:eastAsia="宋体" w:cs="宋体"/>
          <w:sz w:val="21"/>
          <w:szCs w:val="21"/>
        </w:rPr>
      </w:pPr>
      <w:r>
        <w:rPr>
          <w:rFonts w:ascii="Times New Roman" w:hAnsi="Times New Roman" w:eastAsia="Times New Roman" w:cs="Times New Roman"/>
          <w:sz w:val="21"/>
          <w:szCs w:val="21"/>
        </w:rPr>
        <w:t xml:space="preserve">3.5.8  </w:t>
      </w:r>
      <w:r>
        <w:rPr>
          <w:rFonts w:ascii="宋体" w:hAnsi="宋体" w:eastAsia="宋体" w:cs="宋体"/>
          <w:sz w:val="21"/>
          <w:szCs w:val="21"/>
        </w:rPr>
        <w:t>本招标文件中“类似项目”的定义见投</w:t>
      </w:r>
      <w:r>
        <w:rPr>
          <w:rFonts w:ascii="宋体" w:hAnsi="宋体" w:eastAsia="宋体" w:cs="宋体"/>
          <w:spacing w:val="-1"/>
          <w:sz w:val="21"/>
          <w:szCs w:val="21"/>
        </w:rPr>
        <w:t xml:space="preserve">标人须知前附表第 </w:t>
      </w:r>
      <w:r>
        <w:rPr>
          <w:rFonts w:ascii="Times New Roman" w:hAnsi="Times New Roman" w:eastAsia="Times New Roman" w:cs="Times New Roman"/>
          <w:spacing w:val="-1"/>
          <w:sz w:val="21"/>
          <w:szCs w:val="21"/>
        </w:rPr>
        <w:t xml:space="preserve">10.1.1  </w:t>
      </w:r>
      <w:r>
        <w:rPr>
          <w:rFonts w:ascii="宋体" w:hAnsi="宋体" w:eastAsia="宋体" w:cs="宋体"/>
          <w:spacing w:val="-1"/>
          <w:sz w:val="21"/>
          <w:szCs w:val="21"/>
        </w:rPr>
        <w:t>条目规定。</w:t>
      </w:r>
    </w:p>
    <w:p w14:paraId="6FEF844C">
      <w:pPr>
        <w:spacing w:before="134" w:line="234" w:lineRule="auto"/>
        <w:ind w:left="443"/>
        <w:rPr>
          <w:rFonts w:ascii="宋体" w:hAnsi="宋体" w:eastAsia="宋体" w:cs="宋体"/>
          <w:sz w:val="21"/>
          <w:szCs w:val="21"/>
        </w:rPr>
      </w:pPr>
      <w:r>
        <w:rPr>
          <w:rFonts w:ascii="Times New Roman" w:hAnsi="Times New Roman" w:eastAsia="Times New Roman" w:cs="Times New Roman"/>
          <w:sz w:val="21"/>
          <w:szCs w:val="21"/>
        </w:rPr>
        <w:t xml:space="preserve">3.5.9  </w:t>
      </w:r>
      <w:r>
        <w:rPr>
          <w:rFonts w:ascii="宋体" w:hAnsi="宋体" w:eastAsia="宋体" w:cs="宋体"/>
          <w:sz w:val="21"/>
          <w:szCs w:val="21"/>
        </w:rPr>
        <w:t>项目经理的已完成的类似项目</w:t>
      </w:r>
      <w:r>
        <w:rPr>
          <w:rFonts w:ascii="宋体" w:hAnsi="宋体" w:eastAsia="宋体" w:cs="宋体"/>
          <w:spacing w:val="-1"/>
          <w:sz w:val="21"/>
          <w:szCs w:val="21"/>
        </w:rPr>
        <w:t>的业绩，具体年份要求见投标人须知前附表。</w:t>
      </w:r>
    </w:p>
    <w:p w14:paraId="430F9CDF">
      <w:pPr>
        <w:spacing w:before="77" w:line="232" w:lineRule="auto"/>
        <w:ind w:left="141"/>
        <w:outlineLvl w:val="2"/>
        <w:rPr>
          <w:rFonts w:ascii="黑体" w:hAnsi="黑体" w:eastAsia="黑体" w:cs="黑体"/>
          <w:sz w:val="24"/>
          <w:szCs w:val="24"/>
        </w:rPr>
      </w:pPr>
      <w:bookmarkStart w:id="62" w:name="bookmark46"/>
      <w:bookmarkEnd w:id="62"/>
      <w:r>
        <w:rPr>
          <w:rFonts w:ascii="Times New Roman" w:hAnsi="Times New Roman" w:eastAsia="Times New Roman" w:cs="Times New Roman"/>
          <w:spacing w:val="-1"/>
          <w:sz w:val="24"/>
          <w:szCs w:val="24"/>
        </w:rPr>
        <w:t xml:space="preserve">3.6  </w:t>
      </w:r>
      <w:r>
        <w:rPr>
          <w:rFonts w:ascii="黑体" w:hAnsi="黑体" w:eastAsia="黑体" w:cs="黑体"/>
          <w:spacing w:val="-1"/>
          <w:sz w:val="24"/>
          <w:szCs w:val="24"/>
        </w:rPr>
        <w:t>备选投标方案</w:t>
      </w:r>
    </w:p>
    <w:p w14:paraId="1AD4362E">
      <w:pPr>
        <w:spacing w:before="115" w:line="339" w:lineRule="auto"/>
        <w:ind w:left="21" w:right="182" w:firstLine="433"/>
        <w:jc w:val="both"/>
        <w:rPr>
          <w:rFonts w:ascii="宋体" w:hAnsi="宋体" w:eastAsia="宋体" w:cs="宋体"/>
          <w:sz w:val="21"/>
          <w:szCs w:val="21"/>
        </w:rPr>
      </w:pPr>
      <w:r>
        <w:rPr>
          <w:rFonts w:ascii="宋体" w:hAnsi="宋体" w:eastAsia="宋体" w:cs="宋体"/>
          <w:spacing w:val="3"/>
          <w:sz w:val="21"/>
          <w:szCs w:val="21"/>
        </w:rPr>
        <w:t>除投标人须知前附表另有规定外，投标人不得递</w:t>
      </w:r>
      <w:r>
        <w:rPr>
          <w:rFonts w:ascii="宋体" w:hAnsi="宋体" w:eastAsia="宋体" w:cs="宋体"/>
          <w:spacing w:val="2"/>
          <w:sz w:val="21"/>
          <w:szCs w:val="21"/>
        </w:rPr>
        <w:t>交备选投标方案。允许投标人递交备</w:t>
      </w:r>
      <w:r>
        <w:rPr>
          <w:rFonts w:ascii="宋体" w:hAnsi="宋体" w:eastAsia="宋体" w:cs="宋体"/>
          <w:spacing w:val="3"/>
          <w:sz w:val="21"/>
          <w:szCs w:val="21"/>
        </w:rPr>
        <w:t>选投标方案的，只有中标人所递交的备选投标方案方可予</w:t>
      </w:r>
      <w:r>
        <w:rPr>
          <w:rFonts w:ascii="宋体" w:hAnsi="宋体" w:eastAsia="宋体" w:cs="宋体"/>
          <w:spacing w:val="2"/>
          <w:sz w:val="21"/>
          <w:szCs w:val="21"/>
        </w:rPr>
        <w:t>以考虑。评标委员会认为中标人</w:t>
      </w:r>
      <w:r>
        <w:rPr>
          <w:rFonts w:ascii="宋体" w:hAnsi="宋体" w:eastAsia="宋体" w:cs="宋体"/>
          <w:spacing w:val="3"/>
          <w:sz w:val="21"/>
          <w:szCs w:val="21"/>
        </w:rPr>
        <w:t>的备选投标方案优于其按照招标文件要求编制的投标方案</w:t>
      </w:r>
      <w:r>
        <w:rPr>
          <w:rFonts w:ascii="宋体" w:hAnsi="宋体" w:eastAsia="宋体" w:cs="宋体"/>
          <w:spacing w:val="2"/>
          <w:sz w:val="21"/>
          <w:szCs w:val="21"/>
        </w:rPr>
        <w:t>的，招标人可以接受该备选投标</w:t>
      </w:r>
      <w:r>
        <w:rPr>
          <w:rFonts w:ascii="宋体" w:hAnsi="宋体" w:eastAsia="宋体" w:cs="宋体"/>
          <w:spacing w:val="-8"/>
          <w:sz w:val="21"/>
          <w:szCs w:val="21"/>
        </w:rPr>
        <w:t>方案。</w:t>
      </w:r>
    </w:p>
    <w:p w14:paraId="7E8A112E">
      <w:pPr>
        <w:spacing w:before="1" w:line="231" w:lineRule="auto"/>
        <w:ind w:left="141"/>
        <w:outlineLvl w:val="2"/>
        <w:rPr>
          <w:rFonts w:ascii="黑体" w:hAnsi="黑体" w:eastAsia="黑体" w:cs="黑体"/>
          <w:sz w:val="24"/>
          <w:szCs w:val="24"/>
        </w:rPr>
      </w:pPr>
      <w:bookmarkStart w:id="63" w:name="bookmark47"/>
      <w:bookmarkEnd w:id="63"/>
      <w:r>
        <w:rPr>
          <w:rFonts w:ascii="Times New Roman" w:hAnsi="Times New Roman" w:eastAsia="Times New Roman" w:cs="Times New Roman"/>
          <w:spacing w:val="-1"/>
          <w:sz w:val="24"/>
          <w:szCs w:val="24"/>
        </w:rPr>
        <w:t xml:space="preserve">3.7  </w:t>
      </w:r>
      <w:r>
        <w:rPr>
          <w:rFonts w:ascii="黑体" w:hAnsi="黑体" w:eastAsia="黑体" w:cs="黑体"/>
          <w:spacing w:val="-1"/>
          <w:sz w:val="24"/>
          <w:szCs w:val="24"/>
        </w:rPr>
        <w:t>投标文件的编制</w:t>
      </w:r>
    </w:p>
    <w:p w14:paraId="6B2B3852">
      <w:pPr>
        <w:spacing w:before="82" w:line="285" w:lineRule="auto"/>
        <w:ind w:left="25" w:right="179" w:firstLine="417"/>
        <w:rPr>
          <w:rFonts w:ascii="宋体" w:hAnsi="宋体" w:eastAsia="宋体" w:cs="宋体"/>
          <w:sz w:val="21"/>
          <w:szCs w:val="21"/>
        </w:rPr>
      </w:pPr>
      <w:r>
        <w:rPr>
          <w:rFonts w:ascii="Times New Roman" w:hAnsi="Times New Roman" w:eastAsia="Times New Roman" w:cs="Times New Roman"/>
          <w:sz w:val="21"/>
          <w:szCs w:val="21"/>
        </w:rPr>
        <w:t xml:space="preserve">3.7.1  </w:t>
      </w:r>
      <w:r>
        <w:rPr>
          <w:rFonts w:ascii="宋体" w:hAnsi="宋体" w:eastAsia="宋体" w:cs="宋体"/>
          <w:sz w:val="21"/>
          <w:szCs w:val="21"/>
        </w:rPr>
        <w:t>投标文件应按第八章“投标文件格式”进行编写，如有必要，可以增加附页，作</w:t>
      </w:r>
      <w:r>
        <w:rPr>
          <w:rFonts w:ascii="宋体" w:hAnsi="宋体" w:eastAsia="宋体" w:cs="宋体"/>
          <w:spacing w:val="3"/>
          <w:sz w:val="21"/>
          <w:szCs w:val="21"/>
        </w:rPr>
        <w:t>为投标文件的组成部分。其中，投标函附录在满足</w:t>
      </w:r>
      <w:r>
        <w:rPr>
          <w:rFonts w:ascii="宋体" w:hAnsi="宋体" w:eastAsia="宋体" w:cs="宋体"/>
          <w:spacing w:val="2"/>
          <w:sz w:val="21"/>
          <w:szCs w:val="21"/>
        </w:rPr>
        <w:t>招标文件实质性要求的基础上，可以提</w:t>
      </w:r>
      <w:r>
        <w:rPr>
          <w:rFonts w:ascii="宋体" w:hAnsi="宋体" w:eastAsia="宋体" w:cs="宋体"/>
          <w:spacing w:val="-1"/>
          <w:sz w:val="21"/>
          <w:szCs w:val="21"/>
        </w:rPr>
        <w:t>出比招标文件要求更有利于招标人的承诺。</w:t>
      </w:r>
    </w:p>
    <w:p w14:paraId="7A15F7FA">
      <w:pPr>
        <w:spacing w:before="108" w:line="269" w:lineRule="auto"/>
        <w:ind w:left="23" w:right="210" w:firstLine="419"/>
        <w:rPr>
          <w:rFonts w:ascii="宋体" w:hAnsi="宋体" w:eastAsia="宋体" w:cs="宋体"/>
          <w:sz w:val="21"/>
          <w:szCs w:val="21"/>
        </w:rPr>
      </w:pPr>
      <w:r>
        <w:rPr>
          <w:rFonts w:ascii="Times New Roman" w:hAnsi="Times New Roman" w:eastAsia="Times New Roman" w:cs="Times New Roman"/>
          <w:spacing w:val="-1"/>
          <w:sz w:val="21"/>
          <w:szCs w:val="21"/>
        </w:rPr>
        <w:t xml:space="preserve">3.7.2  </w:t>
      </w:r>
      <w:r>
        <w:rPr>
          <w:rFonts w:ascii="宋体" w:hAnsi="宋体" w:eastAsia="宋体" w:cs="宋体"/>
          <w:spacing w:val="-1"/>
          <w:sz w:val="21"/>
          <w:szCs w:val="21"/>
        </w:rPr>
        <w:t>投标文件应当对招标文件有关工期、投标有效期、质量要求、技术标准和要求、招标范围等实质性内容作出响应。</w:t>
      </w:r>
    </w:p>
    <w:p w14:paraId="5B30F2B7">
      <w:pPr>
        <w:spacing w:before="110" w:line="234" w:lineRule="auto"/>
        <w:ind w:left="443"/>
        <w:rPr>
          <w:rFonts w:ascii="宋体" w:hAnsi="宋体" w:eastAsia="宋体" w:cs="宋体"/>
          <w:sz w:val="21"/>
          <w:szCs w:val="21"/>
        </w:rPr>
      </w:pPr>
      <w:r>
        <w:rPr>
          <w:rFonts w:ascii="Times New Roman" w:hAnsi="Times New Roman" w:eastAsia="Times New Roman" w:cs="Times New Roman"/>
          <w:spacing w:val="-1"/>
          <w:sz w:val="21"/>
          <w:szCs w:val="21"/>
        </w:rPr>
        <w:t xml:space="preserve">3.7.3  </w:t>
      </w:r>
      <w:r>
        <w:rPr>
          <w:rFonts w:ascii="宋体" w:hAnsi="宋体" w:eastAsia="宋体" w:cs="宋体"/>
          <w:spacing w:val="-1"/>
          <w:sz w:val="21"/>
          <w:szCs w:val="21"/>
        </w:rPr>
        <w:t>投标文件制作</w:t>
      </w:r>
    </w:p>
    <w:p w14:paraId="530ECCE5">
      <w:pPr>
        <w:spacing w:line="234" w:lineRule="auto"/>
        <w:rPr>
          <w:rFonts w:ascii="宋体" w:hAnsi="宋体" w:eastAsia="宋体" w:cs="宋体"/>
          <w:sz w:val="21"/>
          <w:szCs w:val="21"/>
        </w:rPr>
        <w:sectPr>
          <w:footerReference r:id="rId30" w:type="default"/>
          <w:pgSz w:w="11905" w:h="16843"/>
          <w:pgMar w:top="969" w:right="1355" w:bottom="1026" w:left="1480" w:header="0" w:footer="754" w:gutter="0"/>
          <w:cols w:space="0" w:num="1"/>
          <w:rtlGutter w:val="0"/>
          <w:docGrid w:linePitch="0" w:charSpace="0"/>
        </w:sectPr>
      </w:pPr>
    </w:p>
    <w:p w14:paraId="69B83204">
      <w:pPr>
        <w:spacing w:before="116" w:line="234" w:lineRule="auto"/>
        <w:ind w:left="448"/>
        <w:rPr>
          <w:rFonts w:ascii="宋体" w:hAnsi="宋体" w:eastAsia="宋体" w:cs="宋体"/>
          <w:sz w:val="21"/>
          <w:szCs w:val="21"/>
        </w:rPr>
      </w:pPr>
      <w:bookmarkStart w:id="64" w:name="bookmark494"/>
      <w:bookmarkEnd w:id="64"/>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）投标文件由投标人使用符合标准的数字化投标文件制作软件制作生成。</w:t>
      </w:r>
    </w:p>
    <w:p w14:paraId="1E4BF212">
      <w:pPr>
        <w:spacing w:before="93" w:line="234"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）投标人在编制投标文件时应当建立分级目录，并按照标签提示录入相关内容。</w:t>
      </w:r>
    </w:p>
    <w:p w14:paraId="69F6CB90">
      <w:pPr>
        <w:spacing w:before="93" w:line="268" w:lineRule="auto"/>
        <w:ind w:left="21" w:right="194"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）投标文件中的附件信息和证明资料均应从农业农村领域主体信息库中选择相应附</w:t>
      </w:r>
      <w:r>
        <w:rPr>
          <w:rFonts w:ascii="宋体" w:hAnsi="宋体" w:eastAsia="宋体" w:cs="宋体"/>
          <w:spacing w:val="-2"/>
          <w:sz w:val="21"/>
          <w:szCs w:val="21"/>
        </w:rPr>
        <w:t>件，其他非附件信息均应直接制作生成。</w:t>
      </w:r>
    </w:p>
    <w:p w14:paraId="70D36FEF">
      <w:pPr>
        <w:spacing w:before="107" w:line="301" w:lineRule="auto"/>
        <w:ind w:left="22" w:firstLine="426"/>
        <w:rPr>
          <w:rFonts w:ascii="宋体" w:hAnsi="宋体" w:eastAsia="宋体" w:cs="宋体"/>
          <w:sz w:val="21"/>
          <w:szCs w:val="21"/>
        </w:rPr>
      </w:pPr>
      <w:r>
        <w:rPr>
          <w:rFonts w:ascii="宋体" w:hAnsi="宋体" w:eastAsia="宋体" w:cs="宋体"/>
          <w:spacing w:val="11"/>
          <w:sz w:val="21"/>
          <w:szCs w:val="21"/>
        </w:rPr>
        <w:t>（</w:t>
      </w:r>
      <w:r>
        <w:rPr>
          <w:rFonts w:ascii="Times New Roman" w:hAnsi="Times New Roman" w:eastAsia="Times New Roman" w:cs="Times New Roman"/>
          <w:spacing w:val="11"/>
          <w:sz w:val="21"/>
          <w:szCs w:val="21"/>
        </w:rPr>
        <w:t>4</w:t>
      </w:r>
      <w:r>
        <w:rPr>
          <w:rFonts w:ascii="宋体" w:hAnsi="宋体" w:eastAsia="宋体" w:cs="宋体"/>
          <w:spacing w:val="11"/>
          <w:sz w:val="21"/>
          <w:szCs w:val="21"/>
        </w:rPr>
        <w:t>）第八章投标文件格式文件要求“盖单位章”的地方，投标人应使用数字证书</w:t>
      </w:r>
      <w:r>
        <w:rPr>
          <w:rFonts w:ascii="宋体" w:hAnsi="宋体" w:eastAsia="宋体" w:cs="宋体"/>
          <w:spacing w:val="4"/>
          <w:sz w:val="21"/>
          <w:szCs w:val="21"/>
        </w:rPr>
        <w:t xml:space="preserve"> （</w:t>
      </w:r>
      <w:r>
        <w:rPr>
          <w:rFonts w:ascii="Times New Roman" w:hAnsi="Times New Roman" w:eastAsia="Times New Roman" w:cs="Times New Roman"/>
          <w:sz w:val="21"/>
          <w:szCs w:val="21"/>
        </w:rPr>
        <w:t>CA</w:t>
      </w:r>
      <w:r>
        <w:rPr>
          <w:rFonts w:ascii="宋体" w:hAnsi="宋体" w:eastAsia="宋体" w:cs="宋体"/>
          <w:spacing w:val="4"/>
          <w:sz w:val="21"/>
          <w:szCs w:val="21"/>
        </w:rPr>
        <w:t>）加盖投标人的单位电子印章；要求“签章”的地方，投标人应使</w:t>
      </w:r>
      <w:r>
        <w:rPr>
          <w:rFonts w:ascii="宋体" w:hAnsi="宋体" w:eastAsia="宋体" w:cs="宋体"/>
          <w:spacing w:val="3"/>
          <w:sz w:val="21"/>
          <w:szCs w:val="21"/>
        </w:rPr>
        <w:t>用数字证书（</w:t>
      </w:r>
      <w:r>
        <w:rPr>
          <w:rFonts w:ascii="Times New Roman" w:hAnsi="Times New Roman" w:eastAsia="Times New Roman" w:cs="Times New Roman"/>
          <w:sz w:val="21"/>
          <w:szCs w:val="21"/>
        </w:rPr>
        <w:t>CA</w:t>
      </w:r>
      <w:r>
        <w:rPr>
          <w:rFonts w:ascii="宋体" w:hAnsi="宋体" w:eastAsia="宋体" w:cs="宋体"/>
          <w:spacing w:val="3"/>
          <w:sz w:val="21"/>
          <w:szCs w:val="21"/>
        </w:rPr>
        <w:t>）加盖法定代表人（授权委托人）的个人电子印章或电子签名。联合体投标</w:t>
      </w:r>
      <w:r>
        <w:rPr>
          <w:rFonts w:ascii="宋体" w:hAnsi="宋体" w:eastAsia="宋体" w:cs="宋体"/>
          <w:spacing w:val="2"/>
          <w:sz w:val="21"/>
          <w:szCs w:val="21"/>
        </w:rPr>
        <w:t>的，投标文件由</w:t>
      </w:r>
      <w:r>
        <w:rPr>
          <w:rFonts w:ascii="宋体" w:hAnsi="宋体" w:eastAsia="宋体" w:cs="宋体"/>
          <w:spacing w:val="3"/>
          <w:sz w:val="21"/>
          <w:szCs w:val="21"/>
        </w:rPr>
        <w:t>联合体牵头人按上述规定在要求“盖单位章</w:t>
      </w:r>
      <w:r>
        <w:rPr>
          <w:rFonts w:ascii="宋体" w:hAnsi="宋体" w:eastAsia="宋体" w:cs="宋体"/>
          <w:spacing w:val="2"/>
          <w:sz w:val="21"/>
          <w:szCs w:val="21"/>
        </w:rPr>
        <w:t>”的地方加盖联合体牵头人单位电子印章；在</w:t>
      </w:r>
      <w:r>
        <w:rPr>
          <w:rFonts w:ascii="宋体" w:hAnsi="宋体" w:eastAsia="宋体" w:cs="宋体"/>
          <w:spacing w:val="3"/>
          <w:sz w:val="21"/>
          <w:szCs w:val="21"/>
        </w:rPr>
        <w:t>要求“签章”的地方加盖联合体牵头人法定代表人（授权委托人）的个人</w:t>
      </w:r>
      <w:r>
        <w:rPr>
          <w:rFonts w:ascii="宋体" w:hAnsi="宋体" w:eastAsia="宋体" w:cs="宋体"/>
          <w:spacing w:val="2"/>
          <w:sz w:val="21"/>
          <w:szCs w:val="21"/>
        </w:rPr>
        <w:t>电子印章或电子</w:t>
      </w:r>
      <w:r>
        <w:rPr>
          <w:rFonts w:ascii="宋体" w:hAnsi="宋体" w:eastAsia="宋体" w:cs="宋体"/>
          <w:spacing w:val="-2"/>
          <w:sz w:val="21"/>
          <w:szCs w:val="21"/>
        </w:rPr>
        <w:t>签名。招标文件有特别说明的除外。</w:t>
      </w:r>
    </w:p>
    <w:p w14:paraId="20EDEB3F">
      <w:pPr>
        <w:spacing w:before="107" w:line="289" w:lineRule="auto"/>
        <w:ind w:left="21" w:right="191"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）投标文件执行工程量清单计价规范的项目，电子投标文件中含</w:t>
      </w:r>
      <w:r>
        <w:rPr>
          <w:rFonts w:ascii="宋体" w:hAnsi="宋体" w:eastAsia="宋体" w:cs="宋体"/>
          <w:spacing w:val="-10"/>
          <w:sz w:val="21"/>
          <w:szCs w:val="21"/>
        </w:rPr>
        <w:t xml:space="preserve"> </w:t>
      </w:r>
      <w:r>
        <w:rPr>
          <w:rFonts w:ascii="Times New Roman" w:hAnsi="Times New Roman" w:eastAsia="Times New Roman" w:cs="Times New Roman"/>
          <w:spacing w:val="-1"/>
          <w:sz w:val="21"/>
          <w:szCs w:val="21"/>
        </w:rPr>
        <w:t>LNTBX</w:t>
      </w:r>
      <w:r>
        <w:rPr>
          <w:rFonts w:ascii="Times New Roman" w:hAnsi="Times New Roman" w:eastAsia="Times New Roman" w:cs="Times New Roman"/>
          <w:spacing w:val="31"/>
          <w:sz w:val="21"/>
          <w:szCs w:val="21"/>
        </w:rPr>
        <w:t xml:space="preserve"> </w:t>
      </w:r>
      <w:r>
        <w:rPr>
          <w:rFonts w:ascii="宋体" w:hAnsi="宋体" w:eastAsia="宋体" w:cs="宋体"/>
          <w:spacing w:val="-1"/>
          <w:sz w:val="21"/>
          <w:szCs w:val="21"/>
        </w:rPr>
        <w:t>数据文件</w:t>
      </w:r>
      <w:r>
        <w:rPr>
          <w:rFonts w:ascii="宋体" w:hAnsi="宋体" w:eastAsia="宋体" w:cs="宋体"/>
          <w:sz w:val="21"/>
          <w:szCs w:val="21"/>
        </w:rPr>
        <w:t>和</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 xml:space="preserve">PDF </w:t>
      </w:r>
      <w:r>
        <w:rPr>
          <w:rFonts w:ascii="宋体" w:hAnsi="宋体" w:eastAsia="宋体" w:cs="宋体"/>
          <w:sz w:val="21"/>
          <w:szCs w:val="21"/>
        </w:rPr>
        <w:t>格式清单文件。工程量清单数据文件和</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P</w:t>
      </w:r>
      <w:r>
        <w:rPr>
          <w:rFonts w:ascii="Times New Roman" w:hAnsi="Times New Roman" w:eastAsia="Times New Roman" w:cs="Times New Roman"/>
          <w:spacing w:val="-1"/>
          <w:sz w:val="21"/>
          <w:szCs w:val="21"/>
        </w:rPr>
        <w:t xml:space="preserve">DF </w:t>
      </w:r>
      <w:r>
        <w:rPr>
          <w:rFonts w:ascii="宋体" w:hAnsi="宋体" w:eastAsia="宋体" w:cs="宋体"/>
          <w:spacing w:val="-1"/>
          <w:sz w:val="21"/>
          <w:szCs w:val="21"/>
        </w:rPr>
        <w:t>报表格式文件参照《辽宁省高标准农田</w:t>
      </w:r>
      <w:r>
        <w:rPr>
          <w:rFonts w:ascii="宋体" w:hAnsi="宋体" w:eastAsia="宋体" w:cs="宋体"/>
          <w:spacing w:val="-5"/>
          <w:sz w:val="21"/>
          <w:szCs w:val="21"/>
        </w:rPr>
        <w:t>造价电子数据交换标准（</w:t>
      </w:r>
      <w:r>
        <w:rPr>
          <w:rFonts w:ascii="Times New Roman" w:hAnsi="Times New Roman" w:eastAsia="Times New Roman" w:cs="Times New Roman"/>
          <w:spacing w:val="-5"/>
          <w:sz w:val="21"/>
          <w:szCs w:val="21"/>
        </w:rPr>
        <w:t>V1.0</w:t>
      </w:r>
      <w:r>
        <w:rPr>
          <w:rFonts w:ascii="宋体" w:hAnsi="宋体" w:eastAsia="宋体" w:cs="宋体"/>
          <w:spacing w:val="-5"/>
          <w:sz w:val="21"/>
          <w:szCs w:val="21"/>
        </w:rPr>
        <w:t>）》约定进行编制。</w:t>
      </w:r>
    </w:p>
    <w:p w14:paraId="5DD3AEF5">
      <w:pPr>
        <w:spacing w:before="96" w:line="234"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）投标文件制作完成后，将生成一份加密的电子投标文件。</w:t>
      </w:r>
    </w:p>
    <w:p w14:paraId="6B7BD472">
      <w:pPr>
        <w:spacing w:before="94" w:line="234"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）投标文件制作的具体方法详见“数字化投标文件制作软件”中的操作说明。</w:t>
      </w:r>
    </w:p>
    <w:p w14:paraId="76ED3051">
      <w:pPr>
        <w:spacing w:before="94" w:line="316" w:lineRule="auto"/>
        <w:ind w:left="8" w:right="192" w:firstLine="434"/>
        <w:rPr>
          <w:rFonts w:ascii="宋体" w:hAnsi="宋体" w:eastAsia="宋体" w:cs="宋体"/>
          <w:sz w:val="21"/>
          <w:szCs w:val="21"/>
        </w:rPr>
      </w:pPr>
      <w:r>
        <w:rPr>
          <w:rFonts w:ascii="Times New Roman" w:hAnsi="Times New Roman" w:eastAsia="Times New Roman" w:cs="Times New Roman"/>
          <w:spacing w:val="-2"/>
          <w:sz w:val="21"/>
          <w:szCs w:val="21"/>
        </w:rPr>
        <w:t xml:space="preserve">3.7.4  </w:t>
      </w:r>
      <w:r>
        <w:rPr>
          <w:rFonts w:ascii="宋体" w:hAnsi="宋体" w:eastAsia="宋体" w:cs="宋体"/>
          <w:spacing w:val="-2"/>
          <w:sz w:val="21"/>
          <w:szCs w:val="21"/>
        </w:rPr>
        <w:t>投标人须知前附表规定“施工组织设计”（技术标）采</w:t>
      </w:r>
      <w:r>
        <w:rPr>
          <w:rFonts w:ascii="宋体" w:hAnsi="宋体" w:eastAsia="宋体" w:cs="宋体"/>
          <w:spacing w:val="-3"/>
          <w:sz w:val="21"/>
          <w:szCs w:val="21"/>
        </w:rPr>
        <w:t>用 “模块化暗标”时，则</w:t>
      </w:r>
      <w:r>
        <w:rPr>
          <w:rFonts w:ascii="宋体" w:hAnsi="宋体" w:eastAsia="宋体" w:cs="宋体"/>
          <w:sz w:val="21"/>
          <w:szCs w:val="21"/>
        </w:rPr>
        <w:t>“施工组织设计”按本章第</w:t>
      </w:r>
      <w:r>
        <w:rPr>
          <w:rFonts w:ascii="宋体" w:hAnsi="宋体" w:eastAsia="宋体" w:cs="宋体"/>
          <w:spacing w:val="-43"/>
          <w:sz w:val="21"/>
          <w:szCs w:val="21"/>
        </w:rPr>
        <w:t xml:space="preserve"> </w:t>
      </w:r>
      <w:r>
        <w:rPr>
          <w:rFonts w:ascii="Times New Roman" w:hAnsi="Times New Roman" w:eastAsia="Times New Roman" w:cs="Times New Roman"/>
          <w:sz w:val="21"/>
          <w:szCs w:val="21"/>
        </w:rPr>
        <w:t xml:space="preserve">3.7.3 </w:t>
      </w:r>
      <w:r>
        <w:rPr>
          <w:rFonts w:ascii="宋体" w:hAnsi="宋体" w:eastAsia="宋体" w:cs="宋体"/>
          <w:sz w:val="21"/>
          <w:szCs w:val="21"/>
        </w:rPr>
        <w:t>项制作投标文件时应满足下列要求：</w:t>
      </w:r>
    </w:p>
    <w:p w14:paraId="13C0D0DA">
      <w:pPr>
        <w:spacing w:before="2" w:line="292" w:lineRule="auto"/>
        <w:ind w:left="23" w:right="191"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）按照评分大项模块化，模块采用</w:t>
      </w:r>
      <w:r>
        <w:rPr>
          <w:rFonts w:ascii="宋体" w:hAnsi="宋体" w:eastAsia="宋体" w:cs="宋体"/>
          <w:spacing w:val="-19"/>
          <w:sz w:val="21"/>
          <w:szCs w:val="21"/>
        </w:rPr>
        <w:t xml:space="preserve"> </w:t>
      </w:r>
      <w:r>
        <w:rPr>
          <w:rFonts w:ascii="Times New Roman" w:hAnsi="Times New Roman" w:eastAsia="Times New Roman" w:cs="Times New Roman"/>
          <w:sz w:val="21"/>
          <w:szCs w:val="21"/>
        </w:rPr>
        <w:t>A4</w:t>
      </w:r>
      <w:r>
        <w:rPr>
          <w:rFonts w:ascii="Times New Roman" w:hAnsi="Times New Roman" w:eastAsia="Times New Roman" w:cs="Times New Roman"/>
          <w:spacing w:val="43"/>
          <w:sz w:val="21"/>
          <w:szCs w:val="21"/>
        </w:rPr>
        <w:t xml:space="preserve"> </w:t>
      </w:r>
      <w:r>
        <w:rPr>
          <w:rFonts w:ascii="宋体" w:hAnsi="宋体" w:eastAsia="宋体" w:cs="宋体"/>
          <w:spacing w:val="-1"/>
          <w:sz w:val="21"/>
          <w:szCs w:val="21"/>
        </w:rPr>
        <w:t xml:space="preserve">规格纸张，纸张方向为纵向，段落采用单倍行距，对齐方式两端对齐，大纲级别正文文本，左侧、右侧缩进 </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35"/>
          <w:sz w:val="21"/>
          <w:szCs w:val="21"/>
        </w:rPr>
        <w:t xml:space="preserve"> </w:t>
      </w:r>
      <w:r>
        <w:rPr>
          <w:rFonts w:ascii="宋体" w:hAnsi="宋体" w:eastAsia="宋体" w:cs="宋体"/>
          <w:spacing w:val="-1"/>
          <w:sz w:val="21"/>
          <w:szCs w:val="21"/>
        </w:rPr>
        <w:t>个字符，首行</w:t>
      </w:r>
      <w:r>
        <w:rPr>
          <w:rFonts w:ascii="宋体" w:hAnsi="宋体" w:eastAsia="宋体" w:cs="宋体"/>
          <w:spacing w:val="-2"/>
          <w:sz w:val="21"/>
          <w:szCs w:val="21"/>
        </w:rPr>
        <w:t>缩进</w:t>
      </w:r>
      <w:r>
        <w:rPr>
          <w:rFonts w:ascii="宋体" w:hAnsi="宋体" w:eastAsia="宋体" w:cs="宋体"/>
          <w:spacing w:val="-19"/>
          <w:sz w:val="21"/>
          <w:szCs w:val="21"/>
        </w:rPr>
        <w:t xml:space="preserve"> </w:t>
      </w:r>
      <w:r>
        <w:rPr>
          <w:rFonts w:ascii="Times New Roman" w:hAnsi="Times New Roman" w:eastAsia="Times New Roman" w:cs="Times New Roman"/>
          <w:spacing w:val="-2"/>
          <w:sz w:val="21"/>
          <w:szCs w:val="21"/>
        </w:rPr>
        <w:t>2</w:t>
      </w:r>
      <w:r>
        <w:rPr>
          <w:rFonts w:ascii="Times New Roman" w:hAnsi="Times New Roman" w:eastAsia="Times New Roman" w:cs="Times New Roman"/>
          <w:spacing w:val="35"/>
          <w:w w:val="101"/>
          <w:sz w:val="21"/>
          <w:szCs w:val="21"/>
        </w:rPr>
        <w:t xml:space="preserve"> </w:t>
      </w:r>
      <w:r>
        <w:rPr>
          <w:rFonts w:ascii="宋体" w:hAnsi="宋体" w:eastAsia="宋体" w:cs="宋体"/>
          <w:spacing w:val="-2"/>
          <w:sz w:val="21"/>
          <w:szCs w:val="21"/>
        </w:rPr>
        <w:t>个</w:t>
      </w:r>
      <w:r>
        <w:rPr>
          <w:rFonts w:ascii="宋体" w:hAnsi="宋体" w:eastAsia="宋体" w:cs="宋体"/>
          <w:spacing w:val="-1"/>
          <w:sz w:val="21"/>
          <w:szCs w:val="21"/>
        </w:rPr>
        <w:t>字符，段前、段后</w:t>
      </w:r>
      <w:r>
        <w:rPr>
          <w:rFonts w:ascii="宋体" w:hAnsi="宋体" w:eastAsia="宋体" w:cs="宋体"/>
          <w:spacing w:val="-38"/>
          <w:sz w:val="21"/>
          <w:szCs w:val="21"/>
        </w:rPr>
        <w:t xml:space="preserve"> </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22"/>
          <w:sz w:val="21"/>
          <w:szCs w:val="21"/>
        </w:rPr>
        <w:t xml:space="preserve"> </w:t>
      </w:r>
      <w:r>
        <w:rPr>
          <w:rFonts w:ascii="宋体" w:hAnsi="宋体" w:eastAsia="宋体" w:cs="宋体"/>
          <w:spacing w:val="-1"/>
          <w:sz w:val="21"/>
          <w:szCs w:val="21"/>
        </w:rPr>
        <w:t>行。编辑软件可采用</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Microsoft</w:t>
      </w:r>
      <w:r>
        <w:rPr>
          <w:rFonts w:ascii="Times New Roman" w:hAnsi="Times New Roman" w:eastAsia="Times New Roman" w:cs="Times New Roman"/>
          <w:spacing w:val="21"/>
          <w:sz w:val="21"/>
          <w:szCs w:val="21"/>
        </w:rPr>
        <w:t xml:space="preserve"> </w:t>
      </w:r>
      <w:r>
        <w:rPr>
          <w:rFonts w:ascii="Times New Roman" w:hAnsi="Times New Roman" w:eastAsia="Times New Roman" w:cs="Times New Roman"/>
          <w:spacing w:val="-2"/>
          <w:sz w:val="21"/>
          <w:szCs w:val="21"/>
        </w:rPr>
        <w:t>Word</w:t>
      </w:r>
      <w:r>
        <w:rPr>
          <w:rFonts w:ascii="Times New Roman" w:hAnsi="Times New Roman" w:eastAsia="Times New Roman" w:cs="Times New Roman"/>
          <w:spacing w:val="30"/>
          <w:w w:val="101"/>
          <w:sz w:val="21"/>
          <w:szCs w:val="21"/>
        </w:rPr>
        <w:t xml:space="preserve"> </w:t>
      </w:r>
      <w:r>
        <w:rPr>
          <w:rFonts w:ascii="Times New Roman" w:hAnsi="Times New Roman" w:eastAsia="Times New Roman" w:cs="Times New Roman"/>
          <w:spacing w:val="-2"/>
          <w:sz w:val="21"/>
          <w:szCs w:val="21"/>
        </w:rPr>
        <w:t>2010</w:t>
      </w:r>
      <w:r>
        <w:rPr>
          <w:rFonts w:ascii="Times New Roman" w:hAnsi="Times New Roman" w:eastAsia="Times New Roman" w:cs="Times New Roman"/>
          <w:spacing w:val="15"/>
          <w:w w:val="101"/>
          <w:sz w:val="21"/>
          <w:szCs w:val="21"/>
        </w:rPr>
        <w:t xml:space="preserve"> </w:t>
      </w:r>
      <w:r>
        <w:rPr>
          <w:rFonts w:ascii="宋体" w:hAnsi="宋体" w:eastAsia="宋体" w:cs="宋体"/>
          <w:spacing w:val="-2"/>
          <w:sz w:val="21"/>
          <w:szCs w:val="21"/>
        </w:rPr>
        <w:t>及以上版本或</w:t>
      </w:r>
      <w:r>
        <w:rPr>
          <w:rFonts w:ascii="宋体" w:hAnsi="宋体" w:eastAsia="宋体" w:cs="宋体"/>
          <w:spacing w:val="-42"/>
          <w:sz w:val="21"/>
          <w:szCs w:val="21"/>
        </w:rPr>
        <w:t xml:space="preserve"> </w:t>
      </w:r>
      <w:r>
        <w:rPr>
          <w:rFonts w:ascii="Times New Roman" w:hAnsi="Times New Roman" w:eastAsia="Times New Roman" w:cs="Times New Roman"/>
          <w:spacing w:val="-2"/>
          <w:sz w:val="21"/>
          <w:szCs w:val="21"/>
        </w:rPr>
        <w:t>WPS</w:t>
      </w:r>
      <w:r>
        <w:rPr>
          <w:rFonts w:ascii="Times New Roman" w:hAnsi="Times New Roman" w:eastAsia="Times New Roman" w:cs="Times New Roman"/>
          <w:spacing w:val="28"/>
          <w:w w:val="101"/>
          <w:sz w:val="21"/>
          <w:szCs w:val="21"/>
        </w:rPr>
        <w:t xml:space="preserve"> </w:t>
      </w:r>
      <w:r>
        <w:rPr>
          <w:rFonts w:ascii="Times New Roman" w:hAnsi="Times New Roman" w:eastAsia="Times New Roman" w:cs="Times New Roman"/>
          <w:spacing w:val="-2"/>
          <w:sz w:val="21"/>
          <w:szCs w:val="21"/>
        </w:rPr>
        <w:t>2013</w:t>
      </w:r>
      <w:r>
        <w:rPr>
          <w:rFonts w:ascii="Times New Roman" w:hAnsi="Times New Roman" w:eastAsia="Times New Roman" w:cs="Times New Roman"/>
          <w:spacing w:val="19"/>
          <w:sz w:val="21"/>
          <w:szCs w:val="21"/>
        </w:rPr>
        <w:t xml:space="preserve"> </w:t>
      </w:r>
      <w:r>
        <w:rPr>
          <w:rFonts w:ascii="宋体" w:hAnsi="宋体" w:eastAsia="宋体" w:cs="宋体"/>
          <w:spacing w:val="-2"/>
          <w:sz w:val="21"/>
          <w:szCs w:val="21"/>
        </w:rPr>
        <w:t>版</w:t>
      </w:r>
      <w:r>
        <w:rPr>
          <w:rFonts w:ascii="宋体" w:hAnsi="宋体" w:eastAsia="宋体" w:cs="宋体"/>
          <w:spacing w:val="-3"/>
          <w:sz w:val="21"/>
          <w:szCs w:val="21"/>
        </w:rPr>
        <w:t>本及以上版本。</w:t>
      </w:r>
    </w:p>
    <w:p w14:paraId="740B351D">
      <w:pPr>
        <w:spacing w:before="110" w:line="269" w:lineRule="auto"/>
        <w:ind w:left="42" w:right="212" w:firstLine="40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）标题（包括章、节、条、款、项）、正文要求：采用</w:t>
      </w:r>
      <w:r>
        <w:rPr>
          <w:rFonts w:ascii="Times New Roman" w:hAnsi="Times New Roman" w:eastAsia="Times New Roman" w:cs="Times New Roman"/>
          <w:spacing w:val="-3"/>
          <w:sz w:val="21"/>
          <w:szCs w:val="21"/>
        </w:rPr>
        <w:t>A4</w:t>
      </w:r>
      <w:r>
        <w:rPr>
          <w:rFonts w:ascii="Times New Roman" w:hAnsi="Times New Roman" w:eastAsia="Times New Roman" w:cs="Times New Roman"/>
          <w:spacing w:val="-1"/>
          <w:sz w:val="21"/>
          <w:szCs w:val="21"/>
        </w:rPr>
        <w:t xml:space="preserve"> </w:t>
      </w:r>
      <w:r>
        <w:rPr>
          <w:rFonts w:ascii="宋体" w:hAnsi="宋体" w:eastAsia="宋体" w:cs="宋体"/>
          <w:spacing w:val="-3"/>
          <w:sz w:val="21"/>
          <w:szCs w:val="21"/>
        </w:rPr>
        <w:t>规格纸张，文字为黑色小</w:t>
      </w:r>
      <w:r>
        <w:rPr>
          <w:rFonts w:ascii="宋体" w:hAnsi="宋体" w:eastAsia="宋体" w:cs="宋体"/>
          <w:spacing w:val="-4"/>
          <w:sz w:val="21"/>
          <w:szCs w:val="21"/>
        </w:rPr>
        <w:t>四号宋体，标题可加粗。</w:t>
      </w:r>
    </w:p>
    <w:p w14:paraId="48287DF6">
      <w:pPr>
        <w:spacing w:before="106" w:line="285" w:lineRule="auto"/>
        <w:ind w:left="22" w:right="194"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）图表要求：图表应尽可能采用</w:t>
      </w:r>
      <w:r>
        <w:rPr>
          <w:rFonts w:ascii="宋体" w:hAnsi="宋体" w:eastAsia="宋体" w:cs="宋体"/>
          <w:spacing w:val="-52"/>
          <w:sz w:val="21"/>
          <w:szCs w:val="21"/>
        </w:rPr>
        <w:t xml:space="preserve"> </w:t>
      </w:r>
      <w:r>
        <w:rPr>
          <w:rFonts w:ascii="Times New Roman" w:hAnsi="Times New Roman" w:eastAsia="Times New Roman" w:cs="Times New Roman"/>
          <w:spacing w:val="-1"/>
          <w:sz w:val="21"/>
          <w:szCs w:val="21"/>
        </w:rPr>
        <w:t xml:space="preserve">A4 </w:t>
      </w:r>
      <w:r>
        <w:rPr>
          <w:rFonts w:ascii="宋体" w:hAnsi="宋体" w:eastAsia="宋体" w:cs="宋体"/>
          <w:spacing w:val="-1"/>
          <w:sz w:val="21"/>
          <w:szCs w:val="21"/>
        </w:rPr>
        <w:t>规格白色底色，对于比较大的图表可使用</w:t>
      </w:r>
      <w:r>
        <w:rPr>
          <w:rFonts w:ascii="宋体" w:hAnsi="宋体" w:eastAsia="宋体" w:cs="宋体"/>
          <w:spacing w:val="-60"/>
          <w:sz w:val="21"/>
          <w:szCs w:val="21"/>
        </w:rPr>
        <w:t xml:space="preserve"> </w:t>
      </w:r>
      <w:r>
        <w:rPr>
          <w:rFonts w:ascii="宋体" w:hAnsi="宋体" w:eastAsia="宋体" w:cs="宋体"/>
          <w:spacing w:val="-1"/>
          <w:sz w:val="21"/>
          <w:szCs w:val="21"/>
        </w:rPr>
        <w:t>A3</w:t>
      </w:r>
      <w:r>
        <w:rPr>
          <w:rFonts w:ascii="宋体" w:hAnsi="宋体" w:eastAsia="宋体" w:cs="宋体"/>
          <w:spacing w:val="-53"/>
          <w:sz w:val="21"/>
          <w:szCs w:val="21"/>
        </w:rPr>
        <w:t xml:space="preserve"> </w:t>
      </w:r>
      <w:r>
        <w:rPr>
          <w:rFonts w:ascii="宋体" w:hAnsi="宋体" w:eastAsia="宋体" w:cs="宋体"/>
          <w:spacing w:val="-1"/>
          <w:sz w:val="21"/>
          <w:szCs w:val="21"/>
        </w:rPr>
        <w:t>规</w:t>
      </w:r>
      <w:r>
        <w:rPr>
          <w:rFonts w:ascii="宋体" w:hAnsi="宋体" w:eastAsia="宋体" w:cs="宋体"/>
          <w:spacing w:val="3"/>
          <w:sz w:val="21"/>
          <w:szCs w:val="21"/>
        </w:rPr>
        <w:t>格白色底色。图表中的文字采用黑色，字体、字号不限。图表（包</w:t>
      </w:r>
      <w:r>
        <w:rPr>
          <w:rFonts w:ascii="宋体" w:hAnsi="宋体" w:eastAsia="宋体" w:cs="宋体"/>
          <w:spacing w:val="2"/>
          <w:sz w:val="21"/>
          <w:szCs w:val="21"/>
        </w:rPr>
        <w:t>括框图、流程图、结构</w:t>
      </w:r>
      <w:r>
        <w:rPr>
          <w:rFonts w:ascii="宋体" w:hAnsi="宋体" w:eastAsia="宋体" w:cs="宋体"/>
          <w:spacing w:val="-1"/>
          <w:sz w:val="21"/>
          <w:szCs w:val="21"/>
        </w:rPr>
        <w:t>图等，不包括纯表格）内容需转换为“图片”格式插入到文件对应位置上。</w:t>
      </w:r>
    </w:p>
    <w:p w14:paraId="7D0DB6EF">
      <w:pPr>
        <w:spacing w:before="110" w:line="268" w:lineRule="auto"/>
        <w:ind w:left="21" w:right="212"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）页眉和页脚（包括页码）设置要求：</w:t>
      </w:r>
      <w:r>
        <w:rPr>
          <w:rFonts w:ascii="宋体" w:hAnsi="宋体" w:eastAsia="宋体" w:cs="宋体"/>
          <w:spacing w:val="-1"/>
          <w:sz w:val="21"/>
          <w:szCs w:val="21"/>
        </w:rPr>
        <w:t>不允许出现页眉，且页脚只准出现页码，页</w:t>
      </w:r>
      <w:r>
        <w:rPr>
          <w:rFonts w:ascii="宋体" w:hAnsi="宋体" w:eastAsia="宋体" w:cs="宋体"/>
          <w:sz w:val="21"/>
          <w:szCs w:val="21"/>
        </w:rPr>
        <w:t>码格式采用阿拉伯数字格式，字体为五号宋体，设在页脚居中位置，页码应当连续。</w:t>
      </w:r>
    </w:p>
    <w:p w14:paraId="101699BF">
      <w:pPr>
        <w:spacing w:before="111" w:line="234"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）不允许有目录，不允许涂改或删除痕迹，不允许字体涂色。</w:t>
      </w:r>
    </w:p>
    <w:p w14:paraId="73BE849D">
      <w:pPr>
        <w:spacing w:before="92" w:line="269" w:lineRule="auto"/>
        <w:ind w:left="23" w:right="211"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）任何情况下，施工组织设计中不得出现</w:t>
      </w:r>
      <w:r>
        <w:rPr>
          <w:rFonts w:ascii="宋体" w:hAnsi="宋体" w:eastAsia="宋体" w:cs="宋体"/>
          <w:spacing w:val="-1"/>
          <w:sz w:val="21"/>
          <w:szCs w:val="21"/>
        </w:rPr>
        <w:t>投标人的名称和其它可识别投标人身份的字符、徽标、人员名称等以及雷同性标记内容。</w:t>
      </w:r>
    </w:p>
    <w:p w14:paraId="7E623916">
      <w:pPr>
        <w:spacing w:before="150" w:line="234" w:lineRule="auto"/>
        <w:ind w:left="19"/>
        <w:outlineLvl w:val="1"/>
        <w:rPr>
          <w:rFonts w:ascii="黑体" w:hAnsi="黑体" w:eastAsia="黑体" w:cs="黑体"/>
          <w:sz w:val="28"/>
          <w:szCs w:val="28"/>
        </w:rPr>
      </w:pPr>
      <w:bookmarkStart w:id="65" w:name="bookmark48"/>
      <w:bookmarkEnd w:id="65"/>
      <w:r>
        <w:rPr>
          <w:rFonts w:ascii="Times New Roman" w:hAnsi="Times New Roman" w:eastAsia="Times New Roman" w:cs="Times New Roman"/>
          <w:spacing w:val="-2"/>
          <w:sz w:val="28"/>
          <w:szCs w:val="28"/>
        </w:rPr>
        <w:t>4.</w:t>
      </w:r>
      <w:r>
        <w:rPr>
          <w:rFonts w:ascii="Times New Roman" w:hAnsi="Times New Roman" w:eastAsia="Times New Roman" w:cs="Times New Roman"/>
          <w:spacing w:val="3"/>
          <w:sz w:val="28"/>
          <w:szCs w:val="28"/>
        </w:rPr>
        <w:t xml:space="preserve">  </w:t>
      </w:r>
      <w:r>
        <w:rPr>
          <w:rFonts w:ascii="黑体" w:hAnsi="黑体" w:eastAsia="黑体" w:cs="黑体"/>
          <w:spacing w:val="-2"/>
          <w:sz w:val="28"/>
          <w:szCs w:val="28"/>
        </w:rPr>
        <w:t>投标</w:t>
      </w:r>
    </w:p>
    <w:p w14:paraId="7542D0AD">
      <w:pPr>
        <w:spacing w:before="40" w:line="232" w:lineRule="auto"/>
        <w:ind w:left="135"/>
        <w:outlineLvl w:val="2"/>
        <w:rPr>
          <w:rFonts w:ascii="黑体" w:hAnsi="黑体" w:eastAsia="黑体" w:cs="黑体"/>
          <w:sz w:val="24"/>
          <w:szCs w:val="24"/>
        </w:rPr>
      </w:pPr>
      <w:bookmarkStart w:id="66" w:name="bookmark49"/>
      <w:bookmarkEnd w:id="66"/>
      <w:r>
        <w:rPr>
          <w:rFonts w:ascii="Times New Roman" w:hAnsi="Times New Roman" w:eastAsia="Times New Roman" w:cs="Times New Roman"/>
          <w:spacing w:val="-1"/>
          <w:sz w:val="24"/>
          <w:szCs w:val="24"/>
        </w:rPr>
        <w:t xml:space="preserve">4.1  </w:t>
      </w:r>
      <w:r>
        <w:rPr>
          <w:rFonts w:ascii="黑体" w:hAnsi="黑体" w:eastAsia="黑体" w:cs="黑体"/>
          <w:spacing w:val="-1"/>
          <w:sz w:val="24"/>
          <w:szCs w:val="24"/>
        </w:rPr>
        <w:t>投标文件的加密</w:t>
      </w:r>
    </w:p>
    <w:p w14:paraId="28898051">
      <w:pPr>
        <w:spacing w:before="82" w:line="306" w:lineRule="auto"/>
        <w:ind w:left="26" w:right="239" w:firstLine="419"/>
        <w:rPr>
          <w:rFonts w:ascii="宋体" w:hAnsi="宋体" w:eastAsia="宋体" w:cs="宋体"/>
          <w:sz w:val="21"/>
          <w:szCs w:val="21"/>
        </w:rPr>
      </w:pPr>
      <w:r>
        <w:rPr>
          <w:rFonts w:ascii="宋体" w:hAnsi="宋体" w:eastAsia="宋体" w:cs="宋体"/>
          <w:spacing w:val="-2"/>
          <w:sz w:val="21"/>
          <w:szCs w:val="21"/>
        </w:rPr>
        <w:t>投标人应当按照本章第</w:t>
      </w:r>
      <w:r>
        <w:rPr>
          <w:rFonts w:ascii="宋体" w:hAnsi="宋体" w:eastAsia="宋体" w:cs="宋体"/>
          <w:spacing w:val="-32"/>
          <w:sz w:val="21"/>
          <w:szCs w:val="21"/>
        </w:rPr>
        <w:t xml:space="preserve"> </w:t>
      </w:r>
      <w:r>
        <w:rPr>
          <w:rFonts w:ascii="Times New Roman" w:hAnsi="Times New Roman" w:eastAsia="Times New Roman" w:cs="Times New Roman"/>
          <w:spacing w:val="-2"/>
          <w:sz w:val="21"/>
          <w:szCs w:val="21"/>
        </w:rPr>
        <w:t>3.7.3</w:t>
      </w:r>
      <w:r>
        <w:rPr>
          <w:rFonts w:ascii="Times New Roman" w:hAnsi="Times New Roman" w:eastAsia="Times New Roman" w:cs="Times New Roman"/>
          <w:spacing w:val="17"/>
          <w:sz w:val="21"/>
          <w:szCs w:val="21"/>
        </w:rPr>
        <w:t xml:space="preserve"> </w:t>
      </w:r>
      <w:r>
        <w:rPr>
          <w:rFonts w:ascii="宋体" w:hAnsi="宋体" w:eastAsia="宋体" w:cs="宋体"/>
          <w:spacing w:val="-2"/>
          <w:sz w:val="21"/>
          <w:szCs w:val="21"/>
        </w:rPr>
        <w:t>项要求制作投标文件，并在投标时上传加密的投标文件，</w:t>
      </w:r>
      <w:r>
        <w:rPr>
          <w:rFonts w:ascii="宋体" w:hAnsi="宋体" w:eastAsia="宋体" w:cs="宋体"/>
          <w:spacing w:val="-1"/>
          <w:sz w:val="21"/>
          <w:szCs w:val="21"/>
        </w:rPr>
        <w:t>未加密的投标文件，招标人（电子交易系统）将拒收并提示。</w:t>
      </w:r>
    </w:p>
    <w:p w14:paraId="78723A66">
      <w:pPr>
        <w:spacing w:before="1" w:line="232" w:lineRule="auto"/>
        <w:ind w:left="135"/>
        <w:outlineLvl w:val="2"/>
        <w:rPr>
          <w:rFonts w:ascii="黑体" w:hAnsi="黑体" w:eastAsia="黑体" w:cs="黑体"/>
          <w:sz w:val="24"/>
          <w:szCs w:val="24"/>
        </w:rPr>
      </w:pPr>
      <w:bookmarkStart w:id="67" w:name="bookmark50"/>
      <w:bookmarkEnd w:id="67"/>
      <w:r>
        <w:rPr>
          <w:rFonts w:ascii="Times New Roman" w:hAnsi="Times New Roman" w:eastAsia="Times New Roman" w:cs="Times New Roman"/>
          <w:spacing w:val="-1"/>
          <w:sz w:val="24"/>
          <w:szCs w:val="24"/>
        </w:rPr>
        <w:t xml:space="preserve">4.2  </w:t>
      </w:r>
      <w:r>
        <w:rPr>
          <w:rFonts w:ascii="黑体" w:hAnsi="黑体" w:eastAsia="黑体" w:cs="黑体"/>
          <w:spacing w:val="-1"/>
          <w:sz w:val="24"/>
          <w:szCs w:val="24"/>
        </w:rPr>
        <w:t>投标文件的递交</w:t>
      </w:r>
    </w:p>
    <w:p w14:paraId="0A5C304A">
      <w:pPr>
        <w:spacing w:before="114"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4.2.1  </w:t>
      </w:r>
      <w:r>
        <w:rPr>
          <w:rFonts w:ascii="宋体" w:hAnsi="宋体" w:eastAsia="宋体" w:cs="宋体"/>
          <w:sz w:val="21"/>
          <w:szCs w:val="21"/>
        </w:rPr>
        <w:t>投标人应在投标人须知前附表规定的投标截止时间前递交投标文件。</w:t>
      </w:r>
    </w:p>
    <w:p w14:paraId="347D7046">
      <w:pPr>
        <w:spacing w:before="102"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4.2.2  </w:t>
      </w:r>
      <w:r>
        <w:rPr>
          <w:rFonts w:ascii="宋体" w:hAnsi="宋体" w:eastAsia="宋体" w:cs="宋体"/>
          <w:sz w:val="21"/>
          <w:szCs w:val="21"/>
        </w:rPr>
        <w:t>投标人应当在投标截止时间前，通过电子交易系统选择所投标段将加密的投标文</w:t>
      </w:r>
    </w:p>
    <w:p w14:paraId="477176AB">
      <w:pPr>
        <w:spacing w:line="234" w:lineRule="auto"/>
        <w:rPr>
          <w:rFonts w:ascii="宋体" w:hAnsi="宋体" w:eastAsia="宋体" w:cs="宋体"/>
          <w:sz w:val="21"/>
          <w:szCs w:val="21"/>
        </w:rPr>
        <w:sectPr>
          <w:footerReference r:id="rId31" w:type="default"/>
          <w:pgSz w:w="11905" w:h="16843"/>
          <w:pgMar w:top="969" w:right="1355" w:bottom="1026" w:left="1480" w:header="0" w:footer="754" w:gutter="0"/>
          <w:cols w:space="0" w:num="1"/>
          <w:rtlGutter w:val="0"/>
          <w:docGrid w:linePitch="0" w:charSpace="0"/>
        </w:sectPr>
      </w:pPr>
    </w:p>
    <w:p w14:paraId="72420EA1">
      <w:pPr>
        <w:spacing w:before="117" w:line="317" w:lineRule="auto"/>
        <w:ind w:left="21" w:right="7"/>
        <w:jc w:val="both"/>
        <w:rPr>
          <w:rFonts w:ascii="宋体" w:hAnsi="宋体" w:eastAsia="宋体" w:cs="宋体"/>
          <w:sz w:val="21"/>
          <w:szCs w:val="21"/>
        </w:rPr>
      </w:pPr>
      <w:bookmarkStart w:id="68" w:name="bookmark495"/>
      <w:bookmarkEnd w:id="68"/>
      <w:r>
        <w:rPr>
          <w:rFonts w:ascii="宋体" w:hAnsi="宋体" w:eastAsia="宋体" w:cs="宋体"/>
          <w:spacing w:val="3"/>
          <w:sz w:val="21"/>
          <w:szCs w:val="21"/>
        </w:rPr>
        <w:t>件上传至</w:t>
      </w:r>
      <w:r>
        <w:rPr>
          <w:rFonts w:ascii="宋体" w:hAnsi="宋体" w:eastAsia="宋体" w:cs="宋体"/>
          <w:spacing w:val="3"/>
          <w:sz w:val="21"/>
          <w:szCs w:val="21"/>
          <w:u w:val="single" w:color="auto"/>
        </w:rPr>
        <w:t>辽宁省农业农村工程盲盒服务系统</w:t>
      </w:r>
      <w:r>
        <w:rPr>
          <w:rFonts w:ascii="宋体" w:hAnsi="宋体" w:eastAsia="宋体" w:cs="宋体"/>
          <w:spacing w:val="3"/>
          <w:sz w:val="21"/>
          <w:szCs w:val="21"/>
        </w:rPr>
        <w:t>。投标人完成投标文件上传成功后，</w:t>
      </w:r>
      <w:r>
        <w:rPr>
          <w:rFonts w:ascii="宋体" w:hAnsi="宋体" w:eastAsia="宋体" w:cs="宋体"/>
          <w:spacing w:val="2"/>
          <w:sz w:val="21"/>
          <w:szCs w:val="21"/>
          <w:u w:val="single" w:color="auto"/>
        </w:rPr>
        <w:t>辽宁省农</w:t>
      </w:r>
      <w:r>
        <w:rPr>
          <w:rFonts w:ascii="宋体" w:hAnsi="宋体" w:eastAsia="宋体" w:cs="宋体"/>
          <w:spacing w:val="3"/>
          <w:sz w:val="21"/>
          <w:szCs w:val="21"/>
          <w:u w:val="single" w:color="auto"/>
        </w:rPr>
        <w:t>业农村工程盲盒服务系统</w:t>
      </w:r>
      <w:r>
        <w:rPr>
          <w:rFonts w:ascii="宋体" w:hAnsi="宋体" w:eastAsia="宋体" w:cs="宋体"/>
          <w:spacing w:val="3"/>
          <w:sz w:val="21"/>
          <w:szCs w:val="21"/>
        </w:rPr>
        <w:t>通过电子交易系统向投标人发出电子签</w:t>
      </w:r>
      <w:r>
        <w:rPr>
          <w:rFonts w:ascii="宋体" w:hAnsi="宋体" w:eastAsia="宋体" w:cs="宋体"/>
          <w:spacing w:val="2"/>
          <w:sz w:val="21"/>
          <w:szCs w:val="21"/>
        </w:rPr>
        <w:t>收凭证，递交时间以电子</w:t>
      </w:r>
      <w:r>
        <w:rPr>
          <w:rFonts w:ascii="宋体" w:hAnsi="宋体" w:eastAsia="宋体" w:cs="宋体"/>
          <w:spacing w:val="3"/>
          <w:sz w:val="21"/>
          <w:szCs w:val="21"/>
        </w:rPr>
        <w:t>签收凭证载明的时间为准。投标人应充分考虑上传文件时</w:t>
      </w:r>
      <w:r>
        <w:rPr>
          <w:rFonts w:ascii="宋体" w:hAnsi="宋体" w:eastAsia="宋体" w:cs="宋体"/>
          <w:spacing w:val="2"/>
          <w:sz w:val="21"/>
          <w:szCs w:val="21"/>
        </w:rPr>
        <w:t>的不可预见因素，投标文件未在</w:t>
      </w:r>
      <w:r>
        <w:rPr>
          <w:rFonts w:ascii="宋体" w:hAnsi="宋体" w:eastAsia="宋体" w:cs="宋体"/>
          <w:spacing w:val="-1"/>
          <w:sz w:val="21"/>
          <w:szCs w:val="21"/>
        </w:rPr>
        <w:t>投标截止时间前完成上传的，视为逾期送达，招标人将拒收。</w:t>
      </w:r>
    </w:p>
    <w:p w14:paraId="1E72C501">
      <w:pPr>
        <w:spacing w:before="29"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4.2.3  </w:t>
      </w:r>
      <w:r>
        <w:rPr>
          <w:rFonts w:ascii="宋体" w:hAnsi="宋体" w:eastAsia="宋体" w:cs="宋体"/>
          <w:sz w:val="21"/>
          <w:szCs w:val="21"/>
        </w:rPr>
        <w:t>除投标人须知前附表另有规定外，投</w:t>
      </w:r>
      <w:r>
        <w:rPr>
          <w:rFonts w:ascii="宋体" w:hAnsi="宋体" w:eastAsia="宋体" w:cs="宋体"/>
          <w:spacing w:val="-1"/>
          <w:sz w:val="21"/>
          <w:szCs w:val="21"/>
        </w:rPr>
        <w:t>标人所递交的投标文件不予退还。</w:t>
      </w:r>
    </w:p>
    <w:p w14:paraId="2D50A79A">
      <w:pPr>
        <w:spacing w:before="76" w:line="233" w:lineRule="auto"/>
        <w:ind w:left="135"/>
        <w:outlineLvl w:val="2"/>
        <w:rPr>
          <w:rFonts w:ascii="黑体" w:hAnsi="黑体" w:eastAsia="黑体" w:cs="黑体"/>
          <w:sz w:val="24"/>
          <w:szCs w:val="24"/>
        </w:rPr>
      </w:pPr>
      <w:bookmarkStart w:id="69" w:name="bookmark51"/>
      <w:bookmarkEnd w:id="69"/>
      <w:r>
        <w:rPr>
          <w:rFonts w:ascii="Times New Roman" w:hAnsi="Times New Roman" w:eastAsia="Times New Roman" w:cs="Times New Roman"/>
          <w:spacing w:val="-1"/>
          <w:sz w:val="24"/>
          <w:szCs w:val="24"/>
        </w:rPr>
        <w:t xml:space="preserve">4.3  </w:t>
      </w:r>
      <w:r>
        <w:rPr>
          <w:rFonts w:ascii="黑体" w:hAnsi="黑体" w:eastAsia="黑体" w:cs="黑体"/>
          <w:spacing w:val="-1"/>
          <w:sz w:val="24"/>
          <w:szCs w:val="24"/>
        </w:rPr>
        <w:t>投标文件的修改与撤回</w:t>
      </w:r>
    </w:p>
    <w:p w14:paraId="193BDC9B">
      <w:pPr>
        <w:spacing w:before="114" w:line="286" w:lineRule="auto"/>
        <w:ind w:left="24" w:right="12" w:firstLine="413"/>
        <w:rPr>
          <w:rFonts w:ascii="宋体" w:hAnsi="宋体" w:eastAsia="宋体" w:cs="宋体"/>
          <w:sz w:val="21"/>
          <w:szCs w:val="21"/>
        </w:rPr>
      </w:pPr>
      <w:r>
        <w:rPr>
          <w:rFonts w:ascii="Times New Roman" w:hAnsi="Times New Roman" w:eastAsia="Times New Roman" w:cs="Times New Roman"/>
          <w:sz w:val="21"/>
          <w:szCs w:val="21"/>
        </w:rPr>
        <w:t xml:space="preserve">4.3.1  </w:t>
      </w:r>
      <w:r>
        <w:rPr>
          <w:rFonts w:ascii="宋体" w:hAnsi="宋体" w:eastAsia="宋体" w:cs="宋体"/>
          <w:sz w:val="21"/>
          <w:szCs w:val="21"/>
        </w:rPr>
        <w:t xml:space="preserve">在本章第 </w:t>
      </w:r>
      <w:r>
        <w:rPr>
          <w:rFonts w:ascii="Times New Roman" w:hAnsi="Times New Roman" w:eastAsia="Times New Roman" w:cs="Times New Roman"/>
          <w:sz w:val="21"/>
          <w:szCs w:val="21"/>
        </w:rPr>
        <w:t xml:space="preserve">4.2.1  </w:t>
      </w:r>
      <w:r>
        <w:rPr>
          <w:rFonts w:ascii="宋体" w:hAnsi="宋体" w:eastAsia="宋体" w:cs="宋体"/>
          <w:sz w:val="21"/>
          <w:szCs w:val="21"/>
        </w:rPr>
        <w:t>项规定的投标截止时间前，投标人可以修改或撤回已递交的投标</w:t>
      </w:r>
      <w:r>
        <w:rPr>
          <w:rFonts w:ascii="宋体" w:hAnsi="宋体" w:eastAsia="宋体" w:cs="宋体"/>
          <w:spacing w:val="-9"/>
          <w:sz w:val="21"/>
          <w:szCs w:val="21"/>
        </w:rPr>
        <w:t>文件。</w:t>
      </w:r>
    </w:p>
    <w:p w14:paraId="46A9D877">
      <w:pPr>
        <w:spacing w:before="150"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4.3.2  </w:t>
      </w:r>
      <w:r>
        <w:rPr>
          <w:rFonts w:ascii="宋体" w:hAnsi="宋体" w:eastAsia="宋体" w:cs="宋体"/>
          <w:sz w:val="21"/>
          <w:szCs w:val="21"/>
        </w:rPr>
        <w:t>投标人撤回投标文件的，在</w:t>
      </w:r>
      <w:r>
        <w:rPr>
          <w:rFonts w:ascii="宋体" w:hAnsi="宋体" w:eastAsia="宋体" w:cs="宋体"/>
          <w:spacing w:val="-1"/>
          <w:sz w:val="21"/>
          <w:szCs w:val="21"/>
        </w:rPr>
        <w:t>电子交易系统直接进行撤回操作。</w:t>
      </w:r>
    </w:p>
    <w:p w14:paraId="53CF4C14">
      <w:pPr>
        <w:spacing w:before="131" w:line="309" w:lineRule="auto"/>
        <w:ind w:left="23" w:right="7" w:firstLine="414"/>
        <w:rPr>
          <w:rFonts w:ascii="宋体" w:hAnsi="宋体" w:eastAsia="宋体" w:cs="宋体"/>
          <w:sz w:val="21"/>
          <w:szCs w:val="21"/>
        </w:rPr>
      </w:pPr>
      <w:r>
        <w:rPr>
          <w:rFonts w:ascii="Times New Roman" w:hAnsi="Times New Roman" w:eastAsia="Times New Roman" w:cs="Times New Roman"/>
          <w:sz w:val="21"/>
          <w:szCs w:val="21"/>
        </w:rPr>
        <w:t xml:space="preserve">4.3.3  </w:t>
      </w:r>
      <w:r>
        <w:rPr>
          <w:rFonts w:ascii="宋体" w:hAnsi="宋体" w:eastAsia="宋体" w:cs="宋体"/>
          <w:sz w:val="21"/>
          <w:szCs w:val="21"/>
        </w:rPr>
        <w:t xml:space="preserve">投标人修改投标文件的，应当先按本章第 </w:t>
      </w:r>
      <w:r>
        <w:rPr>
          <w:rFonts w:ascii="Times New Roman" w:hAnsi="Times New Roman" w:eastAsia="Times New Roman" w:cs="Times New Roman"/>
          <w:sz w:val="21"/>
          <w:szCs w:val="21"/>
        </w:rPr>
        <w:t xml:space="preserve">4.3.2  </w:t>
      </w:r>
      <w:r>
        <w:rPr>
          <w:rFonts w:ascii="宋体" w:hAnsi="宋体" w:eastAsia="宋体" w:cs="宋体"/>
          <w:sz w:val="21"/>
          <w:szCs w:val="21"/>
        </w:rPr>
        <w:t>项的规定撤回投标文件，再使用</w:t>
      </w:r>
      <w:r>
        <w:rPr>
          <w:rFonts w:ascii="宋体" w:hAnsi="宋体" w:eastAsia="宋体" w:cs="宋体"/>
          <w:spacing w:val="-1"/>
          <w:sz w:val="21"/>
          <w:szCs w:val="21"/>
        </w:rPr>
        <w:t xml:space="preserve">数字化投标文件制作软件制作成完整的投标文件，并按照本章第 </w:t>
      </w:r>
      <w:r>
        <w:rPr>
          <w:rFonts w:ascii="Times New Roman" w:hAnsi="Times New Roman" w:eastAsia="Times New Roman" w:cs="Times New Roman"/>
          <w:spacing w:val="-1"/>
          <w:sz w:val="21"/>
          <w:szCs w:val="21"/>
        </w:rPr>
        <w:t>3</w:t>
      </w:r>
      <w:r>
        <w:rPr>
          <w:rFonts w:ascii="Times New Roman" w:hAnsi="Times New Roman" w:eastAsia="Times New Roman" w:cs="Times New Roman"/>
          <w:spacing w:val="36"/>
          <w:w w:val="101"/>
          <w:sz w:val="21"/>
          <w:szCs w:val="21"/>
        </w:rPr>
        <w:t xml:space="preserve"> </w:t>
      </w:r>
      <w:r>
        <w:rPr>
          <w:rFonts w:ascii="宋体" w:hAnsi="宋体" w:eastAsia="宋体" w:cs="宋体"/>
          <w:spacing w:val="-1"/>
          <w:sz w:val="21"/>
          <w:szCs w:val="21"/>
        </w:rPr>
        <w:t>条、第</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4</w:t>
      </w:r>
      <w:r>
        <w:rPr>
          <w:rFonts w:ascii="Times New Roman" w:hAnsi="Times New Roman" w:eastAsia="Times New Roman" w:cs="Times New Roman"/>
          <w:spacing w:val="37"/>
          <w:sz w:val="21"/>
          <w:szCs w:val="21"/>
        </w:rPr>
        <w:t xml:space="preserve"> </w:t>
      </w:r>
      <w:r>
        <w:rPr>
          <w:rFonts w:ascii="宋体" w:hAnsi="宋体" w:eastAsia="宋体" w:cs="宋体"/>
          <w:spacing w:val="-2"/>
          <w:sz w:val="21"/>
          <w:szCs w:val="21"/>
        </w:rPr>
        <w:t>条规定进行编</w:t>
      </w:r>
      <w:r>
        <w:rPr>
          <w:rFonts w:ascii="宋体" w:hAnsi="宋体" w:eastAsia="宋体" w:cs="宋体"/>
          <w:spacing w:val="-5"/>
          <w:sz w:val="21"/>
          <w:szCs w:val="21"/>
        </w:rPr>
        <w:t>制和递交。</w:t>
      </w:r>
    </w:p>
    <w:p w14:paraId="4C422E02">
      <w:pPr>
        <w:spacing w:before="154" w:line="236" w:lineRule="auto"/>
        <w:ind w:left="27"/>
        <w:outlineLvl w:val="1"/>
        <w:rPr>
          <w:rFonts w:ascii="黑体" w:hAnsi="黑体" w:eastAsia="黑体" w:cs="黑体"/>
          <w:sz w:val="28"/>
          <w:szCs w:val="28"/>
        </w:rPr>
      </w:pPr>
      <w:bookmarkStart w:id="70" w:name="bookmark52"/>
      <w:bookmarkEnd w:id="70"/>
      <w:r>
        <w:rPr>
          <w:rFonts w:ascii="Times New Roman" w:hAnsi="Times New Roman" w:eastAsia="Times New Roman" w:cs="Times New Roman"/>
          <w:spacing w:val="-5"/>
          <w:sz w:val="28"/>
          <w:szCs w:val="28"/>
        </w:rPr>
        <w:t>5.</w:t>
      </w:r>
      <w:r>
        <w:rPr>
          <w:rFonts w:ascii="Times New Roman" w:hAnsi="Times New Roman" w:eastAsia="Times New Roman" w:cs="Times New Roman"/>
          <w:spacing w:val="7"/>
          <w:sz w:val="28"/>
          <w:szCs w:val="28"/>
        </w:rPr>
        <w:t xml:space="preserve">  </w:t>
      </w:r>
      <w:r>
        <w:rPr>
          <w:rFonts w:ascii="黑体" w:hAnsi="黑体" w:eastAsia="黑体" w:cs="黑体"/>
          <w:spacing w:val="-5"/>
          <w:sz w:val="28"/>
          <w:szCs w:val="28"/>
        </w:rPr>
        <w:t>开标</w:t>
      </w:r>
    </w:p>
    <w:p w14:paraId="069D141B">
      <w:pPr>
        <w:spacing w:before="37" w:line="234" w:lineRule="auto"/>
        <w:ind w:left="143"/>
        <w:outlineLvl w:val="2"/>
        <w:rPr>
          <w:rFonts w:ascii="黑体" w:hAnsi="黑体" w:eastAsia="黑体" w:cs="黑体"/>
          <w:sz w:val="24"/>
          <w:szCs w:val="24"/>
        </w:rPr>
      </w:pPr>
      <w:bookmarkStart w:id="71" w:name="bookmark53"/>
      <w:bookmarkEnd w:id="71"/>
      <w:r>
        <w:rPr>
          <w:rFonts w:ascii="Times New Roman" w:hAnsi="Times New Roman" w:eastAsia="Times New Roman" w:cs="Times New Roman"/>
          <w:spacing w:val="-1"/>
          <w:sz w:val="24"/>
          <w:szCs w:val="24"/>
        </w:rPr>
        <w:t xml:space="preserve">5.1  </w:t>
      </w:r>
      <w:r>
        <w:rPr>
          <w:rFonts w:ascii="黑体" w:hAnsi="黑体" w:eastAsia="黑体" w:cs="黑体"/>
          <w:spacing w:val="-1"/>
          <w:sz w:val="24"/>
          <w:szCs w:val="24"/>
        </w:rPr>
        <w:t>开标时间和地点</w:t>
      </w:r>
    </w:p>
    <w:p w14:paraId="548F7B36">
      <w:pPr>
        <w:spacing w:before="115" w:line="307" w:lineRule="auto"/>
        <w:ind w:left="24" w:right="7"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5.1.1 </w:t>
      </w:r>
      <w:r>
        <w:rPr>
          <w:rFonts w:ascii="宋体" w:hAnsi="宋体" w:eastAsia="宋体" w:cs="宋体"/>
          <w:spacing w:val="-1"/>
          <w:sz w:val="21"/>
          <w:szCs w:val="21"/>
        </w:rPr>
        <w:t>招标人在本章第</w:t>
      </w:r>
      <w:r>
        <w:rPr>
          <w:rFonts w:ascii="宋体" w:hAnsi="宋体" w:eastAsia="宋体" w:cs="宋体"/>
          <w:spacing w:val="-54"/>
          <w:sz w:val="21"/>
          <w:szCs w:val="21"/>
        </w:rPr>
        <w:t xml:space="preserve"> </w:t>
      </w:r>
      <w:r>
        <w:rPr>
          <w:rFonts w:ascii="Times New Roman" w:hAnsi="Times New Roman" w:eastAsia="Times New Roman" w:cs="Times New Roman"/>
          <w:spacing w:val="-1"/>
          <w:sz w:val="21"/>
          <w:szCs w:val="21"/>
        </w:rPr>
        <w:t xml:space="preserve">4.2.1 </w:t>
      </w:r>
      <w:r>
        <w:rPr>
          <w:rFonts w:ascii="宋体" w:hAnsi="宋体" w:eastAsia="宋体" w:cs="宋体"/>
          <w:spacing w:val="-1"/>
          <w:sz w:val="21"/>
          <w:szCs w:val="21"/>
        </w:rPr>
        <w:t>项规定的投标截止时间（开标时间）在辽宁省工程建设项目</w:t>
      </w:r>
      <w:r>
        <w:rPr>
          <w:rFonts w:ascii="宋体" w:hAnsi="宋体" w:eastAsia="宋体" w:cs="宋体"/>
          <w:spacing w:val="3"/>
          <w:sz w:val="21"/>
          <w:szCs w:val="21"/>
        </w:rPr>
        <w:t>数字化开标评标系统上公开进行开标，所有投标人均应当参加</w:t>
      </w:r>
      <w:r>
        <w:rPr>
          <w:rFonts w:ascii="宋体" w:hAnsi="宋体" w:eastAsia="宋体" w:cs="宋体"/>
          <w:spacing w:val="2"/>
          <w:sz w:val="21"/>
          <w:szCs w:val="21"/>
        </w:rPr>
        <w:t>开标。招标人按照投标人须</w:t>
      </w:r>
      <w:r>
        <w:rPr>
          <w:rFonts w:ascii="宋体" w:hAnsi="宋体" w:eastAsia="宋体" w:cs="宋体"/>
          <w:spacing w:val="-2"/>
          <w:sz w:val="21"/>
          <w:szCs w:val="21"/>
        </w:rPr>
        <w:t>知前附表规定的方式组织开标。</w:t>
      </w:r>
    </w:p>
    <w:p w14:paraId="7B695EA8">
      <w:pPr>
        <w:spacing w:before="117" w:line="269" w:lineRule="auto"/>
        <w:ind w:left="26" w:right="54" w:firstLine="417"/>
        <w:rPr>
          <w:rFonts w:ascii="宋体" w:hAnsi="宋体" w:eastAsia="宋体" w:cs="宋体"/>
          <w:sz w:val="21"/>
          <w:szCs w:val="21"/>
        </w:rPr>
      </w:pPr>
      <w:r>
        <w:rPr>
          <w:rFonts w:ascii="Times New Roman" w:hAnsi="Times New Roman" w:eastAsia="Times New Roman" w:cs="Times New Roman"/>
          <w:spacing w:val="-2"/>
          <w:sz w:val="21"/>
          <w:szCs w:val="21"/>
        </w:rPr>
        <w:t xml:space="preserve">5.1.2 </w:t>
      </w:r>
      <w:r>
        <w:rPr>
          <w:rFonts w:ascii="宋体" w:hAnsi="宋体" w:eastAsia="宋体" w:cs="宋体"/>
          <w:spacing w:val="-2"/>
          <w:sz w:val="21"/>
          <w:szCs w:val="21"/>
        </w:rPr>
        <w:t>招标人在投标人须知前附表规定的地点组织开标，并在投标截止时间</w:t>
      </w:r>
      <w:r>
        <w:rPr>
          <w:rFonts w:ascii="宋体" w:hAnsi="宋体" w:eastAsia="宋体" w:cs="宋体"/>
          <w:spacing w:val="-57"/>
          <w:sz w:val="21"/>
          <w:szCs w:val="21"/>
        </w:rPr>
        <w:t xml:space="preserve"> </w:t>
      </w:r>
      <w:r>
        <w:rPr>
          <w:rFonts w:ascii="Times New Roman" w:hAnsi="Times New Roman" w:eastAsia="Times New Roman" w:cs="Times New Roman"/>
          <w:spacing w:val="-2"/>
          <w:sz w:val="21"/>
          <w:szCs w:val="21"/>
        </w:rPr>
        <w:t xml:space="preserve">30 </w:t>
      </w:r>
      <w:r>
        <w:rPr>
          <w:rFonts w:ascii="宋体" w:hAnsi="宋体" w:eastAsia="宋体" w:cs="宋体"/>
          <w:spacing w:val="-2"/>
          <w:sz w:val="21"/>
          <w:szCs w:val="21"/>
        </w:rPr>
        <w:t>分</w:t>
      </w:r>
      <w:r>
        <w:rPr>
          <w:rFonts w:ascii="宋体" w:hAnsi="宋体" w:eastAsia="宋体" w:cs="宋体"/>
          <w:spacing w:val="-3"/>
          <w:sz w:val="21"/>
          <w:szCs w:val="21"/>
        </w:rPr>
        <w:t>钟前，</w:t>
      </w:r>
      <w:r>
        <w:rPr>
          <w:rFonts w:ascii="宋体" w:hAnsi="宋体" w:eastAsia="宋体" w:cs="宋体"/>
          <w:spacing w:val="-1"/>
          <w:sz w:val="21"/>
          <w:szCs w:val="21"/>
        </w:rPr>
        <w:t>登录并进入辽宁省工程建设项目数字化开标评标系统选择相应标段作开标的准备工作。</w:t>
      </w:r>
    </w:p>
    <w:p w14:paraId="5FAEDB2E">
      <w:pPr>
        <w:spacing w:before="141" w:line="319" w:lineRule="auto"/>
        <w:ind w:left="24" w:right="10" w:firstLine="419"/>
        <w:rPr>
          <w:rFonts w:ascii="宋体" w:hAnsi="宋体" w:eastAsia="宋体" w:cs="宋体"/>
          <w:sz w:val="21"/>
          <w:szCs w:val="21"/>
        </w:rPr>
      </w:pPr>
      <w:r>
        <w:rPr>
          <w:rFonts w:ascii="Times New Roman" w:hAnsi="Times New Roman" w:eastAsia="Times New Roman" w:cs="Times New Roman"/>
          <w:spacing w:val="11"/>
          <w:sz w:val="21"/>
          <w:szCs w:val="21"/>
        </w:rPr>
        <w:t xml:space="preserve">5.1.3  </w:t>
      </w:r>
      <w:r>
        <w:rPr>
          <w:rFonts w:ascii="宋体" w:hAnsi="宋体" w:eastAsia="宋体" w:cs="宋体"/>
          <w:spacing w:val="11"/>
          <w:sz w:val="21"/>
          <w:szCs w:val="21"/>
        </w:rPr>
        <w:t>投标人应当在能够保证设施设备可</w:t>
      </w:r>
      <w:r>
        <w:rPr>
          <w:rFonts w:ascii="宋体" w:hAnsi="宋体" w:eastAsia="宋体" w:cs="宋体"/>
          <w:spacing w:val="10"/>
          <w:sz w:val="21"/>
          <w:szCs w:val="21"/>
        </w:rPr>
        <w:t>靠、互联网畅通的任意地点，按照本章第</w:t>
      </w:r>
      <w:r>
        <w:rPr>
          <w:rFonts w:ascii="Times New Roman" w:hAnsi="Times New Roman" w:eastAsia="Times New Roman" w:cs="Times New Roman"/>
          <w:sz w:val="21"/>
          <w:szCs w:val="21"/>
        </w:rPr>
        <w:t xml:space="preserve">5.1.1  </w:t>
      </w:r>
      <w:r>
        <w:rPr>
          <w:rFonts w:ascii="宋体" w:hAnsi="宋体" w:eastAsia="宋体" w:cs="宋体"/>
          <w:sz w:val="21"/>
          <w:szCs w:val="21"/>
        </w:rPr>
        <w:t>项规定的组织方式，通过互联网远程在线或现场集中参加开标，使用加密其投标文件</w:t>
      </w:r>
      <w:r>
        <w:rPr>
          <w:rFonts w:ascii="宋体" w:hAnsi="宋体" w:eastAsia="宋体" w:cs="宋体"/>
          <w:spacing w:val="1"/>
          <w:sz w:val="21"/>
          <w:szCs w:val="21"/>
        </w:rPr>
        <w:t>的数字证书（</w:t>
      </w:r>
      <w:r>
        <w:rPr>
          <w:rFonts w:ascii="Times New Roman" w:hAnsi="Times New Roman" w:eastAsia="Times New Roman" w:cs="Times New Roman"/>
          <w:sz w:val="21"/>
          <w:szCs w:val="21"/>
        </w:rPr>
        <w:t>CA</w:t>
      </w:r>
      <w:r>
        <w:rPr>
          <w:rFonts w:ascii="宋体" w:hAnsi="宋体" w:eastAsia="宋体" w:cs="宋体"/>
          <w:spacing w:val="1"/>
          <w:sz w:val="21"/>
          <w:szCs w:val="21"/>
        </w:rPr>
        <w:t>）登录辽宁省工程建设项目数字化开标</w:t>
      </w:r>
      <w:r>
        <w:rPr>
          <w:rFonts w:ascii="宋体" w:hAnsi="宋体" w:eastAsia="宋体" w:cs="宋体"/>
          <w:sz w:val="21"/>
          <w:szCs w:val="21"/>
        </w:rPr>
        <w:t>评标系统选择所投标段进行签到，</w:t>
      </w:r>
      <w:r>
        <w:rPr>
          <w:rFonts w:ascii="宋体" w:hAnsi="宋体" w:eastAsia="宋体" w:cs="宋体"/>
          <w:spacing w:val="-1"/>
          <w:sz w:val="21"/>
          <w:szCs w:val="21"/>
        </w:rPr>
        <w:t>并实时关注招标人（招标代理机构）的操作情况。</w:t>
      </w:r>
    </w:p>
    <w:p w14:paraId="2FA2700B">
      <w:pPr>
        <w:spacing w:before="92" w:line="233" w:lineRule="auto"/>
        <w:ind w:left="143"/>
        <w:outlineLvl w:val="2"/>
        <w:rPr>
          <w:rFonts w:ascii="黑体" w:hAnsi="黑体" w:eastAsia="黑体" w:cs="黑体"/>
          <w:sz w:val="24"/>
          <w:szCs w:val="24"/>
        </w:rPr>
      </w:pPr>
      <w:bookmarkStart w:id="72" w:name="bookmark54"/>
      <w:bookmarkEnd w:id="72"/>
      <w:r>
        <w:rPr>
          <w:rFonts w:ascii="Times New Roman" w:hAnsi="Times New Roman" w:eastAsia="Times New Roman" w:cs="Times New Roman"/>
          <w:spacing w:val="-4"/>
          <w:sz w:val="24"/>
          <w:szCs w:val="24"/>
        </w:rPr>
        <w:t>5.2</w:t>
      </w:r>
      <w:r>
        <w:rPr>
          <w:rFonts w:ascii="Times New Roman" w:hAnsi="Times New Roman" w:eastAsia="Times New Roman" w:cs="Times New Roman"/>
          <w:spacing w:val="9"/>
          <w:sz w:val="24"/>
          <w:szCs w:val="24"/>
        </w:rPr>
        <w:t xml:space="preserve">  </w:t>
      </w:r>
      <w:r>
        <w:rPr>
          <w:rFonts w:ascii="黑体" w:hAnsi="黑体" w:eastAsia="黑体" w:cs="黑体"/>
          <w:spacing w:val="-4"/>
          <w:sz w:val="24"/>
          <w:szCs w:val="24"/>
        </w:rPr>
        <w:t>开标程序</w:t>
      </w:r>
    </w:p>
    <w:p w14:paraId="5DC3C57E">
      <w:pPr>
        <w:spacing w:before="117" w:line="234" w:lineRule="auto"/>
        <w:ind w:left="444"/>
        <w:rPr>
          <w:rFonts w:ascii="宋体" w:hAnsi="宋体" w:eastAsia="宋体" w:cs="宋体"/>
          <w:sz w:val="21"/>
          <w:szCs w:val="21"/>
        </w:rPr>
      </w:pPr>
      <w:r>
        <w:rPr>
          <w:rFonts w:ascii="Times New Roman" w:hAnsi="Times New Roman" w:eastAsia="Times New Roman" w:cs="Times New Roman"/>
          <w:sz w:val="21"/>
          <w:szCs w:val="21"/>
        </w:rPr>
        <w:t xml:space="preserve">5.2.1 </w:t>
      </w:r>
      <w:r>
        <w:rPr>
          <w:rFonts w:ascii="宋体" w:hAnsi="宋体" w:eastAsia="宋体" w:cs="宋体"/>
          <w:sz w:val="21"/>
          <w:szCs w:val="21"/>
        </w:rPr>
        <w:t>主持人按下列程序在辽宁省工程建设项目数字化开标评标</w:t>
      </w:r>
      <w:r>
        <w:rPr>
          <w:rFonts w:ascii="宋体" w:hAnsi="宋体" w:eastAsia="宋体" w:cs="宋体"/>
          <w:spacing w:val="-1"/>
          <w:sz w:val="21"/>
          <w:szCs w:val="21"/>
        </w:rPr>
        <w:t>系统进行开标：</w:t>
      </w:r>
    </w:p>
    <w:p w14:paraId="6CF7A19F">
      <w:pPr>
        <w:spacing w:before="132"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）宣布开标纪律；</w:t>
      </w:r>
    </w:p>
    <w:p w14:paraId="1FE90E70">
      <w:pPr>
        <w:spacing w:before="134"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）公布主持人、招标人代表、监标人等有关人员姓名；</w:t>
      </w:r>
    </w:p>
    <w:p w14:paraId="36F8488B">
      <w:pPr>
        <w:spacing w:before="135"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）公布在投标截止时间前投标文件的递交情况；</w:t>
      </w:r>
    </w:p>
    <w:p w14:paraId="688F4BAC">
      <w:pPr>
        <w:spacing w:before="132"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）公布投标保证金递交情况（对担保保函、保</w:t>
      </w:r>
      <w:r>
        <w:rPr>
          <w:rFonts w:ascii="宋体" w:hAnsi="宋体" w:eastAsia="宋体" w:cs="宋体"/>
          <w:spacing w:val="-3"/>
          <w:sz w:val="21"/>
          <w:szCs w:val="21"/>
        </w:rPr>
        <w:t>证保险进行实时验真</w:t>
      </w:r>
      <w:r>
        <w:rPr>
          <w:rFonts w:ascii="宋体" w:hAnsi="宋体" w:eastAsia="宋体" w:cs="宋体"/>
          <w:spacing w:val="-30"/>
          <w:sz w:val="21"/>
          <w:szCs w:val="21"/>
        </w:rPr>
        <w:t>）；</w:t>
      </w:r>
    </w:p>
    <w:p w14:paraId="62E141F8">
      <w:pPr>
        <w:spacing w:before="135"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）投标人根据提示在投标人须知前附表规定的时间内解密投</w:t>
      </w:r>
      <w:r>
        <w:rPr>
          <w:rFonts w:ascii="宋体" w:hAnsi="宋体" w:eastAsia="宋体" w:cs="宋体"/>
          <w:spacing w:val="-2"/>
          <w:sz w:val="21"/>
          <w:szCs w:val="21"/>
        </w:rPr>
        <w:t>标文件；</w:t>
      </w:r>
    </w:p>
    <w:p w14:paraId="33906A41">
      <w:pPr>
        <w:spacing w:before="135" w:line="234" w:lineRule="auto"/>
        <w:ind w:left="38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）读取已解密的投标文件的内容；</w:t>
      </w:r>
    </w:p>
    <w:p w14:paraId="7AD1D816">
      <w:pPr>
        <w:spacing w:before="133" w:line="286" w:lineRule="auto"/>
        <w:ind w:left="21" w:right="43" w:firstLine="36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）公布投标人名称、标段名称、投标保证金的递交情</w:t>
      </w:r>
      <w:r>
        <w:rPr>
          <w:rFonts w:ascii="宋体" w:hAnsi="宋体" w:eastAsia="宋体" w:cs="宋体"/>
          <w:sz w:val="21"/>
          <w:szCs w:val="21"/>
        </w:rPr>
        <w:t>况、投标报价、项目经理姓名</w:t>
      </w:r>
      <w:r>
        <w:rPr>
          <w:rFonts w:ascii="宋体" w:hAnsi="宋体" w:eastAsia="宋体" w:cs="宋体"/>
          <w:spacing w:val="-3"/>
          <w:sz w:val="21"/>
          <w:szCs w:val="21"/>
        </w:rPr>
        <w:t>及其他内容，并生成开标记录；</w:t>
      </w:r>
    </w:p>
    <w:p w14:paraId="3A178E79">
      <w:pPr>
        <w:spacing w:before="150" w:line="235"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）投标人对开标记录进行确认；</w:t>
      </w:r>
    </w:p>
    <w:p w14:paraId="507C7C42">
      <w:pPr>
        <w:spacing w:before="132" w:line="234" w:lineRule="auto"/>
        <w:ind w:left="38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）开标结束。</w:t>
      </w:r>
    </w:p>
    <w:p w14:paraId="6307A22A">
      <w:pPr>
        <w:spacing w:line="234" w:lineRule="auto"/>
        <w:rPr>
          <w:rFonts w:ascii="宋体" w:hAnsi="宋体" w:eastAsia="宋体" w:cs="宋体"/>
          <w:sz w:val="21"/>
          <w:szCs w:val="21"/>
        </w:rPr>
        <w:sectPr>
          <w:footerReference r:id="rId32" w:type="default"/>
          <w:pgSz w:w="11905" w:h="16843"/>
          <w:pgMar w:top="969" w:right="1355" w:bottom="1026" w:left="1480" w:header="0" w:footer="754" w:gutter="0"/>
          <w:cols w:space="0" w:num="1"/>
          <w:rtlGutter w:val="0"/>
          <w:docGrid w:linePitch="0" w:charSpace="0"/>
        </w:sectPr>
      </w:pPr>
    </w:p>
    <w:p w14:paraId="17AAF096">
      <w:pPr>
        <w:spacing w:before="114" w:line="269" w:lineRule="auto"/>
        <w:ind w:left="21" w:right="155" w:firstLine="422"/>
        <w:rPr>
          <w:rFonts w:ascii="宋体" w:hAnsi="宋体" w:eastAsia="宋体" w:cs="宋体"/>
          <w:sz w:val="21"/>
          <w:szCs w:val="21"/>
        </w:rPr>
      </w:pPr>
      <w:bookmarkStart w:id="73" w:name="bookmark496"/>
      <w:bookmarkEnd w:id="73"/>
      <w:r>
        <w:rPr>
          <w:rFonts w:ascii="Times New Roman" w:hAnsi="Times New Roman" w:eastAsia="Times New Roman" w:cs="Times New Roman"/>
          <w:sz w:val="21"/>
          <w:szCs w:val="21"/>
        </w:rPr>
        <w:t xml:space="preserve">5.2.2 </w:t>
      </w:r>
      <w:r>
        <w:rPr>
          <w:rFonts w:ascii="宋体" w:hAnsi="宋体" w:eastAsia="宋体" w:cs="宋体"/>
          <w:sz w:val="21"/>
          <w:szCs w:val="21"/>
        </w:rPr>
        <w:t>生成开标记录后</w:t>
      </w:r>
      <w:r>
        <w:rPr>
          <w:rFonts w:ascii="Times New Roman" w:hAnsi="Times New Roman" w:eastAsia="Times New Roman" w:cs="Times New Roman"/>
          <w:sz w:val="21"/>
          <w:szCs w:val="21"/>
        </w:rPr>
        <w:t xml:space="preserve">10 </w:t>
      </w:r>
      <w:r>
        <w:rPr>
          <w:rFonts w:ascii="宋体" w:hAnsi="宋体" w:eastAsia="宋体" w:cs="宋体"/>
          <w:sz w:val="21"/>
          <w:szCs w:val="21"/>
        </w:rPr>
        <w:t>分钟内，投标人通过辽宁省工程建设项目数字化开标评标系统对开标结果予以确认。未在规定时间内确认或未确</w:t>
      </w:r>
      <w:r>
        <w:rPr>
          <w:rFonts w:ascii="宋体" w:hAnsi="宋体" w:eastAsia="宋体" w:cs="宋体"/>
          <w:spacing w:val="-1"/>
          <w:sz w:val="21"/>
          <w:szCs w:val="21"/>
        </w:rPr>
        <w:t>认的视为对开标过程及结果无异议。</w:t>
      </w:r>
    </w:p>
    <w:p w14:paraId="2D13383F">
      <w:pPr>
        <w:spacing w:before="141" w:line="308" w:lineRule="auto"/>
        <w:ind w:left="26" w:right="165" w:firstLine="357"/>
        <w:rPr>
          <w:rFonts w:ascii="宋体" w:hAnsi="宋体" w:eastAsia="宋体" w:cs="宋体"/>
          <w:sz w:val="21"/>
          <w:szCs w:val="21"/>
        </w:rPr>
      </w:pPr>
      <w:r>
        <w:rPr>
          <w:rFonts w:ascii="Times New Roman" w:hAnsi="Times New Roman" w:eastAsia="Times New Roman" w:cs="Times New Roman"/>
          <w:spacing w:val="1"/>
          <w:sz w:val="21"/>
          <w:szCs w:val="21"/>
        </w:rPr>
        <w:t xml:space="preserve">5.2.3  </w:t>
      </w:r>
      <w:r>
        <w:rPr>
          <w:rFonts w:ascii="宋体" w:hAnsi="宋体" w:eastAsia="宋体" w:cs="宋体"/>
          <w:spacing w:val="1"/>
          <w:sz w:val="21"/>
          <w:szCs w:val="21"/>
        </w:rPr>
        <w:t xml:space="preserve">在本章第 </w:t>
      </w:r>
      <w:r>
        <w:rPr>
          <w:rFonts w:ascii="Times New Roman" w:hAnsi="Times New Roman" w:eastAsia="Times New Roman" w:cs="Times New Roman"/>
          <w:spacing w:val="1"/>
          <w:sz w:val="21"/>
          <w:szCs w:val="21"/>
        </w:rPr>
        <w:t>5.2.1</w:t>
      </w: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）目规定的时间内，非因辽宁省工程建设项目数字化开标评标</w:t>
      </w:r>
      <w:r>
        <w:rPr>
          <w:rFonts w:ascii="宋体" w:hAnsi="宋体" w:eastAsia="宋体" w:cs="宋体"/>
          <w:spacing w:val="3"/>
          <w:sz w:val="21"/>
          <w:szCs w:val="21"/>
        </w:rPr>
        <w:t>系统原因造成投标文件未解密的，视为投标人</w:t>
      </w:r>
      <w:r>
        <w:rPr>
          <w:rFonts w:ascii="宋体" w:hAnsi="宋体" w:eastAsia="宋体" w:cs="宋体"/>
          <w:spacing w:val="2"/>
          <w:sz w:val="21"/>
          <w:szCs w:val="21"/>
        </w:rPr>
        <w:t>撤回投标文件。已解密的投标文件少于三个</w:t>
      </w:r>
      <w:r>
        <w:rPr>
          <w:rFonts w:ascii="宋体" w:hAnsi="宋体" w:eastAsia="宋体" w:cs="宋体"/>
          <w:sz w:val="21"/>
          <w:szCs w:val="21"/>
        </w:rPr>
        <w:t>的，招标失败；已解密的投标文件不少于三个，</w:t>
      </w:r>
      <w:r>
        <w:rPr>
          <w:rFonts w:ascii="宋体" w:hAnsi="宋体" w:eastAsia="宋体" w:cs="宋体"/>
          <w:spacing w:val="-1"/>
          <w:sz w:val="21"/>
          <w:szCs w:val="21"/>
        </w:rPr>
        <w:t>开标继续进行。</w:t>
      </w:r>
    </w:p>
    <w:p w14:paraId="43A952B3">
      <w:pPr>
        <w:spacing w:before="91" w:line="233" w:lineRule="auto"/>
        <w:ind w:left="143"/>
        <w:outlineLvl w:val="2"/>
        <w:rPr>
          <w:rFonts w:ascii="黑体" w:hAnsi="黑体" w:eastAsia="黑体" w:cs="黑体"/>
          <w:sz w:val="24"/>
          <w:szCs w:val="24"/>
        </w:rPr>
      </w:pPr>
      <w:bookmarkStart w:id="74" w:name="bookmark55"/>
      <w:bookmarkEnd w:id="74"/>
      <w:r>
        <w:rPr>
          <w:rFonts w:ascii="Times New Roman" w:hAnsi="Times New Roman" w:eastAsia="Times New Roman" w:cs="Times New Roman"/>
          <w:spacing w:val="-4"/>
          <w:sz w:val="24"/>
          <w:szCs w:val="24"/>
        </w:rPr>
        <w:t>5.3</w:t>
      </w:r>
      <w:r>
        <w:rPr>
          <w:rFonts w:ascii="Times New Roman" w:hAnsi="Times New Roman" w:eastAsia="Times New Roman" w:cs="Times New Roman"/>
          <w:spacing w:val="9"/>
          <w:sz w:val="24"/>
          <w:szCs w:val="24"/>
        </w:rPr>
        <w:t xml:space="preserve">  </w:t>
      </w:r>
      <w:r>
        <w:rPr>
          <w:rFonts w:ascii="黑体" w:hAnsi="黑体" w:eastAsia="黑体" w:cs="黑体"/>
          <w:spacing w:val="-4"/>
          <w:sz w:val="24"/>
          <w:szCs w:val="24"/>
        </w:rPr>
        <w:t>开标异议</w:t>
      </w:r>
    </w:p>
    <w:p w14:paraId="2D4540CF">
      <w:pPr>
        <w:spacing w:before="116" w:line="350" w:lineRule="auto"/>
        <w:ind w:left="21" w:right="165" w:firstLine="363"/>
        <w:jc w:val="both"/>
        <w:rPr>
          <w:rFonts w:ascii="宋体" w:hAnsi="宋体" w:eastAsia="宋体" w:cs="宋体"/>
          <w:sz w:val="21"/>
          <w:szCs w:val="21"/>
        </w:rPr>
      </w:pPr>
      <w:r>
        <w:rPr>
          <w:rFonts w:ascii="Times New Roman" w:hAnsi="Times New Roman" w:eastAsia="Times New Roman" w:cs="Times New Roman"/>
          <w:spacing w:val="1"/>
          <w:sz w:val="21"/>
          <w:szCs w:val="21"/>
        </w:rPr>
        <w:t xml:space="preserve">5.3.1  </w:t>
      </w:r>
      <w:r>
        <w:rPr>
          <w:rFonts w:ascii="宋体" w:hAnsi="宋体" w:eastAsia="宋体" w:cs="宋体"/>
          <w:spacing w:val="1"/>
          <w:sz w:val="21"/>
          <w:szCs w:val="21"/>
        </w:rPr>
        <w:t>投标人对开标有异议的，应当在开标过程中提出；招标人当场对异议作出答复，</w:t>
      </w:r>
      <w:r>
        <w:rPr>
          <w:rFonts w:ascii="宋体" w:hAnsi="宋体" w:eastAsia="宋体" w:cs="宋体"/>
          <w:spacing w:val="3"/>
          <w:sz w:val="21"/>
          <w:szCs w:val="21"/>
        </w:rPr>
        <w:t>并记入开标记录。异议与答复应通过辽宁省工程建设项目数</w:t>
      </w:r>
      <w:r>
        <w:rPr>
          <w:rFonts w:ascii="宋体" w:hAnsi="宋体" w:eastAsia="宋体" w:cs="宋体"/>
          <w:spacing w:val="2"/>
          <w:sz w:val="21"/>
          <w:szCs w:val="21"/>
        </w:rPr>
        <w:t>字化开标评标系统以书面形式</w:t>
      </w:r>
      <w:r>
        <w:rPr>
          <w:rFonts w:ascii="宋体" w:hAnsi="宋体" w:eastAsia="宋体" w:cs="宋体"/>
          <w:spacing w:val="-8"/>
          <w:sz w:val="21"/>
          <w:szCs w:val="21"/>
        </w:rPr>
        <w:t>进行。</w:t>
      </w:r>
    </w:p>
    <w:p w14:paraId="3A5F65BE">
      <w:pPr>
        <w:spacing w:before="6" w:line="351" w:lineRule="auto"/>
        <w:ind w:left="23" w:right="191" w:firstLine="359"/>
        <w:rPr>
          <w:rFonts w:ascii="宋体" w:hAnsi="宋体" w:eastAsia="宋体" w:cs="宋体"/>
          <w:sz w:val="21"/>
          <w:szCs w:val="21"/>
        </w:rPr>
      </w:pPr>
      <w:r>
        <w:rPr>
          <w:rFonts w:ascii="宋体" w:hAnsi="宋体" w:eastAsia="宋体" w:cs="宋体"/>
          <w:spacing w:val="4"/>
          <w:sz w:val="21"/>
          <w:szCs w:val="21"/>
        </w:rPr>
        <w:t>本处所称异议是指投标人在开标过程中对投标文件提交、投</w:t>
      </w:r>
      <w:r>
        <w:rPr>
          <w:rFonts w:ascii="宋体" w:hAnsi="宋体" w:eastAsia="宋体" w:cs="宋体"/>
          <w:spacing w:val="3"/>
          <w:sz w:val="21"/>
          <w:szCs w:val="21"/>
        </w:rPr>
        <w:t>标截止时间、开标程序、</w:t>
      </w:r>
      <w:r>
        <w:rPr>
          <w:rFonts w:ascii="宋体" w:hAnsi="宋体" w:eastAsia="宋体" w:cs="宋体"/>
          <w:sz w:val="21"/>
          <w:szCs w:val="21"/>
        </w:rPr>
        <w:t>开标记录以及投标人和招标人或者投标人相互</w:t>
      </w:r>
      <w:r>
        <w:rPr>
          <w:rFonts w:ascii="宋体" w:hAnsi="宋体" w:eastAsia="宋体" w:cs="宋体"/>
          <w:spacing w:val="-1"/>
          <w:sz w:val="21"/>
          <w:szCs w:val="21"/>
        </w:rPr>
        <w:t>之间存在利益冲突的情形等提出的质疑。</w:t>
      </w:r>
    </w:p>
    <w:p w14:paraId="77917F67">
      <w:pPr>
        <w:spacing w:before="1" w:line="286" w:lineRule="auto"/>
        <w:ind w:left="25" w:firstLine="359"/>
        <w:rPr>
          <w:rFonts w:ascii="宋体" w:hAnsi="宋体" w:eastAsia="宋体" w:cs="宋体"/>
          <w:sz w:val="21"/>
          <w:szCs w:val="21"/>
        </w:rPr>
      </w:pPr>
      <w:r>
        <w:rPr>
          <w:rFonts w:ascii="Times New Roman" w:hAnsi="Times New Roman" w:eastAsia="Times New Roman" w:cs="Times New Roman"/>
          <w:sz w:val="21"/>
          <w:szCs w:val="21"/>
        </w:rPr>
        <w:t xml:space="preserve">5.3.2  </w:t>
      </w:r>
      <w:r>
        <w:rPr>
          <w:rFonts w:ascii="宋体" w:hAnsi="宋体" w:eastAsia="宋体" w:cs="宋体"/>
          <w:sz w:val="21"/>
          <w:szCs w:val="21"/>
        </w:rPr>
        <w:t>投标人异议成立的，招标人将及时采取纠正措施，或者提交评标委员会评审确认；</w:t>
      </w:r>
      <w:r>
        <w:rPr>
          <w:rFonts w:ascii="宋体" w:hAnsi="宋体" w:eastAsia="宋体" w:cs="宋体"/>
          <w:spacing w:val="-1"/>
          <w:sz w:val="21"/>
          <w:szCs w:val="21"/>
        </w:rPr>
        <w:t>投标人异议不成立的，招标人将当场给予解释说明。</w:t>
      </w:r>
    </w:p>
    <w:p w14:paraId="6A28C883">
      <w:pPr>
        <w:spacing w:before="148" w:line="234" w:lineRule="auto"/>
        <w:ind w:left="384"/>
        <w:rPr>
          <w:rFonts w:ascii="宋体" w:hAnsi="宋体" w:eastAsia="宋体" w:cs="宋体"/>
          <w:sz w:val="21"/>
          <w:szCs w:val="21"/>
        </w:rPr>
      </w:pPr>
      <w:r>
        <w:rPr>
          <w:rFonts w:ascii="Times New Roman" w:hAnsi="Times New Roman" w:eastAsia="Times New Roman" w:cs="Times New Roman"/>
          <w:sz w:val="21"/>
          <w:szCs w:val="21"/>
        </w:rPr>
        <w:t xml:space="preserve">5.3.3 </w:t>
      </w:r>
      <w:r>
        <w:rPr>
          <w:rFonts w:ascii="宋体" w:hAnsi="宋体" w:eastAsia="宋体" w:cs="宋体"/>
          <w:sz w:val="21"/>
          <w:szCs w:val="21"/>
        </w:rPr>
        <w:t>投标人未在开标过程中提出异议，视为异议权利灭失，不可再对开标</w:t>
      </w:r>
      <w:r>
        <w:rPr>
          <w:rFonts w:ascii="宋体" w:hAnsi="宋体" w:eastAsia="宋体" w:cs="宋体"/>
          <w:spacing w:val="-1"/>
          <w:sz w:val="21"/>
          <w:szCs w:val="21"/>
        </w:rPr>
        <w:t>提出异议。</w:t>
      </w:r>
    </w:p>
    <w:p w14:paraId="29A19AF6">
      <w:pPr>
        <w:spacing w:before="75" w:line="233" w:lineRule="auto"/>
        <w:ind w:left="143"/>
        <w:outlineLvl w:val="2"/>
        <w:rPr>
          <w:rFonts w:ascii="黑体" w:hAnsi="黑体" w:eastAsia="黑体" w:cs="黑体"/>
          <w:sz w:val="24"/>
          <w:szCs w:val="24"/>
        </w:rPr>
      </w:pPr>
      <w:bookmarkStart w:id="75" w:name="bookmark56"/>
      <w:bookmarkEnd w:id="75"/>
      <w:r>
        <w:rPr>
          <w:rFonts w:ascii="Times New Roman" w:hAnsi="Times New Roman" w:eastAsia="Times New Roman" w:cs="Times New Roman"/>
          <w:spacing w:val="-1"/>
          <w:sz w:val="24"/>
          <w:szCs w:val="24"/>
        </w:rPr>
        <w:t xml:space="preserve">5.4  </w:t>
      </w:r>
      <w:r>
        <w:rPr>
          <w:rFonts w:ascii="黑体" w:hAnsi="黑体" w:eastAsia="黑体" w:cs="黑体"/>
          <w:spacing w:val="-1"/>
          <w:sz w:val="24"/>
          <w:szCs w:val="24"/>
        </w:rPr>
        <w:t>特殊情况的处置</w:t>
      </w:r>
    </w:p>
    <w:p w14:paraId="190B4925">
      <w:pPr>
        <w:spacing w:before="81" w:line="285" w:lineRule="auto"/>
        <w:ind w:left="22" w:right="156" w:firstLine="421"/>
        <w:rPr>
          <w:rFonts w:ascii="宋体" w:hAnsi="宋体" w:eastAsia="宋体" w:cs="宋体"/>
          <w:sz w:val="21"/>
          <w:szCs w:val="21"/>
        </w:rPr>
      </w:pPr>
      <w:r>
        <w:rPr>
          <w:rFonts w:ascii="Times New Roman" w:hAnsi="Times New Roman" w:eastAsia="Times New Roman" w:cs="Times New Roman"/>
          <w:sz w:val="21"/>
          <w:szCs w:val="21"/>
        </w:rPr>
        <w:t xml:space="preserve">5.4.1  </w:t>
      </w:r>
      <w:r>
        <w:rPr>
          <w:rFonts w:ascii="宋体" w:hAnsi="宋体" w:eastAsia="宋体" w:cs="宋体"/>
          <w:sz w:val="21"/>
          <w:szCs w:val="21"/>
        </w:rPr>
        <w:t>因辽宁省工程建设项目数字化开标评标系统故障导致无法投标的，管理部门及时</w:t>
      </w:r>
      <w:r>
        <w:rPr>
          <w:rFonts w:ascii="宋体" w:hAnsi="宋体" w:eastAsia="宋体" w:cs="宋体"/>
          <w:spacing w:val="3"/>
          <w:sz w:val="21"/>
          <w:szCs w:val="21"/>
        </w:rPr>
        <w:t>通知招标人，招标人视情况决定是否顺延投标截止时间。因投标人自身原因导</w:t>
      </w:r>
      <w:r>
        <w:rPr>
          <w:rFonts w:ascii="宋体" w:hAnsi="宋体" w:eastAsia="宋体" w:cs="宋体"/>
          <w:spacing w:val="2"/>
          <w:sz w:val="21"/>
          <w:szCs w:val="21"/>
        </w:rPr>
        <w:t>致无法完成</w:t>
      </w:r>
      <w:r>
        <w:rPr>
          <w:rFonts w:ascii="宋体" w:hAnsi="宋体" w:eastAsia="宋体" w:cs="宋体"/>
          <w:spacing w:val="-1"/>
          <w:sz w:val="21"/>
          <w:szCs w:val="21"/>
        </w:rPr>
        <w:t>投标的，由投标人自行承担后果。</w:t>
      </w:r>
    </w:p>
    <w:p w14:paraId="6FB87A46">
      <w:pPr>
        <w:spacing w:before="108" w:line="269" w:lineRule="auto"/>
        <w:ind w:left="21" w:right="158" w:firstLine="423"/>
        <w:rPr>
          <w:rFonts w:ascii="宋体" w:hAnsi="宋体" w:eastAsia="宋体" w:cs="宋体"/>
          <w:sz w:val="21"/>
          <w:szCs w:val="21"/>
        </w:rPr>
      </w:pPr>
      <w:r>
        <w:rPr>
          <w:rFonts w:ascii="Times New Roman" w:hAnsi="Times New Roman" w:eastAsia="Times New Roman" w:cs="Times New Roman"/>
          <w:sz w:val="21"/>
          <w:szCs w:val="21"/>
        </w:rPr>
        <w:t xml:space="preserve">5.4.2  </w:t>
      </w:r>
      <w:r>
        <w:rPr>
          <w:rFonts w:ascii="宋体" w:hAnsi="宋体" w:eastAsia="宋体" w:cs="宋体"/>
          <w:sz w:val="21"/>
          <w:szCs w:val="21"/>
        </w:rPr>
        <w:t>因辽宁省工程建设项目数字化开标评标系统统故障导致无法正常开标的，招标人</w:t>
      </w:r>
      <w:r>
        <w:rPr>
          <w:rFonts w:ascii="宋体" w:hAnsi="宋体" w:eastAsia="宋体" w:cs="宋体"/>
          <w:spacing w:val="-1"/>
          <w:sz w:val="21"/>
          <w:szCs w:val="21"/>
        </w:rPr>
        <w:t>将暂停开标，待系统恢复正常后继续开标。</w:t>
      </w:r>
    </w:p>
    <w:p w14:paraId="71B674B1">
      <w:pPr>
        <w:spacing w:before="110" w:line="316" w:lineRule="auto"/>
        <w:ind w:left="25" w:right="165" w:firstLine="422"/>
        <w:rPr>
          <w:rFonts w:ascii="宋体" w:hAnsi="宋体" w:eastAsia="宋体" w:cs="宋体"/>
          <w:sz w:val="21"/>
          <w:szCs w:val="21"/>
        </w:rPr>
      </w:pPr>
      <w:r>
        <w:rPr>
          <w:rFonts w:ascii="宋体" w:hAnsi="宋体" w:eastAsia="宋体" w:cs="宋体"/>
          <w:spacing w:val="3"/>
          <w:sz w:val="21"/>
          <w:szCs w:val="21"/>
        </w:rPr>
        <w:t>辽宁省工程建设项目数字化开标评标系统技术服务单位</w:t>
      </w:r>
      <w:r>
        <w:rPr>
          <w:rFonts w:ascii="宋体" w:hAnsi="宋体" w:eastAsia="宋体" w:cs="宋体"/>
          <w:spacing w:val="2"/>
          <w:sz w:val="21"/>
          <w:szCs w:val="21"/>
        </w:rPr>
        <w:t>将立即启动应急响应机制，积</w:t>
      </w:r>
      <w:r>
        <w:rPr>
          <w:rFonts w:ascii="宋体" w:hAnsi="宋体" w:eastAsia="宋体" w:cs="宋体"/>
          <w:spacing w:val="-1"/>
          <w:sz w:val="21"/>
          <w:szCs w:val="21"/>
        </w:rPr>
        <w:t>极排查系统故障，解决问题，系统本身对用户或第三方不负任何责任。</w:t>
      </w:r>
    </w:p>
    <w:p w14:paraId="5614D163">
      <w:pPr>
        <w:spacing w:before="1" w:line="234" w:lineRule="auto"/>
        <w:ind w:left="444"/>
        <w:rPr>
          <w:rFonts w:ascii="宋体" w:hAnsi="宋体" w:eastAsia="宋体" w:cs="宋体"/>
          <w:sz w:val="21"/>
          <w:szCs w:val="21"/>
        </w:rPr>
      </w:pPr>
      <w:r>
        <w:rPr>
          <w:rFonts w:ascii="Times New Roman" w:hAnsi="Times New Roman" w:eastAsia="Times New Roman" w:cs="Times New Roman"/>
          <w:spacing w:val="-1"/>
          <w:sz w:val="21"/>
          <w:szCs w:val="21"/>
        </w:rPr>
        <w:t xml:space="preserve">5.4.3  </w:t>
      </w:r>
      <w:r>
        <w:rPr>
          <w:rFonts w:ascii="宋体" w:hAnsi="宋体" w:eastAsia="宋体" w:cs="宋体"/>
          <w:spacing w:val="-1"/>
          <w:sz w:val="21"/>
          <w:szCs w:val="21"/>
        </w:rPr>
        <w:t>辽宁省工程建设项目数字化开标评标系统故障是指下列情形：</w:t>
      </w:r>
    </w:p>
    <w:p w14:paraId="55598BA9">
      <w:pPr>
        <w:spacing w:before="94" w:line="234" w:lineRule="auto"/>
        <w:ind w:left="44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）系统服务器发生故障，无法访问或无法使用系统；</w:t>
      </w:r>
    </w:p>
    <w:p w14:paraId="0C12CEE3">
      <w:pPr>
        <w:spacing w:before="94" w:line="234" w:lineRule="auto"/>
        <w:ind w:left="44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）系统的软件或数据库出现错误，不能进行正常操作；</w:t>
      </w:r>
    </w:p>
    <w:p w14:paraId="1D54C064">
      <w:pPr>
        <w:spacing w:before="93" w:line="235"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）系统发现有安全漏洞，有潜在的泄密危险；</w:t>
      </w:r>
    </w:p>
    <w:p w14:paraId="2A1C5AF9">
      <w:pPr>
        <w:spacing w:before="93" w:line="235"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）系统出现网络攻击；</w:t>
      </w:r>
    </w:p>
    <w:p w14:paraId="50B3251D">
      <w:pPr>
        <w:spacing w:before="93" w:line="234"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）出现断电、断网事故；</w:t>
      </w:r>
    </w:p>
    <w:p w14:paraId="2F13B1E3">
      <w:pPr>
        <w:spacing w:before="94" w:line="234" w:lineRule="auto"/>
        <w:ind w:left="44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）出现法定不可抗力因素；</w:t>
      </w:r>
    </w:p>
    <w:p w14:paraId="54957FB7">
      <w:pPr>
        <w:spacing w:before="94" w:line="235" w:lineRule="auto"/>
        <w:ind w:left="44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）其他无法保证招投标过程正常进行的情形。</w:t>
      </w:r>
    </w:p>
    <w:p w14:paraId="5E3B544B">
      <w:pPr>
        <w:spacing w:before="134" w:line="233" w:lineRule="auto"/>
        <w:ind w:left="26"/>
        <w:outlineLvl w:val="1"/>
        <w:rPr>
          <w:rFonts w:ascii="黑体" w:hAnsi="黑体" w:eastAsia="黑体" w:cs="黑体"/>
          <w:sz w:val="28"/>
          <w:szCs w:val="28"/>
        </w:rPr>
      </w:pPr>
      <w:bookmarkStart w:id="76" w:name="bookmark57"/>
      <w:bookmarkEnd w:id="76"/>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t xml:space="preserve">  </w:t>
      </w:r>
      <w:r>
        <w:rPr>
          <w:rFonts w:ascii="黑体" w:hAnsi="黑体" w:eastAsia="黑体" w:cs="黑体"/>
          <w:spacing w:val="-4"/>
          <w:sz w:val="28"/>
          <w:szCs w:val="28"/>
        </w:rPr>
        <w:t>评标</w:t>
      </w:r>
    </w:p>
    <w:p w14:paraId="72EA6272">
      <w:pPr>
        <w:spacing w:before="41" w:line="232" w:lineRule="auto"/>
        <w:ind w:left="142"/>
        <w:outlineLvl w:val="2"/>
        <w:rPr>
          <w:rFonts w:ascii="黑体" w:hAnsi="黑体" w:eastAsia="黑体" w:cs="黑体"/>
          <w:sz w:val="24"/>
          <w:szCs w:val="24"/>
        </w:rPr>
      </w:pPr>
      <w:bookmarkStart w:id="77" w:name="bookmark58"/>
      <w:bookmarkEnd w:id="77"/>
      <w:r>
        <w:rPr>
          <w:rFonts w:ascii="Times New Roman" w:hAnsi="Times New Roman" w:eastAsia="Times New Roman" w:cs="Times New Roman"/>
          <w:spacing w:val="-1"/>
          <w:sz w:val="24"/>
          <w:szCs w:val="24"/>
        </w:rPr>
        <w:t xml:space="preserve">6.1  </w:t>
      </w:r>
      <w:r>
        <w:rPr>
          <w:rFonts w:ascii="黑体" w:hAnsi="黑体" w:eastAsia="黑体" w:cs="黑体"/>
          <w:spacing w:val="-1"/>
          <w:sz w:val="24"/>
          <w:szCs w:val="24"/>
        </w:rPr>
        <w:t>评标委员会</w:t>
      </w:r>
    </w:p>
    <w:p w14:paraId="7189E4E1">
      <w:pPr>
        <w:spacing w:before="115" w:line="308" w:lineRule="auto"/>
        <w:ind w:left="21" w:right="158" w:firstLine="421"/>
        <w:rPr>
          <w:rFonts w:ascii="宋体" w:hAnsi="宋体" w:eastAsia="宋体" w:cs="宋体"/>
          <w:sz w:val="21"/>
          <w:szCs w:val="21"/>
        </w:rPr>
      </w:pPr>
      <w:r>
        <w:rPr>
          <w:rFonts w:ascii="Times New Roman" w:hAnsi="Times New Roman" w:eastAsia="Times New Roman" w:cs="Times New Roman"/>
          <w:sz w:val="21"/>
          <w:szCs w:val="21"/>
        </w:rPr>
        <w:t xml:space="preserve">6.1.1  </w:t>
      </w:r>
      <w:r>
        <w:rPr>
          <w:rFonts w:ascii="宋体" w:hAnsi="宋体" w:eastAsia="宋体" w:cs="宋体"/>
          <w:sz w:val="21"/>
          <w:szCs w:val="21"/>
        </w:rPr>
        <w:t>评标由招标人依法组建的评标委员会负责。评标委员会由招标人或其委托的招标</w:t>
      </w:r>
      <w:r>
        <w:rPr>
          <w:rFonts w:ascii="宋体" w:hAnsi="宋体" w:eastAsia="宋体" w:cs="宋体"/>
          <w:spacing w:val="3"/>
          <w:sz w:val="21"/>
          <w:szCs w:val="21"/>
        </w:rPr>
        <w:t>代理机构熟悉相关业务的代表，以及有关技术、经济等方</w:t>
      </w:r>
      <w:r>
        <w:rPr>
          <w:rFonts w:ascii="宋体" w:hAnsi="宋体" w:eastAsia="宋体" w:cs="宋体"/>
          <w:spacing w:val="2"/>
          <w:sz w:val="21"/>
          <w:szCs w:val="21"/>
        </w:rPr>
        <w:t>面的专家组成。评标委员会成员</w:t>
      </w:r>
      <w:r>
        <w:rPr>
          <w:rFonts w:ascii="宋体" w:hAnsi="宋体" w:eastAsia="宋体" w:cs="宋体"/>
          <w:spacing w:val="-1"/>
          <w:sz w:val="21"/>
          <w:szCs w:val="21"/>
        </w:rPr>
        <w:t>人数以及技术、经济等方面专家的确定方式见投标人须知前附表。</w:t>
      </w:r>
    </w:p>
    <w:p w14:paraId="3AA1707E">
      <w:pPr>
        <w:spacing w:before="151" w:line="234" w:lineRule="auto"/>
        <w:ind w:left="443"/>
        <w:rPr>
          <w:rFonts w:ascii="宋体" w:hAnsi="宋体" w:eastAsia="宋体" w:cs="宋体"/>
          <w:sz w:val="21"/>
          <w:szCs w:val="21"/>
        </w:rPr>
      </w:pPr>
      <w:r>
        <w:rPr>
          <w:rFonts w:ascii="Times New Roman" w:hAnsi="Times New Roman" w:eastAsia="Times New Roman" w:cs="Times New Roman"/>
          <w:sz w:val="21"/>
          <w:szCs w:val="21"/>
        </w:rPr>
        <w:t xml:space="preserve">6.1.2  </w:t>
      </w:r>
      <w:r>
        <w:rPr>
          <w:rFonts w:ascii="宋体" w:hAnsi="宋体" w:eastAsia="宋体" w:cs="宋体"/>
          <w:sz w:val="21"/>
          <w:szCs w:val="21"/>
        </w:rPr>
        <w:t>评标委员会成员有下列情形之一</w:t>
      </w:r>
      <w:r>
        <w:rPr>
          <w:rFonts w:ascii="宋体" w:hAnsi="宋体" w:eastAsia="宋体" w:cs="宋体"/>
          <w:spacing w:val="-1"/>
          <w:sz w:val="21"/>
          <w:szCs w:val="21"/>
        </w:rPr>
        <w:t>的，应当回避：</w:t>
      </w:r>
    </w:p>
    <w:p w14:paraId="07A5947A">
      <w:pPr>
        <w:spacing w:line="234" w:lineRule="auto"/>
        <w:rPr>
          <w:rFonts w:ascii="宋体" w:hAnsi="宋体" w:eastAsia="宋体" w:cs="宋体"/>
          <w:sz w:val="21"/>
          <w:szCs w:val="21"/>
        </w:rPr>
        <w:sectPr>
          <w:footerReference r:id="rId33" w:type="default"/>
          <w:pgSz w:w="11905" w:h="16843"/>
          <w:pgMar w:top="969" w:right="1355" w:bottom="1026" w:left="1480" w:header="0" w:footer="754" w:gutter="0"/>
          <w:cols w:space="0" w:num="1"/>
          <w:rtlGutter w:val="0"/>
          <w:docGrid w:linePitch="0" w:charSpace="0"/>
        </w:sectPr>
      </w:pPr>
    </w:p>
    <w:p w14:paraId="37A13E36">
      <w:pPr>
        <w:spacing w:before="149" w:line="234" w:lineRule="auto"/>
        <w:ind w:left="746"/>
        <w:rPr>
          <w:rFonts w:ascii="宋体" w:hAnsi="宋体" w:eastAsia="宋体" w:cs="宋体"/>
          <w:sz w:val="21"/>
          <w:szCs w:val="21"/>
        </w:rPr>
      </w:pPr>
      <w:bookmarkStart w:id="78" w:name="bookmark497"/>
      <w:bookmarkEnd w:id="78"/>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）投标人或投标人主要负责人的近亲属；</w:t>
      </w:r>
    </w:p>
    <w:p w14:paraId="7A3086AE">
      <w:pPr>
        <w:spacing w:before="132" w:line="234" w:lineRule="auto"/>
        <w:ind w:left="74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）项目主管部门或者行政监督部门的人员；</w:t>
      </w:r>
    </w:p>
    <w:p w14:paraId="16208736">
      <w:pPr>
        <w:spacing w:before="134" w:line="235" w:lineRule="auto"/>
        <w:ind w:left="74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）与投标人有经济利益关系，可能影响对</w:t>
      </w:r>
      <w:r>
        <w:rPr>
          <w:rFonts w:ascii="宋体" w:hAnsi="宋体" w:eastAsia="宋体" w:cs="宋体"/>
          <w:spacing w:val="-2"/>
          <w:sz w:val="21"/>
          <w:szCs w:val="21"/>
        </w:rPr>
        <w:t>投标公正评审的；</w:t>
      </w:r>
    </w:p>
    <w:p w14:paraId="1F24AA03">
      <w:pPr>
        <w:spacing w:before="132" w:line="286" w:lineRule="auto"/>
        <w:ind w:left="26" w:right="21" w:firstLine="719"/>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4</w:t>
      </w:r>
      <w:r>
        <w:rPr>
          <w:rFonts w:ascii="宋体" w:hAnsi="宋体" w:eastAsia="宋体" w:cs="宋体"/>
          <w:spacing w:val="3"/>
          <w:sz w:val="21"/>
          <w:szCs w:val="21"/>
        </w:rPr>
        <w:t>）曾因在招标、评标以及其他与招标投标有关活动中从事违法行为而受过行政</w:t>
      </w:r>
      <w:r>
        <w:rPr>
          <w:rFonts w:ascii="宋体" w:hAnsi="宋体" w:eastAsia="宋体" w:cs="宋体"/>
          <w:spacing w:val="-4"/>
          <w:sz w:val="21"/>
          <w:szCs w:val="21"/>
        </w:rPr>
        <w:t>处罚或刑事处罚的；</w:t>
      </w:r>
    </w:p>
    <w:p w14:paraId="0512F166">
      <w:pPr>
        <w:spacing w:before="149" w:line="235" w:lineRule="auto"/>
        <w:ind w:left="74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5</w:t>
      </w:r>
      <w:r>
        <w:rPr>
          <w:rFonts w:ascii="宋体" w:hAnsi="宋体" w:eastAsia="宋体" w:cs="宋体"/>
          <w:spacing w:val="-3"/>
          <w:sz w:val="21"/>
          <w:szCs w:val="21"/>
        </w:rPr>
        <w:t>）与投标人有其他利害关系。</w:t>
      </w:r>
    </w:p>
    <w:p w14:paraId="57D762C1">
      <w:pPr>
        <w:spacing w:before="132" w:line="335" w:lineRule="auto"/>
        <w:ind w:left="21" w:right="10" w:firstLine="421"/>
        <w:jc w:val="both"/>
        <w:rPr>
          <w:rFonts w:ascii="宋体" w:hAnsi="宋体" w:eastAsia="宋体" w:cs="宋体"/>
          <w:sz w:val="21"/>
          <w:szCs w:val="21"/>
        </w:rPr>
      </w:pPr>
      <w:r>
        <w:rPr>
          <w:rFonts w:ascii="Times New Roman" w:hAnsi="Times New Roman" w:eastAsia="Times New Roman" w:cs="Times New Roman"/>
          <w:sz w:val="21"/>
          <w:szCs w:val="21"/>
        </w:rPr>
        <w:t xml:space="preserve">6.1.3  </w:t>
      </w:r>
      <w:r>
        <w:rPr>
          <w:rFonts w:ascii="宋体" w:hAnsi="宋体" w:eastAsia="宋体" w:cs="宋体"/>
          <w:sz w:val="21"/>
          <w:szCs w:val="21"/>
        </w:rPr>
        <w:t>评标过程中，评标委员会成员有回避事由、擅离职守或者因健康等原因不能继续</w:t>
      </w:r>
      <w:r>
        <w:rPr>
          <w:rFonts w:ascii="宋体" w:hAnsi="宋体" w:eastAsia="宋体" w:cs="宋体"/>
          <w:spacing w:val="3"/>
          <w:sz w:val="21"/>
          <w:szCs w:val="21"/>
        </w:rPr>
        <w:t>评标的，招标人有权更换。被更换的评标委员会成员作出</w:t>
      </w:r>
      <w:r>
        <w:rPr>
          <w:rFonts w:ascii="宋体" w:hAnsi="宋体" w:eastAsia="宋体" w:cs="宋体"/>
          <w:spacing w:val="2"/>
          <w:sz w:val="21"/>
          <w:szCs w:val="21"/>
        </w:rPr>
        <w:t>的评审结论无效，由更换后的评</w:t>
      </w:r>
      <w:r>
        <w:rPr>
          <w:rFonts w:ascii="宋体" w:hAnsi="宋体" w:eastAsia="宋体" w:cs="宋体"/>
          <w:spacing w:val="-2"/>
          <w:sz w:val="21"/>
          <w:szCs w:val="21"/>
        </w:rPr>
        <w:t>标委员会成员重新进行评审。</w:t>
      </w:r>
    </w:p>
    <w:p w14:paraId="58ACD75A">
      <w:pPr>
        <w:spacing w:before="1" w:line="232" w:lineRule="auto"/>
        <w:ind w:left="142"/>
        <w:outlineLvl w:val="2"/>
        <w:rPr>
          <w:rFonts w:ascii="黑体" w:hAnsi="黑体" w:eastAsia="黑体" w:cs="黑体"/>
          <w:sz w:val="24"/>
          <w:szCs w:val="24"/>
        </w:rPr>
      </w:pPr>
      <w:bookmarkStart w:id="79" w:name="bookmark59"/>
      <w:bookmarkEnd w:id="79"/>
      <w:r>
        <w:rPr>
          <w:rFonts w:ascii="Times New Roman" w:hAnsi="Times New Roman" w:eastAsia="Times New Roman" w:cs="Times New Roman"/>
          <w:spacing w:val="-1"/>
          <w:sz w:val="24"/>
          <w:szCs w:val="24"/>
        </w:rPr>
        <w:t xml:space="preserve">6.2  </w:t>
      </w:r>
      <w:r>
        <w:rPr>
          <w:rFonts w:ascii="黑体" w:hAnsi="黑体" w:eastAsia="黑体" w:cs="黑体"/>
          <w:spacing w:val="-1"/>
          <w:sz w:val="24"/>
          <w:szCs w:val="24"/>
        </w:rPr>
        <w:t>评标原则</w:t>
      </w:r>
    </w:p>
    <w:p w14:paraId="22208CBA">
      <w:pPr>
        <w:spacing w:before="116" w:line="220" w:lineRule="auto"/>
        <w:ind w:left="441"/>
        <w:rPr>
          <w:rFonts w:ascii="宋体" w:hAnsi="宋体" w:eastAsia="宋体" w:cs="宋体"/>
          <w:sz w:val="21"/>
          <w:szCs w:val="21"/>
        </w:rPr>
      </w:pPr>
      <w:r>
        <w:rPr>
          <w:rFonts w:ascii="宋体" w:hAnsi="宋体" w:eastAsia="宋体" w:cs="宋体"/>
          <w:spacing w:val="-1"/>
          <w:sz w:val="21"/>
          <w:szCs w:val="21"/>
        </w:rPr>
        <w:t>评标活动遵循公平、公正、科学和择优的原则。</w:t>
      </w:r>
    </w:p>
    <w:p w14:paraId="729AB35E">
      <w:pPr>
        <w:spacing w:before="92" w:line="233" w:lineRule="auto"/>
        <w:ind w:left="142"/>
        <w:outlineLvl w:val="2"/>
        <w:rPr>
          <w:rFonts w:ascii="黑体" w:hAnsi="黑体" w:eastAsia="黑体" w:cs="黑体"/>
          <w:sz w:val="24"/>
          <w:szCs w:val="24"/>
        </w:rPr>
      </w:pPr>
      <w:bookmarkStart w:id="80" w:name="bookmark60"/>
      <w:bookmarkEnd w:id="80"/>
      <w:r>
        <w:rPr>
          <w:rFonts w:ascii="Times New Roman" w:hAnsi="Times New Roman" w:eastAsia="Times New Roman" w:cs="Times New Roman"/>
          <w:spacing w:val="-3"/>
          <w:sz w:val="24"/>
          <w:szCs w:val="24"/>
        </w:rPr>
        <w:t>6.3</w:t>
      </w:r>
      <w:r>
        <w:rPr>
          <w:rFonts w:ascii="Times New Roman" w:hAnsi="Times New Roman" w:eastAsia="Times New Roman" w:cs="Times New Roman"/>
          <w:spacing w:val="4"/>
          <w:sz w:val="24"/>
          <w:szCs w:val="24"/>
        </w:rPr>
        <w:t xml:space="preserve">  </w:t>
      </w:r>
      <w:r>
        <w:rPr>
          <w:rFonts w:ascii="黑体" w:hAnsi="黑体" w:eastAsia="黑体" w:cs="黑体"/>
          <w:spacing w:val="-3"/>
          <w:sz w:val="24"/>
          <w:szCs w:val="24"/>
        </w:rPr>
        <w:t>评标</w:t>
      </w:r>
    </w:p>
    <w:p w14:paraId="1355ADFC">
      <w:pPr>
        <w:spacing w:before="82" w:line="268" w:lineRule="auto"/>
        <w:ind w:left="21" w:right="10" w:firstLine="421"/>
        <w:rPr>
          <w:rFonts w:ascii="宋体" w:hAnsi="宋体" w:eastAsia="宋体" w:cs="宋体"/>
          <w:sz w:val="21"/>
          <w:szCs w:val="21"/>
        </w:rPr>
      </w:pPr>
      <w:r>
        <w:rPr>
          <w:rFonts w:ascii="Times New Roman" w:hAnsi="Times New Roman" w:eastAsia="Times New Roman" w:cs="Times New Roman"/>
          <w:spacing w:val="1"/>
          <w:sz w:val="21"/>
          <w:szCs w:val="21"/>
        </w:rPr>
        <w:t xml:space="preserve">6.3.1  </w:t>
      </w:r>
      <w:r>
        <w:rPr>
          <w:rFonts w:ascii="宋体" w:hAnsi="宋体" w:eastAsia="宋体" w:cs="宋体"/>
          <w:spacing w:val="1"/>
          <w:sz w:val="21"/>
          <w:szCs w:val="21"/>
        </w:rPr>
        <w:t>评标委员会按照第三章</w:t>
      </w:r>
      <w:r>
        <w:rPr>
          <w:rFonts w:ascii="Times New Roman" w:hAnsi="Times New Roman" w:eastAsia="Times New Roman" w:cs="Times New Roman"/>
          <w:spacing w:val="1"/>
          <w:sz w:val="21"/>
          <w:szCs w:val="21"/>
        </w:rPr>
        <w:t>“</w:t>
      </w:r>
      <w:r>
        <w:rPr>
          <w:rFonts w:ascii="宋体" w:hAnsi="宋体" w:eastAsia="宋体" w:cs="宋体"/>
          <w:spacing w:val="1"/>
          <w:sz w:val="21"/>
          <w:szCs w:val="21"/>
        </w:rPr>
        <w:t>评标办法</w:t>
      </w:r>
      <w:r>
        <w:rPr>
          <w:rFonts w:ascii="Times New Roman" w:hAnsi="Times New Roman" w:eastAsia="Times New Roman" w:cs="Times New Roman"/>
          <w:spacing w:val="1"/>
          <w:sz w:val="21"/>
          <w:szCs w:val="21"/>
        </w:rPr>
        <w:t>”</w:t>
      </w:r>
      <w:r>
        <w:rPr>
          <w:rFonts w:ascii="宋体" w:hAnsi="宋体" w:eastAsia="宋体" w:cs="宋体"/>
          <w:spacing w:val="1"/>
          <w:sz w:val="21"/>
          <w:szCs w:val="21"/>
        </w:rPr>
        <w:t>规定的方</w:t>
      </w:r>
      <w:r>
        <w:rPr>
          <w:rFonts w:ascii="宋体" w:hAnsi="宋体" w:eastAsia="宋体" w:cs="宋体"/>
          <w:sz w:val="21"/>
          <w:szCs w:val="21"/>
        </w:rPr>
        <w:t>法、评审因素、标准和程序对投标文件进行评审。第三章</w:t>
      </w:r>
      <w:r>
        <w:rPr>
          <w:rFonts w:ascii="Times New Roman" w:hAnsi="Times New Roman" w:eastAsia="Times New Roman" w:cs="Times New Roman"/>
          <w:sz w:val="21"/>
          <w:szCs w:val="21"/>
        </w:rPr>
        <w:t>“</w:t>
      </w:r>
      <w:r>
        <w:rPr>
          <w:rFonts w:ascii="宋体" w:hAnsi="宋体" w:eastAsia="宋体" w:cs="宋体"/>
          <w:sz w:val="21"/>
          <w:szCs w:val="21"/>
        </w:rPr>
        <w:t>评标办法</w:t>
      </w:r>
      <w:r>
        <w:rPr>
          <w:rFonts w:ascii="Times New Roman" w:hAnsi="Times New Roman" w:eastAsia="Times New Roman" w:cs="Times New Roman"/>
          <w:sz w:val="21"/>
          <w:szCs w:val="21"/>
        </w:rPr>
        <w:t>”</w:t>
      </w:r>
      <w:r>
        <w:rPr>
          <w:rFonts w:ascii="宋体" w:hAnsi="宋体" w:eastAsia="宋体" w:cs="宋体"/>
          <w:sz w:val="21"/>
          <w:szCs w:val="21"/>
        </w:rPr>
        <w:t>没有规定的方法、评审因素和标准，不作为评</w:t>
      </w:r>
      <w:r>
        <w:rPr>
          <w:rFonts w:ascii="宋体" w:hAnsi="宋体" w:eastAsia="宋体" w:cs="宋体"/>
          <w:spacing w:val="-1"/>
          <w:sz w:val="21"/>
          <w:szCs w:val="21"/>
        </w:rPr>
        <w:t>标依据。</w:t>
      </w:r>
    </w:p>
    <w:p w14:paraId="0172035E">
      <w:pPr>
        <w:spacing w:before="111" w:line="268" w:lineRule="auto"/>
        <w:ind w:left="23" w:right="10" w:firstLine="419"/>
        <w:rPr>
          <w:rFonts w:ascii="宋体" w:hAnsi="宋体" w:eastAsia="宋体" w:cs="宋体"/>
          <w:sz w:val="21"/>
          <w:szCs w:val="21"/>
        </w:rPr>
      </w:pPr>
      <w:r>
        <w:rPr>
          <w:rFonts w:ascii="Times New Roman" w:hAnsi="Times New Roman" w:eastAsia="Times New Roman" w:cs="Times New Roman"/>
          <w:sz w:val="21"/>
          <w:szCs w:val="21"/>
        </w:rPr>
        <w:t xml:space="preserve">6.3.2  </w:t>
      </w:r>
      <w:r>
        <w:rPr>
          <w:rFonts w:ascii="宋体" w:hAnsi="宋体" w:eastAsia="宋体" w:cs="宋体"/>
          <w:sz w:val="21"/>
          <w:szCs w:val="21"/>
        </w:rPr>
        <w:t>评标完成后，评标委员会应当向招标人提交书面评标报告和中标候选人名单。评</w:t>
      </w:r>
      <w:r>
        <w:rPr>
          <w:rFonts w:ascii="宋体" w:hAnsi="宋体" w:eastAsia="宋体" w:cs="宋体"/>
          <w:spacing w:val="-1"/>
          <w:sz w:val="21"/>
          <w:szCs w:val="21"/>
        </w:rPr>
        <w:t>标委员会推荐中标候选人的人数见投标人须知前附表。</w:t>
      </w:r>
    </w:p>
    <w:p w14:paraId="7E2FE8FC">
      <w:pPr>
        <w:spacing w:before="109" w:line="234" w:lineRule="auto"/>
        <w:ind w:left="443"/>
        <w:rPr>
          <w:rFonts w:ascii="宋体" w:hAnsi="宋体" w:eastAsia="宋体" w:cs="宋体"/>
          <w:sz w:val="21"/>
          <w:szCs w:val="21"/>
        </w:rPr>
      </w:pPr>
      <w:r>
        <w:rPr>
          <w:rFonts w:ascii="Times New Roman" w:hAnsi="Times New Roman" w:eastAsia="Times New Roman" w:cs="Times New Roman"/>
          <w:spacing w:val="-1"/>
          <w:sz w:val="21"/>
          <w:szCs w:val="21"/>
        </w:rPr>
        <w:t xml:space="preserve">6.3.3 </w:t>
      </w:r>
      <w:r>
        <w:rPr>
          <w:rFonts w:ascii="宋体" w:hAnsi="宋体" w:eastAsia="宋体" w:cs="宋体"/>
          <w:spacing w:val="-1"/>
          <w:sz w:val="21"/>
          <w:szCs w:val="21"/>
        </w:rPr>
        <w:t>评标采用方式详见投标人须知前附表。</w:t>
      </w:r>
    </w:p>
    <w:p w14:paraId="0ECE2E28">
      <w:pPr>
        <w:spacing w:before="35" w:line="233" w:lineRule="auto"/>
        <w:ind w:left="26"/>
        <w:outlineLvl w:val="2"/>
        <w:rPr>
          <w:rFonts w:ascii="黑体" w:hAnsi="黑体" w:eastAsia="黑体" w:cs="黑体"/>
          <w:sz w:val="28"/>
          <w:szCs w:val="28"/>
        </w:rPr>
      </w:pPr>
      <w:bookmarkStart w:id="81" w:name="bookmark61"/>
      <w:bookmarkEnd w:id="81"/>
      <w:r>
        <w:rPr>
          <w:rFonts w:ascii="Times New Roman" w:hAnsi="Times New Roman" w:eastAsia="Times New Roman" w:cs="Times New Roman"/>
          <w:spacing w:val="-1"/>
          <w:sz w:val="28"/>
          <w:szCs w:val="28"/>
        </w:rPr>
        <w:t xml:space="preserve">6.4  </w:t>
      </w:r>
      <w:r>
        <w:rPr>
          <w:rFonts w:ascii="黑体" w:hAnsi="黑体" w:eastAsia="黑体" w:cs="黑体"/>
          <w:spacing w:val="-1"/>
          <w:sz w:val="28"/>
          <w:szCs w:val="28"/>
        </w:rPr>
        <w:t>评标结果公示</w:t>
      </w:r>
    </w:p>
    <w:p w14:paraId="5B0ACA40">
      <w:pPr>
        <w:spacing w:before="68" w:line="314" w:lineRule="auto"/>
        <w:ind w:left="21" w:right="7" w:firstLine="422"/>
        <w:jc w:val="both"/>
        <w:rPr>
          <w:rFonts w:ascii="宋体" w:hAnsi="宋体" w:eastAsia="宋体" w:cs="宋体"/>
          <w:sz w:val="21"/>
          <w:szCs w:val="21"/>
        </w:rPr>
      </w:pPr>
      <w:r>
        <w:rPr>
          <w:rFonts w:ascii="宋体" w:hAnsi="宋体" w:eastAsia="宋体" w:cs="宋体"/>
          <w:spacing w:val="-1"/>
          <w:sz w:val="21"/>
          <w:szCs w:val="21"/>
        </w:rPr>
        <w:t xml:space="preserve">招标人将自收到评标报告之日起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日内，完成审查评标委员会提交的书</w:t>
      </w:r>
      <w:r>
        <w:rPr>
          <w:rFonts w:ascii="宋体" w:hAnsi="宋体" w:eastAsia="宋体" w:cs="宋体"/>
          <w:spacing w:val="-2"/>
          <w:sz w:val="21"/>
          <w:szCs w:val="21"/>
        </w:rPr>
        <w:t>面评标报告，</w:t>
      </w:r>
      <w:r>
        <w:rPr>
          <w:rFonts w:ascii="宋体" w:hAnsi="宋体" w:eastAsia="宋体" w:cs="宋体"/>
          <w:spacing w:val="1"/>
          <w:sz w:val="21"/>
          <w:szCs w:val="21"/>
        </w:rPr>
        <w:t xml:space="preserve">并 在投标人须知前附表规定的媒介公示中标候选人。公示期不少于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日。招标人在中标</w:t>
      </w:r>
      <w:r>
        <w:rPr>
          <w:rFonts w:ascii="宋体" w:hAnsi="宋体" w:eastAsia="宋体" w:cs="宋体"/>
          <w:sz w:val="21"/>
          <w:szCs w:val="21"/>
        </w:rPr>
        <w:t>候选人 公示前将对评标委员会提交的评标报告进行审查，发现异常情形的，依照法定程序</w:t>
      </w:r>
      <w:r>
        <w:rPr>
          <w:rFonts w:ascii="宋体" w:hAnsi="宋体" w:eastAsia="宋体" w:cs="宋体"/>
          <w:spacing w:val="-1"/>
          <w:sz w:val="21"/>
          <w:szCs w:val="21"/>
        </w:rPr>
        <w:t>进行复核，确认存在问题的，依照法定程序予以纠正。</w:t>
      </w:r>
    </w:p>
    <w:p w14:paraId="11C9900C">
      <w:pPr>
        <w:spacing w:before="8" w:line="316" w:lineRule="auto"/>
        <w:ind w:left="25" w:right="7" w:firstLine="419"/>
        <w:jc w:val="both"/>
        <w:rPr>
          <w:rFonts w:ascii="宋体" w:hAnsi="宋体" w:eastAsia="宋体" w:cs="宋体"/>
          <w:sz w:val="21"/>
          <w:szCs w:val="21"/>
        </w:rPr>
      </w:pPr>
      <w:r>
        <w:rPr>
          <w:rFonts w:ascii="宋体" w:hAnsi="宋体" w:eastAsia="宋体" w:cs="宋体"/>
          <w:spacing w:val="3"/>
          <w:sz w:val="21"/>
          <w:szCs w:val="21"/>
        </w:rPr>
        <w:t>投标人或者其他利害关系人对评标结果有异议的，应当在中标候选人公</w:t>
      </w:r>
      <w:r>
        <w:rPr>
          <w:rFonts w:ascii="宋体" w:hAnsi="宋体" w:eastAsia="宋体" w:cs="宋体"/>
          <w:spacing w:val="2"/>
          <w:sz w:val="21"/>
          <w:szCs w:val="21"/>
        </w:rPr>
        <w:t>示（评标结果</w:t>
      </w:r>
      <w:r>
        <w:rPr>
          <w:rFonts w:ascii="宋体" w:hAnsi="宋体" w:eastAsia="宋体" w:cs="宋体"/>
          <w:spacing w:val="-1"/>
          <w:sz w:val="21"/>
          <w:szCs w:val="21"/>
        </w:rPr>
        <w:t xml:space="preserve">公示）期间提出。招标人自收到异议之日起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日内作出答复；作出答复前，暂</w:t>
      </w:r>
      <w:r>
        <w:rPr>
          <w:rFonts w:ascii="宋体" w:hAnsi="宋体" w:eastAsia="宋体" w:cs="宋体"/>
          <w:spacing w:val="-2"/>
          <w:sz w:val="21"/>
          <w:szCs w:val="21"/>
        </w:rPr>
        <w:t>停招标投标</w:t>
      </w:r>
      <w:r>
        <w:rPr>
          <w:rFonts w:ascii="宋体" w:hAnsi="宋体" w:eastAsia="宋体" w:cs="宋体"/>
          <w:spacing w:val="3"/>
          <w:sz w:val="21"/>
          <w:szCs w:val="21"/>
        </w:rPr>
        <w:t>活动。异议与答复应当通过电子交易系统以书面形</w:t>
      </w:r>
      <w:r>
        <w:rPr>
          <w:rFonts w:ascii="宋体" w:hAnsi="宋体" w:eastAsia="宋体" w:cs="宋体"/>
          <w:spacing w:val="2"/>
          <w:sz w:val="21"/>
          <w:szCs w:val="21"/>
        </w:rPr>
        <w:t>式进行。在法定时间期限内未提出视为</w:t>
      </w:r>
      <w:r>
        <w:rPr>
          <w:rFonts w:ascii="宋体" w:hAnsi="宋体" w:eastAsia="宋体" w:cs="宋体"/>
          <w:spacing w:val="-1"/>
          <w:sz w:val="21"/>
          <w:szCs w:val="21"/>
        </w:rPr>
        <w:t>投标人权利灭失。</w:t>
      </w:r>
    </w:p>
    <w:p w14:paraId="4DE1D944">
      <w:pPr>
        <w:spacing w:before="43" w:line="234" w:lineRule="auto"/>
        <w:ind w:left="24"/>
        <w:outlineLvl w:val="1"/>
        <w:rPr>
          <w:rFonts w:ascii="黑体" w:hAnsi="黑体" w:eastAsia="黑体" w:cs="黑体"/>
          <w:sz w:val="28"/>
          <w:szCs w:val="28"/>
        </w:rPr>
      </w:pPr>
      <w:bookmarkStart w:id="82" w:name="bookmark62"/>
      <w:bookmarkEnd w:id="82"/>
      <w:r>
        <w:rPr>
          <w:rFonts w:ascii="Times New Roman" w:hAnsi="Times New Roman" w:eastAsia="Times New Roman" w:cs="Times New Roman"/>
          <w:spacing w:val="-1"/>
          <w:sz w:val="28"/>
          <w:szCs w:val="28"/>
        </w:rPr>
        <w:t xml:space="preserve">7.  </w:t>
      </w:r>
      <w:r>
        <w:rPr>
          <w:rFonts w:ascii="黑体" w:hAnsi="黑体" w:eastAsia="黑体" w:cs="黑体"/>
          <w:spacing w:val="-1"/>
          <w:sz w:val="28"/>
          <w:szCs w:val="28"/>
        </w:rPr>
        <w:t>合同授予</w:t>
      </w:r>
    </w:p>
    <w:p w14:paraId="32CCCE75">
      <w:pPr>
        <w:spacing w:before="40" w:line="232" w:lineRule="auto"/>
        <w:ind w:left="140"/>
        <w:outlineLvl w:val="2"/>
        <w:rPr>
          <w:rFonts w:ascii="黑体" w:hAnsi="黑体" w:eastAsia="黑体" w:cs="黑体"/>
          <w:sz w:val="24"/>
          <w:szCs w:val="24"/>
        </w:rPr>
      </w:pPr>
      <w:bookmarkStart w:id="83" w:name="bookmark63"/>
      <w:bookmarkEnd w:id="83"/>
      <w:r>
        <w:rPr>
          <w:rFonts w:ascii="Times New Roman" w:hAnsi="Times New Roman" w:eastAsia="Times New Roman" w:cs="Times New Roman"/>
          <w:spacing w:val="-1"/>
          <w:sz w:val="24"/>
          <w:szCs w:val="24"/>
        </w:rPr>
        <w:t xml:space="preserve">7.1  </w:t>
      </w:r>
      <w:r>
        <w:rPr>
          <w:rFonts w:ascii="黑体" w:hAnsi="黑体" w:eastAsia="黑体" w:cs="黑体"/>
          <w:spacing w:val="-1"/>
          <w:sz w:val="24"/>
          <w:szCs w:val="24"/>
        </w:rPr>
        <w:t>定标方式</w:t>
      </w:r>
    </w:p>
    <w:p w14:paraId="3FDA3027">
      <w:pPr>
        <w:spacing w:before="83" w:line="306" w:lineRule="auto"/>
        <w:ind w:left="40" w:right="13" w:firstLine="415"/>
        <w:rPr>
          <w:rFonts w:ascii="宋体" w:hAnsi="宋体" w:eastAsia="宋体" w:cs="宋体"/>
          <w:sz w:val="21"/>
          <w:szCs w:val="21"/>
        </w:rPr>
      </w:pPr>
      <w:r>
        <w:rPr>
          <w:rFonts w:ascii="宋体" w:hAnsi="宋体" w:eastAsia="宋体" w:cs="宋体"/>
          <w:spacing w:val="3"/>
          <w:sz w:val="21"/>
          <w:szCs w:val="21"/>
        </w:rPr>
        <w:t>除投标人须知前附表规定评标委员会直接确定中</w:t>
      </w:r>
      <w:r>
        <w:rPr>
          <w:rFonts w:ascii="宋体" w:hAnsi="宋体" w:eastAsia="宋体" w:cs="宋体"/>
          <w:spacing w:val="2"/>
          <w:sz w:val="21"/>
          <w:szCs w:val="21"/>
        </w:rPr>
        <w:t>标人外，招标人依据评标委员会推荐</w:t>
      </w:r>
      <w:r>
        <w:rPr>
          <w:rFonts w:ascii="宋体" w:hAnsi="宋体" w:eastAsia="宋体" w:cs="宋体"/>
          <w:spacing w:val="-1"/>
          <w:sz w:val="21"/>
          <w:szCs w:val="21"/>
        </w:rPr>
        <w:t>的中标候选人确定中标人，评标委员会推荐中标候选人的人数见投标人须知前附表。</w:t>
      </w:r>
    </w:p>
    <w:p w14:paraId="6FC7EF99">
      <w:pPr>
        <w:spacing w:line="233" w:lineRule="auto"/>
        <w:ind w:left="140"/>
        <w:outlineLvl w:val="2"/>
        <w:rPr>
          <w:rFonts w:ascii="黑体" w:hAnsi="黑体" w:eastAsia="黑体" w:cs="黑体"/>
          <w:sz w:val="24"/>
          <w:szCs w:val="24"/>
        </w:rPr>
      </w:pPr>
      <w:bookmarkStart w:id="84" w:name="bookmark64"/>
      <w:bookmarkEnd w:id="84"/>
      <w:r>
        <w:rPr>
          <w:rFonts w:ascii="Times New Roman" w:hAnsi="Times New Roman" w:eastAsia="Times New Roman" w:cs="Times New Roman"/>
          <w:spacing w:val="-5"/>
          <w:sz w:val="24"/>
          <w:szCs w:val="24"/>
        </w:rPr>
        <w:t>7.2</w:t>
      </w:r>
      <w:r>
        <w:rPr>
          <w:rFonts w:ascii="Times New Roman" w:hAnsi="Times New Roman" w:eastAsia="Times New Roman" w:cs="Times New Roman"/>
          <w:spacing w:val="16"/>
          <w:sz w:val="24"/>
          <w:szCs w:val="24"/>
        </w:rPr>
        <w:t xml:space="preserve">  </w:t>
      </w:r>
      <w:r>
        <w:rPr>
          <w:rFonts w:ascii="黑体" w:hAnsi="黑体" w:eastAsia="黑体" w:cs="黑体"/>
          <w:spacing w:val="-5"/>
          <w:sz w:val="24"/>
          <w:szCs w:val="24"/>
        </w:rPr>
        <w:t>中标通知</w:t>
      </w:r>
    </w:p>
    <w:p w14:paraId="348BC6F5">
      <w:pPr>
        <w:spacing w:before="82" w:line="309" w:lineRule="auto"/>
        <w:ind w:left="26" w:right="14" w:firstLine="415"/>
        <w:rPr>
          <w:rFonts w:ascii="宋体" w:hAnsi="宋体" w:eastAsia="宋体" w:cs="宋体"/>
          <w:sz w:val="21"/>
          <w:szCs w:val="21"/>
        </w:rPr>
      </w:pPr>
      <w:r>
        <w:rPr>
          <w:rFonts w:ascii="宋体" w:hAnsi="宋体" w:eastAsia="宋体" w:cs="宋体"/>
          <w:spacing w:val="1"/>
          <w:sz w:val="21"/>
          <w:szCs w:val="21"/>
        </w:rPr>
        <w:t xml:space="preserve">在本章第 </w:t>
      </w:r>
      <w:r>
        <w:rPr>
          <w:rFonts w:ascii="Times New Roman" w:hAnsi="Times New Roman" w:eastAsia="Times New Roman" w:cs="Times New Roman"/>
          <w:spacing w:val="1"/>
          <w:sz w:val="21"/>
          <w:szCs w:val="21"/>
        </w:rPr>
        <w:t xml:space="preserve">3.3  </w:t>
      </w:r>
      <w:r>
        <w:rPr>
          <w:rFonts w:ascii="宋体" w:hAnsi="宋体" w:eastAsia="宋体" w:cs="宋体"/>
          <w:spacing w:val="1"/>
          <w:sz w:val="21"/>
          <w:szCs w:val="21"/>
        </w:rPr>
        <w:t>款规定的投标有效期内，招标人通过电子交易系统以书面形式向中标人</w:t>
      </w:r>
      <w:r>
        <w:rPr>
          <w:rFonts w:ascii="宋体" w:hAnsi="宋体" w:eastAsia="宋体" w:cs="宋体"/>
          <w:sz w:val="21"/>
          <w:szCs w:val="21"/>
        </w:rPr>
        <w:t>发出经电子监督系统验证备案的中标通知书，同时将中标结果通知未中标</w:t>
      </w:r>
      <w:r>
        <w:rPr>
          <w:rFonts w:ascii="宋体" w:hAnsi="宋体" w:eastAsia="宋体" w:cs="宋体"/>
          <w:spacing w:val="-1"/>
          <w:sz w:val="21"/>
          <w:szCs w:val="21"/>
        </w:rPr>
        <w:t>的投标人。</w:t>
      </w:r>
    </w:p>
    <w:p w14:paraId="27BDD17C">
      <w:pPr>
        <w:spacing w:before="16" w:line="306" w:lineRule="auto"/>
        <w:ind w:left="26" w:right="7" w:firstLine="435"/>
        <w:rPr>
          <w:rFonts w:ascii="宋体" w:hAnsi="宋体" w:eastAsia="宋体" w:cs="宋体"/>
          <w:sz w:val="21"/>
          <w:szCs w:val="21"/>
        </w:rPr>
      </w:pPr>
      <w:r>
        <w:rPr>
          <w:rFonts w:ascii="宋体" w:hAnsi="宋体" w:eastAsia="宋体" w:cs="宋体"/>
          <w:sz w:val="21"/>
          <w:szCs w:val="21"/>
        </w:rPr>
        <w:t>中标通知书发出的同时，招标人将在投标人须知前附表第</w:t>
      </w:r>
      <w:r>
        <w:rPr>
          <w:rFonts w:ascii="Times New Roman" w:hAnsi="Times New Roman" w:eastAsia="Times New Roman" w:cs="Times New Roman"/>
          <w:sz w:val="21"/>
          <w:szCs w:val="21"/>
        </w:rPr>
        <w:t>6.4</w:t>
      </w:r>
      <w:r>
        <w:rPr>
          <w:rFonts w:ascii="Times New Roman" w:hAnsi="Times New Roman" w:eastAsia="Times New Roman" w:cs="Times New Roman"/>
          <w:spacing w:val="-12"/>
          <w:sz w:val="21"/>
          <w:szCs w:val="21"/>
        </w:rPr>
        <w:t xml:space="preserve"> </w:t>
      </w:r>
      <w:r>
        <w:rPr>
          <w:rFonts w:ascii="宋体" w:hAnsi="宋体" w:eastAsia="宋体" w:cs="宋体"/>
          <w:sz w:val="21"/>
          <w:szCs w:val="21"/>
        </w:rPr>
        <w:t>款规定的媒介发布中标结</w:t>
      </w:r>
      <w:r>
        <w:rPr>
          <w:rFonts w:ascii="宋体" w:hAnsi="宋体" w:eastAsia="宋体" w:cs="宋体"/>
          <w:spacing w:val="-3"/>
          <w:sz w:val="21"/>
          <w:szCs w:val="21"/>
        </w:rPr>
        <w:t>果公示。</w:t>
      </w:r>
    </w:p>
    <w:p w14:paraId="72883D59">
      <w:pPr>
        <w:spacing w:before="1" w:line="232" w:lineRule="auto"/>
        <w:ind w:left="140"/>
        <w:outlineLvl w:val="2"/>
        <w:rPr>
          <w:rFonts w:ascii="黑体" w:hAnsi="黑体" w:eastAsia="黑体" w:cs="黑体"/>
          <w:sz w:val="24"/>
          <w:szCs w:val="24"/>
        </w:rPr>
      </w:pPr>
      <w:bookmarkStart w:id="85" w:name="bookmark65"/>
      <w:bookmarkEnd w:id="85"/>
      <w:r>
        <w:rPr>
          <w:rFonts w:ascii="Times New Roman" w:hAnsi="Times New Roman" w:eastAsia="Times New Roman" w:cs="Times New Roman"/>
          <w:spacing w:val="-1"/>
          <w:sz w:val="24"/>
          <w:szCs w:val="24"/>
        </w:rPr>
        <w:t xml:space="preserve">7.3  </w:t>
      </w:r>
      <w:r>
        <w:rPr>
          <w:rFonts w:ascii="黑体" w:hAnsi="黑体" w:eastAsia="黑体" w:cs="黑体"/>
          <w:spacing w:val="-1"/>
          <w:sz w:val="24"/>
          <w:szCs w:val="24"/>
        </w:rPr>
        <w:t>履约担保</w:t>
      </w:r>
    </w:p>
    <w:p w14:paraId="01C67F4E">
      <w:pPr>
        <w:spacing w:before="115" w:line="234" w:lineRule="auto"/>
        <w:ind w:right="9"/>
        <w:jc w:val="right"/>
        <w:rPr>
          <w:rFonts w:ascii="宋体" w:hAnsi="宋体" w:eastAsia="宋体" w:cs="宋体"/>
          <w:sz w:val="21"/>
          <w:szCs w:val="21"/>
        </w:rPr>
      </w:pPr>
      <w:r>
        <w:rPr>
          <w:rFonts w:ascii="Times New Roman" w:hAnsi="Times New Roman" w:eastAsia="Times New Roman" w:cs="Times New Roman"/>
          <w:sz w:val="21"/>
          <w:szCs w:val="21"/>
        </w:rPr>
        <w:t xml:space="preserve">7.3.1  </w:t>
      </w:r>
      <w:r>
        <w:rPr>
          <w:rFonts w:ascii="宋体" w:hAnsi="宋体" w:eastAsia="宋体" w:cs="宋体"/>
          <w:sz w:val="21"/>
          <w:szCs w:val="21"/>
        </w:rPr>
        <w:t>在签订合同前，中标人应按投标人须知前附表规定的担保形式和招标文件第四章</w:t>
      </w:r>
    </w:p>
    <w:p w14:paraId="6095C54A">
      <w:pPr>
        <w:spacing w:line="234" w:lineRule="auto"/>
        <w:rPr>
          <w:rFonts w:ascii="宋体" w:hAnsi="宋体" w:eastAsia="宋体" w:cs="宋体"/>
          <w:sz w:val="21"/>
          <w:szCs w:val="21"/>
        </w:rPr>
        <w:sectPr>
          <w:footerReference r:id="rId34" w:type="default"/>
          <w:pgSz w:w="11905" w:h="16843"/>
          <w:pgMar w:top="969" w:right="1355" w:bottom="1026" w:left="1480" w:header="0" w:footer="754" w:gutter="0"/>
          <w:cols w:space="0" w:num="1"/>
          <w:rtlGutter w:val="0"/>
          <w:docGrid w:linePitch="0" w:charSpace="0"/>
        </w:sectPr>
      </w:pPr>
    </w:p>
    <w:p w14:paraId="4BEB1C5B">
      <w:pPr>
        <w:spacing w:before="149" w:line="351" w:lineRule="auto"/>
        <w:ind w:left="27" w:right="17" w:hanging="19"/>
        <w:rPr>
          <w:rFonts w:ascii="宋体" w:hAnsi="宋体" w:eastAsia="宋体" w:cs="宋体"/>
          <w:sz w:val="21"/>
          <w:szCs w:val="21"/>
        </w:rPr>
      </w:pPr>
      <w:r>
        <w:rPr>
          <w:rFonts w:ascii="宋体" w:hAnsi="宋体" w:eastAsia="宋体" w:cs="宋体"/>
          <w:spacing w:val="3"/>
          <w:sz w:val="21"/>
          <w:szCs w:val="21"/>
        </w:rPr>
        <w:t>“合同条款及格式”规定的或者事先经过招标人书面认可的履约担保格式向招标人提交履</w:t>
      </w:r>
      <w:r>
        <w:rPr>
          <w:rFonts w:ascii="宋体" w:hAnsi="宋体" w:eastAsia="宋体" w:cs="宋体"/>
          <w:sz w:val="21"/>
          <w:szCs w:val="21"/>
        </w:rPr>
        <w:t>约担保。联合体中标的，其履约担保由联合体各方或者联合体中牵头人</w:t>
      </w:r>
      <w:r>
        <w:rPr>
          <w:rFonts w:ascii="宋体" w:hAnsi="宋体" w:eastAsia="宋体" w:cs="宋体"/>
          <w:spacing w:val="-1"/>
          <w:sz w:val="21"/>
          <w:szCs w:val="21"/>
        </w:rPr>
        <w:t>的名义提交。</w:t>
      </w:r>
    </w:p>
    <w:p w14:paraId="65465073">
      <w:pPr>
        <w:spacing w:before="1" w:line="334" w:lineRule="auto"/>
        <w:ind w:left="22" w:right="10" w:firstLine="419"/>
        <w:jc w:val="both"/>
        <w:rPr>
          <w:rFonts w:ascii="宋体" w:hAnsi="宋体" w:eastAsia="宋体" w:cs="宋体"/>
          <w:sz w:val="21"/>
          <w:szCs w:val="21"/>
        </w:rPr>
      </w:pPr>
      <w:r>
        <w:rPr>
          <w:rFonts w:ascii="Times New Roman" w:hAnsi="Times New Roman" w:eastAsia="Times New Roman" w:cs="Times New Roman"/>
          <w:sz w:val="21"/>
          <w:szCs w:val="21"/>
        </w:rPr>
        <w:t>7.3.2</w:t>
      </w:r>
      <w:r>
        <w:rPr>
          <w:rFonts w:ascii="Times New Roman" w:hAnsi="Times New Roman" w:eastAsia="Times New Roman" w:cs="Times New Roman"/>
          <w:spacing w:val="13"/>
          <w:w w:val="101"/>
          <w:sz w:val="21"/>
          <w:szCs w:val="21"/>
        </w:rPr>
        <w:t xml:space="preserve">  </w:t>
      </w:r>
      <w:r>
        <w:rPr>
          <w:rFonts w:ascii="宋体" w:hAnsi="宋体" w:eastAsia="宋体" w:cs="宋体"/>
          <w:sz w:val="21"/>
          <w:szCs w:val="21"/>
        </w:rPr>
        <w:t xml:space="preserve">中标人不能按本章第 </w:t>
      </w:r>
      <w:r>
        <w:rPr>
          <w:rFonts w:ascii="Times New Roman" w:hAnsi="Times New Roman" w:eastAsia="Times New Roman" w:cs="Times New Roman"/>
          <w:sz w:val="21"/>
          <w:szCs w:val="21"/>
        </w:rPr>
        <w:t xml:space="preserve">7.3.1  </w:t>
      </w:r>
      <w:r>
        <w:rPr>
          <w:rFonts w:ascii="宋体" w:hAnsi="宋体" w:eastAsia="宋体" w:cs="宋体"/>
          <w:sz w:val="21"/>
          <w:szCs w:val="21"/>
        </w:rPr>
        <w:t>项要</w:t>
      </w:r>
      <w:r>
        <w:rPr>
          <w:rFonts w:ascii="宋体" w:hAnsi="宋体" w:eastAsia="宋体" w:cs="宋体"/>
          <w:spacing w:val="-1"/>
          <w:sz w:val="21"/>
          <w:szCs w:val="21"/>
        </w:rPr>
        <w:t>求提交履约担保的，视为放弃中标，其投标保证</w:t>
      </w:r>
      <w:r>
        <w:rPr>
          <w:rFonts w:ascii="宋体" w:hAnsi="宋体" w:eastAsia="宋体" w:cs="宋体"/>
          <w:spacing w:val="3"/>
          <w:sz w:val="21"/>
          <w:szCs w:val="21"/>
        </w:rPr>
        <w:t>金不予退还，给招标人造成的损失超过投标保证金数额的</w:t>
      </w:r>
      <w:r>
        <w:rPr>
          <w:rFonts w:ascii="宋体" w:hAnsi="宋体" w:eastAsia="宋体" w:cs="宋体"/>
          <w:spacing w:val="2"/>
          <w:sz w:val="21"/>
          <w:szCs w:val="21"/>
        </w:rPr>
        <w:t>，中标人还应当对超过部分予以</w:t>
      </w:r>
      <w:r>
        <w:rPr>
          <w:rFonts w:ascii="宋体" w:hAnsi="宋体" w:eastAsia="宋体" w:cs="宋体"/>
          <w:spacing w:val="-8"/>
          <w:sz w:val="21"/>
          <w:szCs w:val="21"/>
        </w:rPr>
        <w:t>赔偿。</w:t>
      </w:r>
    </w:p>
    <w:p w14:paraId="480DF0E6">
      <w:pPr>
        <w:spacing w:line="234" w:lineRule="auto"/>
        <w:ind w:left="140"/>
        <w:outlineLvl w:val="2"/>
        <w:rPr>
          <w:rFonts w:ascii="黑体" w:hAnsi="黑体" w:eastAsia="黑体" w:cs="黑体"/>
          <w:sz w:val="24"/>
          <w:szCs w:val="24"/>
        </w:rPr>
      </w:pPr>
      <w:bookmarkStart w:id="86" w:name="bookmark66"/>
      <w:bookmarkEnd w:id="86"/>
      <w:r>
        <w:rPr>
          <w:rFonts w:ascii="Times New Roman" w:hAnsi="Times New Roman" w:eastAsia="Times New Roman" w:cs="Times New Roman"/>
          <w:spacing w:val="-1"/>
          <w:sz w:val="24"/>
          <w:szCs w:val="24"/>
        </w:rPr>
        <w:t xml:space="preserve">7.4  </w:t>
      </w:r>
      <w:r>
        <w:rPr>
          <w:rFonts w:ascii="黑体" w:hAnsi="黑体" w:eastAsia="黑体" w:cs="黑体"/>
          <w:spacing w:val="-1"/>
          <w:sz w:val="24"/>
          <w:szCs w:val="24"/>
        </w:rPr>
        <w:t>签订合同</w:t>
      </w:r>
    </w:p>
    <w:p w14:paraId="47E77400">
      <w:pPr>
        <w:spacing w:before="114" w:line="319" w:lineRule="auto"/>
        <w:ind w:left="22" w:right="7" w:firstLine="419"/>
        <w:rPr>
          <w:rFonts w:ascii="宋体" w:hAnsi="宋体" w:eastAsia="宋体" w:cs="宋体"/>
          <w:sz w:val="21"/>
          <w:szCs w:val="21"/>
        </w:rPr>
      </w:pPr>
      <w:r>
        <w:rPr>
          <w:rFonts w:ascii="Times New Roman" w:hAnsi="Times New Roman" w:eastAsia="Times New Roman" w:cs="Times New Roman"/>
          <w:sz w:val="21"/>
          <w:szCs w:val="21"/>
        </w:rPr>
        <w:t xml:space="preserve">7.4.1  </w:t>
      </w:r>
      <w:r>
        <w:rPr>
          <w:rFonts w:ascii="宋体" w:hAnsi="宋体" w:eastAsia="宋体" w:cs="宋体"/>
          <w:sz w:val="21"/>
          <w:szCs w:val="21"/>
        </w:rPr>
        <w:t xml:space="preserve">招标人和中标人应当自中标通知书发出之日起 </w:t>
      </w:r>
      <w:r>
        <w:rPr>
          <w:rFonts w:ascii="Times New Roman" w:hAnsi="Times New Roman" w:eastAsia="Times New Roman" w:cs="Times New Roman"/>
          <w:sz w:val="21"/>
          <w:szCs w:val="21"/>
        </w:rPr>
        <w:t xml:space="preserve">30  </w:t>
      </w:r>
      <w:r>
        <w:rPr>
          <w:rFonts w:ascii="宋体" w:hAnsi="宋体" w:eastAsia="宋体" w:cs="宋体"/>
          <w:sz w:val="21"/>
          <w:szCs w:val="21"/>
        </w:rPr>
        <w:t>天内，根据招标文件和中标人</w:t>
      </w:r>
      <w:r>
        <w:rPr>
          <w:rFonts w:ascii="宋体" w:hAnsi="宋体" w:eastAsia="宋体" w:cs="宋体"/>
          <w:spacing w:val="3"/>
          <w:sz w:val="21"/>
          <w:szCs w:val="21"/>
        </w:rPr>
        <w:t>的投标文件（以经评标委员会评审的文件版本为准）订立</w:t>
      </w:r>
      <w:r>
        <w:rPr>
          <w:rFonts w:ascii="宋体" w:hAnsi="宋体" w:eastAsia="宋体" w:cs="宋体"/>
          <w:spacing w:val="2"/>
          <w:sz w:val="21"/>
          <w:szCs w:val="21"/>
        </w:rPr>
        <w:t>书面合同。中标人无正当理由拒</w:t>
      </w:r>
      <w:r>
        <w:rPr>
          <w:rFonts w:ascii="宋体" w:hAnsi="宋体" w:eastAsia="宋体" w:cs="宋体"/>
          <w:spacing w:val="3"/>
          <w:sz w:val="21"/>
          <w:szCs w:val="21"/>
        </w:rPr>
        <w:t>签合同的，招标人取消其中标资格，其投标保证金不予退</w:t>
      </w:r>
      <w:r>
        <w:rPr>
          <w:rFonts w:ascii="宋体" w:hAnsi="宋体" w:eastAsia="宋体" w:cs="宋体"/>
          <w:spacing w:val="2"/>
          <w:sz w:val="21"/>
          <w:szCs w:val="21"/>
        </w:rPr>
        <w:t>还；给招标人造成的损失超过投</w:t>
      </w:r>
      <w:r>
        <w:rPr>
          <w:rFonts w:ascii="宋体" w:hAnsi="宋体" w:eastAsia="宋体" w:cs="宋体"/>
          <w:spacing w:val="-1"/>
          <w:sz w:val="21"/>
          <w:szCs w:val="21"/>
        </w:rPr>
        <w:t>标保证金数额的，中标人还应当对超过部分予以赔偿。</w:t>
      </w:r>
    </w:p>
    <w:p w14:paraId="2850EEED">
      <w:pPr>
        <w:spacing w:before="150" w:line="285" w:lineRule="auto"/>
        <w:ind w:left="22" w:right="10" w:firstLine="419"/>
        <w:rPr>
          <w:rFonts w:ascii="宋体" w:hAnsi="宋体" w:eastAsia="宋体" w:cs="宋体"/>
          <w:sz w:val="21"/>
          <w:szCs w:val="21"/>
        </w:rPr>
      </w:pPr>
      <w:r>
        <w:rPr>
          <w:rFonts w:ascii="Times New Roman" w:hAnsi="Times New Roman" w:eastAsia="Times New Roman" w:cs="Times New Roman"/>
          <w:sz w:val="21"/>
          <w:szCs w:val="21"/>
        </w:rPr>
        <w:t xml:space="preserve">7.4.2  </w:t>
      </w:r>
      <w:r>
        <w:rPr>
          <w:rFonts w:ascii="宋体" w:hAnsi="宋体" w:eastAsia="宋体" w:cs="宋体"/>
          <w:sz w:val="21"/>
          <w:szCs w:val="21"/>
        </w:rPr>
        <w:t>发出中标通知书后，招标人无正当理由拒签合同的，招标人向中标人退还投标保</w:t>
      </w:r>
      <w:r>
        <w:rPr>
          <w:rFonts w:ascii="宋体" w:hAnsi="宋体" w:eastAsia="宋体" w:cs="宋体"/>
          <w:spacing w:val="-1"/>
          <w:sz w:val="21"/>
          <w:szCs w:val="21"/>
        </w:rPr>
        <w:t>证金；给中标人造成损失的，还应当赔偿损失。</w:t>
      </w:r>
    </w:p>
    <w:p w14:paraId="241D094C">
      <w:pPr>
        <w:spacing w:before="116" w:line="269" w:lineRule="auto"/>
        <w:ind w:left="23" w:right="10" w:firstLine="418"/>
        <w:rPr>
          <w:rFonts w:ascii="宋体" w:hAnsi="宋体" w:eastAsia="宋体" w:cs="宋体"/>
          <w:sz w:val="21"/>
          <w:szCs w:val="21"/>
        </w:rPr>
      </w:pPr>
      <w:r>
        <w:rPr>
          <w:rFonts w:ascii="Times New Roman" w:hAnsi="Times New Roman" w:eastAsia="Times New Roman" w:cs="Times New Roman"/>
          <w:sz w:val="21"/>
          <w:szCs w:val="21"/>
        </w:rPr>
        <w:t xml:space="preserve">7.4.3  </w:t>
      </w:r>
      <w:r>
        <w:rPr>
          <w:rFonts w:ascii="宋体" w:hAnsi="宋体" w:eastAsia="宋体" w:cs="宋体"/>
          <w:sz w:val="21"/>
          <w:szCs w:val="21"/>
        </w:rPr>
        <w:t>联合体中标的，联合体各方应当共同与招标人签订合同，就中标项目向招标人承</w:t>
      </w:r>
      <w:r>
        <w:rPr>
          <w:rFonts w:ascii="宋体" w:hAnsi="宋体" w:eastAsia="宋体" w:cs="宋体"/>
          <w:spacing w:val="-1"/>
          <w:sz w:val="21"/>
          <w:szCs w:val="21"/>
        </w:rPr>
        <w:t>担连带责任。</w:t>
      </w:r>
    </w:p>
    <w:p w14:paraId="2F51889E">
      <w:pPr>
        <w:spacing w:before="109" w:line="233" w:lineRule="auto"/>
        <w:ind w:left="442"/>
        <w:rPr>
          <w:rFonts w:ascii="宋体" w:hAnsi="宋体" w:eastAsia="宋体" w:cs="宋体"/>
          <w:sz w:val="21"/>
          <w:szCs w:val="21"/>
        </w:rPr>
      </w:pPr>
      <w:r>
        <w:rPr>
          <w:rFonts w:ascii="Times New Roman" w:hAnsi="Times New Roman" w:eastAsia="Times New Roman" w:cs="Times New Roman"/>
          <w:spacing w:val="-1"/>
          <w:sz w:val="21"/>
          <w:szCs w:val="21"/>
        </w:rPr>
        <w:t xml:space="preserve">7.4.4  </w:t>
      </w:r>
      <w:r>
        <w:rPr>
          <w:rFonts w:ascii="宋体" w:hAnsi="宋体" w:eastAsia="宋体" w:cs="宋体"/>
          <w:spacing w:val="-1"/>
          <w:sz w:val="21"/>
          <w:szCs w:val="21"/>
        </w:rPr>
        <w:t>签约合同价的确定原则如下：</w:t>
      </w:r>
    </w:p>
    <w:p w14:paraId="4AEE78FC">
      <w:pPr>
        <w:spacing w:before="93" w:line="317" w:lineRule="auto"/>
        <w:ind w:left="25" w:right="13" w:firstLine="418"/>
        <w:jc w:val="both"/>
        <w:rPr>
          <w:rFonts w:ascii="宋体" w:hAnsi="宋体" w:eastAsia="宋体" w:cs="宋体"/>
          <w:sz w:val="21"/>
          <w:szCs w:val="21"/>
        </w:rPr>
      </w:pPr>
      <w:r>
        <w:rPr>
          <w:rFonts w:ascii="宋体" w:hAnsi="宋体" w:eastAsia="宋体" w:cs="宋体"/>
          <w:spacing w:val="3"/>
          <w:sz w:val="21"/>
          <w:szCs w:val="21"/>
        </w:rPr>
        <w:t>开标时投标函中大写投标总价应为签约合同价。按照第三章“评标办法”</w:t>
      </w:r>
      <w:r>
        <w:rPr>
          <w:rFonts w:ascii="宋体" w:hAnsi="宋体" w:eastAsia="宋体" w:cs="宋体"/>
          <w:spacing w:val="2"/>
          <w:sz w:val="21"/>
          <w:szCs w:val="21"/>
        </w:rPr>
        <w:t>的规定，如</w:t>
      </w:r>
      <w:r>
        <w:rPr>
          <w:rFonts w:ascii="宋体" w:hAnsi="宋体" w:eastAsia="宋体" w:cs="宋体"/>
          <w:spacing w:val="3"/>
          <w:sz w:val="21"/>
          <w:szCs w:val="21"/>
        </w:rPr>
        <w:t>投标报价有算术错误的，修正的价格经投标人书面</w:t>
      </w:r>
      <w:r>
        <w:rPr>
          <w:rFonts w:ascii="宋体" w:hAnsi="宋体" w:eastAsia="宋体" w:cs="宋体"/>
          <w:spacing w:val="2"/>
          <w:sz w:val="21"/>
          <w:szCs w:val="21"/>
        </w:rPr>
        <w:t>确认后，以修正后的投标总价为签约合</w:t>
      </w:r>
      <w:r>
        <w:rPr>
          <w:rFonts w:ascii="宋体" w:hAnsi="宋体" w:eastAsia="宋体" w:cs="宋体"/>
          <w:spacing w:val="-9"/>
          <w:sz w:val="21"/>
          <w:szCs w:val="21"/>
        </w:rPr>
        <w:t>同价。</w:t>
      </w:r>
    </w:p>
    <w:p w14:paraId="6BCED873">
      <w:pPr>
        <w:spacing w:line="315" w:lineRule="auto"/>
        <w:ind w:left="23" w:right="7" w:firstLine="418"/>
        <w:jc w:val="both"/>
        <w:rPr>
          <w:rFonts w:ascii="宋体" w:hAnsi="宋体" w:eastAsia="宋体" w:cs="宋体"/>
          <w:sz w:val="21"/>
          <w:szCs w:val="21"/>
        </w:rPr>
      </w:pPr>
      <w:r>
        <w:rPr>
          <w:rFonts w:ascii="Times New Roman" w:hAnsi="Times New Roman" w:eastAsia="Times New Roman" w:cs="Times New Roman"/>
          <w:spacing w:val="-1"/>
          <w:sz w:val="21"/>
          <w:szCs w:val="21"/>
        </w:rPr>
        <w:t xml:space="preserve">7.4.5  </w:t>
      </w:r>
      <w:r>
        <w:rPr>
          <w:rFonts w:ascii="宋体" w:hAnsi="宋体" w:eastAsia="宋体" w:cs="宋体"/>
          <w:spacing w:val="-1"/>
          <w:sz w:val="21"/>
          <w:szCs w:val="21"/>
        </w:rPr>
        <w:t xml:space="preserve">招标人和中标人应当在中标通知书发出之日起 </w:t>
      </w:r>
      <w:r>
        <w:rPr>
          <w:rFonts w:ascii="Times New Roman" w:hAnsi="Times New Roman" w:eastAsia="Times New Roman" w:cs="Times New Roman"/>
          <w:spacing w:val="-1"/>
          <w:sz w:val="21"/>
          <w:szCs w:val="21"/>
        </w:rPr>
        <w:t xml:space="preserve">30   </w:t>
      </w:r>
      <w:r>
        <w:rPr>
          <w:rFonts w:ascii="宋体" w:hAnsi="宋体" w:eastAsia="宋体" w:cs="宋体"/>
          <w:spacing w:val="-1"/>
          <w:sz w:val="21"/>
          <w:szCs w:val="21"/>
        </w:rPr>
        <w:t>日内，登录辽宁省建设工程电</w:t>
      </w:r>
      <w:r>
        <w:rPr>
          <w:rFonts w:ascii="宋体" w:hAnsi="宋体" w:eastAsia="宋体" w:cs="宋体"/>
          <w:spacing w:val="3"/>
          <w:sz w:val="21"/>
          <w:szCs w:val="21"/>
        </w:rPr>
        <w:t>子合同签订系统签订合同并向电子监督系统提交电子合</w:t>
      </w:r>
      <w:r>
        <w:rPr>
          <w:rFonts w:ascii="宋体" w:hAnsi="宋体" w:eastAsia="宋体" w:cs="宋体"/>
          <w:spacing w:val="2"/>
          <w:sz w:val="21"/>
          <w:szCs w:val="21"/>
        </w:rPr>
        <w:t>同文件归档。按照信息公示规定对</w:t>
      </w:r>
      <w:r>
        <w:rPr>
          <w:rFonts w:ascii="宋体" w:hAnsi="宋体" w:eastAsia="宋体" w:cs="宋体"/>
          <w:sz w:val="21"/>
          <w:szCs w:val="21"/>
        </w:rPr>
        <w:t>合同签订等信息进行公示公开，依法应当保护的商业秘</w:t>
      </w:r>
      <w:r>
        <w:rPr>
          <w:rFonts w:ascii="宋体" w:hAnsi="宋体" w:eastAsia="宋体" w:cs="宋体"/>
          <w:spacing w:val="-1"/>
          <w:sz w:val="21"/>
          <w:szCs w:val="21"/>
        </w:rPr>
        <w:t>密除外。</w:t>
      </w:r>
    </w:p>
    <w:p w14:paraId="0A205FA2">
      <w:pPr>
        <w:spacing w:before="47" w:line="232" w:lineRule="auto"/>
        <w:ind w:left="31"/>
        <w:outlineLvl w:val="1"/>
        <w:rPr>
          <w:rFonts w:ascii="黑体" w:hAnsi="黑体" w:eastAsia="黑体" w:cs="黑体"/>
          <w:sz w:val="28"/>
          <w:szCs w:val="28"/>
        </w:rPr>
      </w:pPr>
      <w:bookmarkStart w:id="87" w:name="bookmark67"/>
      <w:bookmarkEnd w:id="87"/>
      <w:r>
        <w:rPr>
          <w:rFonts w:ascii="Times New Roman" w:hAnsi="Times New Roman" w:eastAsia="Times New Roman" w:cs="Times New Roman"/>
          <w:spacing w:val="-1"/>
          <w:sz w:val="28"/>
          <w:szCs w:val="28"/>
        </w:rPr>
        <w:t xml:space="preserve">8.  </w:t>
      </w:r>
      <w:r>
        <w:rPr>
          <w:rFonts w:ascii="黑体" w:hAnsi="黑体" w:eastAsia="黑体" w:cs="黑体"/>
          <w:spacing w:val="-1"/>
          <w:sz w:val="28"/>
          <w:szCs w:val="28"/>
        </w:rPr>
        <w:t>重新招标、不再招标和终止招标</w:t>
      </w:r>
    </w:p>
    <w:p w14:paraId="2365FBA5">
      <w:pPr>
        <w:spacing w:before="42" w:line="232" w:lineRule="auto"/>
        <w:ind w:left="146"/>
        <w:outlineLvl w:val="2"/>
        <w:rPr>
          <w:rFonts w:ascii="黑体" w:hAnsi="黑体" w:eastAsia="黑体" w:cs="黑体"/>
          <w:sz w:val="24"/>
          <w:szCs w:val="24"/>
        </w:rPr>
      </w:pPr>
      <w:bookmarkStart w:id="88" w:name="bookmark68"/>
      <w:bookmarkEnd w:id="88"/>
      <w:r>
        <w:rPr>
          <w:rFonts w:ascii="Times New Roman" w:hAnsi="Times New Roman" w:eastAsia="Times New Roman" w:cs="Times New Roman"/>
          <w:spacing w:val="-4"/>
          <w:sz w:val="24"/>
          <w:szCs w:val="24"/>
        </w:rPr>
        <w:t>8.1</w:t>
      </w:r>
      <w:r>
        <w:rPr>
          <w:rFonts w:ascii="Times New Roman" w:hAnsi="Times New Roman" w:eastAsia="Times New Roman" w:cs="Times New Roman"/>
          <w:spacing w:val="8"/>
          <w:sz w:val="24"/>
          <w:szCs w:val="24"/>
        </w:rPr>
        <w:t xml:space="preserve">  </w:t>
      </w:r>
      <w:r>
        <w:rPr>
          <w:rFonts w:ascii="黑体" w:hAnsi="黑体" w:eastAsia="黑体" w:cs="黑体"/>
          <w:spacing w:val="-4"/>
          <w:sz w:val="24"/>
          <w:szCs w:val="24"/>
        </w:rPr>
        <w:t>重新招标</w:t>
      </w:r>
    </w:p>
    <w:p w14:paraId="62A65773">
      <w:pPr>
        <w:spacing w:before="83" w:line="221" w:lineRule="auto"/>
        <w:ind w:left="383"/>
        <w:rPr>
          <w:rFonts w:ascii="宋体" w:hAnsi="宋体" w:eastAsia="宋体" w:cs="宋体"/>
          <w:sz w:val="21"/>
          <w:szCs w:val="21"/>
        </w:rPr>
      </w:pPr>
      <w:r>
        <w:rPr>
          <w:rFonts w:ascii="宋体" w:hAnsi="宋体" w:eastAsia="宋体" w:cs="宋体"/>
          <w:spacing w:val="-2"/>
          <w:sz w:val="21"/>
          <w:szCs w:val="21"/>
        </w:rPr>
        <w:t>有下列情形之一的，招标人将重新招标：</w:t>
      </w:r>
    </w:p>
    <w:p w14:paraId="61EBBF0C">
      <w:pPr>
        <w:spacing w:before="110"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）投标截止时间止，投标人少于</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个的；</w:t>
      </w:r>
    </w:p>
    <w:p w14:paraId="1EADFCAC">
      <w:pPr>
        <w:spacing w:before="93"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）经评标委员会评审后否决所有投标的；</w:t>
      </w:r>
    </w:p>
    <w:p w14:paraId="171C3396">
      <w:pPr>
        <w:spacing w:before="95"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）第一中标候选人或所有中标候选人存在不同程度的问题，不能签订合同的；</w:t>
      </w:r>
    </w:p>
    <w:p w14:paraId="49BA7867">
      <w:pPr>
        <w:spacing w:before="94"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）在投标有效期内同意延长投标有效期的投标人少于三个的；</w:t>
      </w:r>
    </w:p>
    <w:p w14:paraId="42E51332">
      <w:pPr>
        <w:spacing w:before="94" w:line="234" w:lineRule="auto"/>
        <w:ind w:left="38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）法律、法规规定的其他情形。</w:t>
      </w:r>
    </w:p>
    <w:p w14:paraId="599F098F">
      <w:pPr>
        <w:spacing w:before="68" w:line="233" w:lineRule="auto"/>
        <w:ind w:left="146"/>
        <w:outlineLvl w:val="2"/>
        <w:rPr>
          <w:rFonts w:ascii="黑体" w:hAnsi="黑体" w:eastAsia="黑体" w:cs="黑体"/>
          <w:sz w:val="24"/>
          <w:szCs w:val="24"/>
        </w:rPr>
      </w:pPr>
      <w:bookmarkStart w:id="89" w:name="bookmark69"/>
      <w:bookmarkEnd w:id="89"/>
      <w:r>
        <w:rPr>
          <w:rFonts w:ascii="Times New Roman" w:hAnsi="Times New Roman" w:eastAsia="Times New Roman" w:cs="Times New Roman"/>
          <w:spacing w:val="-4"/>
          <w:sz w:val="24"/>
          <w:szCs w:val="24"/>
        </w:rPr>
        <w:t>8.2</w:t>
      </w:r>
      <w:r>
        <w:rPr>
          <w:rFonts w:ascii="Times New Roman" w:hAnsi="Times New Roman" w:eastAsia="Times New Roman" w:cs="Times New Roman"/>
          <w:spacing w:val="7"/>
          <w:sz w:val="24"/>
          <w:szCs w:val="24"/>
        </w:rPr>
        <w:t xml:space="preserve">  </w:t>
      </w:r>
      <w:r>
        <w:rPr>
          <w:rFonts w:ascii="黑体" w:hAnsi="黑体" w:eastAsia="黑体" w:cs="黑体"/>
          <w:spacing w:val="-4"/>
          <w:sz w:val="24"/>
          <w:szCs w:val="24"/>
        </w:rPr>
        <w:t>不再招标</w:t>
      </w:r>
    </w:p>
    <w:p w14:paraId="4AB2632A">
      <w:pPr>
        <w:spacing w:before="81" w:line="306" w:lineRule="auto"/>
        <w:ind w:left="26" w:right="9" w:firstLine="417"/>
        <w:rPr>
          <w:rFonts w:ascii="宋体" w:hAnsi="宋体" w:eastAsia="宋体" w:cs="宋体"/>
          <w:sz w:val="21"/>
          <w:szCs w:val="21"/>
        </w:rPr>
      </w:pPr>
      <w:r>
        <w:rPr>
          <w:rFonts w:ascii="宋体" w:hAnsi="宋体" w:eastAsia="宋体" w:cs="宋体"/>
          <w:sz w:val="21"/>
          <w:szCs w:val="21"/>
        </w:rPr>
        <w:t xml:space="preserve">重新招标后投标人仍少于 </w:t>
      </w:r>
      <w:r>
        <w:rPr>
          <w:rFonts w:ascii="Times New Roman" w:hAnsi="Times New Roman" w:eastAsia="Times New Roman" w:cs="Times New Roman"/>
          <w:sz w:val="21"/>
          <w:szCs w:val="21"/>
        </w:rPr>
        <w:t xml:space="preserve">3  </w:t>
      </w:r>
      <w:r>
        <w:rPr>
          <w:rFonts w:ascii="宋体" w:hAnsi="宋体" w:eastAsia="宋体" w:cs="宋体"/>
          <w:sz w:val="21"/>
          <w:szCs w:val="21"/>
        </w:rPr>
        <w:t>个或者所有投标被否决的，属于必须审批或核准的工程建</w:t>
      </w:r>
      <w:r>
        <w:rPr>
          <w:rFonts w:ascii="宋体" w:hAnsi="宋体" w:eastAsia="宋体" w:cs="宋体"/>
          <w:spacing w:val="-1"/>
          <w:sz w:val="21"/>
          <w:szCs w:val="21"/>
        </w:rPr>
        <w:t>设项目，经原审批或核准部门批准后不再进行招标。</w:t>
      </w:r>
    </w:p>
    <w:p w14:paraId="068EA5D9">
      <w:pPr>
        <w:spacing w:line="234" w:lineRule="auto"/>
        <w:ind w:left="146"/>
        <w:outlineLvl w:val="2"/>
        <w:rPr>
          <w:rFonts w:ascii="黑体" w:hAnsi="黑体" w:eastAsia="黑体" w:cs="黑体"/>
          <w:sz w:val="24"/>
          <w:szCs w:val="24"/>
        </w:rPr>
      </w:pPr>
      <w:bookmarkStart w:id="90" w:name="bookmark70"/>
      <w:bookmarkEnd w:id="90"/>
      <w:r>
        <w:rPr>
          <w:rFonts w:ascii="Times New Roman" w:hAnsi="Times New Roman" w:eastAsia="Times New Roman" w:cs="Times New Roman"/>
          <w:spacing w:val="-2"/>
          <w:sz w:val="24"/>
          <w:szCs w:val="24"/>
        </w:rPr>
        <w:t xml:space="preserve">8.3  </w:t>
      </w:r>
      <w:r>
        <w:rPr>
          <w:rFonts w:ascii="黑体" w:hAnsi="黑体" w:eastAsia="黑体" w:cs="黑体"/>
          <w:spacing w:val="-2"/>
          <w:sz w:val="24"/>
          <w:szCs w:val="24"/>
        </w:rPr>
        <w:t>终止招标</w:t>
      </w:r>
    </w:p>
    <w:p w14:paraId="08F8361E">
      <w:pPr>
        <w:spacing w:before="81" w:line="318" w:lineRule="auto"/>
        <w:ind w:left="23" w:right="17" w:firstLine="435"/>
        <w:jc w:val="both"/>
        <w:rPr>
          <w:rFonts w:ascii="宋体" w:hAnsi="宋体" w:eastAsia="宋体" w:cs="宋体"/>
          <w:sz w:val="21"/>
          <w:szCs w:val="21"/>
        </w:rPr>
      </w:pPr>
      <w:r>
        <w:rPr>
          <w:rFonts w:ascii="宋体" w:hAnsi="宋体" w:eastAsia="宋体" w:cs="宋体"/>
          <w:spacing w:val="2"/>
          <w:sz w:val="21"/>
          <w:szCs w:val="21"/>
        </w:rPr>
        <w:t>因不可抗力等原因，招标人终止招标的，将通过法定公告公示信息发布媒介、电子交</w:t>
      </w:r>
      <w:r>
        <w:rPr>
          <w:rFonts w:ascii="宋体" w:hAnsi="宋体" w:eastAsia="宋体" w:cs="宋体"/>
          <w:spacing w:val="3"/>
          <w:sz w:val="21"/>
          <w:szCs w:val="21"/>
        </w:rPr>
        <w:t>易系统等渠道及时发布公告，或者以书面形式通知被邀</w:t>
      </w:r>
      <w:r>
        <w:rPr>
          <w:rFonts w:ascii="宋体" w:hAnsi="宋体" w:eastAsia="宋体" w:cs="宋体"/>
          <w:spacing w:val="2"/>
          <w:sz w:val="21"/>
          <w:szCs w:val="21"/>
        </w:rPr>
        <w:t>请的或者已经获取招标文件的潜在</w:t>
      </w:r>
      <w:r>
        <w:rPr>
          <w:rFonts w:ascii="宋体" w:hAnsi="宋体" w:eastAsia="宋体" w:cs="宋体"/>
          <w:spacing w:val="3"/>
          <w:sz w:val="21"/>
          <w:szCs w:val="21"/>
        </w:rPr>
        <w:t>投标人。已经收取投标保证金的，招标人将及时退还所</w:t>
      </w:r>
      <w:r>
        <w:rPr>
          <w:rFonts w:ascii="宋体" w:hAnsi="宋体" w:eastAsia="宋体" w:cs="宋体"/>
          <w:spacing w:val="2"/>
          <w:sz w:val="21"/>
          <w:szCs w:val="21"/>
        </w:rPr>
        <w:t>收取的投标保证金及银行同期存款</w:t>
      </w:r>
      <w:r>
        <w:rPr>
          <w:rFonts w:ascii="宋体" w:hAnsi="宋体" w:eastAsia="宋体" w:cs="宋体"/>
          <w:spacing w:val="-9"/>
          <w:sz w:val="21"/>
          <w:szCs w:val="21"/>
        </w:rPr>
        <w:t>利息。</w:t>
      </w:r>
    </w:p>
    <w:p w14:paraId="5DC81230">
      <w:pPr>
        <w:spacing w:line="318" w:lineRule="auto"/>
        <w:rPr>
          <w:rFonts w:ascii="宋体" w:hAnsi="宋体" w:eastAsia="宋体" w:cs="宋体"/>
          <w:sz w:val="21"/>
          <w:szCs w:val="21"/>
        </w:rPr>
        <w:sectPr>
          <w:footerReference r:id="rId35" w:type="default"/>
          <w:pgSz w:w="11905" w:h="16843"/>
          <w:pgMar w:top="969" w:right="1355" w:bottom="1026" w:left="1480" w:header="0" w:footer="754" w:gutter="0"/>
          <w:cols w:space="0" w:num="1"/>
          <w:rtlGutter w:val="0"/>
          <w:docGrid w:linePitch="0" w:charSpace="0"/>
        </w:sectPr>
      </w:pPr>
    </w:p>
    <w:p w14:paraId="28BAD787">
      <w:pPr>
        <w:spacing w:before="61" w:line="232" w:lineRule="auto"/>
        <w:ind w:left="25"/>
        <w:outlineLvl w:val="1"/>
        <w:rPr>
          <w:rFonts w:ascii="黑体" w:hAnsi="黑体" w:eastAsia="黑体" w:cs="黑体"/>
          <w:sz w:val="28"/>
          <w:szCs w:val="28"/>
        </w:rPr>
      </w:pPr>
      <w:bookmarkStart w:id="91" w:name="bookmark71"/>
      <w:bookmarkEnd w:id="91"/>
      <w:bookmarkStart w:id="92" w:name="bookmark498"/>
      <w:bookmarkEnd w:id="92"/>
      <w:r>
        <w:rPr>
          <w:rFonts w:ascii="Times New Roman" w:hAnsi="Times New Roman" w:eastAsia="Times New Roman" w:cs="Times New Roman"/>
          <w:spacing w:val="-4"/>
          <w:sz w:val="28"/>
          <w:szCs w:val="28"/>
        </w:rPr>
        <w:t>9.</w:t>
      </w:r>
      <w:r>
        <w:rPr>
          <w:rFonts w:ascii="Times New Roman" w:hAnsi="Times New Roman" w:eastAsia="Times New Roman" w:cs="Times New Roman"/>
          <w:spacing w:val="9"/>
          <w:sz w:val="28"/>
          <w:szCs w:val="28"/>
        </w:rPr>
        <w:t xml:space="preserve">  </w:t>
      </w:r>
      <w:r>
        <w:rPr>
          <w:rFonts w:ascii="黑体" w:hAnsi="黑体" w:eastAsia="黑体" w:cs="黑体"/>
          <w:spacing w:val="-4"/>
          <w:sz w:val="28"/>
          <w:szCs w:val="28"/>
        </w:rPr>
        <w:t>纪律和监督</w:t>
      </w:r>
    </w:p>
    <w:p w14:paraId="28DF66B0">
      <w:pPr>
        <w:spacing w:before="42" w:line="233" w:lineRule="auto"/>
        <w:ind w:left="141"/>
        <w:outlineLvl w:val="2"/>
        <w:rPr>
          <w:rFonts w:ascii="黑体" w:hAnsi="黑体" w:eastAsia="黑体" w:cs="黑体"/>
          <w:sz w:val="24"/>
          <w:szCs w:val="24"/>
        </w:rPr>
      </w:pPr>
      <w:bookmarkStart w:id="93" w:name="bookmark72"/>
      <w:bookmarkEnd w:id="93"/>
      <w:r>
        <w:rPr>
          <w:rFonts w:ascii="Times New Roman" w:hAnsi="Times New Roman" w:eastAsia="Times New Roman" w:cs="Times New Roman"/>
          <w:spacing w:val="-1"/>
          <w:sz w:val="24"/>
          <w:szCs w:val="24"/>
        </w:rPr>
        <w:t xml:space="preserve">9.1  </w:t>
      </w:r>
      <w:r>
        <w:rPr>
          <w:rFonts w:ascii="黑体" w:hAnsi="黑体" w:eastAsia="黑体" w:cs="黑体"/>
          <w:spacing w:val="-1"/>
          <w:sz w:val="24"/>
          <w:szCs w:val="24"/>
        </w:rPr>
        <w:t>对招标人的纪律要求</w:t>
      </w:r>
    </w:p>
    <w:p w14:paraId="5F4D096A">
      <w:pPr>
        <w:spacing w:before="114" w:line="326" w:lineRule="auto"/>
        <w:ind w:left="23" w:right="171" w:firstLine="419"/>
        <w:rPr>
          <w:rFonts w:ascii="宋体" w:hAnsi="宋体" w:eastAsia="宋体" w:cs="宋体"/>
          <w:sz w:val="21"/>
          <w:szCs w:val="21"/>
        </w:rPr>
      </w:pPr>
      <w:r>
        <w:rPr>
          <w:rFonts w:ascii="宋体" w:hAnsi="宋体" w:eastAsia="宋体" w:cs="宋体"/>
          <w:spacing w:val="3"/>
          <w:sz w:val="21"/>
          <w:szCs w:val="21"/>
        </w:rPr>
        <w:t>招标人不得泄漏招标投标活动中应当保密的情况和资料，不得与投标人串</w:t>
      </w:r>
      <w:r>
        <w:rPr>
          <w:rFonts w:ascii="宋体" w:hAnsi="宋体" w:eastAsia="宋体" w:cs="宋体"/>
          <w:spacing w:val="2"/>
          <w:sz w:val="21"/>
          <w:szCs w:val="21"/>
        </w:rPr>
        <w:t>通损害国家</w:t>
      </w:r>
      <w:r>
        <w:rPr>
          <w:rFonts w:ascii="宋体" w:hAnsi="宋体" w:eastAsia="宋体" w:cs="宋体"/>
          <w:spacing w:val="-2"/>
          <w:sz w:val="21"/>
          <w:szCs w:val="21"/>
        </w:rPr>
        <w:t>利益、社会公共利益或者他人合法权益。</w:t>
      </w:r>
    </w:p>
    <w:p w14:paraId="50C2D08A">
      <w:pPr>
        <w:spacing w:line="233" w:lineRule="auto"/>
        <w:ind w:left="141"/>
        <w:outlineLvl w:val="2"/>
        <w:rPr>
          <w:rFonts w:ascii="黑体" w:hAnsi="黑体" w:eastAsia="黑体" w:cs="黑体"/>
          <w:sz w:val="24"/>
          <w:szCs w:val="24"/>
        </w:rPr>
      </w:pPr>
      <w:bookmarkStart w:id="94" w:name="bookmark73"/>
      <w:bookmarkEnd w:id="94"/>
      <w:r>
        <w:rPr>
          <w:rFonts w:ascii="Times New Roman" w:hAnsi="Times New Roman" w:eastAsia="Times New Roman" w:cs="Times New Roman"/>
          <w:spacing w:val="-1"/>
          <w:sz w:val="24"/>
          <w:szCs w:val="24"/>
        </w:rPr>
        <w:t xml:space="preserve">9.2  </w:t>
      </w:r>
      <w:r>
        <w:rPr>
          <w:rFonts w:ascii="黑体" w:hAnsi="黑体" w:eastAsia="黑体" w:cs="黑体"/>
          <w:spacing w:val="-1"/>
          <w:sz w:val="24"/>
          <w:szCs w:val="24"/>
        </w:rPr>
        <w:t>对投标人的纪律要求</w:t>
      </w:r>
    </w:p>
    <w:p w14:paraId="36004783">
      <w:pPr>
        <w:spacing w:before="114" w:line="335" w:lineRule="auto"/>
        <w:ind w:left="26" w:right="171" w:firstLine="419"/>
        <w:jc w:val="both"/>
        <w:rPr>
          <w:rFonts w:ascii="宋体" w:hAnsi="宋体" w:eastAsia="宋体" w:cs="宋体"/>
          <w:sz w:val="21"/>
          <w:szCs w:val="21"/>
        </w:rPr>
      </w:pPr>
      <w:r>
        <w:rPr>
          <w:rFonts w:ascii="宋体" w:hAnsi="宋体" w:eastAsia="宋体" w:cs="宋体"/>
          <w:spacing w:val="3"/>
          <w:sz w:val="21"/>
          <w:szCs w:val="21"/>
        </w:rPr>
        <w:t>投标人不得相互串通投标或者与招标人串通投标，不得向招标人或者评</w:t>
      </w:r>
      <w:r>
        <w:rPr>
          <w:rFonts w:ascii="宋体" w:hAnsi="宋体" w:eastAsia="宋体" w:cs="宋体"/>
          <w:spacing w:val="2"/>
          <w:sz w:val="21"/>
          <w:szCs w:val="21"/>
        </w:rPr>
        <w:t>标委员会成员</w:t>
      </w:r>
      <w:r>
        <w:rPr>
          <w:rFonts w:ascii="宋体" w:hAnsi="宋体" w:eastAsia="宋体" w:cs="宋体"/>
          <w:spacing w:val="3"/>
          <w:sz w:val="21"/>
          <w:szCs w:val="21"/>
        </w:rPr>
        <w:t>行贿谋取中标，不得以他人名义投标或者以其他</w:t>
      </w:r>
      <w:r>
        <w:rPr>
          <w:rFonts w:ascii="宋体" w:hAnsi="宋体" w:eastAsia="宋体" w:cs="宋体"/>
          <w:spacing w:val="2"/>
          <w:sz w:val="21"/>
          <w:szCs w:val="21"/>
        </w:rPr>
        <w:t>方式弄虚作假骗取中标；投标人不得以任</w:t>
      </w:r>
      <w:r>
        <w:rPr>
          <w:rFonts w:ascii="宋体" w:hAnsi="宋体" w:eastAsia="宋体" w:cs="宋体"/>
          <w:spacing w:val="-2"/>
          <w:sz w:val="21"/>
          <w:szCs w:val="21"/>
        </w:rPr>
        <w:t>何方式干扰、影响评标工作。</w:t>
      </w:r>
    </w:p>
    <w:p w14:paraId="1182C505">
      <w:pPr>
        <w:spacing w:before="1" w:line="231" w:lineRule="auto"/>
        <w:ind w:left="141"/>
        <w:outlineLvl w:val="2"/>
        <w:rPr>
          <w:rFonts w:ascii="黑体" w:hAnsi="黑体" w:eastAsia="黑体" w:cs="黑体"/>
          <w:sz w:val="24"/>
          <w:szCs w:val="24"/>
        </w:rPr>
      </w:pPr>
      <w:bookmarkStart w:id="95" w:name="bookmark74"/>
      <w:bookmarkEnd w:id="95"/>
      <w:r>
        <w:rPr>
          <w:rFonts w:ascii="Times New Roman" w:hAnsi="Times New Roman" w:eastAsia="Times New Roman" w:cs="Times New Roman"/>
          <w:spacing w:val="-1"/>
          <w:sz w:val="24"/>
          <w:szCs w:val="24"/>
        </w:rPr>
        <w:t xml:space="preserve">9.3  </w:t>
      </w:r>
      <w:r>
        <w:rPr>
          <w:rFonts w:ascii="黑体" w:hAnsi="黑体" w:eastAsia="黑体" w:cs="黑体"/>
          <w:spacing w:val="-1"/>
          <w:sz w:val="24"/>
          <w:szCs w:val="24"/>
        </w:rPr>
        <w:t>对评标委员会成员的纪律要求</w:t>
      </w:r>
    </w:p>
    <w:p w14:paraId="08B0CD80">
      <w:pPr>
        <w:spacing w:before="114" w:line="352" w:lineRule="auto"/>
        <w:ind w:left="23" w:right="171" w:firstLine="418"/>
        <w:rPr>
          <w:rFonts w:ascii="宋体" w:hAnsi="宋体" w:eastAsia="宋体" w:cs="宋体"/>
          <w:sz w:val="21"/>
          <w:szCs w:val="21"/>
        </w:rPr>
      </w:pPr>
      <w:r>
        <w:rPr>
          <w:rFonts w:ascii="宋体" w:hAnsi="宋体" w:eastAsia="宋体" w:cs="宋体"/>
          <w:spacing w:val="3"/>
          <w:sz w:val="21"/>
          <w:szCs w:val="21"/>
        </w:rPr>
        <w:t>评标委员会应当根据招标文件规定的评标标准和方法，对投标文件进行系统地</w:t>
      </w:r>
      <w:r>
        <w:rPr>
          <w:rFonts w:ascii="宋体" w:hAnsi="宋体" w:eastAsia="宋体" w:cs="宋体"/>
          <w:spacing w:val="2"/>
          <w:sz w:val="21"/>
          <w:szCs w:val="21"/>
        </w:rPr>
        <w:t>评审和</w:t>
      </w:r>
      <w:r>
        <w:rPr>
          <w:rFonts w:ascii="宋体" w:hAnsi="宋体" w:eastAsia="宋体" w:cs="宋体"/>
          <w:spacing w:val="3"/>
          <w:sz w:val="21"/>
          <w:szCs w:val="21"/>
        </w:rPr>
        <w:t>比较，第三章“评标办法”没有规定的评审因素和标准</w:t>
      </w:r>
      <w:r>
        <w:rPr>
          <w:rFonts w:ascii="宋体" w:hAnsi="宋体" w:eastAsia="宋体" w:cs="宋体"/>
          <w:spacing w:val="2"/>
          <w:sz w:val="21"/>
          <w:szCs w:val="21"/>
        </w:rPr>
        <w:t>不能作为评标依据。评标委员会成</w:t>
      </w:r>
      <w:r>
        <w:rPr>
          <w:rFonts w:ascii="宋体" w:hAnsi="宋体" w:eastAsia="宋体" w:cs="宋体"/>
          <w:spacing w:val="3"/>
          <w:sz w:val="21"/>
          <w:szCs w:val="21"/>
        </w:rPr>
        <w:t>员不得对其他评标委员会成员的独立评审施加不当影响</w:t>
      </w:r>
      <w:r>
        <w:rPr>
          <w:rFonts w:ascii="宋体" w:hAnsi="宋体" w:eastAsia="宋体" w:cs="宋体"/>
          <w:spacing w:val="2"/>
          <w:sz w:val="21"/>
          <w:szCs w:val="21"/>
        </w:rPr>
        <w:t>，不得与任何投标人或者与招标结</w:t>
      </w:r>
      <w:r>
        <w:rPr>
          <w:rFonts w:ascii="宋体" w:hAnsi="宋体" w:eastAsia="宋体" w:cs="宋体"/>
          <w:spacing w:val="3"/>
          <w:sz w:val="21"/>
          <w:szCs w:val="21"/>
        </w:rPr>
        <w:t>果有利害关系的人进行私下接触，不得收受投标人、中</w:t>
      </w:r>
      <w:r>
        <w:rPr>
          <w:rFonts w:ascii="宋体" w:hAnsi="宋体" w:eastAsia="宋体" w:cs="宋体"/>
          <w:spacing w:val="2"/>
          <w:sz w:val="21"/>
          <w:szCs w:val="21"/>
        </w:rPr>
        <w:t>介人、其他利害关系人的财物或者</w:t>
      </w:r>
      <w:r>
        <w:rPr>
          <w:rFonts w:ascii="宋体" w:hAnsi="宋体" w:eastAsia="宋体" w:cs="宋体"/>
          <w:spacing w:val="3"/>
          <w:sz w:val="21"/>
          <w:szCs w:val="21"/>
        </w:rPr>
        <w:t>其他好处，不得向他人透漏对投标文件的评审和比较、</w:t>
      </w:r>
      <w:r>
        <w:rPr>
          <w:rFonts w:ascii="宋体" w:hAnsi="宋体" w:eastAsia="宋体" w:cs="宋体"/>
          <w:spacing w:val="2"/>
          <w:sz w:val="21"/>
          <w:szCs w:val="21"/>
        </w:rPr>
        <w:t>中标候选人的推荐情况以及评标有关的其他情况。在评标活动中，评标委员会成员不得应当回避而不回避，不得擅离职</w:t>
      </w:r>
      <w:r>
        <w:rPr>
          <w:rFonts w:ascii="宋体" w:hAnsi="宋体" w:eastAsia="宋体" w:cs="宋体"/>
          <w:spacing w:val="1"/>
          <w:sz w:val="21"/>
          <w:szCs w:val="21"/>
        </w:rPr>
        <w:t>守，</w:t>
      </w:r>
    </w:p>
    <w:p w14:paraId="3097B325">
      <w:pPr>
        <w:spacing w:before="4" w:line="341" w:lineRule="auto"/>
        <w:ind w:left="22"/>
        <w:rPr>
          <w:rFonts w:ascii="宋体" w:hAnsi="宋体" w:eastAsia="宋体" w:cs="宋体"/>
          <w:sz w:val="21"/>
          <w:szCs w:val="21"/>
        </w:rPr>
      </w:pPr>
      <w:r>
        <w:rPr>
          <w:rFonts w:ascii="宋体" w:hAnsi="宋体" w:eastAsia="宋体" w:cs="宋体"/>
          <w:spacing w:val="3"/>
          <w:sz w:val="21"/>
          <w:szCs w:val="21"/>
        </w:rPr>
        <w:t>影响评标程序正常进行，不得向招标人征询其确定中标人的意向，不得</w:t>
      </w:r>
      <w:r>
        <w:rPr>
          <w:rFonts w:ascii="宋体" w:hAnsi="宋体" w:eastAsia="宋体" w:cs="宋体"/>
          <w:spacing w:val="2"/>
          <w:sz w:val="21"/>
          <w:szCs w:val="21"/>
        </w:rPr>
        <w:t>接受任何单位或者</w:t>
      </w:r>
      <w:r>
        <w:rPr>
          <w:rFonts w:ascii="宋体" w:hAnsi="宋体" w:eastAsia="宋体" w:cs="宋体"/>
          <w:spacing w:val="3"/>
          <w:sz w:val="21"/>
          <w:szCs w:val="21"/>
        </w:rPr>
        <w:t>个人明示或者暗示提出的倾向或者排斥特定投标人的要求</w:t>
      </w:r>
      <w:r>
        <w:rPr>
          <w:rFonts w:ascii="宋体" w:hAnsi="宋体" w:eastAsia="宋体" w:cs="宋体"/>
          <w:spacing w:val="2"/>
          <w:sz w:val="21"/>
          <w:szCs w:val="21"/>
        </w:rPr>
        <w:t>，不得对依法应当否决的投标不提出否决意见，不得暗示或者诱导投标人作出澄清、说明或者接</w:t>
      </w:r>
      <w:r>
        <w:rPr>
          <w:rFonts w:ascii="宋体" w:hAnsi="宋体" w:eastAsia="宋体" w:cs="宋体"/>
          <w:spacing w:val="1"/>
          <w:sz w:val="21"/>
          <w:szCs w:val="21"/>
        </w:rPr>
        <w:t>受投标人主动提出的澄清、</w:t>
      </w:r>
      <w:r>
        <w:rPr>
          <w:rFonts w:ascii="宋体" w:hAnsi="宋体" w:eastAsia="宋体" w:cs="宋体"/>
          <w:spacing w:val="3"/>
          <w:sz w:val="21"/>
          <w:szCs w:val="21"/>
        </w:rPr>
        <w:t>说明，不得敷衍塞责随意评标，不得在合法的评标劳务费</w:t>
      </w:r>
      <w:r>
        <w:rPr>
          <w:rFonts w:ascii="宋体" w:hAnsi="宋体" w:eastAsia="宋体" w:cs="宋体"/>
          <w:spacing w:val="2"/>
          <w:sz w:val="21"/>
          <w:szCs w:val="21"/>
        </w:rPr>
        <w:t>之外额外索取、接受报酬或者其</w:t>
      </w:r>
      <w:r>
        <w:rPr>
          <w:rFonts w:ascii="宋体" w:hAnsi="宋体" w:eastAsia="宋体" w:cs="宋体"/>
          <w:spacing w:val="-2"/>
          <w:sz w:val="21"/>
          <w:szCs w:val="21"/>
        </w:rPr>
        <w:t>他好处。</w:t>
      </w:r>
    </w:p>
    <w:p w14:paraId="7347121D">
      <w:pPr>
        <w:spacing w:before="1" w:line="231" w:lineRule="auto"/>
        <w:ind w:left="141"/>
        <w:outlineLvl w:val="2"/>
        <w:rPr>
          <w:rFonts w:ascii="黑体" w:hAnsi="黑体" w:eastAsia="黑体" w:cs="黑体"/>
          <w:sz w:val="24"/>
          <w:szCs w:val="24"/>
        </w:rPr>
      </w:pPr>
      <w:bookmarkStart w:id="96" w:name="bookmark75"/>
      <w:bookmarkEnd w:id="96"/>
      <w:r>
        <w:rPr>
          <w:rFonts w:ascii="Times New Roman" w:hAnsi="Times New Roman" w:eastAsia="Times New Roman" w:cs="Times New Roman"/>
          <w:spacing w:val="-1"/>
          <w:sz w:val="24"/>
          <w:szCs w:val="24"/>
        </w:rPr>
        <w:t xml:space="preserve">9.4  </w:t>
      </w:r>
      <w:r>
        <w:rPr>
          <w:rFonts w:ascii="黑体" w:hAnsi="黑体" w:eastAsia="黑体" w:cs="黑体"/>
          <w:spacing w:val="-1"/>
          <w:sz w:val="24"/>
          <w:szCs w:val="24"/>
        </w:rPr>
        <w:t>对与评标活动有关的工作人员的纪律要求</w:t>
      </w:r>
    </w:p>
    <w:p w14:paraId="2FE49BC8">
      <w:pPr>
        <w:spacing w:before="116" w:line="335" w:lineRule="auto"/>
        <w:ind w:left="23" w:right="171" w:firstLine="423"/>
        <w:jc w:val="both"/>
        <w:rPr>
          <w:rFonts w:ascii="宋体" w:hAnsi="宋体" w:eastAsia="宋体" w:cs="宋体"/>
          <w:sz w:val="21"/>
          <w:szCs w:val="21"/>
        </w:rPr>
      </w:pPr>
      <w:r>
        <w:rPr>
          <w:rFonts w:ascii="宋体" w:hAnsi="宋体" w:eastAsia="宋体" w:cs="宋体"/>
          <w:spacing w:val="3"/>
          <w:sz w:val="21"/>
          <w:szCs w:val="21"/>
        </w:rPr>
        <w:t>与评标活动有关的工作人员不得收受他人的财物或者其他好处，不</w:t>
      </w:r>
      <w:r>
        <w:rPr>
          <w:rFonts w:ascii="宋体" w:hAnsi="宋体" w:eastAsia="宋体" w:cs="宋体"/>
          <w:spacing w:val="2"/>
          <w:sz w:val="21"/>
          <w:szCs w:val="21"/>
        </w:rPr>
        <w:t>得向他人透漏对投</w:t>
      </w:r>
      <w:r>
        <w:rPr>
          <w:rFonts w:ascii="宋体" w:hAnsi="宋体" w:eastAsia="宋体" w:cs="宋体"/>
          <w:spacing w:val="3"/>
          <w:sz w:val="21"/>
          <w:szCs w:val="21"/>
        </w:rPr>
        <w:t>标文件的评审和比较、中标候选人的推荐情</w:t>
      </w:r>
      <w:r>
        <w:rPr>
          <w:rFonts w:ascii="宋体" w:hAnsi="宋体" w:eastAsia="宋体" w:cs="宋体"/>
          <w:spacing w:val="2"/>
          <w:sz w:val="21"/>
          <w:szCs w:val="21"/>
        </w:rPr>
        <w:t>况以及评标有关的其他情况。在评标活动中，</w:t>
      </w:r>
      <w:r>
        <w:rPr>
          <w:rFonts w:ascii="宋体" w:hAnsi="宋体" w:eastAsia="宋体" w:cs="宋体"/>
          <w:sz w:val="21"/>
          <w:szCs w:val="21"/>
        </w:rPr>
        <w:t>与评标活动有关的工作人员不得擅离职守，影响评标程序正</w:t>
      </w:r>
      <w:r>
        <w:rPr>
          <w:rFonts w:ascii="宋体" w:hAnsi="宋体" w:eastAsia="宋体" w:cs="宋体"/>
          <w:spacing w:val="-1"/>
          <w:sz w:val="21"/>
          <w:szCs w:val="21"/>
        </w:rPr>
        <w:t>常进行。</w:t>
      </w:r>
    </w:p>
    <w:p w14:paraId="00974D14">
      <w:pPr>
        <w:spacing w:line="231" w:lineRule="auto"/>
        <w:ind w:left="141"/>
        <w:outlineLvl w:val="2"/>
        <w:rPr>
          <w:rFonts w:ascii="黑体" w:hAnsi="黑体" w:eastAsia="黑体" w:cs="黑体"/>
          <w:sz w:val="24"/>
          <w:szCs w:val="24"/>
        </w:rPr>
      </w:pPr>
      <w:bookmarkStart w:id="97" w:name="bookmark76"/>
      <w:bookmarkEnd w:id="97"/>
      <w:r>
        <w:rPr>
          <w:rFonts w:ascii="Times New Roman" w:hAnsi="Times New Roman" w:eastAsia="Times New Roman" w:cs="Times New Roman"/>
          <w:spacing w:val="-3"/>
          <w:sz w:val="24"/>
          <w:szCs w:val="24"/>
        </w:rPr>
        <w:t>9.5</w:t>
      </w:r>
      <w:r>
        <w:rPr>
          <w:rFonts w:ascii="Times New Roman" w:hAnsi="Times New Roman" w:eastAsia="Times New Roman" w:cs="Times New Roman"/>
          <w:spacing w:val="4"/>
          <w:sz w:val="24"/>
          <w:szCs w:val="24"/>
        </w:rPr>
        <w:t xml:space="preserve">  </w:t>
      </w:r>
      <w:r>
        <w:rPr>
          <w:rFonts w:ascii="黑体" w:hAnsi="黑体" w:eastAsia="黑体" w:cs="黑体"/>
          <w:spacing w:val="-3"/>
          <w:sz w:val="24"/>
          <w:szCs w:val="24"/>
        </w:rPr>
        <w:t>投诉</w:t>
      </w:r>
    </w:p>
    <w:p w14:paraId="2C875EB8">
      <w:pPr>
        <w:spacing w:before="84" w:line="220" w:lineRule="auto"/>
        <w:ind w:left="443"/>
        <w:rPr>
          <w:rFonts w:ascii="宋体" w:hAnsi="宋体" w:eastAsia="宋体" w:cs="宋体"/>
          <w:sz w:val="21"/>
          <w:szCs w:val="21"/>
        </w:rPr>
      </w:pPr>
      <w:r>
        <w:rPr>
          <w:rFonts w:ascii="宋体" w:hAnsi="宋体" w:eastAsia="宋体" w:cs="宋体"/>
          <w:spacing w:val="-1"/>
          <w:sz w:val="21"/>
          <w:szCs w:val="21"/>
        </w:rPr>
        <w:t>本次招标投标活动及其相关当事人应当接受有关行政监督部门依法实施的监督。</w:t>
      </w:r>
    </w:p>
    <w:p w14:paraId="10CD7975">
      <w:pPr>
        <w:spacing w:before="110" w:line="314" w:lineRule="auto"/>
        <w:ind w:left="21" w:right="165" w:firstLine="423"/>
        <w:rPr>
          <w:rFonts w:ascii="宋体" w:hAnsi="宋体" w:eastAsia="宋体" w:cs="宋体"/>
          <w:sz w:val="21"/>
          <w:szCs w:val="21"/>
        </w:rPr>
      </w:pPr>
      <w:r>
        <w:rPr>
          <w:rFonts w:ascii="宋体" w:hAnsi="宋体" w:eastAsia="宋体" w:cs="宋体"/>
          <w:spacing w:val="3"/>
          <w:sz w:val="21"/>
          <w:szCs w:val="21"/>
        </w:rPr>
        <w:t>投标人和其他利害关系人认为本次招标活动违反法律、法规和规章规定</w:t>
      </w:r>
      <w:r>
        <w:rPr>
          <w:rFonts w:ascii="宋体" w:hAnsi="宋体" w:eastAsia="宋体" w:cs="宋体"/>
          <w:spacing w:val="2"/>
          <w:sz w:val="21"/>
          <w:szCs w:val="21"/>
        </w:rPr>
        <w:t>的，有权自知</w:t>
      </w:r>
      <w:r>
        <w:rPr>
          <w:rFonts w:ascii="宋体" w:hAnsi="宋体" w:eastAsia="宋体" w:cs="宋体"/>
          <w:spacing w:val="-2"/>
          <w:sz w:val="21"/>
          <w:szCs w:val="21"/>
        </w:rPr>
        <w:t>道或者应当知道之日起</w:t>
      </w:r>
      <w:r>
        <w:rPr>
          <w:rFonts w:ascii="宋体" w:hAnsi="宋体" w:eastAsia="宋体" w:cs="宋体"/>
          <w:spacing w:val="-11"/>
          <w:sz w:val="21"/>
          <w:szCs w:val="21"/>
        </w:rPr>
        <w:t xml:space="preserve"> </w:t>
      </w:r>
      <w:r>
        <w:rPr>
          <w:rFonts w:ascii="Times New Roman" w:hAnsi="Times New Roman" w:eastAsia="Times New Roman" w:cs="Times New Roman"/>
          <w:spacing w:val="-2"/>
          <w:sz w:val="21"/>
          <w:szCs w:val="21"/>
        </w:rPr>
        <w:t>10</w:t>
      </w:r>
      <w:r>
        <w:rPr>
          <w:rFonts w:ascii="Times New Roman" w:hAnsi="Times New Roman" w:eastAsia="Times New Roman" w:cs="Times New Roman"/>
          <w:spacing w:val="47"/>
          <w:w w:val="101"/>
          <w:sz w:val="21"/>
          <w:szCs w:val="21"/>
        </w:rPr>
        <w:t xml:space="preserve"> </w:t>
      </w:r>
      <w:r>
        <w:rPr>
          <w:rFonts w:ascii="宋体" w:hAnsi="宋体" w:eastAsia="宋体" w:cs="宋体"/>
          <w:spacing w:val="-2"/>
          <w:sz w:val="21"/>
          <w:szCs w:val="21"/>
        </w:rPr>
        <w:t>日内向有关行政监督部门投诉，其中对招标文件的内容（包括招</w:t>
      </w:r>
      <w:r>
        <w:rPr>
          <w:rFonts w:ascii="宋体" w:hAnsi="宋体" w:eastAsia="宋体" w:cs="宋体"/>
          <w:spacing w:val="-3"/>
          <w:sz w:val="21"/>
          <w:szCs w:val="21"/>
        </w:rPr>
        <w:t>标控制价）、开标、评标结果进行投诉的，应当按本章第</w:t>
      </w:r>
      <w:r>
        <w:rPr>
          <w:rFonts w:ascii="宋体" w:hAnsi="宋体" w:eastAsia="宋体" w:cs="宋体"/>
          <w:spacing w:val="-47"/>
          <w:sz w:val="21"/>
          <w:szCs w:val="21"/>
        </w:rPr>
        <w:t xml:space="preserve"> </w:t>
      </w:r>
      <w:r>
        <w:rPr>
          <w:rFonts w:ascii="Times New Roman" w:hAnsi="Times New Roman" w:eastAsia="Times New Roman" w:cs="Times New Roman"/>
          <w:spacing w:val="-3"/>
          <w:sz w:val="21"/>
          <w:szCs w:val="21"/>
        </w:rPr>
        <w:t xml:space="preserve">2.4 </w:t>
      </w:r>
      <w:r>
        <w:rPr>
          <w:rFonts w:ascii="宋体" w:hAnsi="宋体" w:eastAsia="宋体" w:cs="宋体"/>
          <w:spacing w:val="-3"/>
          <w:sz w:val="21"/>
          <w:szCs w:val="21"/>
        </w:rPr>
        <w:t>款、第</w:t>
      </w:r>
      <w:r>
        <w:rPr>
          <w:rFonts w:ascii="宋体" w:hAnsi="宋体" w:eastAsia="宋体" w:cs="宋体"/>
          <w:spacing w:val="-42"/>
          <w:sz w:val="21"/>
          <w:szCs w:val="21"/>
        </w:rPr>
        <w:t xml:space="preserve"> </w:t>
      </w:r>
      <w:r>
        <w:rPr>
          <w:rFonts w:ascii="Times New Roman" w:hAnsi="Times New Roman" w:eastAsia="Times New Roman" w:cs="Times New Roman"/>
          <w:spacing w:val="-3"/>
          <w:sz w:val="21"/>
          <w:szCs w:val="21"/>
        </w:rPr>
        <w:t>3.</w:t>
      </w:r>
      <w:r>
        <w:rPr>
          <w:rFonts w:ascii="Times New Roman" w:hAnsi="Times New Roman" w:eastAsia="Times New Roman" w:cs="Times New Roman"/>
          <w:spacing w:val="-4"/>
          <w:sz w:val="21"/>
          <w:szCs w:val="21"/>
        </w:rPr>
        <w:t>2.3</w:t>
      </w:r>
      <w:r>
        <w:rPr>
          <w:rFonts w:ascii="Times New Roman" w:hAnsi="Times New Roman" w:eastAsia="Times New Roman" w:cs="Times New Roman"/>
          <w:spacing w:val="15"/>
          <w:sz w:val="21"/>
          <w:szCs w:val="21"/>
        </w:rPr>
        <w:t xml:space="preserve"> </w:t>
      </w:r>
      <w:r>
        <w:rPr>
          <w:rFonts w:ascii="宋体" w:hAnsi="宋体" w:eastAsia="宋体" w:cs="宋体"/>
          <w:spacing w:val="-4"/>
          <w:sz w:val="21"/>
          <w:szCs w:val="21"/>
        </w:rPr>
        <w:t>项、第</w:t>
      </w:r>
      <w:r>
        <w:rPr>
          <w:rFonts w:ascii="宋体" w:hAnsi="宋体" w:eastAsia="宋体" w:cs="宋体"/>
          <w:spacing w:val="-40"/>
          <w:sz w:val="21"/>
          <w:szCs w:val="21"/>
        </w:rPr>
        <w:t xml:space="preserve"> </w:t>
      </w:r>
      <w:r>
        <w:rPr>
          <w:rFonts w:ascii="Times New Roman" w:hAnsi="Times New Roman" w:eastAsia="Times New Roman" w:cs="Times New Roman"/>
          <w:spacing w:val="-4"/>
          <w:sz w:val="21"/>
          <w:szCs w:val="21"/>
        </w:rPr>
        <w:t xml:space="preserve">5.3 </w:t>
      </w:r>
      <w:r>
        <w:rPr>
          <w:rFonts w:ascii="宋体" w:hAnsi="宋体" w:eastAsia="宋体" w:cs="宋体"/>
          <w:spacing w:val="-4"/>
          <w:sz w:val="21"/>
          <w:szCs w:val="21"/>
        </w:rPr>
        <w:t>款、第</w:t>
      </w:r>
      <w:r>
        <w:rPr>
          <w:rFonts w:ascii="Times New Roman" w:hAnsi="Times New Roman" w:eastAsia="Times New Roman" w:cs="Times New Roman"/>
          <w:sz w:val="21"/>
          <w:szCs w:val="21"/>
        </w:rPr>
        <w:t>6.4</w:t>
      </w:r>
      <w:r>
        <w:rPr>
          <w:rFonts w:ascii="Times New Roman" w:hAnsi="Times New Roman" w:eastAsia="Times New Roman" w:cs="Times New Roman"/>
          <w:spacing w:val="19"/>
          <w:sz w:val="21"/>
          <w:szCs w:val="21"/>
        </w:rPr>
        <w:t xml:space="preserve"> </w:t>
      </w:r>
      <w:r>
        <w:rPr>
          <w:rFonts w:ascii="宋体" w:hAnsi="宋体" w:eastAsia="宋体" w:cs="宋体"/>
          <w:sz w:val="21"/>
          <w:szCs w:val="21"/>
        </w:rPr>
        <w:t>款的规定先向招标人提出异议后，方可向有关行政监督部门投诉</w:t>
      </w:r>
      <w:r>
        <w:rPr>
          <w:rFonts w:ascii="宋体" w:hAnsi="宋体" w:eastAsia="宋体" w:cs="宋体"/>
          <w:spacing w:val="-1"/>
          <w:sz w:val="21"/>
          <w:szCs w:val="21"/>
        </w:rPr>
        <w:t>，异议答复期不计算在</w:t>
      </w:r>
      <w:r>
        <w:rPr>
          <w:rFonts w:ascii="宋体" w:hAnsi="宋体" w:eastAsia="宋体" w:cs="宋体"/>
          <w:spacing w:val="-2"/>
          <w:sz w:val="21"/>
          <w:szCs w:val="21"/>
        </w:rPr>
        <w:t>规定的投诉时效期限内。</w:t>
      </w:r>
    </w:p>
    <w:p w14:paraId="35D2B1BE">
      <w:pPr>
        <w:spacing w:before="16" w:line="316" w:lineRule="auto"/>
        <w:ind w:left="40" w:right="180" w:firstLine="405"/>
        <w:rPr>
          <w:rFonts w:ascii="宋体" w:hAnsi="宋体" w:eastAsia="宋体" w:cs="宋体"/>
          <w:sz w:val="21"/>
          <w:szCs w:val="21"/>
        </w:rPr>
      </w:pPr>
      <w:r>
        <w:rPr>
          <w:rFonts w:ascii="宋体" w:hAnsi="宋体" w:eastAsia="宋体" w:cs="宋体"/>
          <w:spacing w:val="3"/>
          <w:sz w:val="21"/>
          <w:szCs w:val="21"/>
        </w:rPr>
        <w:t>投标人和其他利害关系人的投诉应按照《工程建设</w:t>
      </w:r>
      <w:r>
        <w:rPr>
          <w:rFonts w:ascii="宋体" w:hAnsi="宋体" w:eastAsia="宋体" w:cs="宋体"/>
          <w:spacing w:val="2"/>
          <w:sz w:val="21"/>
          <w:szCs w:val="21"/>
        </w:rPr>
        <w:t>项目招标投标活动投诉处理办法》</w:t>
      </w:r>
      <w:r>
        <w:rPr>
          <w:rFonts w:ascii="宋体" w:hAnsi="宋体" w:eastAsia="宋体" w:cs="宋体"/>
          <w:spacing w:val="-4"/>
          <w:sz w:val="21"/>
          <w:szCs w:val="21"/>
        </w:rPr>
        <w:t>的规定进行。</w:t>
      </w:r>
    </w:p>
    <w:p w14:paraId="5C452BE8">
      <w:pPr>
        <w:spacing w:before="1" w:line="219" w:lineRule="auto"/>
        <w:ind w:left="443"/>
        <w:rPr>
          <w:rFonts w:ascii="宋体" w:hAnsi="宋体" w:eastAsia="宋体" w:cs="宋体"/>
          <w:sz w:val="21"/>
          <w:szCs w:val="21"/>
        </w:rPr>
      </w:pPr>
      <w:r>
        <w:rPr>
          <w:rFonts w:ascii="宋体" w:hAnsi="宋体" w:eastAsia="宋体" w:cs="宋体"/>
          <w:spacing w:val="-1"/>
          <w:sz w:val="21"/>
          <w:szCs w:val="21"/>
        </w:rPr>
        <w:t>有关行政监督部门的联系方式见投标人须知前附表。</w:t>
      </w:r>
    </w:p>
    <w:p w14:paraId="725BBDB5">
      <w:pPr>
        <w:spacing w:line="219" w:lineRule="auto"/>
        <w:rPr>
          <w:rFonts w:ascii="宋体" w:hAnsi="宋体" w:eastAsia="宋体" w:cs="宋体"/>
          <w:sz w:val="21"/>
          <w:szCs w:val="21"/>
        </w:rPr>
        <w:sectPr>
          <w:footerReference r:id="rId36" w:type="default"/>
          <w:pgSz w:w="11905" w:h="16843"/>
          <w:pgMar w:top="969" w:right="1355" w:bottom="1026" w:left="1480" w:header="0" w:footer="754" w:gutter="0"/>
          <w:cols w:space="0" w:num="1"/>
          <w:rtlGutter w:val="0"/>
          <w:docGrid w:linePitch="0" w:charSpace="0"/>
        </w:sectPr>
      </w:pPr>
    </w:p>
    <w:p w14:paraId="26E698D2">
      <w:pPr>
        <w:spacing w:before="60" w:line="234" w:lineRule="auto"/>
        <w:ind w:left="47"/>
        <w:outlineLvl w:val="1"/>
        <w:rPr>
          <w:rFonts w:ascii="黑体" w:hAnsi="黑体" w:eastAsia="黑体" w:cs="黑体"/>
          <w:sz w:val="28"/>
          <w:szCs w:val="28"/>
        </w:rPr>
      </w:pPr>
      <w:bookmarkStart w:id="98" w:name="bookmark77"/>
      <w:bookmarkEnd w:id="98"/>
      <w:r>
        <w:rPr>
          <w:rFonts w:ascii="Times New Roman" w:hAnsi="Times New Roman" w:eastAsia="Times New Roman" w:cs="Times New Roman"/>
          <w:spacing w:val="-3"/>
          <w:sz w:val="28"/>
          <w:szCs w:val="28"/>
        </w:rPr>
        <w:t xml:space="preserve">10.  </w:t>
      </w:r>
      <w:r>
        <w:rPr>
          <w:rFonts w:ascii="黑体" w:hAnsi="黑体" w:eastAsia="黑体" w:cs="黑体"/>
          <w:spacing w:val="-3"/>
          <w:sz w:val="28"/>
          <w:szCs w:val="28"/>
        </w:rPr>
        <w:t>需要补充的其他内容</w:t>
      </w:r>
    </w:p>
    <w:p w14:paraId="6EE3FC64">
      <w:pPr>
        <w:spacing w:before="40" w:line="233" w:lineRule="auto"/>
        <w:ind w:left="160"/>
        <w:outlineLvl w:val="2"/>
        <w:rPr>
          <w:rFonts w:ascii="黑体" w:hAnsi="黑体" w:eastAsia="黑体" w:cs="黑体"/>
          <w:sz w:val="24"/>
          <w:szCs w:val="24"/>
        </w:rPr>
      </w:pPr>
      <w:bookmarkStart w:id="99" w:name="bookmark78"/>
      <w:bookmarkEnd w:id="99"/>
      <w:r>
        <w:rPr>
          <w:rFonts w:ascii="Times New Roman" w:hAnsi="Times New Roman" w:eastAsia="Times New Roman" w:cs="Times New Roman"/>
          <w:spacing w:val="-5"/>
          <w:sz w:val="24"/>
          <w:szCs w:val="24"/>
        </w:rPr>
        <w:t>10.1</w:t>
      </w:r>
      <w:r>
        <w:rPr>
          <w:rFonts w:ascii="Times New Roman" w:hAnsi="Times New Roman" w:eastAsia="Times New Roman" w:cs="Times New Roman"/>
          <w:spacing w:val="6"/>
          <w:sz w:val="24"/>
          <w:szCs w:val="24"/>
        </w:rPr>
        <w:t xml:space="preserve">  </w:t>
      </w:r>
      <w:r>
        <w:rPr>
          <w:rFonts w:ascii="黑体" w:hAnsi="黑体" w:eastAsia="黑体" w:cs="黑体"/>
          <w:spacing w:val="-5"/>
          <w:sz w:val="24"/>
          <w:szCs w:val="24"/>
        </w:rPr>
        <w:t>词语定义</w:t>
      </w:r>
    </w:p>
    <w:p w14:paraId="3313EE35">
      <w:pPr>
        <w:spacing w:before="81" w:line="220" w:lineRule="auto"/>
        <w:ind w:left="444"/>
        <w:rPr>
          <w:rFonts w:ascii="宋体" w:hAnsi="宋体" w:eastAsia="宋体" w:cs="宋体"/>
          <w:sz w:val="21"/>
          <w:szCs w:val="21"/>
        </w:rPr>
      </w:pPr>
      <w:r>
        <w:rPr>
          <w:rFonts w:ascii="宋体" w:hAnsi="宋体" w:eastAsia="宋体" w:cs="宋体"/>
          <w:spacing w:val="-1"/>
          <w:sz w:val="21"/>
          <w:szCs w:val="21"/>
        </w:rPr>
        <w:t>词语定义规定：见投标人须知前附表。</w:t>
      </w:r>
    </w:p>
    <w:p w14:paraId="14B2E50A">
      <w:pPr>
        <w:spacing w:before="84" w:line="233" w:lineRule="auto"/>
        <w:ind w:left="160"/>
        <w:outlineLvl w:val="2"/>
        <w:rPr>
          <w:rFonts w:ascii="黑体" w:hAnsi="黑体" w:eastAsia="黑体" w:cs="黑体"/>
          <w:sz w:val="24"/>
          <w:szCs w:val="24"/>
        </w:rPr>
      </w:pPr>
      <w:bookmarkStart w:id="100" w:name="bookmark79"/>
      <w:bookmarkEnd w:id="100"/>
      <w:r>
        <w:rPr>
          <w:rFonts w:ascii="Times New Roman" w:hAnsi="Times New Roman" w:eastAsia="Times New Roman" w:cs="Times New Roman"/>
          <w:spacing w:val="-5"/>
          <w:sz w:val="24"/>
          <w:szCs w:val="24"/>
        </w:rPr>
        <w:t>10.2</w:t>
      </w:r>
      <w:r>
        <w:rPr>
          <w:rFonts w:ascii="Times New Roman" w:hAnsi="Times New Roman" w:eastAsia="Times New Roman" w:cs="Times New Roman"/>
          <w:spacing w:val="17"/>
          <w:sz w:val="24"/>
          <w:szCs w:val="24"/>
        </w:rPr>
        <w:t xml:space="preserve">  </w:t>
      </w:r>
      <w:r>
        <w:rPr>
          <w:rFonts w:ascii="黑体" w:hAnsi="黑体" w:eastAsia="黑体" w:cs="黑体"/>
          <w:spacing w:val="-5"/>
          <w:sz w:val="24"/>
          <w:szCs w:val="24"/>
        </w:rPr>
        <w:t>中标人的投标文件</w:t>
      </w:r>
    </w:p>
    <w:p w14:paraId="34E5CF54">
      <w:pPr>
        <w:spacing w:before="82" w:line="220" w:lineRule="auto"/>
        <w:ind w:left="462"/>
        <w:rPr>
          <w:rFonts w:ascii="宋体" w:hAnsi="宋体" w:eastAsia="宋体" w:cs="宋体"/>
          <w:sz w:val="21"/>
          <w:szCs w:val="21"/>
        </w:rPr>
      </w:pPr>
      <w:r>
        <w:rPr>
          <w:rFonts w:ascii="宋体" w:hAnsi="宋体" w:eastAsia="宋体" w:cs="宋体"/>
          <w:spacing w:val="2"/>
          <w:sz w:val="21"/>
          <w:szCs w:val="21"/>
        </w:rPr>
        <w:t>中标人在签订合同前须向招标人另行提交的纸质投标文件</w:t>
      </w:r>
      <w:r>
        <w:rPr>
          <w:rFonts w:ascii="宋体" w:hAnsi="宋体" w:eastAsia="宋体" w:cs="宋体"/>
          <w:spacing w:val="1"/>
          <w:sz w:val="21"/>
          <w:szCs w:val="21"/>
        </w:rPr>
        <w:t>份数：见投标人须知前附表。</w:t>
      </w:r>
    </w:p>
    <w:p w14:paraId="7FAA5DE6">
      <w:pPr>
        <w:spacing w:before="85" w:line="233" w:lineRule="auto"/>
        <w:ind w:left="160"/>
        <w:outlineLvl w:val="2"/>
        <w:rPr>
          <w:rFonts w:ascii="黑体" w:hAnsi="黑体" w:eastAsia="黑体" w:cs="黑体"/>
          <w:sz w:val="24"/>
          <w:szCs w:val="24"/>
        </w:rPr>
      </w:pPr>
      <w:bookmarkStart w:id="101" w:name="bookmark80"/>
      <w:bookmarkEnd w:id="101"/>
      <w:r>
        <w:rPr>
          <w:rFonts w:ascii="Times New Roman" w:hAnsi="Times New Roman" w:eastAsia="Times New Roman" w:cs="Times New Roman"/>
          <w:spacing w:val="-6"/>
          <w:sz w:val="24"/>
          <w:szCs w:val="24"/>
        </w:rPr>
        <w:t>10.3</w:t>
      </w:r>
      <w:r>
        <w:rPr>
          <w:rFonts w:ascii="Times New Roman" w:hAnsi="Times New Roman" w:eastAsia="Times New Roman" w:cs="Times New Roman"/>
          <w:spacing w:val="11"/>
          <w:sz w:val="24"/>
          <w:szCs w:val="24"/>
        </w:rPr>
        <w:t xml:space="preserve">  </w:t>
      </w:r>
      <w:r>
        <w:rPr>
          <w:rFonts w:ascii="黑体" w:hAnsi="黑体" w:eastAsia="黑体" w:cs="黑体"/>
          <w:spacing w:val="-6"/>
          <w:sz w:val="24"/>
          <w:szCs w:val="24"/>
        </w:rPr>
        <w:t>知识产权</w:t>
      </w:r>
    </w:p>
    <w:p w14:paraId="22407FF1">
      <w:pPr>
        <w:spacing w:before="83" w:line="309" w:lineRule="auto"/>
        <w:ind w:left="24" w:right="319" w:firstLine="420"/>
        <w:jc w:val="both"/>
        <w:rPr>
          <w:rFonts w:ascii="宋体" w:hAnsi="宋体" w:eastAsia="宋体" w:cs="宋体"/>
          <w:sz w:val="21"/>
          <w:szCs w:val="21"/>
        </w:rPr>
      </w:pPr>
      <w:r>
        <w:rPr>
          <w:rFonts w:ascii="宋体" w:hAnsi="宋体" w:eastAsia="宋体" w:cs="宋体"/>
          <w:spacing w:val="3"/>
          <w:sz w:val="21"/>
          <w:szCs w:val="21"/>
        </w:rPr>
        <w:t>构成本招标文件各个组成部分的文件，未经招标人书面同意，投标人不</w:t>
      </w:r>
      <w:r>
        <w:rPr>
          <w:rFonts w:ascii="宋体" w:hAnsi="宋体" w:eastAsia="宋体" w:cs="宋体"/>
          <w:spacing w:val="2"/>
          <w:sz w:val="21"/>
          <w:szCs w:val="21"/>
        </w:rPr>
        <w:t>得擅自复印和</w:t>
      </w:r>
      <w:r>
        <w:rPr>
          <w:rFonts w:ascii="宋体" w:hAnsi="宋体" w:eastAsia="宋体" w:cs="宋体"/>
          <w:spacing w:val="3"/>
          <w:sz w:val="21"/>
          <w:szCs w:val="21"/>
        </w:rPr>
        <w:t>用于非本招标项目所需的其他目的。招标人全部或者</w:t>
      </w:r>
      <w:r>
        <w:rPr>
          <w:rFonts w:ascii="宋体" w:hAnsi="宋体" w:eastAsia="宋体" w:cs="宋体"/>
          <w:spacing w:val="2"/>
          <w:sz w:val="21"/>
          <w:szCs w:val="21"/>
        </w:rPr>
        <w:t>部分使用未中标人投标文件中的技术</w:t>
      </w:r>
      <w:r>
        <w:rPr>
          <w:rFonts w:ascii="宋体" w:hAnsi="宋体" w:eastAsia="宋体" w:cs="宋体"/>
          <w:spacing w:val="-1"/>
          <w:sz w:val="21"/>
          <w:szCs w:val="21"/>
        </w:rPr>
        <w:t>成果或技术方案时，需征得其书面同意，并不得擅自复印或提供给第三人。</w:t>
      </w:r>
    </w:p>
    <w:p w14:paraId="3EEF6A2B">
      <w:pPr>
        <w:spacing w:line="233" w:lineRule="auto"/>
        <w:ind w:left="160"/>
        <w:outlineLvl w:val="2"/>
        <w:rPr>
          <w:rFonts w:ascii="黑体" w:hAnsi="黑体" w:eastAsia="黑体" w:cs="黑体"/>
          <w:sz w:val="24"/>
          <w:szCs w:val="24"/>
        </w:rPr>
      </w:pPr>
      <w:bookmarkStart w:id="102" w:name="bookmark81"/>
      <w:bookmarkEnd w:id="102"/>
      <w:r>
        <w:rPr>
          <w:rFonts w:ascii="Times New Roman" w:hAnsi="Times New Roman" w:eastAsia="Times New Roman" w:cs="Times New Roman"/>
          <w:spacing w:val="-6"/>
          <w:sz w:val="24"/>
          <w:szCs w:val="24"/>
        </w:rPr>
        <w:t>10.4</w:t>
      </w:r>
      <w:r>
        <w:rPr>
          <w:rFonts w:ascii="Times New Roman" w:hAnsi="Times New Roman" w:eastAsia="Times New Roman" w:cs="Times New Roman"/>
          <w:spacing w:val="12"/>
          <w:sz w:val="24"/>
          <w:szCs w:val="24"/>
        </w:rPr>
        <w:t xml:space="preserve">  </w:t>
      </w:r>
      <w:r>
        <w:rPr>
          <w:rFonts w:ascii="黑体" w:hAnsi="黑体" w:eastAsia="黑体" w:cs="黑体"/>
          <w:spacing w:val="-6"/>
          <w:sz w:val="24"/>
          <w:szCs w:val="24"/>
        </w:rPr>
        <w:t>同义词语</w:t>
      </w:r>
    </w:p>
    <w:p w14:paraId="7465668B">
      <w:pPr>
        <w:spacing w:before="82" w:line="220" w:lineRule="auto"/>
        <w:ind w:left="445"/>
        <w:rPr>
          <w:rFonts w:ascii="宋体" w:hAnsi="宋体" w:eastAsia="宋体" w:cs="宋体"/>
          <w:sz w:val="21"/>
          <w:szCs w:val="21"/>
        </w:rPr>
      </w:pPr>
      <w:r>
        <w:rPr>
          <w:rFonts w:ascii="宋体" w:hAnsi="宋体" w:eastAsia="宋体" w:cs="宋体"/>
          <w:spacing w:val="-8"/>
          <w:sz w:val="21"/>
          <w:szCs w:val="21"/>
        </w:rPr>
        <w:t>构成招标文件组成部分的“通用合同条款”、“专用合同条款”、“发包</w:t>
      </w:r>
      <w:r>
        <w:rPr>
          <w:rFonts w:ascii="宋体" w:hAnsi="宋体" w:eastAsia="宋体" w:cs="宋体"/>
          <w:spacing w:val="-9"/>
          <w:sz w:val="21"/>
          <w:szCs w:val="21"/>
        </w:rPr>
        <w:t>人要求”等章节</w:t>
      </w:r>
    </w:p>
    <w:p w14:paraId="46617166">
      <w:pPr>
        <w:spacing w:before="109" w:line="306" w:lineRule="auto"/>
        <w:ind w:left="21" w:firstLine="21"/>
        <w:rPr>
          <w:rFonts w:ascii="宋体" w:hAnsi="宋体" w:eastAsia="宋体" w:cs="宋体"/>
          <w:sz w:val="21"/>
          <w:szCs w:val="21"/>
        </w:rPr>
      </w:pPr>
      <w:r>
        <w:rPr>
          <w:rFonts w:ascii="宋体" w:hAnsi="宋体" w:eastAsia="宋体" w:cs="宋体"/>
          <w:sz w:val="21"/>
          <w:szCs w:val="21"/>
        </w:rPr>
        <w:t>中出现的措辞“发包人”和“承包人”，在招标投标阶段应当</w:t>
      </w:r>
      <w:r>
        <w:rPr>
          <w:rFonts w:ascii="宋体" w:hAnsi="宋体" w:eastAsia="宋体" w:cs="宋体"/>
          <w:spacing w:val="-1"/>
          <w:sz w:val="21"/>
          <w:szCs w:val="21"/>
        </w:rPr>
        <w:t>分别按“招标人”和“投标人”</w:t>
      </w:r>
      <w:r>
        <w:rPr>
          <w:rFonts w:ascii="宋体" w:hAnsi="宋体" w:eastAsia="宋体" w:cs="宋体"/>
          <w:spacing w:val="-4"/>
          <w:sz w:val="21"/>
          <w:szCs w:val="21"/>
        </w:rPr>
        <w:t>进行理解。</w:t>
      </w:r>
    </w:p>
    <w:p w14:paraId="0D7E2334">
      <w:pPr>
        <w:spacing w:line="233" w:lineRule="auto"/>
        <w:ind w:left="160"/>
        <w:outlineLvl w:val="2"/>
        <w:rPr>
          <w:rFonts w:ascii="黑体" w:hAnsi="黑体" w:eastAsia="黑体" w:cs="黑体"/>
          <w:sz w:val="24"/>
          <w:szCs w:val="24"/>
        </w:rPr>
      </w:pPr>
      <w:bookmarkStart w:id="103" w:name="bookmark82"/>
      <w:bookmarkEnd w:id="103"/>
      <w:r>
        <w:rPr>
          <w:rFonts w:ascii="Times New Roman" w:hAnsi="Times New Roman" w:eastAsia="Times New Roman" w:cs="Times New Roman"/>
          <w:spacing w:val="-3"/>
          <w:sz w:val="24"/>
          <w:szCs w:val="24"/>
        </w:rPr>
        <w:t xml:space="preserve">10.5  </w:t>
      </w:r>
      <w:r>
        <w:rPr>
          <w:rFonts w:ascii="黑体" w:hAnsi="黑体" w:eastAsia="黑体" w:cs="黑体"/>
          <w:spacing w:val="-3"/>
          <w:sz w:val="24"/>
          <w:szCs w:val="24"/>
        </w:rPr>
        <w:t>解释权</w:t>
      </w:r>
    </w:p>
    <w:p w14:paraId="56C43B09">
      <w:pPr>
        <w:spacing w:before="81" w:line="313" w:lineRule="auto"/>
        <w:ind w:left="23" w:right="148" w:firstLine="421"/>
        <w:jc w:val="both"/>
        <w:rPr>
          <w:rFonts w:ascii="宋体" w:hAnsi="宋体" w:eastAsia="宋体" w:cs="宋体"/>
          <w:sz w:val="21"/>
          <w:szCs w:val="21"/>
        </w:rPr>
      </w:pPr>
      <w:r>
        <w:rPr>
          <w:rFonts w:ascii="宋体" w:hAnsi="宋体" w:eastAsia="宋体" w:cs="宋体"/>
          <w:spacing w:val="3"/>
          <w:sz w:val="21"/>
          <w:szCs w:val="21"/>
        </w:rPr>
        <w:t>构成本招标文件的各个组成文件应互为解释，互为说明；如有不明确或</w:t>
      </w:r>
      <w:r>
        <w:rPr>
          <w:rFonts w:ascii="宋体" w:hAnsi="宋体" w:eastAsia="宋体" w:cs="宋体"/>
          <w:spacing w:val="2"/>
          <w:sz w:val="21"/>
          <w:szCs w:val="21"/>
        </w:rPr>
        <w:t>不一致，构成</w:t>
      </w:r>
      <w:r>
        <w:rPr>
          <w:rFonts w:ascii="宋体" w:hAnsi="宋体" w:eastAsia="宋体" w:cs="宋体"/>
          <w:spacing w:val="3"/>
          <w:sz w:val="21"/>
          <w:szCs w:val="21"/>
        </w:rPr>
        <w:t>合同文件组成内容的，以合同文件约定内容为准，且以</w:t>
      </w:r>
      <w:r>
        <w:rPr>
          <w:rFonts w:ascii="宋体" w:hAnsi="宋体" w:eastAsia="宋体" w:cs="宋体"/>
          <w:spacing w:val="2"/>
          <w:sz w:val="21"/>
          <w:szCs w:val="21"/>
        </w:rPr>
        <w:t>专用合同条款约定的合同文件优先顺序解释；除招标文件中有特别规定外，仅适用于招标投标阶段的规定，按招标公告（投</w:t>
      </w:r>
      <w:r>
        <w:rPr>
          <w:rFonts w:ascii="宋体" w:hAnsi="宋体" w:eastAsia="宋体" w:cs="宋体"/>
          <w:spacing w:val="-2"/>
          <w:sz w:val="21"/>
          <w:szCs w:val="21"/>
        </w:rPr>
        <w:t>标邀请书）、投标人须知、评标办法、投标文件格</w:t>
      </w:r>
      <w:r>
        <w:rPr>
          <w:rFonts w:ascii="宋体" w:hAnsi="宋体" w:eastAsia="宋体" w:cs="宋体"/>
          <w:spacing w:val="-3"/>
          <w:sz w:val="21"/>
          <w:szCs w:val="21"/>
        </w:rPr>
        <w:t>式的先后顺序解释；同一组成文件中就同</w:t>
      </w:r>
      <w:r>
        <w:rPr>
          <w:rFonts w:ascii="宋体" w:hAnsi="宋体" w:eastAsia="宋体" w:cs="宋体"/>
          <w:spacing w:val="3"/>
          <w:sz w:val="21"/>
          <w:szCs w:val="21"/>
        </w:rPr>
        <w:t>一事项的规定或约定不一致的，以编排顺序在后者为准</w:t>
      </w:r>
      <w:r>
        <w:rPr>
          <w:rFonts w:ascii="宋体" w:hAnsi="宋体" w:eastAsia="宋体" w:cs="宋体"/>
          <w:spacing w:val="2"/>
          <w:sz w:val="21"/>
          <w:szCs w:val="21"/>
        </w:rPr>
        <w:t>；同一组成文件不同版本之间有不一致的，以形成时间在后者为准。按本款前述规定仍不能形成</w:t>
      </w:r>
      <w:r>
        <w:rPr>
          <w:rFonts w:ascii="宋体" w:hAnsi="宋体" w:eastAsia="宋体" w:cs="宋体"/>
          <w:spacing w:val="1"/>
          <w:sz w:val="21"/>
          <w:szCs w:val="21"/>
        </w:rPr>
        <w:t>结论的，由招标人负责解释。</w:t>
      </w:r>
    </w:p>
    <w:p w14:paraId="23CB66F7">
      <w:pPr>
        <w:spacing w:before="1" w:line="231" w:lineRule="auto"/>
        <w:ind w:left="160"/>
        <w:outlineLvl w:val="2"/>
        <w:rPr>
          <w:rFonts w:ascii="黑体" w:hAnsi="黑体" w:eastAsia="黑体" w:cs="黑体"/>
          <w:sz w:val="24"/>
          <w:szCs w:val="24"/>
        </w:rPr>
      </w:pPr>
      <w:bookmarkStart w:id="104" w:name="bookmark84"/>
      <w:bookmarkEnd w:id="104"/>
      <w:r>
        <w:rPr>
          <w:rFonts w:ascii="Times New Roman" w:hAnsi="Times New Roman" w:eastAsia="Times New Roman" w:cs="Times New Roman"/>
          <w:spacing w:val="-3"/>
          <w:sz w:val="24"/>
          <w:szCs w:val="24"/>
        </w:rPr>
        <w:t xml:space="preserve">10.6  </w:t>
      </w:r>
      <w:r>
        <w:rPr>
          <w:rFonts w:ascii="黑体" w:hAnsi="黑体" w:eastAsia="黑体" w:cs="黑体"/>
          <w:spacing w:val="-3"/>
          <w:sz w:val="24"/>
          <w:szCs w:val="24"/>
        </w:rPr>
        <w:t>招标代理服务费</w:t>
      </w:r>
    </w:p>
    <w:p w14:paraId="6A1287EC">
      <w:pPr>
        <w:spacing w:before="83" w:line="220" w:lineRule="auto"/>
        <w:ind w:left="443"/>
        <w:rPr>
          <w:rFonts w:ascii="宋体" w:hAnsi="宋体" w:eastAsia="宋体" w:cs="宋体"/>
          <w:sz w:val="21"/>
          <w:szCs w:val="21"/>
        </w:rPr>
      </w:pPr>
      <w:r>
        <w:rPr>
          <w:rFonts w:ascii="宋体" w:hAnsi="宋体" w:eastAsia="宋体" w:cs="宋体"/>
          <w:spacing w:val="-1"/>
          <w:sz w:val="21"/>
          <w:szCs w:val="21"/>
        </w:rPr>
        <w:t>招标代理服务费收取约定：见投标人须知前附表。</w:t>
      </w:r>
    </w:p>
    <w:p w14:paraId="63112AB6">
      <w:pPr>
        <w:spacing w:before="86" w:line="233" w:lineRule="auto"/>
        <w:ind w:left="160"/>
        <w:outlineLvl w:val="2"/>
        <w:rPr>
          <w:rFonts w:ascii="黑体" w:hAnsi="黑体" w:eastAsia="黑体" w:cs="黑体"/>
          <w:sz w:val="24"/>
          <w:szCs w:val="24"/>
        </w:rPr>
      </w:pPr>
      <w:bookmarkStart w:id="105" w:name="bookmark85"/>
      <w:bookmarkEnd w:id="105"/>
      <w:r>
        <w:rPr>
          <w:rFonts w:ascii="Times New Roman" w:hAnsi="Times New Roman" w:eastAsia="Times New Roman" w:cs="Times New Roman"/>
          <w:spacing w:val="-2"/>
          <w:sz w:val="24"/>
          <w:szCs w:val="24"/>
        </w:rPr>
        <w:t xml:space="preserve">10.7  </w:t>
      </w:r>
      <w:r>
        <w:rPr>
          <w:rFonts w:ascii="黑体" w:hAnsi="黑体" w:eastAsia="黑体" w:cs="黑体"/>
          <w:spacing w:val="-2"/>
          <w:sz w:val="24"/>
          <w:szCs w:val="24"/>
        </w:rPr>
        <w:t>招标人补充的其他内容</w:t>
      </w:r>
    </w:p>
    <w:p w14:paraId="5DC94409">
      <w:pPr>
        <w:spacing w:before="81" w:line="220" w:lineRule="auto"/>
        <w:ind w:left="443"/>
        <w:rPr>
          <w:rFonts w:ascii="宋体" w:hAnsi="宋体" w:eastAsia="宋体" w:cs="宋体"/>
          <w:sz w:val="21"/>
          <w:szCs w:val="21"/>
        </w:rPr>
      </w:pPr>
      <w:r>
        <w:rPr>
          <w:rFonts w:ascii="宋体" w:hAnsi="宋体" w:eastAsia="宋体" w:cs="宋体"/>
          <w:spacing w:val="-1"/>
          <w:sz w:val="21"/>
          <w:szCs w:val="21"/>
        </w:rPr>
        <w:t>招标人补充的其他内容：见投标人须知前附表。</w:t>
      </w:r>
    </w:p>
    <w:p w14:paraId="3C9DA311">
      <w:pPr>
        <w:spacing w:line="220" w:lineRule="auto"/>
        <w:rPr>
          <w:rFonts w:ascii="宋体" w:hAnsi="宋体" w:eastAsia="宋体" w:cs="宋体"/>
          <w:sz w:val="21"/>
          <w:szCs w:val="21"/>
        </w:rPr>
        <w:sectPr>
          <w:footerReference r:id="rId37" w:type="default"/>
          <w:pgSz w:w="11905" w:h="16843"/>
          <w:pgMar w:top="969" w:right="1355" w:bottom="1026" w:left="1480" w:header="0" w:footer="754" w:gutter="0"/>
          <w:cols w:space="0" w:num="1"/>
          <w:rtlGutter w:val="0"/>
          <w:docGrid w:linePitch="0" w:charSpace="0"/>
        </w:sectPr>
      </w:pPr>
    </w:p>
    <w:p w14:paraId="719C620B">
      <w:pPr>
        <w:pStyle w:val="5"/>
        <w:spacing w:line="291" w:lineRule="auto"/>
      </w:pPr>
    </w:p>
    <w:p w14:paraId="2E70515E">
      <w:pPr>
        <w:pStyle w:val="5"/>
        <w:spacing w:line="291" w:lineRule="auto"/>
      </w:pPr>
    </w:p>
    <w:p w14:paraId="1674ADB0">
      <w:pPr>
        <w:spacing w:before="78" w:line="219" w:lineRule="auto"/>
        <w:ind w:left="37"/>
        <w:outlineLvl w:val="1"/>
        <w:rPr>
          <w:rFonts w:ascii="黑体" w:hAnsi="黑体" w:eastAsia="黑体" w:cs="黑体"/>
          <w:sz w:val="24"/>
          <w:szCs w:val="24"/>
        </w:rPr>
      </w:pPr>
      <w:bookmarkStart w:id="106" w:name="bookmark86"/>
      <w:bookmarkEnd w:id="106"/>
      <w:r>
        <w:rPr>
          <w:rFonts w:ascii="黑体" w:hAnsi="黑体" w:eastAsia="黑体" w:cs="黑体"/>
          <w:spacing w:val="-4"/>
          <w:sz w:val="24"/>
          <w:szCs w:val="24"/>
        </w:rPr>
        <w:t>附表一：招标文件澄清申请函</w:t>
      </w:r>
    </w:p>
    <w:p w14:paraId="0BF31519">
      <w:pPr>
        <w:pStyle w:val="5"/>
        <w:spacing w:line="263" w:lineRule="auto"/>
      </w:pPr>
    </w:p>
    <w:p w14:paraId="6E4F29FE">
      <w:pPr>
        <w:pStyle w:val="5"/>
        <w:spacing w:line="264" w:lineRule="auto"/>
      </w:pPr>
    </w:p>
    <w:p w14:paraId="503DDE2A">
      <w:pPr>
        <w:spacing w:before="91" w:line="219" w:lineRule="auto"/>
        <w:ind w:left="2916"/>
        <w:rPr>
          <w:rFonts w:ascii="黑体" w:hAnsi="黑体" w:eastAsia="黑体" w:cs="黑体"/>
          <w:sz w:val="28"/>
          <w:szCs w:val="28"/>
        </w:rPr>
      </w:pPr>
      <w:r>
        <w:rPr>
          <w:rFonts w:ascii="黑体" w:hAnsi="黑体" w:eastAsia="黑体" w:cs="黑体"/>
          <w:spacing w:val="-1"/>
          <w:sz w:val="28"/>
          <w:szCs w:val="28"/>
        </w:rPr>
        <w:t>招标文件澄清申请函</w:t>
      </w:r>
    </w:p>
    <w:p w14:paraId="093BF82F">
      <w:pPr>
        <w:pStyle w:val="5"/>
        <w:spacing w:line="476" w:lineRule="auto"/>
      </w:pPr>
    </w:p>
    <w:p w14:paraId="0B1855A8">
      <w:pPr>
        <w:spacing w:before="68" w:line="221" w:lineRule="auto"/>
        <w:ind w:left="6219"/>
        <w:rPr>
          <w:rFonts w:ascii="宋体" w:hAnsi="宋体" w:eastAsia="宋体" w:cs="宋体"/>
          <w:sz w:val="21"/>
          <w:szCs w:val="21"/>
        </w:rPr>
      </w:pPr>
      <w:r>
        <w:rPr>
          <w:rFonts w:ascii="宋体" w:hAnsi="宋体" w:eastAsia="宋体" w:cs="宋体"/>
          <w:spacing w:val="-13"/>
          <w:sz w:val="21"/>
          <w:szCs w:val="21"/>
        </w:rPr>
        <w:t>编号：</w:t>
      </w:r>
    </w:p>
    <w:p w14:paraId="6CE07478">
      <w:pPr>
        <w:pStyle w:val="5"/>
        <w:spacing w:line="249" w:lineRule="auto"/>
      </w:pPr>
    </w:p>
    <w:p w14:paraId="0A859673">
      <w:pPr>
        <w:pStyle w:val="5"/>
        <w:spacing w:line="249" w:lineRule="auto"/>
      </w:pPr>
    </w:p>
    <w:p w14:paraId="2A9436E9">
      <w:pPr>
        <w:pStyle w:val="5"/>
        <w:spacing w:line="249" w:lineRule="auto"/>
      </w:pPr>
    </w:p>
    <w:p w14:paraId="5214127A">
      <w:pPr>
        <w:tabs>
          <w:tab w:val="left" w:pos="3271"/>
        </w:tabs>
        <w:spacing w:before="68" w:line="221" w:lineRule="auto"/>
        <w:ind w:left="1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0E3E79D6">
      <w:pPr>
        <w:spacing w:before="307" w:line="221" w:lineRule="auto"/>
        <w:jc w:val="right"/>
        <w:rPr>
          <w:rFonts w:ascii="宋体" w:hAnsi="宋体" w:eastAsia="宋体" w:cs="宋体"/>
          <w:sz w:val="21"/>
          <w:szCs w:val="21"/>
        </w:rPr>
      </w:pPr>
      <w:r>
        <w:rPr>
          <w:rFonts w:ascii="宋体" w:hAnsi="宋体" w:eastAsia="宋体" w:cs="宋体"/>
          <w:sz w:val="21"/>
          <w:szCs w:val="21"/>
        </w:rPr>
        <w:t>经过仔细阅读</w:t>
      </w:r>
      <w:r>
        <w:rPr>
          <w:rFonts w:ascii="宋体" w:hAnsi="宋体" w:eastAsia="宋体" w:cs="宋体"/>
          <w:sz w:val="21"/>
          <w:szCs w:val="21"/>
          <w:u w:val="single" w:color="auto"/>
        </w:rPr>
        <w:t xml:space="preserve">                       </w:t>
      </w:r>
      <w:r>
        <w:rPr>
          <w:rFonts w:ascii="宋体" w:hAnsi="宋体" w:eastAsia="宋体" w:cs="宋体"/>
          <w:sz w:val="21"/>
          <w:szCs w:val="21"/>
        </w:rPr>
        <w:t>（标段名称）项目（标段唯一标识码</w:t>
      </w:r>
      <w:r>
        <w:rPr>
          <w:rFonts w:ascii="宋体" w:hAnsi="宋体" w:eastAsia="宋体" w:cs="宋体"/>
          <w:spacing w:val="-6"/>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 xml:space="preserve"> </w:t>
      </w:r>
      <w:r>
        <w:rPr>
          <w:rFonts w:ascii="宋体" w:hAnsi="宋体" w:eastAsia="宋体" w:cs="宋体"/>
          <w:spacing w:val="-6"/>
          <w:sz w:val="21"/>
          <w:szCs w:val="21"/>
        </w:rPr>
        <w:t>）</w:t>
      </w:r>
    </w:p>
    <w:p w14:paraId="0A124F5F">
      <w:pPr>
        <w:spacing w:before="308" w:line="221" w:lineRule="auto"/>
        <w:ind w:left="23"/>
        <w:rPr>
          <w:rFonts w:ascii="宋体" w:hAnsi="宋体" w:eastAsia="宋体" w:cs="宋体"/>
          <w:sz w:val="21"/>
          <w:szCs w:val="21"/>
        </w:rPr>
      </w:pPr>
      <w:r>
        <w:rPr>
          <w:rFonts w:ascii="宋体" w:hAnsi="宋体" w:eastAsia="宋体" w:cs="宋体"/>
          <w:spacing w:val="-2"/>
          <w:sz w:val="21"/>
          <w:szCs w:val="21"/>
        </w:rPr>
        <w:t>招标文件后，我方申请对以下问题予以澄清：</w:t>
      </w:r>
    </w:p>
    <w:p w14:paraId="0351CC17">
      <w:pPr>
        <w:pStyle w:val="5"/>
        <w:spacing w:line="241" w:lineRule="auto"/>
      </w:pPr>
    </w:p>
    <w:p w14:paraId="4253B04C">
      <w:pPr>
        <w:spacing w:before="68"/>
        <w:ind w:left="355"/>
        <w:rPr>
          <w:rFonts w:ascii="宋体" w:hAnsi="宋体" w:eastAsia="宋体" w:cs="宋体"/>
          <w:sz w:val="21"/>
          <w:szCs w:val="21"/>
        </w:rPr>
      </w:pPr>
      <w:r>
        <w:rPr>
          <w:rFonts w:ascii="宋体" w:hAnsi="宋体" w:eastAsia="宋体" w:cs="宋体"/>
          <w:spacing w:val="-6"/>
          <w:sz w:val="21"/>
          <w:szCs w:val="21"/>
        </w:rPr>
        <w:t>1.……</w:t>
      </w:r>
    </w:p>
    <w:p w14:paraId="01E93843">
      <w:pPr>
        <w:spacing w:before="286"/>
        <w:ind w:left="339"/>
        <w:rPr>
          <w:rFonts w:ascii="宋体" w:hAnsi="宋体" w:eastAsia="宋体" w:cs="宋体"/>
          <w:sz w:val="21"/>
          <w:szCs w:val="21"/>
        </w:rPr>
      </w:pPr>
      <w:r>
        <w:rPr>
          <w:rFonts w:ascii="宋体" w:hAnsi="宋体" w:eastAsia="宋体" w:cs="宋体"/>
          <w:spacing w:val="-2"/>
          <w:sz w:val="21"/>
          <w:szCs w:val="21"/>
        </w:rPr>
        <w:t>2.……</w:t>
      </w:r>
    </w:p>
    <w:p w14:paraId="3518EB5A">
      <w:pPr>
        <w:spacing w:before="287" w:line="332" w:lineRule="exact"/>
        <w:ind w:left="455"/>
        <w:rPr>
          <w:rFonts w:ascii="宋体" w:hAnsi="宋体" w:eastAsia="宋体" w:cs="宋体"/>
          <w:sz w:val="21"/>
          <w:szCs w:val="21"/>
        </w:rPr>
      </w:pPr>
      <w:r>
        <w:rPr>
          <w:rFonts w:ascii="宋体" w:hAnsi="宋体" w:eastAsia="宋体" w:cs="宋体"/>
          <w:spacing w:val="-5"/>
          <w:position w:val="2"/>
          <w:sz w:val="21"/>
          <w:szCs w:val="21"/>
        </w:rPr>
        <w:t>……</w:t>
      </w:r>
    </w:p>
    <w:p w14:paraId="7E6886E0">
      <w:pPr>
        <w:pStyle w:val="5"/>
        <w:spacing w:line="258" w:lineRule="auto"/>
      </w:pPr>
    </w:p>
    <w:p w14:paraId="780A38FB">
      <w:pPr>
        <w:pStyle w:val="5"/>
        <w:spacing w:line="259" w:lineRule="auto"/>
      </w:pPr>
    </w:p>
    <w:p w14:paraId="1EA019A6">
      <w:pPr>
        <w:pStyle w:val="5"/>
        <w:spacing w:line="259" w:lineRule="auto"/>
      </w:pPr>
    </w:p>
    <w:p w14:paraId="1C874128">
      <w:pPr>
        <w:pStyle w:val="5"/>
        <w:spacing w:line="259" w:lineRule="auto"/>
      </w:pPr>
    </w:p>
    <w:p w14:paraId="1DD6A99E">
      <w:pPr>
        <w:spacing w:before="69" w:line="220" w:lineRule="auto"/>
        <w:ind w:left="4446"/>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4"/>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 xml:space="preserve"> </w:t>
      </w:r>
      <w:r>
        <w:rPr>
          <w:rFonts w:ascii="宋体" w:hAnsi="宋体" w:eastAsia="宋体" w:cs="宋体"/>
          <w:spacing w:val="-14"/>
          <w:sz w:val="21"/>
          <w:szCs w:val="21"/>
        </w:rPr>
        <w:t>（</w:t>
      </w:r>
      <w:r>
        <w:rPr>
          <w:rFonts w:ascii="宋体" w:hAnsi="宋体" w:eastAsia="宋体" w:cs="宋体"/>
          <w:spacing w:val="2"/>
          <w:sz w:val="21"/>
          <w:szCs w:val="21"/>
        </w:rPr>
        <w:t>盖单位章）</w:t>
      </w:r>
    </w:p>
    <w:p w14:paraId="5FF230FE">
      <w:pPr>
        <w:pStyle w:val="5"/>
        <w:spacing w:line="460" w:lineRule="auto"/>
      </w:pPr>
    </w:p>
    <w:p w14:paraId="32B256AD">
      <w:pPr>
        <w:tabs>
          <w:tab w:val="left" w:pos="6840"/>
        </w:tabs>
        <w:spacing w:before="69" w:line="221" w:lineRule="auto"/>
        <w:ind w:left="589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5"/>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7C83FD8C">
      <w:pPr>
        <w:spacing w:line="221" w:lineRule="auto"/>
        <w:rPr>
          <w:rFonts w:ascii="宋体" w:hAnsi="宋体" w:eastAsia="宋体" w:cs="宋体"/>
          <w:sz w:val="21"/>
          <w:szCs w:val="21"/>
        </w:rPr>
        <w:sectPr>
          <w:footerReference r:id="rId38" w:type="default"/>
          <w:pgSz w:w="11905" w:h="16843"/>
          <w:pgMar w:top="969" w:right="1355" w:bottom="1026" w:left="1480" w:header="0" w:footer="754" w:gutter="0"/>
          <w:cols w:space="0" w:num="1"/>
          <w:rtlGutter w:val="0"/>
          <w:docGrid w:linePitch="0" w:charSpace="0"/>
        </w:sectPr>
      </w:pPr>
    </w:p>
    <w:p w14:paraId="1D009D35">
      <w:pPr>
        <w:spacing w:before="47" w:line="219" w:lineRule="auto"/>
        <w:ind w:left="37"/>
        <w:outlineLvl w:val="1"/>
        <w:rPr>
          <w:rFonts w:ascii="黑体" w:hAnsi="黑体" w:eastAsia="黑体" w:cs="黑体"/>
          <w:sz w:val="24"/>
          <w:szCs w:val="24"/>
        </w:rPr>
      </w:pPr>
      <w:bookmarkStart w:id="107" w:name="bookmark87"/>
      <w:bookmarkEnd w:id="107"/>
      <w:r>
        <w:rPr>
          <w:rFonts w:ascii="黑体" w:hAnsi="黑体" w:eastAsia="黑体" w:cs="黑体"/>
          <w:spacing w:val="-2"/>
          <w:sz w:val="24"/>
          <w:szCs w:val="24"/>
        </w:rPr>
        <w:t>附表二：招标文件文件澄清通知</w:t>
      </w:r>
    </w:p>
    <w:p w14:paraId="35866682">
      <w:pPr>
        <w:pStyle w:val="5"/>
        <w:spacing w:line="263" w:lineRule="auto"/>
      </w:pPr>
    </w:p>
    <w:p w14:paraId="15832ECC">
      <w:pPr>
        <w:pStyle w:val="5"/>
        <w:spacing w:line="264" w:lineRule="auto"/>
      </w:pPr>
    </w:p>
    <w:p w14:paraId="32819CAD">
      <w:pPr>
        <w:spacing w:before="91" w:line="219" w:lineRule="auto"/>
        <w:ind w:left="3058"/>
        <w:rPr>
          <w:rFonts w:ascii="黑体" w:hAnsi="黑体" w:eastAsia="黑体" w:cs="黑体"/>
          <w:sz w:val="28"/>
          <w:szCs w:val="28"/>
        </w:rPr>
      </w:pPr>
      <w:r>
        <w:rPr>
          <w:rFonts w:ascii="黑体" w:hAnsi="黑体" w:eastAsia="黑体" w:cs="黑体"/>
          <w:spacing w:val="-1"/>
          <w:sz w:val="28"/>
          <w:szCs w:val="28"/>
        </w:rPr>
        <w:t>招标文件澄清通知</w:t>
      </w:r>
    </w:p>
    <w:p w14:paraId="568A6897">
      <w:pPr>
        <w:pStyle w:val="5"/>
        <w:spacing w:line="476" w:lineRule="auto"/>
      </w:pPr>
    </w:p>
    <w:p w14:paraId="7F857D57">
      <w:pPr>
        <w:spacing w:before="68" w:line="221" w:lineRule="auto"/>
        <w:ind w:left="6010"/>
        <w:rPr>
          <w:rFonts w:ascii="宋体" w:hAnsi="宋体" w:eastAsia="宋体" w:cs="宋体"/>
          <w:sz w:val="21"/>
          <w:szCs w:val="21"/>
        </w:rPr>
      </w:pPr>
      <w:r>
        <w:rPr>
          <w:rFonts w:ascii="宋体" w:hAnsi="宋体" w:eastAsia="宋体" w:cs="宋体"/>
          <w:spacing w:val="-13"/>
          <w:sz w:val="21"/>
          <w:szCs w:val="21"/>
        </w:rPr>
        <w:t>编号：</w:t>
      </w:r>
    </w:p>
    <w:p w14:paraId="135C252E">
      <w:pPr>
        <w:pStyle w:val="5"/>
        <w:spacing w:line="460" w:lineRule="auto"/>
      </w:pPr>
    </w:p>
    <w:p w14:paraId="6E261992">
      <w:pPr>
        <w:spacing w:before="68" w:line="221" w:lineRule="auto"/>
        <w:ind w:left="25"/>
        <w:rPr>
          <w:rFonts w:ascii="宋体" w:hAnsi="宋体" w:eastAsia="宋体" w:cs="宋体"/>
          <w:sz w:val="21"/>
          <w:szCs w:val="21"/>
        </w:rPr>
      </w:pPr>
      <w:r>
        <w:rPr>
          <w:rFonts w:ascii="宋体" w:hAnsi="宋体" w:eastAsia="宋体" w:cs="宋体"/>
          <w:spacing w:val="-7"/>
          <w:sz w:val="21"/>
          <w:szCs w:val="21"/>
        </w:rPr>
        <w:t>各投标人：</w:t>
      </w:r>
    </w:p>
    <w:p w14:paraId="7915EFCA">
      <w:pPr>
        <w:spacing w:before="308" w:line="493" w:lineRule="auto"/>
        <w:ind w:left="21" w:right="7" w:firstLine="422"/>
        <w:rPr>
          <w:rFonts w:ascii="宋体" w:hAnsi="宋体" w:eastAsia="宋体" w:cs="宋体"/>
          <w:sz w:val="21"/>
          <w:szCs w:val="21"/>
        </w:rPr>
      </w:pPr>
      <w:r>
        <w:rPr>
          <w:rFonts w:ascii="宋体" w:hAnsi="宋体" w:eastAsia="宋体" w:cs="宋体"/>
          <w:sz w:val="21"/>
          <w:szCs w:val="21"/>
        </w:rPr>
        <w:t>经研究，对</w:t>
      </w:r>
      <w:r>
        <w:rPr>
          <w:rFonts w:ascii="宋体" w:hAnsi="宋体" w:eastAsia="宋体" w:cs="宋体"/>
          <w:sz w:val="21"/>
          <w:szCs w:val="21"/>
          <w:u w:val="single" w:color="auto"/>
        </w:rPr>
        <w:t xml:space="preserve">                                   </w:t>
      </w:r>
      <w:r>
        <w:rPr>
          <w:rFonts w:ascii="宋体" w:hAnsi="宋体" w:eastAsia="宋体" w:cs="宋体"/>
          <w:sz w:val="21"/>
          <w:szCs w:val="21"/>
        </w:rPr>
        <w:t>（标段名称）项目（标段唯一标识</w:t>
      </w:r>
      <w:r>
        <w:rPr>
          <w:rFonts w:ascii="宋体" w:hAnsi="宋体" w:eastAsia="宋体" w:cs="宋体"/>
          <w:spacing w:val="-1"/>
          <w:sz w:val="21"/>
          <w:szCs w:val="21"/>
        </w:rPr>
        <w:t>码</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30"/>
          <w:sz w:val="21"/>
          <w:szCs w:val="21"/>
        </w:rPr>
        <w:t xml:space="preserve"> </w:t>
      </w:r>
      <w:r>
        <w:rPr>
          <w:rFonts w:ascii="宋体" w:hAnsi="宋体" w:eastAsia="宋体" w:cs="宋体"/>
          <w:spacing w:val="-11"/>
          <w:sz w:val="21"/>
          <w:szCs w:val="21"/>
        </w:rPr>
        <w:t>）</w:t>
      </w:r>
      <w:r>
        <w:rPr>
          <w:rFonts w:ascii="宋体" w:hAnsi="宋体" w:eastAsia="宋体" w:cs="宋体"/>
          <w:spacing w:val="-1"/>
          <w:sz w:val="21"/>
          <w:szCs w:val="21"/>
        </w:rPr>
        <w:t>招标文件，作如下澄清：</w:t>
      </w:r>
    </w:p>
    <w:p w14:paraId="5E49FD2F">
      <w:pPr>
        <w:ind w:left="458"/>
        <w:rPr>
          <w:rFonts w:ascii="宋体" w:hAnsi="宋体" w:eastAsia="宋体" w:cs="宋体"/>
          <w:sz w:val="21"/>
          <w:szCs w:val="21"/>
        </w:rPr>
      </w:pPr>
      <w:r>
        <w:rPr>
          <w:rFonts w:ascii="宋体" w:hAnsi="宋体" w:eastAsia="宋体" w:cs="宋体"/>
          <w:spacing w:val="-6"/>
          <w:sz w:val="21"/>
          <w:szCs w:val="21"/>
        </w:rPr>
        <w:t>1.……</w:t>
      </w:r>
    </w:p>
    <w:p w14:paraId="77F44049">
      <w:pPr>
        <w:spacing w:before="286"/>
        <w:ind w:left="445"/>
        <w:rPr>
          <w:rFonts w:ascii="宋体" w:hAnsi="宋体" w:eastAsia="宋体" w:cs="宋体"/>
          <w:sz w:val="21"/>
          <w:szCs w:val="21"/>
        </w:rPr>
      </w:pPr>
      <w:r>
        <w:rPr>
          <w:rFonts w:ascii="宋体" w:hAnsi="宋体" w:eastAsia="宋体" w:cs="宋体"/>
          <w:spacing w:val="-2"/>
          <w:sz w:val="21"/>
          <w:szCs w:val="21"/>
        </w:rPr>
        <w:t>2.……</w:t>
      </w:r>
    </w:p>
    <w:p w14:paraId="527BF609">
      <w:pPr>
        <w:spacing w:before="286" w:line="332" w:lineRule="exact"/>
        <w:ind w:left="455"/>
        <w:rPr>
          <w:rFonts w:ascii="宋体" w:hAnsi="宋体" w:eastAsia="宋体" w:cs="宋体"/>
          <w:sz w:val="21"/>
          <w:szCs w:val="21"/>
        </w:rPr>
      </w:pPr>
      <w:r>
        <w:rPr>
          <w:rFonts w:ascii="宋体" w:hAnsi="宋体" w:eastAsia="宋体" w:cs="宋体"/>
          <w:spacing w:val="-5"/>
          <w:position w:val="2"/>
          <w:sz w:val="21"/>
          <w:szCs w:val="21"/>
        </w:rPr>
        <w:t>……</w:t>
      </w:r>
    </w:p>
    <w:p w14:paraId="13700704">
      <w:pPr>
        <w:pStyle w:val="5"/>
        <w:spacing w:line="268" w:lineRule="auto"/>
      </w:pPr>
    </w:p>
    <w:p w14:paraId="37A00E17">
      <w:pPr>
        <w:pStyle w:val="5"/>
        <w:spacing w:line="268" w:lineRule="auto"/>
      </w:pPr>
    </w:p>
    <w:p w14:paraId="7BA51F4E">
      <w:pPr>
        <w:pStyle w:val="5"/>
        <w:spacing w:line="268" w:lineRule="auto"/>
      </w:pPr>
    </w:p>
    <w:p w14:paraId="601613F2">
      <w:pPr>
        <w:pStyle w:val="5"/>
        <w:spacing w:line="269" w:lineRule="auto"/>
      </w:pPr>
    </w:p>
    <w:p w14:paraId="2D497672">
      <w:pPr>
        <w:pStyle w:val="5"/>
        <w:spacing w:line="269" w:lineRule="auto"/>
      </w:pPr>
    </w:p>
    <w:p w14:paraId="258C4CE0">
      <w:pPr>
        <w:pStyle w:val="5"/>
        <w:spacing w:line="269" w:lineRule="auto"/>
      </w:pPr>
    </w:p>
    <w:p w14:paraId="49552D0E">
      <w:pPr>
        <w:pStyle w:val="5"/>
        <w:spacing w:line="269" w:lineRule="auto"/>
      </w:pPr>
    </w:p>
    <w:p w14:paraId="0CE061D6">
      <w:pPr>
        <w:pStyle w:val="5"/>
        <w:spacing w:line="269" w:lineRule="auto"/>
      </w:pPr>
    </w:p>
    <w:p w14:paraId="4E5EAFEB">
      <w:pPr>
        <w:spacing w:before="69" w:line="220" w:lineRule="auto"/>
        <w:ind w:right="16"/>
        <w:jc w:val="right"/>
        <w:rPr>
          <w:rFonts w:ascii="宋体" w:hAnsi="宋体" w:eastAsia="宋体" w:cs="宋体"/>
          <w:sz w:val="21"/>
          <w:szCs w:val="21"/>
        </w:rPr>
      </w:pPr>
      <w:r>
        <w:rPr>
          <w:rFonts w:ascii="宋体" w:hAnsi="宋体" w:eastAsia="宋体" w:cs="宋体"/>
          <w:spacing w:val="-2"/>
          <w:sz w:val="21"/>
          <w:szCs w:val="21"/>
        </w:rPr>
        <w:t>招标人</w:t>
      </w:r>
      <w:r>
        <w:rPr>
          <w:rFonts w:ascii="宋体" w:hAnsi="宋体" w:eastAsia="宋体" w:cs="宋体"/>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59C919AF">
      <w:pPr>
        <w:pStyle w:val="5"/>
        <w:spacing w:line="248" w:lineRule="auto"/>
      </w:pPr>
    </w:p>
    <w:p w14:paraId="410F3587">
      <w:pPr>
        <w:pStyle w:val="5"/>
        <w:spacing w:line="249" w:lineRule="auto"/>
      </w:pPr>
    </w:p>
    <w:p w14:paraId="70092D1F">
      <w:pPr>
        <w:pStyle w:val="5"/>
        <w:spacing w:line="249" w:lineRule="auto"/>
      </w:pPr>
    </w:p>
    <w:p w14:paraId="4655D2B6">
      <w:pPr>
        <w:tabs>
          <w:tab w:val="left" w:pos="6840"/>
        </w:tabs>
        <w:spacing w:before="69" w:line="221" w:lineRule="auto"/>
        <w:ind w:left="589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22"/>
          <w:sz w:val="21"/>
          <w:szCs w:val="21"/>
        </w:rPr>
        <w:t>年</w:t>
      </w:r>
      <w:r>
        <w:rPr>
          <w:rFonts w:ascii="宋体" w:hAnsi="宋体" w:eastAsia="宋体" w:cs="宋体"/>
          <w:spacing w:val="-104"/>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2"/>
          <w:sz w:val="21"/>
          <w:szCs w:val="21"/>
        </w:rPr>
        <w:t>日</w:t>
      </w:r>
    </w:p>
    <w:p w14:paraId="366B473B">
      <w:pPr>
        <w:spacing w:line="221" w:lineRule="auto"/>
        <w:rPr>
          <w:rFonts w:ascii="宋体" w:hAnsi="宋体" w:eastAsia="宋体" w:cs="宋体"/>
          <w:sz w:val="21"/>
          <w:szCs w:val="21"/>
        </w:rPr>
        <w:sectPr>
          <w:footerReference r:id="rId39" w:type="default"/>
          <w:pgSz w:w="11905" w:h="16843"/>
          <w:pgMar w:top="969" w:right="1355" w:bottom="1026" w:left="1480" w:header="0" w:footer="754" w:gutter="0"/>
          <w:cols w:space="0" w:num="1"/>
          <w:rtlGutter w:val="0"/>
          <w:docGrid w:linePitch="0" w:charSpace="0"/>
        </w:sectPr>
      </w:pPr>
    </w:p>
    <w:p w14:paraId="1ABBF2DB">
      <w:pPr>
        <w:pStyle w:val="5"/>
        <w:spacing w:line="253" w:lineRule="auto"/>
      </w:pPr>
    </w:p>
    <w:p w14:paraId="7CE1C0B9">
      <w:pPr>
        <w:pStyle w:val="5"/>
        <w:spacing w:line="254" w:lineRule="auto"/>
      </w:pPr>
    </w:p>
    <w:p w14:paraId="478EA9A9">
      <w:pPr>
        <w:spacing w:before="91" w:line="219" w:lineRule="auto"/>
        <w:ind w:left="3058"/>
        <w:outlineLvl w:val="1"/>
        <w:rPr>
          <w:rFonts w:ascii="黑体" w:hAnsi="黑体" w:eastAsia="黑体" w:cs="黑体"/>
          <w:sz w:val="28"/>
          <w:szCs w:val="28"/>
        </w:rPr>
      </w:pPr>
      <w:bookmarkStart w:id="108" w:name="bookmark88"/>
      <w:bookmarkEnd w:id="108"/>
      <w:r>
        <w:rPr>
          <w:rFonts w:ascii="黑体" w:hAnsi="黑体" w:eastAsia="黑体" w:cs="黑体"/>
          <w:spacing w:val="-1"/>
          <w:sz w:val="28"/>
          <w:szCs w:val="28"/>
        </w:rPr>
        <w:t>招标文件修改通知</w:t>
      </w:r>
    </w:p>
    <w:p w14:paraId="1CC26ED4">
      <w:pPr>
        <w:pStyle w:val="5"/>
        <w:spacing w:line="248" w:lineRule="auto"/>
      </w:pPr>
    </w:p>
    <w:p w14:paraId="33EB43C0">
      <w:pPr>
        <w:pStyle w:val="5"/>
        <w:spacing w:line="248" w:lineRule="auto"/>
      </w:pPr>
    </w:p>
    <w:p w14:paraId="54D50F46">
      <w:pPr>
        <w:pStyle w:val="5"/>
        <w:spacing w:line="249" w:lineRule="auto"/>
      </w:pPr>
    </w:p>
    <w:p w14:paraId="4AB14788">
      <w:pPr>
        <w:spacing w:before="69" w:line="221" w:lineRule="auto"/>
        <w:ind w:left="6010"/>
        <w:rPr>
          <w:rFonts w:ascii="宋体" w:hAnsi="宋体" w:eastAsia="宋体" w:cs="宋体"/>
          <w:sz w:val="21"/>
          <w:szCs w:val="21"/>
        </w:rPr>
      </w:pPr>
      <w:r>
        <w:rPr>
          <w:rFonts w:ascii="宋体" w:hAnsi="宋体" w:eastAsia="宋体" w:cs="宋体"/>
          <w:spacing w:val="-13"/>
          <w:sz w:val="21"/>
          <w:szCs w:val="21"/>
        </w:rPr>
        <w:t>编号：</w:t>
      </w:r>
    </w:p>
    <w:p w14:paraId="714BAEC9">
      <w:pPr>
        <w:pStyle w:val="5"/>
        <w:spacing w:line="460" w:lineRule="auto"/>
      </w:pPr>
    </w:p>
    <w:p w14:paraId="4EEF807B">
      <w:pPr>
        <w:spacing w:before="68" w:line="221" w:lineRule="auto"/>
        <w:ind w:left="25"/>
        <w:rPr>
          <w:rFonts w:ascii="宋体" w:hAnsi="宋体" w:eastAsia="宋体" w:cs="宋体"/>
          <w:sz w:val="21"/>
          <w:szCs w:val="21"/>
        </w:rPr>
      </w:pPr>
      <w:r>
        <w:rPr>
          <w:rFonts w:ascii="宋体" w:hAnsi="宋体" w:eastAsia="宋体" w:cs="宋体"/>
          <w:spacing w:val="-7"/>
          <w:sz w:val="21"/>
          <w:szCs w:val="21"/>
        </w:rPr>
        <w:t>各投标人：</w:t>
      </w:r>
    </w:p>
    <w:p w14:paraId="2F45D228">
      <w:pPr>
        <w:spacing w:before="307" w:line="493" w:lineRule="auto"/>
        <w:ind w:left="24" w:right="7" w:firstLine="419"/>
        <w:rPr>
          <w:rFonts w:ascii="宋体" w:hAnsi="宋体" w:eastAsia="宋体" w:cs="宋体"/>
          <w:sz w:val="21"/>
          <w:szCs w:val="21"/>
        </w:rPr>
      </w:pPr>
      <w:r>
        <w:rPr>
          <w:rFonts w:ascii="宋体" w:hAnsi="宋体" w:eastAsia="宋体" w:cs="宋体"/>
          <w:sz w:val="21"/>
          <w:szCs w:val="21"/>
        </w:rPr>
        <w:t xml:space="preserve">经研究，对 </w:t>
      </w:r>
      <w:r>
        <w:rPr>
          <w:rFonts w:ascii="宋体" w:hAnsi="宋体" w:eastAsia="宋体" w:cs="宋体"/>
          <w:sz w:val="21"/>
          <w:szCs w:val="21"/>
          <w:u w:val="single" w:color="auto"/>
        </w:rPr>
        <w:t xml:space="preserve">                                   </w:t>
      </w:r>
      <w:r>
        <w:rPr>
          <w:rFonts w:ascii="宋体" w:hAnsi="宋体" w:eastAsia="宋体" w:cs="宋体"/>
          <w:sz w:val="21"/>
          <w:szCs w:val="21"/>
        </w:rPr>
        <w:t xml:space="preserve"> （标段名称）项目（标段唯一标</w:t>
      </w:r>
      <w:r>
        <w:rPr>
          <w:rFonts w:ascii="宋体" w:hAnsi="宋体" w:eastAsia="宋体" w:cs="宋体"/>
          <w:spacing w:val="-1"/>
          <w:sz w:val="21"/>
          <w:szCs w:val="21"/>
        </w:rPr>
        <w:t>识码</w:t>
      </w:r>
      <w:r>
        <w:rPr>
          <w:rFonts w:ascii="宋体" w:hAnsi="宋体" w:eastAsia="宋体" w:cs="宋体"/>
          <w:spacing w:val="-12"/>
          <w:sz w:val="21"/>
          <w:szCs w:val="21"/>
        </w:rPr>
        <w:t>：</w:t>
      </w:r>
      <w:r>
        <w:rPr>
          <w:rFonts w:ascii="宋体" w:hAnsi="宋体" w:eastAsia="宋体" w:cs="宋体"/>
          <w:sz w:val="21"/>
          <w:szCs w:val="21"/>
          <w:u w:val="single" w:color="auto"/>
        </w:rPr>
        <w:t xml:space="preserve">           </w:t>
      </w:r>
      <w:r>
        <w:rPr>
          <w:rFonts w:ascii="宋体" w:hAnsi="宋体" w:eastAsia="宋体" w:cs="宋体"/>
          <w:spacing w:val="31"/>
          <w:sz w:val="21"/>
          <w:szCs w:val="21"/>
        </w:rPr>
        <w:t xml:space="preserve"> </w:t>
      </w:r>
      <w:r>
        <w:rPr>
          <w:rFonts w:ascii="宋体" w:hAnsi="宋体" w:eastAsia="宋体" w:cs="宋体"/>
          <w:spacing w:val="-12"/>
          <w:sz w:val="21"/>
          <w:szCs w:val="21"/>
        </w:rPr>
        <w:t>）</w:t>
      </w:r>
      <w:r>
        <w:rPr>
          <w:rFonts w:ascii="宋体" w:hAnsi="宋体" w:eastAsia="宋体" w:cs="宋体"/>
          <w:spacing w:val="-1"/>
          <w:sz w:val="21"/>
          <w:szCs w:val="21"/>
        </w:rPr>
        <w:t>招标文件，作如下修改：</w:t>
      </w:r>
    </w:p>
    <w:p w14:paraId="13C3B9CC">
      <w:pPr>
        <w:ind w:left="458"/>
        <w:rPr>
          <w:rFonts w:ascii="宋体" w:hAnsi="宋体" w:eastAsia="宋体" w:cs="宋体"/>
          <w:sz w:val="21"/>
          <w:szCs w:val="21"/>
        </w:rPr>
      </w:pPr>
      <w:r>
        <w:rPr>
          <w:rFonts w:ascii="宋体" w:hAnsi="宋体" w:eastAsia="宋体" w:cs="宋体"/>
          <w:spacing w:val="-6"/>
          <w:sz w:val="21"/>
          <w:szCs w:val="21"/>
        </w:rPr>
        <w:t>1.……</w:t>
      </w:r>
    </w:p>
    <w:p w14:paraId="0A6686C7">
      <w:pPr>
        <w:spacing w:before="286"/>
        <w:ind w:left="445"/>
        <w:rPr>
          <w:rFonts w:ascii="宋体" w:hAnsi="宋体" w:eastAsia="宋体" w:cs="宋体"/>
          <w:sz w:val="21"/>
          <w:szCs w:val="21"/>
        </w:rPr>
      </w:pPr>
      <w:r>
        <w:rPr>
          <w:rFonts w:ascii="宋体" w:hAnsi="宋体" w:eastAsia="宋体" w:cs="宋体"/>
          <w:spacing w:val="-2"/>
          <w:sz w:val="21"/>
          <w:szCs w:val="21"/>
        </w:rPr>
        <w:t>2.……</w:t>
      </w:r>
    </w:p>
    <w:p w14:paraId="60D3E1D9">
      <w:pPr>
        <w:spacing w:before="288" w:line="332" w:lineRule="exact"/>
        <w:ind w:left="455"/>
        <w:rPr>
          <w:rFonts w:ascii="宋体" w:hAnsi="宋体" w:eastAsia="宋体" w:cs="宋体"/>
          <w:sz w:val="21"/>
          <w:szCs w:val="21"/>
        </w:rPr>
      </w:pPr>
      <w:r>
        <w:rPr>
          <w:rFonts w:ascii="宋体" w:hAnsi="宋体" w:eastAsia="宋体" w:cs="宋体"/>
          <w:spacing w:val="-5"/>
          <w:position w:val="2"/>
          <w:sz w:val="21"/>
          <w:szCs w:val="21"/>
        </w:rPr>
        <w:t>……</w:t>
      </w:r>
    </w:p>
    <w:p w14:paraId="19BEC53E">
      <w:pPr>
        <w:pStyle w:val="5"/>
        <w:spacing w:line="268" w:lineRule="auto"/>
      </w:pPr>
    </w:p>
    <w:p w14:paraId="5AB26D29">
      <w:pPr>
        <w:pStyle w:val="5"/>
        <w:spacing w:line="268" w:lineRule="auto"/>
      </w:pPr>
    </w:p>
    <w:p w14:paraId="75D88030">
      <w:pPr>
        <w:pStyle w:val="5"/>
        <w:spacing w:line="268" w:lineRule="auto"/>
      </w:pPr>
    </w:p>
    <w:p w14:paraId="155D2C4E">
      <w:pPr>
        <w:pStyle w:val="5"/>
        <w:spacing w:line="268" w:lineRule="auto"/>
      </w:pPr>
    </w:p>
    <w:p w14:paraId="2F8B8DC0">
      <w:pPr>
        <w:pStyle w:val="5"/>
        <w:spacing w:line="268" w:lineRule="auto"/>
      </w:pPr>
    </w:p>
    <w:p w14:paraId="4F36F2FA">
      <w:pPr>
        <w:pStyle w:val="5"/>
        <w:spacing w:line="269" w:lineRule="auto"/>
      </w:pPr>
    </w:p>
    <w:p w14:paraId="42D9E91C">
      <w:pPr>
        <w:pStyle w:val="5"/>
        <w:spacing w:line="269" w:lineRule="auto"/>
      </w:pPr>
    </w:p>
    <w:p w14:paraId="01D8DD16">
      <w:pPr>
        <w:pStyle w:val="5"/>
        <w:spacing w:line="269" w:lineRule="auto"/>
      </w:pPr>
    </w:p>
    <w:p w14:paraId="487FC167">
      <w:pPr>
        <w:spacing w:before="69" w:line="220" w:lineRule="auto"/>
        <w:ind w:right="16"/>
        <w:jc w:val="right"/>
        <w:rPr>
          <w:rFonts w:ascii="宋体" w:hAnsi="宋体" w:eastAsia="宋体" w:cs="宋体"/>
          <w:sz w:val="21"/>
          <w:szCs w:val="21"/>
        </w:rPr>
      </w:pPr>
      <w:r>
        <w:rPr>
          <w:rFonts w:ascii="宋体" w:hAnsi="宋体" w:eastAsia="宋体" w:cs="宋体"/>
          <w:spacing w:val="-2"/>
          <w:sz w:val="21"/>
          <w:szCs w:val="21"/>
        </w:rPr>
        <w:t>招标人</w:t>
      </w:r>
      <w:r>
        <w:rPr>
          <w:rFonts w:ascii="宋体" w:hAnsi="宋体" w:eastAsia="宋体" w:cs="宋体"/>
          <w:sz w:val="21"/>
          <w:szCs w:val="21"/>
        </w:rPr>
        <w:t>：</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2506F3E4">
      <w:pPr>
        <w:pStyle w:val="5"/>
        <w:spacing w:line="248" w:lineRule="auto"/>
      </w:pPr>
    </w:p>
    <w:p w14:paraId="450FB4B9">
      <w:pPr>
        <w:pStyle w:val="5"/>
        <w:spacing w:line="249" w:lineRule="auto"/>
      </w:pPr>
    </w:p>
    <w:p w14:paraId="40A9F688">
      <w:pPr>
        <w:pStyle w:val="5"/>
        <w:spacing w:line="249" w:lineRule="auto"/>
      </w:pPr>
    </w:p>
    <w:p w14:paraId="2B3B615A">
      <w:pPr>
        <w:tabs>
          <w:tab w:val="left" w:pos="6735"/>
        </w:tabs>
        <w:spacing w:before="69" w:line="221" w:lineRule="auto"/>
        <w:ind w:left="579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34"/>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362BAA3A">
      <w:pPr>
        <w:spacing w:line="221" w:lineRule="auto"/>
        <w:rPr>
          <w:rFonts w:ascii="宋体" w:hAnsi="宋体" w:eastAsia="宋体" w:cs="宋体"/>
          <w:sz w:val="21"/>
          <w:szCs w:val="21"/>
        </w:rPr>
        <w:sectPr>
          <w:headerReference r:id="rId40" w:type="default"/>
          <w:footerReference r:id="rId41" w:type="default"/>
          <w:pgSz w:w="11905" w:h="16843"/>
          <w:pgMar w:top="969" w:right="1355" w:bottom="1026" w:left="1480" w:header="0" w:footer="754" w:gutter="0"/>
          <w:cols w:space="0" w:num="1"/>
          <w:rtlGutter w:val="0"/>
          <w:docGrid w:linePitch="0" w:charSpace="0"/>
        </w:sectPr>
      </w:pPr>
    </w:p>
    <w:p w14:paraId="2454B9A7">
      <w:pPr>
        <w:pStyle w:val="5"/>
        <w:spacing w:line="248" w:lineRule="auto"/>
      </w:pPr>
    </w:p>
    <w:p w14:paraId="43C18975">
      <w:pPr>
        <w:pStyle w:val="5"/>
        <w:spacing w:line="248" w:lineRule="auto"/>
      </w:pPr>
    </w:p>
    <w:p w14:paraId="044064CA">
      <w:pPr>
        <w:pStyle w:val="5"/>
        <w:spacing w:line="248" w:lineRule="auto"/>
      </w:pPr>
    </w:p>
    <w:p w14:paraId="5D12167E">
      <w:pPr>
        <w:pStyle w:val="5"/>
        <w:spacing w:line="248" w:lineRule="auto"/>
      </w:pPr>
    </w:p>
    <w:p w14:paraId="6CC4E02F">
      <w:pPr>
        <w:spacing w:before="78" w:line="218" w:lineRule="auto"/>
        <w:ind w:left="37"/>
        <w:outlineLvl w:val="1"/>
        <w:rPr>
          <w:rFonts w:ascii="黑体" w:hAnsi="黑体" w:eastAsia="黑体" w:cs="黑体"/>
          <w:sz w:val="24"/>
          <w:szCs w:val="24"/>
        </w:rPr>
      </w:pPr>
      <w:bookmarkStart w:id="109" w:name="bookmark499"/>
      <w:bookmarkEnd w:id="109"/>
      <w:bookmarkStart w:id="110" w:name="bookmark89"/>
      <w:bookmarkEnd w:id="110"/>
      <w:r>
        <w:rPr>
          <w:rFonts w:ascii="黑体" w:hAnsi="黑体" w:eastAsia="黑体" w:cs="黑体"/>
          <w:spacing w:val="-2"/>
          <w:sz w:val="24"/>
          <w:szCs w:val="24"/>
        </w:rPr>
        <w:t>附表四：投标文件递交签收凭证</w:t>
      </w:r>
    </w:p>
    <w:p w14:paraId="68E532F7">
      <w:pPr>
        <w:pStyle w:val="5"/>
        <w:spacing w:line="263" w:lineRule="auto"/>
      </w:pPr>
    </w:p>
    <w:p w14:paraId="47B38962">
      <w:pPr>
        <w:pStyle w:val="5"/>
        <w:spacing w:line="264" w:lineRule="auto"/>
      </w:pPr>
    </w:p>
    <w:p w14:paraId="73C2A55E">
      <w:pPr>
        <w:spacing w:before="91" w:line="219" w:lineRule="auto"/>
        <w:ind w:left="2776"/>
        <w:rPr>
          <w:rFonts w:ascii="黑体" w:hAnsi="黑体" w:eastAsia="黑体" w:cs="黑体"/>
          <w:sz w:val="28"/>
          <w:szCs w:val="28"/>
        </w:rPr>
      </w:pPr>
      <w:r>
        <w:rPr>
          <w:rFonts w:ascii="黑体" w:hAnsi="黑体" w:eastAsia="黑体" w:cs="黑体"/>
          <w:spacing w:val="-1"/>
          <w:sz w:val="28"/>
          <w:szCs w:val="28"/>
        </w:rPr>
        <w:t>投标文件递交送达凭证</w:t>
      </w:r>
    </w:p>
    <w:p w14:paraId="5809EB08">
      <w:pPr>
        <w:pStyle w:val="5"/>
        <w:spacing w:line="478" w:lineRule="auto"/>
      </w:pPr>
    </w:p>
    <w:p w14:paraId="60684581">
      <w:pPr>
        <w:spacing w:before="68" w:line="212" w:lineRule="auto"/>
        <w:ind w:left="6430"/>
        <w:rPr>
          <w:rFonts w:ascii="宋体" w:hAnsi="宋体" w:eastAsia="宋体" w:cs="宋体"/>
          <w:sz w:val="21"/>
          <w:szCs w:val="21"/>
        </w:rPr>
      </w:pPr>
      <w:r>
        <w:rPr>
          <w:rFonts w:ascii="宋体" w:hAnsi="宋体" w:eastAsia="宋体" w:cs="宋体"/>
          <w:spacing w:val="-13"/>
          <w:sz w:val="21"/>
          <w:szCs w:val="21"/>
        </w:rPr>
        <w:t>编号：</w:t>
      </w:r>
    </w:p>
    <w:tbl>
      <w:tblPr>
        <w:tblStyle w:val="10"/>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6218"/>
      </w:tblGrid>
      <w:tr w14:paraId="1C221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84" w:type="dxa"/>
            <w:vAlign w:val="top"/>
          </w:tcPr>
          <w:p w14:paraId="1B2D5E96">
            <w:pPr>
              <w:pStyle w:val="11"/>
              <w:spacing w:before="238" w:line="221" w:lineRule="auto"/>
              <w:ind w:left="628"/>
            </w:pPr>
            <w:r>
              <w:rPr>
                <w:spacing w:val="-2"/>
              </w:rPr>
              <w:t>标段名称</w:t>
            </w:r>
          </w:p>
        </w:tc>
        <w:tc>
          <w:tcPr>
            <w:tcW w:w="6218" w:type="dxa"/>
            <w:vAlign w:val="top"/>
          </w:tcPr>
          <w:p w14:paraId="43B01EE7">
            <w:pPr>
              <w:rPr>
                <w:rFonts w:ascii="Arial"/>
                <w:sz w:val="21"/>
              </w:rPr>
            </w:pPr>
          </w:p>
        </w:tc>
      </w:tr>
      <w:tr w14:paraId="19DC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84" w:type="dxa"/>
            <w:vAlign w:val="top"/>
          </w:tcPr>
          <w:p w14:paraId="4C97A69D">
            <w:pPr>
              <w:pStyle w:val="11"/>
              <w:spacing w:before="234" w:line="221" w:lineRule="auto"/>
              <w:ind w:left="313"/>
            </w:pPr>
            <w:r>
              <w:rPr>
                <w:spacing w:val="-1"/>
              </w:rPr>
              <w:t>标段唯一标识码</w:t>
            </w:r>
          </w:p>
        </w:tc>
        <w:tc>
          <w:tcPr>
            <w:tcW w:w="6218" w:type="dxa"/>
            <w:vAlign w:val="top"/>
          </w:tcPr>
          <w:p w14:paraId="49E0A4FC">
            <w:pPr>
              <w:rPr>
                <w:rFonts w:ascii="Arial"/>
                <w:sz w:val="21"/>
              </w:rPr>
            </w:pPr>
          </w:p>
        </w:tc>
      </w:tr>
      <w:tr w14:paraId="25A5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84" w:type="dxa"/>
            <w:vAlign w:val="top"/>
          </w:tcPr>
          <w:p w14:paraId="2C6E4526">
            <w:pPr>
              <w:pStyle w:val="11"/>
              <w:spacing w:before="235" w:line="221" w:lineRule="auto"/>
              <w:ind w:left="733"/>
            </w:pPr>
            <w:r>
              <w:rPr>
                <w:spacing w:val="-2"/>
              </w:rPr>
              <w:t>招标人</w:t>
            </w:r>
          </w:p>
        </w:tc>
        <w:tc>
          <w:tcPr>
            <w:tcW w:w="6218" w:type="dxa"/>
            <w:vAlign w:val="top"/>
          </w:tcPr>
          <w:p w14:paraId="4EFB7993">
            <w:pPr>
              <w:rPr>
                <w:rFonts w:ascii="Arial"/>
                <w:sz w:val="21"/>
              </w:rPr>
            </w:pPr>
          </w:p>
        </w:tc>
      </w:tr>
      <w:tr w14:paraId="457E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084" w:type="dxa"/>
            <w:vAlign w:val="top"/>
          </w:tcPr>
          <w:p w14:paraId="4C0C4B67">
            <w:pPr>
              <w:pStyle w:val="11"/>
              <w:spacing w:before="236" w:line="220" w:lineRule="auto"/>
              <w:ind w:left="419"/>
            </w:pPr>
            <w:r>
              <w:rPr>
                <w:spacing w:val="-1"/>
              </w:rPr>
              <w:t>招标代理机构</w:t>
            </w:r>
          </w:p>
        </w:tc>
        <w:tc>
          <w:tcPr>
            <w:tcW w:w="6218" w:type="dxa"/>
            <w:vAlign w:val="top"/>
          </w:tcPr>
          <w:p w14:paraId="00A7A8C0">
            <w:pPr>
              <w:rPr>
                <w:rFonts w:ascii="Arial"/>
                <w:sz w:val="21"/>
              </w:rPr>
            </w:pPr>
          </w:p>
        </w:tc>
      </w:tr>
      <w:tr w14:paraId="2293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84" w:type="dxa"/>
            <w:vAlign w:val="top"/>
          </w:tcPr>
          <w:p w14:paraId="193F55FD">
            <w:pPr>
              <w:pStyle w:val="11"/>
              <w:spacing w:before="237" w:line="221" w:lineRule="auto"/>
              <w:ind w:left="735"/>
            </w:pPr>
            <w:r>
              <w:rPr>
                <w:spacing w:val="-2"/>
              </w:rPr>
              <w:t>投标人</w:t>
            </w:r>
          </w:p>
        </w:tc>
        <w:tc>
          <w:tcPr>
            <w:tcW w:w="6218" w:type="dxa"/>
            <w:vAlign w:val="top"/>
          </w:tcPr>
          <w:p w14:paraId="76C84B46">
            <w:pPr>
              <w:rPr>
                <w:rFonts w:ascii="Arial"/>
                <w:sz w:val="21"/>
              </w:rPr>
            </w:pPr>
          </w:p>
        </w:tc>
      </w:tr>
      <w:tr w14:paraId="18B4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084" w:type="dxa"/>
            <w:vAlign w:val="top"/>
          </w:tcPr>
          <w:p w14:paraId="1647B168">
            <w:pPr>
              <w:pStyle w:val="11"/>
              <w:spacing w:before="237" w:line="220" w:lineRule="auto"/>
              <w:ind w:left="212"/>
            </w:pPr>
            <w:r>
              <w:rPr>
                <w:spacing w:val="-2"/>
              </w:rPr>
              <w:t>统一社会信用代码</w:t>
            </w:r>
          </w:p>
        </w:tc>
        <w:tc>
          <w:tcPr>
            <w:tcW w:w="6218" w:type="dxa"/>
            <w:vAlign w:val="top"/>
          </w:tcPr>
          <w:p w14:paraId="710DB608">
            <w:pPr>
              <w:rPr>
                <w:rFonts w:ascii="Arial"/>
                <w:sz w:val="21"/>
              </w:rPr>
            </w:pPr>
          </w:p>
        </w:tc>
      </w:tr>
      <w:tr w14:paraId="0EA7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84" w:type="dxa"/>
            <w:vAlign w:val="top"/>
          </w:tcPr>
          <w:p w14:paraId="59FAFB30">
            <w:pPr>
              <w:pStyle w:val="11"/>
              <w:spacing w:before="237" w:line="221" w:lineRule="auto"/>
              <w:ind w:left="209"/>
            </w:pPr>
            <w:r>
              <w:rPr>
                <w:spacing w:val="-1"/>
              </w:rPr>
              <w:t>投标文件送达时间</w:t>
            </w:r>
          </w:p>
        </w:tc>
        <w:tc>
          <w:tcPr>
            <w:tcW w:w="6218" w:type="dxa"/>
            <w:vAlign w:val="top"/>
          </w:tcPr>
          <w:p w14:paraId="341E824C">
            <w:pPr>
              <w:pStyle w:val="11"/>
              <w:tabs>
                <w:tab w:val="left" w:pos="1050"/>
              </w:tabs>
              <w:spacing w:before="237" w:line="221" w:lineRule="auto"/>
              <w:ind w:left="105"/>
            </w:pPr>
            <w:r>
              <w:rPr>
                <w:u w:val="single" w:color="auto"/>
              </w:rPr>
              <w:tab/>
            </w:r>
            <w:r>
              <w:rPr>
                <w:spacing w:val="-92"/>
              </w:rPr>
              <w:t xml:space="preserve"> </w:t>
            </w:r>
            <w:r>
              <w:rPr>
                <w:spacing w:val="-17"/>
              </w:rPr>
              <w:t>年</w:t>
            </w:r>
            <w:r>
              <w:rPr>
                <w:u w:val="single" w:color="auto"/>
              </w:rPr>
              <w:t xml:space="preserve">    </w:t>
            </w:r>
            <w:r>
              <w:rPr>
                <w:spacing w:val="-92"/>
              </w:rPr>
              <w:t xml:space="preserve"> </w:t>
            </w:r>
            <w:r>
              <w:rPr>
                <w:spacing w:val="-17"/>
              </w:rPr>
              <w:t>月</w:t>
            </w:r>
            <w:r>
              <w:rPr>
                <w:spacing w:val="34"/>
                <w:u w:val="single" w:color="auto"/>
              </w:rPr>
              <w:t xml:space="preserve">   </w:t>
            </w:r>
            <w:r>
              <w:rPr>
                <w:spacing w:val="-60"/>
              </w:rPr>
              <w:t xml:space="preserve"> </w:t>
            </w:r>
            <w:r>
              <w:rPr>
                <w:spacing w:val="-17"/>
              </w:rPr>
              <w:t>日</w:t>
            </w:r>
            <w:r>
              <w:rPr>
                <w:u w:val="single" w:color="auto"/>
              </w:rPr>
              <w:t xml:space="preserve">    </w:t>
            </w:r>
            <w:r>
              <w:rPr>
                <w:spacing w:val="-86"/>
              </w:rPr>
              <w:t xml:space="preserve"> </w:t>
            </w:r>
            <w:r>
              <w:rPr>
                <w:spacing w:val="-17"/>
              </w:rPr>
              <w:t>时</w:t>
            </w:r>
            <w:r>
              <w:rPr>
                <w:spacing w:val="34"/>
                <w:u w:val="single" w:color="auto"/>
              </w:rPr>
              <w:t xml:space="preserve">   </w:t>
            </w:r>
            <w:r>
              <w:rPr>
                <w:spacing w:val="-94"/>
              </w:rPr>
              <w:t xml:space="preserve"> </w:t>
            </w:r>
            <w:r>
              <w:rPr>
                <w:spacing w:val="-17"/>
              </w:rPr>
              <w:t>分</w:t>
            </w:r>
          </w:p>
        </w:tc>
      </w:tr>
      <w:tr w14:paraId="569A9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084" w:type="dxa"/>
            <w:vAlign w:val="top"/>
          </w:tcPr>
          <w:p w14:paraId="350FD263">
            <w:pPr>
              <w:pStyle w:val="11"/>
              <w:spacing w:before="238" w:line="221" w:lineRule="auto"/>
              <w:ind w:left="209"/>
            </w:pPr>
            <w:r>
              <w:rPr>
                <w:spacing w:val="-1"/>
              </w:rPr>
              <w:t>投标文件是否加密</w:t>
            </w:r>
          </w:p>
        </w:tc>
        <w:tc>
          <w:tcPr>
            <w:tcW w:w="6218" w:type="dxa"/>
            <w:vAlign w:val="top"/>
          </w:tcPr>
          <w:p w14:paraId="3BDFB039">
            <w:pPr>
              <w:rPr>
                <w:rFonts w:ascii="Arial"/>
                <w:sz w:val="21"/>
              </w:rPr>
            </w:pPr>
          </w:p>
        </w:tc>
      </w:tr>
    </w:tbl>
    <w:p w14:paraId="2A38CC3C">
      <w:pPr>
        <w:pStyle w:val="5"/>
      </w:pPr>
    </w:p>
    <w:p w14:paraId="2259BBA2">
      <w:pPr>
        <w:sectPr>
          <w:headerReference r:id="rId42" w:type="default"/>
          <w:footerReference r:id="rId43" w:type="default"/>
          <w:pgSz w:w="11905" w:h="16843"/>
          <w:pgMar w:top="969" w:right="1355" w:bottom="1026" w:left="1480" w:header="0" w:footer="754" w:gutter="0"/>
          <w:cols w:space="0" w:num="1"/>
          <w:rtlGutter w:val="0"/>
          <w:docGrid w:linePitch="0" w:charSpace="0"/>
        </w:sectPr>
      </w:pPr>
    </w:p>
    <w:p w14:paraId="1278A99D">
      <w:pPr>
        <w:pStyle w:val="5"/>
        <w:spacing w:line="270" w:lineRule="auto"/>
      </w:pPr>
    </w:p>
    <w:p w14:paraId="718427F6">
      <w:pPr>
        <w:pStyle w:val="5"/>
        <w:spacing w:line="270" w:lineRule="auto"/>
      </w:pPr>
    </w:p>
    <w:p w14:paraId="35128D45">
      <w:pPr>
        <w:pStyle w:val="5"/>
        <w:spacing w:line="270" w:lineRule="auto"/>
      </w:pPr>
    </w:p>
    <w:p w14:paraId="3D0B5B88">
      <w:pPr>
        <w:pStyle w:val="5"/>
        <w:spacing w:line="270" w:lineRule="auto"/>
      </w:pPr>
    </w:p>
    <w:p w14:paraId="7216240B">
      <w:pPr>
        <w:pStyle w:val="5"/>
        <w:spacing w:line="270" w:lineRule="auto"/>
      </w:pPr>
    </w:p>
    <w:p w14:paraId="1AC0731E">
      <w:pPr>
        <w:spacing w:before="78" w:line="219" w:lineRule="auto"/>
        <w:ind w:left="22"/>
        <w:outlineLvl w:val="1"/>
        <w:rPr>
          <w:rFonts w:ascii="黑体" w:hAnsi="黑体" w:eastAsia="黑体" w:cs="黑体"/>
          <w:sz w:val="24"/>
          <w:szCs w:val="24"/>
        </w:rPr>
      </w:pPr>
      <w:bookmarkStart w:id="111" w:name="bookmark90"/>
      <w:bookmarkEnd w:id="111"/>
      <w:bookmarkStart w:id="112" w:name="bookmark500"/>
      <w:bookmarkEnd w:id="112"/>
      <w:r>
        <w:rPr>
          <w:rFonts w:ascii="黑体" w:hAnsi="黑体" w:eastAsia="黑体" w:cs="黑体"/>
          <w:spacing w:val="-3"/>
          <w:sz w:val="24"/>
          <w:szCs w:val="24"/>
        </w:rPr>
        <w:t>附表五：开标记录表</w:t>
      </w:r>
    </w:p>
    <w:p w14:paraId="2FBB01B6">
      <w:pPr>
        <w:pStyle w:val="5"/>
        <w:spacing w:line="465" w:lineRule="auto"/>
      </w:pPr>
    </w:p>
    <w:p w14:paraId="538A3118">
      <w:pPr>
        <w:tabs>
          <w:tab w:val="left" w:pos="7844"/>
        </w:tabs>
        <w:spacing w:before="91" w:line="219" w:lineRule="auto"/>
        <w:ind w:left="4620"/>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z w:val="28"/>
          <w:szCs w:val="28"/>
        </w:rPr>
        <w:t>（标段名称）项目开标记录表</w:t>
      </w:r>
    </w:p>
    <w:p w14:paraId="117440B0">
      <w:pPr>
        <w:pStyle w:val="5"/>
        <w:spacing w:line="294" w:lineRule="auto"/>
      </w:pPr>
    </w:p>
    <w:p w14:paraId="05FF2AE7">
      <w:pPr>
        <w:spacing w:before="69" w:line="221" w:lineRule="auto"/>
        <w:ind w:left="115"/>
        <w:rPr>
          <w:rFonts w:ascii="宋体" w:hAnsi="宋体" w:eastAsia="宋体" w:cs="宋体"/>
          <w:sz w:val="21"/>
          <w:szCs w:val="21"/>
        </w:rPr>
      </w:pPr>
      <w:r>
        <w:rPr>
          <w:rFonts w:ascii="宋体" w:hAnsi="宋体" w:eastAsia="宋体" w:cs="宋体"/>
          <w:spacing w:val="-3"/>
          <w:sz w:val="21"/>
          <w:szCs w:val="21"/>
        </w:rPr>
        <w:t>开标时间：</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日</w:t>
      </w:r>
      <w:r>
        <w:rPr>
          <w:rFonts w:ascii="宋体" w:hAnsi="宋体" w:eastAsia="宋体" w:cs="宋体"/>
          <w:spacing w:val="-3"/>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3"/>
          <w:sz w:val="21"/>
          <w:szCs w:val="21"/>
        </w:rPr>
        <w:t>时</w:t>
      </w:r>
      <w:r>
        <w:rPr>
          <w:rFonts w:ascii="宋体" w:hAnsi="宋体" w:eastAsia="宋体" w:cs="宋体"/>
          <w:spacing w:val="34"/>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3"/>
          <w:sz w:val="21"/>
          <w:szCs w:val="21"/>
        </w:rPr>
        <w:t>分</w:t>
      </w:r>
      <w:r>
        <w:rPr>
          <w:rFonts w:ascii="宋体" w:hAnsi="宋体" w:eastAsia="宋体" w:cs="宋体"/>
          <w:spacing w:val="1"/>
          <w:sz w:val="21"/>
          <w:szCs w:val="21"/>
        </w:rPr>
        <w:t xml:space="preserve">     </w:t>
      </w:r>
      <w:r>
        <w:rPr>
          <w:rFonts w:ascii="宋体" w:hAnsi="宋体" w:eastAsia="宋体" w:cs="宋体"/>
          <w:spacing w:val="-3"/>
          <w:sz w:val="21"/>
          <w:szCs w:val="21"/>
        </w:rPr>
        <w:t>开标地点：</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开标方式：</w:t>
      </w:r>
    </w:p>
    <w:p w14:paraId="28277814">
      <w:pPr>
        <w:spacing w:line="101" w:lineRule="auto"/>
        <w:rPr>
          <w:rFonts w:ascii="Arial"/>
          <w:sz w:val="2"/>
        </w:rPr>
      </w:pPr>
    </w:p>
    <w:tbl>
      <w:tblPr>
        <w:tblStyle w:val="10"/>
        <w:tblW w:w="14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78"/>
        <w:gridCol w:w="1135"/>
        <w:gridCol w:w="1843"/>
        <w:gridCol w:w="883"/>
        <w:gridCol w:w="1133"/>
        <w:gridCol w:w="1135"/>
        <w:gridCol w:w="1132"/>
        <w:gridCol w:w="1277"/>
        <w:gridCol w:w="1701"/>
        <w:gridCol w:w="1279"/>
      </w:tblGrid>
      <w:tr w14:paraId="04C6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72" w:type="dxa"/>
            <w:vMerge w:val="restart"/>
            <w:tcBorders>
              <w:bottom w:val="nil"/>
            </w:tcBorders>
            <w:vAlign w:val="top"/>
          </w:tcPr>
          <w:p w14:paraId="4AC67997">
            <w:pPr>
              <w:spacing w:line="243" w:lineRule="auto"/>
              <w:rPr>
                <w:rFonts w:ascii="Arial"/>
                <w:sz w:val="21"/>
              </w:rPr>
            </w:pPr>
          </w:p>
          <w:p w14:paraId="5DB6BB0C">
            <w:pPr>
              <w:pStyle w:val="11"/>
              <w:spacing w:before="68" w:line="222" w:lineRule="auto"/>
              <w:ind w:left="130"/>
            </w:pPr>
            <w:r>
              <w:rPr>
                <w:spacing w:val="-2"/>
              </w:rPr>
              <w:t>序号</w:t>
            </w:r>
          </w:p>
        </w:tc>
        <w:tc>
          <w:tcPr>
            <w:tcW w:w="1878" w:type="dxa"/>
            <w:vMerge w:val="restart"/>
            <w:tcBorders>
              <w:bottom w:val="nil"/>
            </w:tcBorders>
            <w:vAlign w:val="top"/>
          </w:tcPr>
          <w:p w14:paraId="78F90BF1">
            <w:pPr>
              <w:spacing w:line="243" w:lineRule="auto"/>
              <w:rPr>
                <w:rFonts w:ascii="Arial"/>
                <w:sz w:val="21"/>
              </w:rPr>
            </w:pPr>
          </w:p>
          <w:p w14:paraId="5ADA6AC6">
            <w:pPr>
              <w:pStyle w:val="11"/>
              <w:spacing w:before="69" w:line="221" w:lineRule="auto"/>
              <w:ind w:left="418"/>
            </w:pPr>
            <w:r>
              <w:rPr>
                <w:spacing w:val="-2"/>
              </w:rPr>
              <w:t>投标人名称</w:t>
            </w:r>
          </w:p>
        </w:tc>
        <w:tc>
          <w:tcPr>
            <w:tcW w:w="1135" w:type="dxa"/>
            <w:vMerge w:val="restart"/>
            <w:tcBorders>
              <w:bottom w:val="nil"/>
            </w:tcBorders>
            <w:vAlign w:val="top"/>
          </w:tcPr>
          <w:p w14:paraId="6E961871">
            <w:pPr>
              <w:pStyle w:val="11"/>
              <w:spacing w:before="176" w:line="243" w:lineRule="auto"/>
              <w:ind w:left="262" w:right="144" w:hanging="109"/>
            </w:pPr>
            <w:r>
              <w:rPr>
                <w:spacing w:val="-3"/>
              </w:rPr>
              <w:t>投标报价</w:t>
            </w:r>
            <w:r>
              <w:rPr>
                <w:spacing w:val="-6"/>
              </w:rPr>
              <w:t>（元）</w:t>
            </w:r>
          </w:p>
        </w:tc>
        <w:tc>
          <w:tcPr>
            <w:tcW w:w="1843" w:type="dxa"/>
            <w:vMerge w:val="restart"/>
            <w:tcBorders>
              <w:bottom w:val="nil"/>
            </w:tcBorders>
            <w:vAlign w:val="top"/>
          </w:tcPr>
          <w:p w14:paraId="5C41700F">
            <w:pPr>
              <w:pStyle w:val="11"/>
              <w:spacing w:before="176" w:line="221" w:lineRule="auto"/>
              <w:ind w:left="718"/>
            </w:pPr>
            <w:r>
              <w:rPr>
                <w:spacing w:val="-3"/>
              </w:rPr>
              <w:t>工期</w:t>
            </w:r>
          </w:p>
          <w:p w14:paraId="0577AC18">
            <w:pPr>
              <w:pStyle w:val="11"/>
              <w:spacing w:before="22" w:line="221" w:lineRule="auto"/>
              <w:ind w:left="405"/>
            </w:pPr>
            <w:r>
              <w:rPr>
                <w:spacing w:val="-6"/>
              </w:rPr>
              <w:t>（日历天）</w:t>
            </w:r>
          </w:p>
        </w:tc>
        <w:tc>
          <w:tcPr>
            <w:tcW w:w="883" w:type="dxa"/>
            <w:vMerge w:val="restart"/>
            <w:tcBorders>
              <w:bottom w:val="nil"/>
            </w:tcBorders>
            <w:vAlign w:val="top"/>
          </w:tcPr>
          <w:p w14:paraId="6D76E907">
            <w:pPr>
              <w:pStyle w:val="11"/>
              <w:spacing w:before="176" w:line="243" w:lineRule="auto"/>
              <w:ind w:left="237" w:right="227"/>
            </w:pPr>
            <w:r>
              <w:rPr>
                <w:spacing w:val="-4"/>
              </w:rPr>
              <w:t>质量标准</w:t>
            </w:r>
          </w:p>
        </w:tc>
        <w:tc>
          <w:tcPr>
            <w:tcW w:w="1133" w:type="dxa"/>
            <w:vMerge w:val="restart"/>
            <w:tcBorders>
              <w:bottom w:val="nil"/>
            </w:tcBorders>
            <w:vAlign w:val="top"/>
          </w:tcPr>
          <w:p w14:paraId="3A3461A2">
            <w:pPr>
              <w:pStyle w:val="11"/>
              <w:spacing w:before="176" w:line="243" w:lineRule="auto"/>
              <w:ind w:left="154" w:right="141"/>
            </w:pPr>
            <w:r>
              <w:rPr>
                <w:spacing w:val="-3"/>
              </w:rPr>
              <w:t>投标有效</w:t>
            </w:r>
            <w:r>
              <w:rPr>
                <w:spacing w:val="-6"/>
              </w:rPr>
              <w:t>期（天）</w:t>
            </w:r>
          </w:p>
        </w:tc>
        <w:tc>
          <w:tcPr>
            <w:tcW w:w="1135" w:type="dxa"/>
            <w:vMerge w:val="restart"/>
            <w:tcBorders>
              <w:bottom w:val="nil"/>
            </w:tcBorders>
            <w:vAlign w:val="top"/>
          </w:tcPr>
          <w:p w14:paraId="29752D33">
            <w:pPr>
              <w:pStyle w:val="11"/>
              <w:spacing w:before="175" w:line="243" w:lineRule="auto"/>
              <w:ind w:left="363" w:right="143" w:hanging="207"/>
            </w:pPr>
            <w:r>
              <w:rPr>
                <w:spacing w:val="-3"/>
              </w:rPr>
              <w:t>项目经理</w:t>
            </w:r>
            <w:r>
              <w:rPr>
                <w:spacing w:val="-2"/>
              </w:rPr>
              <w:t>姓名</w:t>
            </w:r>
          </w:p>
        </w:tc>
        <w:tc>
          <w:tcPr>
            <w:tcW w:w="2409" w:type="dxa"/>
            <w:gridSpan w:val="2"/>
            <w:vAlign w:val="top"/>
          </w:tcPr>
          <w:p w14:paraId="10890217">
            <w:pPr>
              <w:pStyle w:val="11"/>
              <w:spacing w:before="37" w:line="207" w:lineRule="auto"/>
              <w:ind w:left="688"/>
            </w:pPr>
            <w:r>
              <w:rPr>
                <w:spacing w:val="-2"/>
              </w:rPr>
              <w:t>投标保证金</w:t>
            </w:r>
          </w:p>
        </w:tc>
        <w:tc>
          <w:tcPr>
            <w:tcW w:w="1701" w:type="dxa"/>
            <w:vMerge w:val="restart"/>
            <w:tcBorders>
              <w:bottom w:val="nil"/>
            </w:tcBorders>
            <w:vAlign w:val="top"/>
          </w:tcPr>
          <w:p w14:paraId="588451CF">
            <w:pPr>
              <w:spacing w:line="243" w:lineRule="auto"/>
              <w:rPr>
                <w:rFonts w:ascii="Arial"/>
                <w:sz w:val="21"/>
              </w:rPr>
            </w:pPr>
          </w:p>
          <w:p w14:paraId="7A7EBD70">
            <w:pPr>
              <w:pStyle w:val="11"/>
              <w:spacing w:before="68" w:line="221" w:lineRule="auto"/>
              <w:ind w:left="122"/>
            </w:pPr>
            <w:r>
              <w:rPr>
                <w:spacing w:val="-2"/>
              </w:rPr>
              <w:t>投标人代表确认</w:t>
            </w:r>
          </w:p>
        </w:tc>
        <w:tc>
          <w:tcPr>
            <w:tcW w:w="1279" w:type="dxa"/>
            <w:vMerge w:val="restart"/>
            <w:tcBorders>
              <w:bottom w:val="nil"/>
            </w:tcBorders>
            <w:vAlign w:val="top"/>
          </w:tcPr>
          <w:p w14:paraId="5D2AA518">
            <w:pPr>
              <w:spacing w:line="243" w:lineRule="auto"/>
              <w:rPr>
                <w:rFonts w:ascii="Arial"/>
                <w:sz w:val="21"/>
              </w:rPr>
            </w:pPr>
          </w:p>
          <w:p w14:paraId="5BE21450">
            <w:pPr>
              <w:pStyle w:val="11"/>
              <w:spacing w:before="68" w:line="223" w:lineRule="auto"/>
              <w:ind w:left="227"/>
            </w:pPr>
            <w:r>
              <w:rPr>
                <w:spacing w:val="-2"/>
              </w:rPr>
              <w:t>联系电话</w:t>
            </w:r>
          </w:p>
        </w:tc>
      </w:tr>
      <w:tr w14:paraId="3FEFD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tcBorders>
              <w:top w:val="nil"/>
            </w:tcBorders>
            <w:vAlign w:val="top"/>
          </w:tcPr>
          <w:p w14:paraId="00275A48">
            <w:pPr>
              <w:rPr>
                <w:rFonts w:ascii="Arial"/>
                <w:sz w:val="21"/>
              </w:rPr>
            </w:pPr>
          </w:p>
        </w:tc>
        <w:tc>
          <w:tcPr>
            <w:tcW w:w="1878" w:type="dxa"/>
            <w:vMerge w:val="continue"/>
            <w:tcBorders>
              <w:top w:val="nil"/>
            </w:tcBorders>
            <w:vAlign w:val="top"/>
          </w:tcPr>
          <w:p w14:paraId="054638D6">
            <w:pPr>
              <w:rPr>
                <w:rFonts w:ascii="Arial"/>
                <w:sz w:val="21"/>
              </w:rPr>
            </w:pPr>
          </w:p>
        </w:tc>
        <w:tc>
          <w:tcPr>
            <w:tcW w:w="1135" w:type="dxa"/>
            <w:vMerge w:val="continue"/>
            <w:tcBorders>
              <w:top w:val="nil"/>
            </w:tcBorders>
            <w:vAlign w:val="top"/>
          </w:tcPr>
          <w:p w14:paraId="6CB3C5F7">
            <w:pPr>
              <w:rPr>
                <w:rFonts w:ascii="Arial"/>
                <w:sz w:val="21"/>
              </w:rPr>
            </w:pPr>
          </w:p>
        </w:tc>
        <w:tc>
          <w:tcPr>
            <w:tcW w:w="1843" w:type="dxa"/>
            <w:vMerge w:val="continue"/>
            <w:tcBorders>
              <w:top w:val="nil"/>
            </w:tcBorders>
            <w:vAlign w:val="top"/>
          </w:tcPr>
          <w:p w14:paraId="44825D66">
            <w:pPr>
              <w:rPr>
                <w:rFonts w:ascii="Arial"/>
                <w:sz w:val="21"/>
              </w:rPr>
            </w:pPr>
          </w:p>
        </w:tc>
        <w:tc>
          <w:tcPr>
            <w:tcW w:w="883" w:type="dxa"/>
            <w:vMerge w:val="continue"/>
            <w:tcBorders>
              <w:top w:val="nil"/>
            </w:tcBorders>
            <w:vAlign w:val="top"/>
          </w:tcPr>
          <w:p w14:paraId="1BD01CC7">
            <w:pPr>
              <w:rPr>
                <w:rFonts w:ascii="Arial"/>
                <w:sz w:val="21"/>
              </w:rPr>
            </w:pPr>
          </w:p>
        </w:tc>
        <w:tc>
          <w:tcPr>
            <w:tcW w:w="1133" w:type="dxa"/>
            <w:vMerge w:val="continue"/>
            <w:tcBorders>
              <w:top w:val="nil"/>
            </w:tcBorders>
            <w:vAlign w:val="top"/>
          </w:tcPr>
          <w:p w14:paraId="2DDD1429">
            <w:pPr>
              <w:rPr>
                <w:rFonts w:ascii="Arial"/>
                <w:sz w:val="21"/>
              </w:rPr>
            </w:pPr>
          </w:p>
        </w:tc>
        <w:tc>
          <w:tcPr>
            <w:tcW w:w="1135" w:type="dxa"/>
            <w:vMerge w:val="continue"/>
            <w:tcBorders>
              <w:top w:val="nil"/>
            </w:tcBorders>
            <w:vAlign w:val="top"/>
          </w:tcPr>
          <w:p w14:paraId="3D14ECB0">
            <w:pPr>
              <w:rPr>
                <w:rFonts w:ascii="Arial"/>
                <w:sz w:val="21"/>
              </w:rPr>
            </w:pPr>
          </w:p>
        </w:tc>
        <w:tc>
          <w:tcPr>
            <w:tcW w:w="1132" w:type="dxa"/>
            <w:vAlign w:val="top"/>
          </w:tcPr>
          <w:p w14:paraId="15F7EC89">
            <w:pPr>
              <w:pStyle w:val="11"/>
              <w:spacing w:before="29" w:line="224" w:lineRule="auto"/>
              <w:ind w:left="262" w:right="260" w:firstLine="100"/>
            </w:pPr>
            <w:r>
              <w:rPr>
                <w:spacing w:val="-4"/>
              </w:rPr>
              <w:t>金额</w:t>
            </w:r>
            <w:r>
              <w:rPr>
                <w:spacing w:val="-9"/>
              </w:rPr>
              <w:t>（元）</w:t>
            </w:r>
          </w:p>
        </w:tc>
        <w:tc>
          <w:tcPr>
            <w:tcW w:w="1277" w:type="dxa"/>
            <w:vAlign w:val="top"/>
          </w:tcPr>
          <w:p w14:paraId="4DF2FDC8">
            <w:pPr>
              <w:pStyle w:val="11"/>
              <w:spacing w:before="166" w:line="221" w:lineRule="auto"/>
              <w:ind w:left="224"/>
            </w:pPr>
            <w:r>
              <w:rPr>
                <w:spacing w:val="-1"/>
              </w:rPr>
              <w:t>缴纳方式</w:t>
            </w:r>
          </w:p>
        </w:tc>
        <w:tc>
          <w:tcPr>
            <w:tcW w:w="1701" w:type="dxa"/>
            <w:vMerge w:val="continue"/>
            <w:tcBorders>
              <w:top w:val="nil"/>
            </w:tcBorders>
            <w:vAlign w:val="top"/>
          </w:tcPr>
          <w:p w14:paraId="5541D0D1">
            <w:pPr>
              <w:rPr>
                <w:rFonts w:ascii="Arial"/>
                <w:sz w:val="21"/>
              </w:rPr>
            </w:pPr>
          </w:p>
        </w:tc>
        <w:tc>
          <w:tcPr>
            <w:tcW w:w="1279" w:type="dxa"/>
            <w:vMerge w:val="continue"/>
            <w:tcBorders>
              <w:top w:val="nil"/>
            </w:tcBorders>
            <w:vAlign w:val="top"/>
          </w:tcPr>
          <w:p w14:paraId="0C6C5F4F">
            <w:pPr>
              <w:rPr>
                <w:rFonts w:ascii="Arial"/>
                <w:sz w:val="21"/>
              </w:rPr>
            </w:pPr>
          </w:p>
        </w:tc>
      </w:tr>
      <w:tr w14:paraId="0875B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2" w:type="dxa"/>
            <w:vAlign w:val="top"/>
          </w:tcPr>
          <w:p w14:paraId="7CA0DECF">
            <w:pPr>
              <w:rPr>
                <w:rFonts w:ascii="Arial"/>
                <w:sz w:val="21"/>
              </w:rPr>
            </w:pPr>
          </w:p>
        </w:tc>
        <w:tc>
          <w:tcPr>
            <w:tcW w:w="1878" w:type="dxa"/>
            <w:vAlign w:val="top"/>
          </w:tcPr>
          <w:p w14:paraId="319FD800">
            <w:pPr>
              <w:rPr>
                <w:rFonts w:ascii="Arial"/>
                <w:sz w:val="21"/>
              </w:rPr>
            </w:pPr>
          </w:p>
        </w:tc>
        <w:tc>
          <w:tcPr>
            <w:tcW w:w="1135" w:type="dxa"/>
            <w:vAlign w:val="top"/>
          </w:tcPr>
          <w:p w14:paraId="1E26C9D2">
            <w:pPr>
              <w:rPr>
                <w:rFonts w:ascii="Arial"/>
                <w:sz w:val="21"/>
              </w:rPr>
            </w:pPr>
          </w:p>
        </w:tc>
        <w:tc>
          <w:tcPr>
            <w:tcW w:w="1843" w:type="dxa"/>
            <w:vAlign w:val="top"/>
          </w:tcPr>
          <w:p w14:paraId="5054AC97">
            <w:pPr>
              <w:rPr>
                <w:rFonts w:ascii="Arial"/>
                <w:sz w:val="21"/>
              </w:rPr>
            </w:pPr>
          </w:p>
        </w:tc>
        <w:tc>
          <w:tcPr>
            <w:tcW w:w="883" w:type="dxa"/>
            <w:vAlign w:val="top"/>
          </w:tcPr>
          <w:p w14:paraId="4FB489AB">
            <w:pPr>
              <w:rPr>
                <w:rFonts w:ascii="Arial"/>
                <w:sz w:val="21"/>
              </w:rPr>
            </w:pPr>
          </w:p>
        </w:tc>
        <w:tc>
          <w:tcPr>
            <w:tcW w:w="1133" w:type="dxa"/>
            <w:vAlign w:val="top"/>
          </w:tcPr>
          <w:p w14:paraId="6BF76BB9">
            <w:pPr>
              <w:rPr>
                <w:rFonts w:ascii="Arial"/>
                <w:sz w:val="21"/>
              </w:rPr>
            </w:pPr>
          </w:p>
        </w:tc>
        <w:tc>
          <w:tcPr>
            <w:tcW w:w="1135" w:type="dxa"/>
            <w:vAlign w:val="top"/>
          </w:tcPr>
          <w:p w14:paraId="0C704523">
            <w:pPr>
              <w:rPr>
                <w:rFonts w:ascii="Arial"/>
                <w:sz w:val="21"/>
              </w:rPr>
            </w:pPr>
          </w:p>
        </w:tc>
        <w:tc>
          <w:tcPr>
            <w:tcW w:w="1132" w:type="dxa"/>
            <w:vAlign w:val="top"/>
          </w:tcPr>
          <w:p w14:paraId="1D272089">
            <w:pPr>
              <w:rPr>
                <w:rFonts w:ascii="Arial"/>
                <w:sz w:val="21"/>
              </w:rPr>
            </w:pPr>
          </w:p>
        </w:tc>
        <w:tc>
          <w:tcPr>
            <w:tcW w:w="1277" w:type="dxa"/>
            <w:vAlign w:val="top"/>
          </w:tcPr>
          <w:p w14:paraId="6E666103">
            <w:pPr>
              <w:rPr>
                <w:rFonts w:ascii="Arial"/>
                <w:sz w:val="21"/>
              </w:rPr>
            </w:pPr>
          </w:p>
        </w:tc>
        <w:tc>
          <w:tcPr>
            <w:tcW w:w="1701" w:type="dxa"/>
            <w:vAlign w:val="top"/>
          </w:tcPr>
          <w:p w14:paraId="7FC4BB67">
            <w:pPr>
              <w:rPr>
                <w:rFonts w:ascii="Arial"/>
                <w:sz w:val="21"/>
              </w:rPr>
            </w:pPr>
          </w:p>
        </w:tc>
        <w:tc>
          <w:tcPr>
            <w:tcW w:w="1279" w:type="dxa"/>
            <w:vAlign w:val="top"/>
          </w:tcPr>
          <w:p w14:paraId="0B7C27D0">
            <w:pPr>
              <w:rPr>
                <w:rFonts w:ascii="Arial"/>
                <w:sz w:val="21"/>
              </w:rPr>
            </w:pPr>
          </w:p>
        </w:tc>
      </w:tr>
      <w:tr w14:paraId="78CD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vAlign w:val="top"/>
          </w:tcPr>
          <w:p w14:paraId="42DF0C32">
            <w:pPr>
              <w:rPr>
                <w:rFonts w:ascii="Arial"/>
                <w:sz w:val="21"/>
              </w:rPr>
            </w:pPr>
          </w:p>
        </w:tc>
        <w:tc>
          <w:tcPr>
            <w:tcW w:w="1878" w:type="dxa"/>
            <w:vAlign w:val="top"/>
          </w:tcPr>
          <w:p w14:paraId="06D20A0A">
            <w:pPr>
              <w:rPr>
                <w:rFonts w:ascii="Arial"/>
                <w:sz w:val="21"/>
              </w:rPr>
            </w:pPr>
          </w:p>
        </w:tc>
        <w:tc>
          <w:tcPr>
            <w:tcW w:w="1135" w:type="dxa"/>
            <w:vAlign w:val="top"/>
          </w:tcPr>
          <w:p w14:paraId="4510DAAE">
            <w:pPr>
              <w:rPr>
                <w:rFonts w:ascii="Arial"/>
                <w:sz w:val="21"/>
              </w:rPr>
            </w:pPr>
          </w:p>
        </w:tc>
        <w:tc>
          <w:tcPr>
            <w:tcW w:w="1843" w:type="dxa"/>
            <w:vAlign w:val="top"/>
          </w:tcPr>
          <w:p w14:paraId="2AF4BBF9">
            <w:pPr>
              <w:rPr>
                <w:rFonts w:ascii="Arial"/>
                <w:sz w:val="21"/>
              </w:rPr>
            </w:pPr>
          </w:p>
        </w:tc>
        <w:tc>
          <w:tcPr>
            <w:tcW w:w="883" w:type="dxa"/>
            <w:vAlign w:val="top"/>
          </w:tcPr>
          <w:p w14:paraId="6EA01877">
            <w:pPr>
              <w:rPr>
                <w:rFonts w:ascii="Arial"/>
                <w:sz w:val="21"/>
              </w:rPr>
            </w:pPr>
          </w:p>
        </w:tc>
        <w:tc>
          <w:tcPr>
            <w:tcW w:w="1133" w:type="dxa"/>
            <w:vAlign w:val="top"/>
          </w:tcPr>
          <w:p w14:paraId="0C2E3704">
            <w:pPr>
              <w:rPr>
                <w:rFonts w:ascii="Arial"/>
                <w:sz w:val="21"/>
              </w:rPr>
            </w:pPr>
          </w:p>
        </w:tc>
        <w:tc>
          <w:tcPr>
            <w:tcW w:w="1135" w:type="dxa"/>
            <w:vAlign w:val="top"/>
          </w:tcPr>
          <w:p w14:paraId="009B641A">
            <w:pPr>
              <w:rPr>
                <w:rFonts w:ascii="Arial"/>
                <w:sz w:val="21"/>
              </w:rPr>
            </w:pPr>
          </w:p>
        </w:tc>
        <w:tc>
          <w:tcPr>
            <w:tcW w:w="1132" w:type="dxa"/>
            <w:vAlign w:val="top"/>
          </w:tcPr>
          <w:p w14:paraId="251AD5DA">
            <w:pPr>
              <w:rPr>
                <w:rFonts w:ascii="Arial"/>
                <w:sz w:val="21"/>
              </w:rPr>
            </w:pPr>
          </w:p>
        </w:tc>
        <w:tc>
          <w:tcPr>
            <w:tcW w:w="1277" w:type="dxa"/>
            <w:vAlign w:val="top"/>
          </w:tcPr>
          <w:p w14:paraId="1B5AF5E6">
            <w:pPr>
              <w:rPr>
                <w:rFonts w:ascii="Arial"/>
                <w:sz w:val="21"/>
              </w:rPr>
            </w:pPr>
          </w:p>
        </w:tc>
        <w:tc>
          <w:tcPr>
            <w:tcW w:w="1701" w:type="dxa"/>
            <w:vAlign w:val="top"/>
          </w:tcPr>
          <w:p w14:paraId="58CC6848">
            <w:pPr>
              <w:rPr>
                <w:rFonts w:ascii="Arial"/>
                <w:sz w:val="21"/>
              </w:rPr>
            </w:pPr>
          </w:p>
        </w:tc>
        <w:tc>
          <w:tcPr>
            <w:tcW w:w="1279" w:type="dxa"/>
            <w:vAlign w:val="top"/>
          </w:tcPr>
          <w:p w14:paraId="467A7932">
            <w:pPr>
              <w:rPr>
                <w:rFonts w:ascii="Arial"/>
                <w:sz w:val="21"/>
              </w:rPr>
            </w:pPr>
          </w:p>
        </w:tc>
      </w:tr>
      <w:tr w14:paraId="669AA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2DD31086">
            <w:pPr>
              <w:rPr>
                <w:rFonts w:ascii="Arial"/>
                <w:sz w:val="21"/>
              </w:rPr>
            </w:pPr>
          </w:p>
        </w:tc>
        <w:tc>
          <w:tcPr>
            <w:tcW w:w="1878" w:type="dxa"/>
            <w:vAlign w:val="top"/>
          </w:tcPr>
          <w:p w14:paraId="560848A0">
            <w:pPr>
              <w:rPr>
                <w:rFonts w:ascii="Arial"/>
                <w:sz w:val="21"/>
              </w:rPr>
            </w:pPr>
          </w:p>
        </w:tc>
        <w:tc>
          <w:tcPr>
            <w:tcW w:w="1135" w:type="dxa"/>
            <w:vAlign w:val="top"/>
          </w:tcPr>
          <w:p w14:paraId="4C964409">
            <w:pPr>
              <w:rPr>
                <w:rFonts w:ascii="Arial"/>
                <w:sz w:val="21"/>
              </w:rPr>
            </w:pPr>
          </w:p>
        </w:tc>
        <w:tc>
          <w:tcPr>
            <w:tcW w:w="1843" w:type="dxa"/>
            <w:vAlign w:val="top"/>
          </w:tcPr>
          <w:p w14:paraId="62709032">
            <w:pPr>
              <w:rPr>
                <w:rFonts w:ascii="Arial"/>
                <w:sz w:val="21"/>
              </w:rPr>
            </w:pPr>
          </w:p>
        </w:tc>
        <w:tc>
          <w:tcPr>
            <w:tcW w:w="883" w:type="dxa"/>
            <w:vAlign w:val="top"/>
          </w:tcPr>
          <w:p w14:paraId="32620BCC">
            <w:pPr>
              <w:rPr>
                <w:rFonts w:ascii="Arial"/>
                <w:sz w:val="21"/>
              </w:rPr>
            </w:pPr>
          </w:p>
        </w:tc>
        <w:tc>
          <w:tcPr>
            <w:tcW w:w="1133" w:type="dxa"/>
            <w:vAlign w:val="top"/>
          </w:tcPr>
          <w:p w14:paraId="2BE70836">
            <w:pPr>
              <w:rPr>
                <w:rFonts w:ascii="Arial"/>
                <w:sz w:val="21"/>
              </w:rPr>
            </w:pPr>
          </w:p>
        </w:tc>
        <w:tc>
          <w:tcPr>
            <w:tcW w:w="1135" w:type="dxa"/>
            <w:vAlign w:val="top"/>
          </w:tcPr>
          <w:p w14:paraId="593FED72">
            <w:pPr>
              <w:rPr>
                <w:rFonts w:ascii="Arial"/>
                <w:sz w:val="21"/>
              </w:rPr>
            </w:pPr>
          </w:p>
        </w:tc>
        <w:tc>
          <w:tcPr>
            <w:tcW w:w="1132" w:type="dxa"/>
            <w:vAlign w:val="top"/>
          </w:tcPr>
          <w:p w14:paraId="64FB00B5">
            <w:pPr>
              <w:rPr>
                <w:rFonts w:ascii="Arial"/>
                <w:sz w:val="21"/>
              </w:rPr>
            </w:pPr>
          </w:p>
        </w:tc>
        <w:tc>
          <w:tcPr>
            <w:tcW w:w="1277" w:type="dxa"/>
            <w:vAlign w:val="top"/>
          </w:tcPr>
          <w:p w14:paraId="4C17F0E3">
            <w:pPr>
              <w:rPr>
                <w:rFonts w:ascii="Arial"/>
                <w:sz w:val="21"/>
              </w:rPr>
            </w:pPr>
          </w:p>
        </w:tc>
        <w:tc>
          <w:tcPr>
            <w:tcW w:w="1701" w:type="dxa"/>
            <w:vAlign w:val="top"/>
          </w:tcPr>
          <w:p w14:paraId="13B8D474">
            <w:pPr>
              <w:rPr>
                <w:rFonts w:ascii="Arial"/>
                <w:sz w:val="21"/>
              </w:rPr>
            </w:pPr>
          </w:p>
        </w:tc>
        <w:tc>
          <w:tcPr>
            <w:tcW w:w="1279" w:type="dxa"/>
            <w:vAlign w:val="top"/>
          </w:tcPr>
          <w:p w14:paraId="3BA3E13B">
            <w:pPr>
              <w:rPr>
                <w:rFonts w:ascii="Arial"/>
                <w:sz w:val="21"/>
              </w:rPr>
            </w:pPr>
          </w:p>
        </w:tc>
      </w:tr>
      <w:tr w14:paraId="21D3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29229394">
            <w:pPr>
              <w:rPr>
                <w:rFonts w:ascii="Arial"/>
                <w:sz w:val="21"/>
              </w:rPr>
            </w:pPr>
          </w:p>
        </w:tc>
        <w:tc>
          <w:tcPr>
            <w:tcW w:w="1878" w:type="dxa"/>
            <w:vAlign w:val="top"/>
          </w:tcPr>
          <w:p w14:paraId="03D37710">
            <w:pPr>
              <w:rPr>
                <w:rFonts w:ascii="Arial"/>
                <w:sz w:val="21"/>
              </w:rPr>
            </w:pPr>
          </w:p>
        </w:tc>
        <w:tc>
          <w:tcPr>
            <w:tcW w:w="1135" w:type="dxa"/>
            <w:vAlign w:val="top"/>
          </w:tcPr>
          <w:p w14:paraId="48918507">
            <w:pPr>
              <w:rPr>
                <w:rFonts w:ascii="Arial"/>
                <w:sz w:val="21"/>
              </w:rPr>
            </w:pPr>
          </w:p>
        </w:tc>
        <w:tc>
          <w:tcPr>
            <w:tcW w:w="1843" w:type="dxa"/>
            <w:vAlign w:val="top"/>
          </w:tcPr>
          <w:p w14:paraId="044DD97A">
            <w:pPr>
              <w:rPr>
                <w:rFonts w:ascii="Arial"/>
                <w:sz w:val="21"/>
              </w:rPr>
            </w:pPr>
          </w:p>
        </w:tc>
        <w:tc>
          <w:tcPr>
            <w:tcW w:w="883" w:type="dxa"/>
            <w:vAlign w:val="top"/>
          </w:tcPr>
          <w:p w14:paraId="0A1F4599">
            <w:pPr>
              <w:rPr>
                <w:rFonts w:ascii="Arial"/>
                <w:sz w:val="21"/>
              </w:rPr>
            </w:pPr>
          </w:p>
        </w:tc>
        <w:tc>
          <w:tcPr>
            <w:tcW w:w="1133" w:type="dxa"/>
            <w:vAlign w:val="top"/>
          </w:tcPr>
          <w:p w14:paraId="6185F98D">
            <w:pPr>
              <w:rPr>
                <w:rFonts w:ascii="Arial"/>
                <w:sz w:val="21"/>
              </w:rPr>
            </w:pPr>
          </w:p>
        </w:tc>
        <w:tc>
          <w:tcPr>
            <w:tcW w:w="1135" w:type="dxa"/>
            <w:vAlign w:val="top"/>
          </w:tcPr>
          <w:p w14:paraId="123B9290">
            <w:pPr>
              <w:rPr>
                <w:rFonts w:ascii="Arial"/>
                <w:sz w:val="21"/>
              </w:rPr>
            </w:pPr>
          </w:p>
        </w:tc>
        <w:tc>
          <w:tcPr>
            <w:tcW w:w="1132" w:type="dxa"/>
            <w:vAlign w:val="top"/>
          </w:tcPr>
          <w:p w14:paraId="1E59AF6F">
            <w:pPr>
              <w:rPr>
                <w:rFonts w:ascii="Arial"/>
                <w:sz w:val="21"/>
              </w:rPr>
            </w:pPr>
          </w:p>
        </w:tc>
        <w:tc>
          <w:tcPr>
            <w:tcW w:w="1277" w:type="dxa"/>
            <w:vAlign w:val="top"/>
          </w:tcPr>
          <w:p w14:paraId="19656CF8">
            <w:pPr>
              <w:rPr>
                <w:rFonts w:ascii="Arial"/>
                <w:sz w:val="21"/>
              </w:rPr>
            </w:pPr>
          </w:p>
        </w:tc>
        <w:tc>
          <w:tcPr>
            <w:tcW w:w="1701" w:type="dxa"/>
            <w:vAlign w:val="top"/>
          </w:tcPr>
          <w:p w14:paraId="31851A2E">
            <w:pPr>
              <w:rPr>
                <w:rFonts w:ascii="Arial"/>
                <w:sz w:val="21"/>
              </w:rPr>
            </w:pPr>
          </w:p>
        </w:tc>
        <w:tc>
          <w:tcPr>
            <w:tcW w:w="1279" w:type="dxa"/>
            <w:vAlign w:val="top"/>
          </w:tcPr>
          <w:p w14:paraId="6B4E9BB1">
            <w:pPr>
              <w:rPr>
                <w:rFonts w:ascii="Arial"/>
                <w:sz w:val="21"/>
              </w:rPr>
            </w:pPr>
          </w:p>
        </w:tc>
      </w:tr>
      <w:tr w14:paraId="56549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vAlign w:val="top"/>
          </w:tcPr>
          <w:p w14:paraId="74F05526">
            <w:pPr>
              <w:rPr>
                <w:rFonts w:ascii="Arial"/>
                <w:sz w:val="21"/>
              </w:rPr>
            </w:pPr>
          </w:p>
        </w:tc>
        <w:tc>
          <w:tcPr>
            <w:tcW w:w="1878" w:type="dxa"/>
            <w:vAlign w:val="top"/>
          </w:tcPr>
          <w:p w14:paraId="321DB1AF">
            <w:pPr>
              <w:rPr>
                <w:rFonts w:ascii="Arial"/>
                <w:sz w:val="21"/>
              </w:rPr>
            </w:pPr>
          </w:p>
        </w:tc>
        <w:tc>
          <w:tcPr>
            <w:tcW w:w="1135" w:type="dxa"/>
            <w:vAlign w:val="top"/>
          </w:tcPr>
          <w:p w14:paraId="29236116">
            <w:pPr>
              <w:rPr>
                <w:rFonts w:ascii="Arial"/>
                <w:sz w:val="21"/>
              </w:rPr>
            </w:pPr>
          </w:p>
        </w:tc>
        <w:tc>
          <w:tcPr>
            <w:tcW w:w="1843" w:type="dxa"/>
            <w:vAlign w:val="top"/>
          </w:tcPr>
          <w:p w14:paraId="195CBEB7">
            <w:pPr>
              <w:rPr>
                <w:rFonts w:ascii="Arial"/>
                <w:sz w:val="21"/>
              </w:rPr>
            </w:pPr>
          </w:p>
        </w:tc>
        <w:tc>
          <w:tcPr>
            <w:tcW w:w="883" w:type="dxa"/>
            <w:vAlign w:val="top"/>
          </w:tcPr>
          <w:p w14:paraId="26D018F6">
            <w:pPr>
              <w:rPr>
                <w:rFonts w:ascii="Arial"/>
                <w:sz w:val="21"/>
              </w:rPr>
            </w:pPr>
          </w:p>
        </w:tc>
        <w:tc>
          <w:tcPr>
            <w:tcW w:w="1133" w:type="dxa"/>
            <w:vAlign w:val="top"/>
          </w:tcPr>
          <w:p w14:paraId="58DD2915">
            <w:pPr>
              <w:rPr>
                <w:rFonts w:ascii="Arial"/>
                <w:sz w:val="21"/>
              </w:rPr>
            </w:pPr>
          </w:p>
        </w:tc>
        <w:tc>
          <w:tcPr>
            <w:tcW w:w="1135" w:type="dxa"/>
            <w:vAlign w:val="top"/>
          </w:tcPr>
          <w:p w14:paraId="43BFDAC4">
            <w:pPr>
              <w:rPr>
                <w:rFonts w:ascii="Arial"/>
                <w:sz w:val="21"/>
              </w:rPr>
            </w:pPr>
          </w:p>
        </w:tc>
        <w:tc>
          <w:tcPr>
            <w:tcW w:w="1132" w:type="dxa"/>
            <w:vAlign w:val="top"/>
          </w:tcPr>
          <w:p w14:paraId="50D76B8D">
            <w:pPr>
              <w:rPr>
                <w:rFonts w:ascii="Arial"/>
                <w:sz w:val="21"/>
              </w:rPr>
            </w:pPr>
          </w:p>
        </w:tc>
        <w:tc>
          <w:tcPr>
            <w:tcW w:w="1277" w:type="dxa"/>
            <w:vAlign w:val="top"/>
          </w:tcPr>
          <w:p w14:paraId="6C8E1536">
            <w:pPr>
              <w:rPr>
                <w:rFonts w:ascii="Arial"/>
                <w:sz w:val="21"/>
              </w:rPr>
            </w:pPr>
          </w:p>
        </w:tc>
        <w:tc>
          <w:tcPr>
            <w:tcW w:w="1701" w:type="dxa"/>
            <w:vAlign w:val="top"/>
          </w:tcPr>
          <w:p w14:paraId="17907944">
            <w:pPr>
              <w:rPr>
                <w:rFonts w:ascii="Arial"/>
                <w:sz w:val="21"/>
              </w:rPr>
            </w:pPr>
          </w:p>
        </w:tc>
        <w:tc>
          <w:tcPr>
            <w:tcW w:w="1279" w:type="dxa"/>
            <w:vAlign w:val="top"/>
          </w:tcPr>
          <w:p w14:paraId="0C436EA7">
            <w:pPr>
              <w:rPr>
                <w:rFonts w:ascii="Arial"/>
                <w:sz w:val="21"/>
              </w:rPr>
            </w:pPr>
          </w:p>
        </w:tc>
      </w:tr>
      <w:tr w14:paraId="5A27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2" w:type="dxa"/>
            <w:vAlign w:val="top"/>
          </w:tcPr>
          <w:p w14:paraId="418FC251">
            <w:pPr>
              <w:rPr>
                <w:rFonts w:ascii="Arial"/>
                <w:sz w:val="21"/>
              </w:rPr>
            </w:pPr>
          </w:p>
        </w:tc>
        <w:tc>
          <w:tcPr>
            <w:tcW w:w="1878" w:type="dxa"/>
            <w:vAlign w:val="top"/>
          </w:tcPr>
          <w:p w14:paraId="120699AC">
            <w:pPr>
              <w:rPr>
                <w:rFonts w:ascii="Arial"/>
                <w:sz w:val="21"/>
              </w:rPr>
            </w:pPr>
          </w:p>
        </w:tc>
        <w:tc>
          <w:tcPr>
            <w:tcW w:w="1135" w:type="dxa"/>
            <w:vAlign w:val="top"/>
          </w:tcPr>
          <w:p w14:paraId="1A99450E">
            <w:pPr>
              <w:rPr>
                <w:rFonts w:ascii="Arial"/>
                <w:sz w:val="21"/>
              </w:rPr>
            </w:pPr>
          </w:p>
        </w:tc>
        <w:tc>
          <w:tcPr>
            <w:tcW w:w="1843" w:type="dxa"/>
            <w:vAlign w:val="top"/>
          </w:tcPr>
          <w:p w14:paraId="7F3EE718">
            <w:pPr>
              <w:rPr>
                <w:rFonts w:ascii="Arial"/>
                <w:sz w:val="21"/>
              </w:rPr>
            </w:pPr>
          </w:p>
        </w:tc>
        <w:tc>
          <w:tcPr>
            <w:tcW w:w="883" w:type="dxa"/>
            <w:vAlign w:val="top"/>
          </w:tcPr>
          <w:p w14:paraId="22191B09">
            <w:pPr>
              <w:rPr>
                <w:rFonts w:ascii="Arial"/>
                <w:sz w:val="21"/>
              </w:rPr>
            </w:pPr>
          </w:p>
        </w:tc>
        <w:tc>
          <w:tcPr>
            <w:tcW w:w="1133" w:type="dxa"/>
            <w:vAlign w:val="top"/>
          </w:tcPr>
          <w:p w14:paraId="271E17FD">
            <w:pPr>
              <w:rPr>
                <w:rFonts w:ascii="Arial"/>
                <w:sz w:val="21"/>
              </w:rPr>
            </w:pPr>
          </w:p>
        </w:tc>
        <w:tc>
          <w:tcPr>
            <w:tcW w:w="1135" w:type="dxa"/>
            <w:vAlign w:val="top"/>
          </w:tcPr>
          <w:p w14:paraId="6BC04817">
            <w:pPr>
              <w:rPr>
                <w:rFonts w:ascii="Arial"/>
                <w:sz w:val="21"/>
              </w:rPr>
            </w:pPr>
          </w:p>
        </w:tc>
        <w:tc>
          <w:tcPr>
            <w:tcW w:w="1132" w:type="dxa"/>
            <w:vAlign w:val="top"/>
          </w:tcPr>
          <w:p w14:paraId="69C68606">
            <w:pPr>
              <w:rPr>
                <w:rFonts w:ascii="Arial"/>
                <w:sz w:val="21"/>
              </w:rPr>
            </w:pPr>
          </w:p>
        </w:tc>
        <w:tc>
          <w:tcPr>
            <w:tcW w:w="1277" w:type="dxa"/>
            <w:vAlign w:val="top"/>
          </w:tcPr>
          <w:p w14:paraId="3290B962">
            <w:pPr>
              <w:rPr>
                <w:rFonts w:ascii="Arial"/>
                <w:sz w:val="21"/>
              </w:rPr>
            </w:pPr>
          </w:p>
        </w:tc>
        <w:tc>
          <w:tcPr>
            <w:tcW w:w="1701" w:type="dxa"/>
            <w:vAlign w:val="top"/>
          </w:tcPr>
          <w:p w14:paraId="1109F499">
            <w:pPr>
              <w:rPr>
                <w:rFonts w:ascii="Arial"/>
                <w:sz w:val="21"/>
              </w:rPr>
            </w:pPr>
          </w:p>
        </w:tc>
        <w:tc>
          <w:tcPr>
            <w:tcW w:w="1279" w:type="dxa"/>
            <w:vAlign w:val="top"/>
          </w:tcPr>
          <w:p w14:paraId="5D6A7277">
            <w:pPr>
              <w:rPr>
                <w:rFonts w:ascii="Arial"/>
                <w:sz w:val="21"/>
              </w:rPr>
            </w:pPr>
          </w:p>
        </w:tc>
      </w:tr>
      <w:tr w14:paraId="0F71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dxa"/>
            <w:vAlign w:val="top"/>
          </w:tcPr>
          <w:p w14:paraId="05D9E373">
            <w:pPr>
              <w:rPr>
                <w:rFonts w:ascii="Arial"/>
                <w:sz w:val="21"/>
              </w:rPr>
            </w:pPr>
          </w:p>
        </w:tc>
        <w:tc>
          <w:tcPr>
            <w:tcW w:w="1878" w:type="dxa"/>
            <w:vAlign w:val="top"/>
          </w:tcPr>
          <w:p w14:paraId="72A11EB5">
            <w:pPr>
              <w:rPr>
                <w:rFonts w:ascii="Arial"/>
                <w:sz w:val="21"/>
              </w:rPr>
            </w:pPr>
          </w:p>
        </w:tc>
        <w:tc>
          <w:tcPr>
            <w:tcW w:w="1135" w:type="dxa"/>
            <w:vAlign w:val="top"/>
          </w:tcPr>
          <w:p w14:paraId="75CEE31B">
            <w:pPr>
              <w:rPr>
                <w:rFonts w:ascii="Arial"/>
                <w:sz w:val="21"/>
              </w:rPr>
            </w:pPr>
          </w:p>
        </w:tc>
        <w:tc>
          <w:tcPr>
            <w:tcW w:w="1843" w:type="dxa"/>
            <w:vAlign w:val="top"/>
          </w:tcPr>
          <w:p w14:paraId="1F53F5AE">
            <w:pPr>
              <w:rPr>
                <w:rFonts w:ascii="Arial"/>
                <w:sz w:val="21"/>
              </w:rPr>
            </w:pPr>
          </w:p>
        </w:tc>
        <w:tc>
          <w:tcPr>
            <w:tcW w:w="883" w:type="dxa"/>
            <w:vAlign w:val="top"/>
          </w:tcPr>
          <w:p w14:paraId="78D79C04">
            <w:pPr>
              <w:rPr>
                <w:rFonts w:ascii="Arial"/>
                <w:sz w:val="21"/>
              </w:rPr>
            </w:pPr>
          </w:p>
        </w:tc>
        <w:tc>
          <w:tcPr>
            <w:tcW w:w="1133" w:type="dxa"/>
            <w:vAlign w:val="top"/>
          </w:tcPr>
          <w:p w14:paraId="41FDA32A">
            <w:pPr>
              <w:rPr>
                <w:rFonts w:ascii="Arial"/>
                <w:sz w:val="21"/>
              </w:rPr>
            </w:pPr>
          </w:p>
        </w:tc>
        <w:tc>
          <w:tcPr>
            <w:tcW w:w="1135" w:type="dxa"/>
            <w:vAlign w:val="top"/>
          </w:tcPr>
          <w:p w14:paraId="393797BA">
            <w:pPr>
              <w:rPr>
                <w:rFonts w:ascii="Arial"/>
                <w:sz w:val="21"/>
              </w:rPr>
            </w:pPr>
          </w:p>
        </w:tc>
        <w:tc>
          <w:tcPr>
            <w:tcW w:w="1132" w:type="dxa"/>
            <w:vAlign w:val="top"/>
          </w:tcPr>
          <w:p w14:paraId="0B3045B2">
            <w:pPr>
              <w:rPr>
                <w:rFonts w:ascii="Arial"/>
                <w:sz w:val="21"/>
              </w:rPr>
            </w:pPr>
          </w:p>
        </w:tc>
        <w:tc>
          <w:tcPr>
            <w:tcW w:w="1277" w:type="dxa"/>
            <w:vAlign w:val="top"/>
          </w:tcPr>
          <w:p w14:paraId="4960693F">
            <w:pPr>
              <w:rPr>
                <w:rFonts w:ascii="Arial"/>
                <w:sz w:val="21"/>
              </w:rPr>
            </w:pPr>
          </w:p>
        </w:tc>
        <w:tc>
          <w:tcPr>
            <w:tcW w:w="1701" w:type="dxa"/>
            <w:vAlign w:val="top"/>
          </w:tcPr>
          <w:p w14:paraId="3B633A47">
            <w:pPr>
              <w:rPr>
                <w:rFonts w:ascii="Arial"/>
                <w:sz w:val="21"/>
              </w:rPr>
            </w:pPr>
          </w:p>
        </w:tc>
        <w:tc>
          <w:tcPr>
            <w:tcW w:w="1279" w:type="dxa"/>
            <w:vAlign w:val="top"/>
          </w:tcPr>
          <w:p w14:paraId="40DDB1DF">
            <w:pPr>
              <w:rPr>
                <w:rFonts w:ascii="Arial"/>
                <w:sz w:val="21"/>
              </w:rPr>
            </w:pPr>
          </w:p>
        </w:tc>
      </w:tr>
      <w:tr w14:paraId="2A58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72" w:type="dxa"/>
            <w:vAlign w:val="top"/>
          </w:tcPr>
          <w:p w14:paraId="1B4C8F26">
            <w:pPr>
              <w:rPr>
                <w:rFonts w:ascii="Arial"/>
                <w:sz w:val="21"/>
              </w:rPr>
            </w:pPr>
          </w:p>
        </w:tc>
        <w:tc>
          <w:tcPr>
            <w:tcW w:w="1878" w:type="dxa"/>
            <w:vAlign w:val="top"/>
          </w:tcPr>
          <w:p w14:paraId="47277E7B">
            <w:pPr>
              <w:rPr>
                <w:rFonts w:ascii="Arial"/>
                <w:sz w:val="21"/>
              </w:rPr>
            </w:pPr>
          </w:p>
        </w:tc>
        <w:tc>
          <w:tcPr>
            <w:tcW w:w="1135" w:type="dxa"/>
            <w:vAlign w:val="top"/>
          </w:tcPr>
          <w:p w14:paraId="21F88EB5">
            <w:pPr>
              <w:rPr>
                <w:rFonts w:ascii="Arial"/>
                <w:sz w:val="21"/>
              </w:rPr>
            </w:pPr>
          </w:p>
        </w:tc>
        <w:tc>
          <w:tcPr>
            <w:tcW w:w="1843" w:type="dxa"/>
            <w:vAlign w:val="top"/>
          </w:tcPr>
          <w:p w14:paraId="45089249">
            <w:pPr>
              <w:rPr>
                <w:rFonts w:ascii="Arial"/>
                <w:sz w:val="21"/>
              </w:rPr>
            </w:pPr>
          </w:p>
        </w:tc>
        <w:tc>
          <w:tcPr>
            <w:tcW w:w="883" w:type="dxa"/>
            <w:vAlign w:val="top"/>
          </w:tcPr>
          <w:p w14:paraId="020EBD79">
            <w:pPr>
              <w:rPr>
                <w:rFonts w:ascii="Arial"/>
                <w:sz w:val="21"/>
              </w:rPr>
            </w:pPr>
          </w:p>
        </w:tc>
        <w:tc>
          <w:tcPr>
            <w:tcW w:w="1133" w:type="dxa"/>
            <w:vAlign w:val="top"/>
          </w:tcPr>
          <w:p w14:paraId="7FF677A7">
            <w:pPr>
              <w:rPr>
                <w:rFonts w:ascii="Arial"/>
                <w:sz w:val="21"/>
              </w:rPr>
            </w:pPr>
          </w:p>
        </w:tc>
        <w:tc>
          <w:tcPr>
            <w:tcW w:w="1135" w:type="dxa"/>
            <w:vAlign w:val="top"/>
          </w:tcPr>
          <w:p w14:paraId="4A6C20AC">
            <w:pPr>
              <w:rPr>
                <w:rFonts w:ascii="Arial"/>
                <w:sz w:val="21"/>
              </w:rPr>
            </w:pPr>
          </w:p>
        </w:tc>
        <w:tc>
          <w:tcPr>
            <w:tcW w:w="1132" w:type="dxa"/>
            <w:vAlign w:val="top"/>
          </w:tcPr>
          <w:p w14:paraId="4AD08035">
            <w:pPr>
              <w:rPr>
                <w:rFonts w:ascii="Arial"/>
                <w:sz w:val="21"/>
              </w:rPr>
            </w:pPr>
          </w:p>
        </w:tc>
        <w:tc>
          <w:tcPr>
            <w:tcW w:w="1277" w:type="dxa"/>
            <w:vAlign w:val="top"/>
          </w:tcPr>
          <w:p w14:paraId="33E9A442">
            <w:pPr>
              <w:rPr>
                <w:rFonts w:ascii="Arial"/>
                <w:sz w:val="21"/>
              </w:rPr>
            </w:pPr>
          </w:p>
        </w:tc>
        <w:tc>
          <w:tcPr>
            <w:tcW w:w="1701" w:type="dxa"/>
            <w:vAlign w:val="top"/>
          </w:tcPr>
          <w:p w14:paraId="789EF343">
            <w:pPr>
              <w:rPr>
                <w:rFonts w:ascii="Arial"/>
                <w:sz w:val="21"/>
              </w:rPr>
            </w:pPr>
          </w:p>
        </w:tc>
        <w:tc>
          <w:tcPr>
            <w:tcW w:w="1279" w:type="dxa"/>
            <w:vAlign w:val="top"/>
          </w:tcPr>
          <w:p w14:paraId="24D7E691">
            <w:pPr>
              <w:rPr>
                <w:rFonts w:ascii="Arial"/>
                <w:sz w:val="21"/>
              </w:rPr>
            </w:pPr>
          </w:p>
        </w:tc>
      </w:tr>
      <w:tr w14:paraId="515C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550" w:type="dxa"/>
            <w:gridSpan w:val="2"/>
            <w:vAlign w:val="top"/>
          </w:tcPr>
          <w:p w14:paraId="552F6A23">
            <w:pPr>
              <w:pStyle w:val="11"/>
              <w:spacing w:before="161" w:line="219" w:lineRule="auto"/>
              <w:ind w:left="339"/>
            </w:pPr>
            <w:r>
              <w:rPr>
                <w:spacing w:val="-3"/>
              </w:rPr>
              <w:t>最高投标限价（元）</w:t>
            </w:r>
          </w:p>
        </w:tc>
        <w:tc>
          <w:tcPr>
            <w:tcW w:w="11518" w:type="dxa"/>
            <w:gridSpan w:val="9"/>
            <w:vAlign w:val="top"/>
          </w:tcPr>
          <w:p w14:paraId="0BF9643F">
            <w:pPr>
              <w:rPr>
                <w:rFonts w:ascii="Arial"/>
                <w:sz w:val="21"/>
              </w:rPr>
            </w:pPr>
          </w:p>
        </w:tc>
      </w:tr>
      <w:tr w14:paraId="444B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550" w:type="dxa"/>
            <w:gridSpan w:val="2"/>
            <w:vAlign w:val="top"/>
          </w:tcPr>
          <w:p w14:paraId="5490DDC4">
            <w:pPr>
              <w:pStyle w:val="11"/>
              <w:spacing w:before="143" w:line="221" w:lineRule="auto"/>
              <w:ind w:left="126"/>
            </w:pPr>
            <w:r>
              <w:rPr>
                <w:spacing w:val="-1"/>
              </w:rPr>
              <w:t>开标过程需记录的其他事</w:t>
            </w:r>
          </w:p>
          <w:p w14:paraId="7AE7AA9A">
            <w:pPr>
              <w:pStyle w:val="11"/>
              <w:spacing w:before="149" w:line="221" w:lineRule="auto"/>
              <w:ind w:left="1180"/>
            </w:pPr>
            <w:r>
              <w:t>项</w:t>
            </w:r>
          </w:p>
        </w:tc>
        <w:tc>
          <w:tcPr>
            <w:tcW w:w="11518" w:type="dxa"/>
            <w:gridSpan w:val="9"/>
            <w:vAlign w:val="top"/>
          </w:tcPr>
          <w:p w14:paraId="012CE26D">
            <w:pPr>
              <w:rPr>
                <w:rFonts w:ascii="Arial"/>
                <w:sz w:val="21"/>
              </w:rPr>
            </w:pPr>
          </w:p>
        </w:tc>
      </w:tr>
    </w:tbl>
    <w:p w14:paraId="67040918">
      <w:pPr>
        <w:spacing w:before="139" w:line="221" w:lineRule="auto"/>
        <w:ind w:left="4210"/>
        <w:rPr>
          <w:rFonts w:ascii="宋体" w:hAnsi="宋体" w:eastAsia="宋体" w:cs="宋体"/>
          <w:sz w:val="21"/>
          <w:szCs w:val="21"/>
        </w:rPr>
      </w:pPr>
      <w:r>
        <w:rPr>
          <w:rFonts w:ascii="宋体" w:hAnsi="宋体" w:eastAsia="宋体" w:cs="宋体"/>
          <w:sz w:val="21"/>
          <w:szCs w:val="21"/>
        </w:rPr>
        <w:t>主持人：</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招标人代表：</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监标人</w:t>
      </w:r>
      <w:r>
        <w:rPr>
          <w:rFonts w:ascii="宋体" w:hAnsi="宋体" w:eastAsia="宋体" w:cs="宋体"/>
          <w:spacing w:val="-15"/>
          <w:sz w:val="21"/>
          <w:szCs w:val="21"/>
        </w:rPr>
        <w:t>：</w:t>
      </w:r>
      <w:r>
        <w:rPr>
          <w:rFonts w:ascii="宋体" w:hAnsi="宋体" w:eastAsia="宋体" w:cs="宋体"/>
          <w:spacing w:val="9"/>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1"/>
          <w:sz w:val="21"/>
          <w:szCs w:val="21"/>
          <w:u w:val="single" w:color="auto"/>
        </w:rPr>
        <w:t>输入）</w:t>
      </w:r>
      <w:r>
        <w:rPr>
          <w:rFonts w:ascii="宋体" w:hAnsi="宋体" w:eastAsia="宋体" w:cs="宋体"/>
          <w:spacing w:val="4"/>
          <w:sz w:val="21"/>
          <w:szCs w:val="21"/>
          <w:u w:val="single" w:color="auto"/>
        </w:rPr>
        <w:t xml:space="preserve"> </w:t>
      </w:r>
    </w:p>
    <w:p w14:paraId="12CEAD79">
      <w:pPr>
        <w:spacing w:line="221" w:lineRule="auto"/>
        <w:rPr>
          <w:rFonts w:ascii="宋体" w:hAnsi="宋体" w:eastAsia="宋体" w:cs="宋体"/>
          <w:sz w:val="21"/>
          <w:szCs w:val="21"/>
        </w:rPr>
        <w:sectPr>
          <w:footerReference r:id="rId44" w:type="default"/>
          <w:pgSz w:w="11905" w:h="16843"/>
          <w:pgMar w:top="969" w:right="1355" w:bottom="1026" w:left="1480" w:header="0" w:footer="754" w:gutter="0"/>
          <w:cols w:space="0" w:num="1"/>
          <w:rtlGutter w:val="0"/>
          <w:docGrid w:linePitch="0" w:charSpace="0"/>
        </w:sectPr>
      </w:pPr>
    </w:p>
    <w:p w14:paraId="40AAEEDC">
      <w:pPr>
        <w:pStyle w:val="5"/>
        <w:spacing w:line="251" w:lineRule="auto"/>
      </w:pPr>
    </w:p>
    <w:p w14:paraId="3C4F2F8C">
      <w:pPr>
        <w:pStyle w:val="5"/>
        <w:spacing w:line="251" w:lineRule="auto"/>
      </w:pPr>
    </w:p>
    <w:p w14:paraId="3EA091FE">
      <w:pPr>
        <w:pStyle w:val="5"/>
        <w:spacing w:line="251" w:lineRule="auto"/>
      </w:pPr>
    </w:p>
    <w:p w14:paraId="652A98E9">
      <w:pPr>
        <w:pStyle w:val="5"/>
        <w:spacing w:line="252" w:lineRule="auto"/>
      </w:pPr>
    </w:p>
    <w:p w14:paraId="36B17559">
      <w:pPr>
        <w:pStyle w:val="5"/>
        <w:spacing w:line="252" w:lineRule="auto"/>
      </w:pPr>
    </w:p>
    <w:p w14:paraId="6311E8DF">
      <w:pPr>
        <w:pStyle w:val="5"/>
        <w:spacing w:line="252" w:lineRule="auto"/>
      </w:pPr>
    </w:p>
    <w:p w14:paraId="1E7D5DB7">
      <w:pPr>
        <w:spacing w:before="78" w:line="219" w:lineRule="auto"/>
        <w:ind w:left="22"/>
        <w:outlineLvl w:val="1"/>
        <w:rPr>
          <w:rFonts w:ascii="黑体" w:hAnsi="黑体" w:eastAsia="黑体" w:cs="黑体"/>
          <w:sz w:val="24"/>
          <w:szCs w:val="24"/>
        </w:rPr>
      </w:pPr>
      <w:bookmarkStart w:id="113" w:name="bookmark501"/>
      <w:bookmarkEnd w:id="113"/>
      <w:bookmarkStart w:id="114" w:name="bookmark91"/>
      <w:bookmarkEnd w:id="114"/>
      <w:r>
        <w:rPr>
          <w:rFonts w:ascii="黑体" w:hAnsi="黑体" w:eastAsia="黑体" w:cs="黑体"/>
          <w:spacing w:val="-2"/>
          <w:sz w:val="24"/>
          <w:szCs w:val="24"/>
        </w:rPr>
        <w:t>附表六：投标文件问题澄清通知</w:t>
      </w:r>
    </w:p>
    <w:p w14:paraId="24DABE86">
      <w:pPr>
        <w:pStyle w:val="5"/>
        <w:spacing w:line="465" w:lineRule="auto"/>
      </w:pPr>
    </w:p>
    <w:p w14:paraId="48361B21">
      <w:pPr>
        <w:spacing w:before="91" w:line="219" w:lineRule="auto"/>
        <w:ind w:left="3059"/>
        <w:rPr>
          <w:rFonts w:ascii="黑体" w:hAnsi="黑体" w:eastAsia="黑体" w:cs="黑体"/>
          <w:sz w:val="28"/>
          <w:szCs w:val="28"/>
        </w:rPr>
      </w:pPr>
      <w:r>
        <w:rPr>
          <w:rFonts w:ascii="黑体" w:hAnsi="黑体" w:eastAsia="黑体" w:cs="黑体"/>
          <w:spacing w:val="-1"/>
          <w:sz w:val="28"/>
          <w:szCs w:val="28"/>
        </w:rPr>
        <w:t>投标文件问题澄清通知</w:t>
      </w:r>
    </w:p>
    <w:p w14:paraId="5A391816">
      <w:pPr>
        <w:pStyle w:val="5"/>
        <w:spacing w:line="297" w:lineRule="auto"/>
      </w:pPr>
    </w:p>
    <w:p w14:paraId="6D42F56B">
      <w:pPr>
        <w:spacing w:before="68" w:line="221" w:lineRule="auto"/>
        <w:ind w:left="5365"/>
        <w:rPr>
          <w:rFonts w:ascii="宋体" w:hAnsi="宋体" w:eastAsia="宋体" w:cs="宋体"/>
          <w:sz w:val="21"/>
          <w:szCs w:val="21"/>
        </w:rPr>
      </w:pPr>
      <w:r>
        <w:rPr>
          <w:rFonts w:ascii="宋体" w:hAnsi="宋体" w:eastAsia="宋体" w:cs="宋体"/>
          <w:spacing w:val="-13"/>
          <w:sz w:val="21"/>
          <w:szCs w:val="21"/>
        </w:rPr>
        <w:t>编号：</w:t>
      </w:r>
    </w:p>
    <w:p w14:paraId="4E9C65C6">
      <w:pPr>
        <w:tabs>
          <w:tab w:val="left" w:pos="2837"/>
        </w:tabs>
        <w:spacing w:before="212"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（投标人名称</w:t>
      </w:r>
      <w:r>
        <w:rPr>
          <w:rFonts w:ascii="宋体" w:hAnsi="宋体" w:eastAsia="宋体" w:cs="宋体"/>
          <w:spacing w:val="-30"/>
          <w:sz w:val="21"/>
          <w:szCs w:val="21"/>
        </w:rPr>
        <w:t>）：</w:t>
      </w:r>
    </w:p>
    <w:p w14:paraId="105852B9">
      <w:pPr>
        <w:pStyle w:val="5"/>
        <w:spacing w:line="317" w:lineRule="auto"/>
      </w:pPr>
    </w:p>
    <w:p w14:paraId="5ED98175">
      <w:pPr>
        <w:pStyle w:val="5"/>
        <w:spacing w:line="318" w:lineRule="auto"/>
      </w:pPr>
    </w:p>
    <w:p w14:paraId="5E188FDD">
      <w:pPr>
        <w:tabs>
          <w:tab w:val="left" w:pos="2205"/>
        </w:tabs>
        <w:spacing w:before="69" w:line="423" w:lineRule="auto"/>
        <w:ind w:left="9" w:firstLine="516"/>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（标段名称）项目（标段唯一标识码：</w:t>
      </w:r>
      <w:r>
        <w:rPr>
          <w:rFonts w:ascii="宋体" w:hAnsi="宋体" w:eastAsia="宋体" w:cs="宋体"/>
          <w:spacing w:val="3"/>
          <w:sz w:val="21"/>
          <w:szCs w:val="21"/>
          <w:u w:val="single" w:color="auto"/>
        </w:rPr>
        <w:t xml:space="preserve">     </w:t>
      </w:r>
      <w:r>
        <w:rPr>
          <w:rFonts w:ascii="宋体" w:hAnsi="宋体" w:eastAsia="宋体" w:cs="宋体"/>
          <w:spacing w:val="32"/>
          <w:sz w:val="21"/>
          <w:szCs w:val="21"/>
        </w:rPr>
        <w:t xml:space="preserve"> </w:t>
      </w:r>
      <w:r>
        <w:rPr>
          <w:rFonts w:ascii="宋体" w:hAnsi="宋体" w:eastAsia="宋体" w:cs="宋体"/>
          <w:spacing w:val="5"/>
          <w:sz w:val="21"/>
          <w:szCs w:val="21"/>
        </w:rPr>
        <w:t>）招标的评标委员会，对</w:t>
      </w:r>
      <w:r>
        <w:rPr>
          <w:rFonts w:ascii="宋体" w:hAnsi="宋体" w:eastAsia="宋体" w:cs="宋体"/>
          <w:spacing w:val="2"/>
          <w:sz w:val="21"/>
          <w:szCs w:val="21"/>
        </w:rPr>
        <w:t>你方的投标文件进行了仔细的审查，现需你方对下列问题</w:t>
      </w:r>
      <w:r>
        <w:rPr>
          <w:rFonts w:ascii="宋体" w:hAnsi="宋体" w:eastAsia="宋体" w:cs="宋体"/>
          <w:spacing w:val="1"/>
          <w:sz w:val="21"/>
          <w:szCs w:val="21"/>
        </w:rPr>
        <w:t>以书面形式予以澄清、说明或者补正，</w:t>
      </w:r>
      <w:r>
        <w:rPr>
          <w:rFonts w:ascii="宋体" w:hAnsi="宋体" w:eastAsia="宋体" w:cs="宋体"/>
          <w:sz w:val="21"/>
          <w:szCs w:val="21"/>
        </w:rPr>
        <w:t>并将投标文件的澄清、说明或者补正于</w:t>
      </w:r>
      <w:r>
        <w:rPr>
          <w:rFonts w:ascii="宋体" w:hAnsi="宋体" w:eastAsia="宋体" w:cs="宋体"/>
          <w:spacing w:val="-96"/>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z w:val="21"/>
          <w:szCs w:val="21"/>
        </w:rPr>
        <w:t>年</w:t>
      </w:r>
      <w:r>
        <w:rPr>
          <w:rFonts w:ascii="宋体" w:hAnsi="宋体" w:eastAsia="宋体" w:cs="宋体"/>
          <w:spacing w:val="-100"/>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z w:val="21"/>
          <w:szCs w:val="21"/>
        </w:rPr>
        <w:t>月</w:t>
      </w:r>
      <w:r>
        <w:rPr>
          <w:rFonts w:ascii="宋体" w:hAnsi="宋体" w:eastAsia="宋体" w:cs="宋体"/>
          <w:spacing w:val="-103"/>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z w:val="21"/>
          <w:szCs w:val="21"/>
        </w:rPr>
        <w:t>日</w:t>
      </w:r>
      <w:r>
        <w:rPr>
          <w:rFonts w:ascii="宋体" w:hAnsi="宋体" w:eastAsia="宋体" w:cs="宋体"/>
          <w:spacing w:val="-100"/>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z w:val="21"/>
          <w:szCs w:val="21"/>
        </w:rPr>
        <w:t>时</w:t>
      </w:r>
      <w:r>
        <w:rPr>
          <w:rFonts w:ascii="宋体" w:hAnsi="宋体" w:eastAsia="宋体" w:cs="宋体"/>
          <w:spacing w:val="-103"/>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z w:val="21"/>
          <w:szCs w:val="21"/>
        </w:rPr>
        <w:t>分前提交给</w:t>
      </w:r>
      <w:r>
        <w:rPr>
          <w:rFonts w:ascii="宋体" w:hAnsi="宋体" w:eastAsia="宋体" w:cs="宋体"/>
          <w:spacing w:val="-3"/>
          <w:sz w:val="21"/>
          <w:szCs w:val="21"/>
        </w:rPr>
        <w:t>本评标委员会。</w:t>
      </w:r>
    </w:p>
    <w:p w14:paraId="216A3AD3">
      <w:pPr>
        <w:spacing w:line="233" w:lineRule="auto"/>
        <w:ind w:left="444"/>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1.</w:t>
      </w:r>
      <w:r>
        <w:rPr>
          <w:rFonts w:ascii="Times New Roman" w:hAnsi="Times New Roman" w:eastAsia="Times New Roman" w:cs="Times New Roman"/>
          <w:spacing w:val="15"/>
          <w:sz w:val="21"/>
          <w:szCs w:val="21"/>
        </w:rPr>
        <w:t xml:space="preserve"> </w:t>
      </w:r>
      <w:r>
        <w:rPr>
          <w:rFonts w:ascii="Times New Roman" w:hAnsi="Times New Roman" w:eastAsia="Times New Roman" w:cs="Times New Roman"/>
          <w:sz w:val="21"/>
          <w:szCs w:val="21"/>
          <w:u w:val="dotted" w:color="auto"/>
        </w:rPr>
        <w:t xml:space="preserve">      </w:t>
      </w:r>
    </w:p>
    <w:p w14:paraId="367784F9">
      <w:pPr>
        <w:spacing w:before="205" w:line="233" w:lineRule="auto"/>
        <w:ind w:left="4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z w:val="21"/>
          <w:szCs w:val="21"/>
          <w:u w:val="dotted" w:color="auto"/>
        </w:rPr>
        <w:t xml:space="preserve">      </w:t>
      </w:r>
    </w:p>
    <w:p w14:paraId="3129D5C5">
      <w:pPr>
        <w:pStyle w:val="5"/>
        <w:spacing w:line="269" w:lineRule="auto"/>
      </w:pPr>
    </w:p>
    <w:p w14:paraId="4DD82668">
      <w:pPr>
        <w:spacing w:before="61" w:line="65" w:lineRule="exact"/>
        <w:ind w:left="542"/>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w:t>
      </w:r>
    </w:p>
    <w:p w14:paraId="7E9F83C7">
      <w:pPr>
        <w:pStyle w:val="5"/>
        <w:spacing w:line="326" w:lineRule="auto"/>
      </w:pPr>
    </w:p>
    <w:p w14:paraId="3A8EA933">
      <w:pPr>
        <w:pStyle w:val="5"/>
        <w:spacing w:line="327" w:lineRule="auto"/>
      </w:pPr>
    </w:p>
    <w:p w14:paraId="22EFCC87">
      <w:pPr>
        <w:tabs>
          <w:tab w:val="left" w:pos="3993"/>
        </w:tabs>
        <w:spacing w:before="69" w:line="220" w:lineRule="auto"/>
        <w:ind w:left="273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（标段名称）项目招标评标委员会</w:t>
      </w:r>
    </w:p>
    <w:p w14:paraId="39296F93">
      <w:pPr>
        <w:pStyle w:val="5"/>
        <w:spacing w:line="318" w:lineRule="auto"/>
      </w:pPr>
    </w:p>
    <w:p w14:paraId="4E24D50B">
      <w:pPr>
        <w:pStyle w:val="5"/>
        <w:spacing w:line="319" w:lineRule="auto"/>
      </w:pPr>
    </w:p>
    <w:p w14:paraId="08DD5045">
      <w:pPr>
        <w:tabs>
          <w:tab w:val="left" w:pos="6197"/>
        </w:tabs>
        <w:spacing w:before="69" w:line="221" w:lineRule="auto"/>
        <w:ind w:left="556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7"/>
          <w:sz w:val="21"/>
          <w:szCs w:val="21"/>
        </w:rPr>
        <w:t>月</w:t>
      </w:r>
      <w:r>
        <w:rPr>
          <w:rFonts w:ascii="宋体" w:hAnsi="宋体" w:eastAsia="宋体" w:cs="宋体"/>
          <w:spacing w:val="-104"/>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7"/>
          <w:sz w:val="21"/>
          <w:szCs w:val="21"/>
        </w:rPr>
        <w:t>日</w:t>
      </w:r>
    </w:p>
    <w:p w14:paraId="65BA883C">
      <w:pPr>
        <w:spacing w:line="221" w:lineRule="auto"/>
        <w:rPr>
          <w:rFonts w:ascii="宋体" w:hAnsi="宋体" w:eastAsia="宋体" w:cs="宋体"/>
          <w:sz w:val="21"/>
          <w:szCs w:val="21"/>
        </w:rPr>
        <w:sectPr>
          <w:footerReference r:id="rId45" w:type="default"/>
          <w:pgSz w:w="11905" w:h="16843"/>
          <w:pgMar w:top="969" w:right="1355" w:bottom="1026" w:left="1480" w:header="0" w:footer="754" w:gutter="0"/>
          <w:cols w:space="0" w:num="1"/>
          <w:rtlGutter w:val="0"/>
          <w:docGrid w:linePitch="0" w:charSpace="0"/>
        </w:sectPr>
      </w:pPr>
    </w:p>
    <w:p w14:paraId="4511CA21">
      <w:pPr>
        <w:pStyle w:val="5"/>
        <w:spacing w:line="249" w:lineRule="auto"/>
      </w:pPr>
    </w:p>
    <w:p w14:paraId="35167C0A">
      <w:pPr>
        <w:pStyle w:val="5"/>
        <w:spacing w:line="250" w:lineRule="auto"/>
      </w:pPr>
    </w:p>
    <w:p w14:paraId="166E7933">
      <w:pPr>
        <w:pStyle w:val="5"/>
        <w:spacing w:line="250" w:lineRule="auto"/>
      </w:pPr>
    </w:p>
    <w:p w14:paraId="242EA34C">
      <w:pPr>
        <w:pStyle w:val="5"/>
        <w:spacing w:line="250" w:lineRule="auto"/>
      </w:pPr>
    </w:p>
    <w:p w14:paraId="603FF32D">
      <w:pPr>
        <w:pStyle w:val="5"/>
        <w:spacing w:line="250" w:lineRule="auto"/>
      </w:pPr>
    </w:p>
    <w:p w14:paraId="5959F13B">
      <w:pPr>
        <w:spacing w:before="78" w:line="219" w:lineRule="auto"/>
        <w:outlineLvl w:val="1"/>
        <w:rPr>
          <w:rFonts w:ascii="黑体" w:hAnsi="黑体" w:eastAsia="黑体" w:cs="黑体"/>
          <w:sz w:val="24"/>
          <w:szCs w:val="24"/>
        </w:rPr>
      </w:pPr>
      <w:bookmarkStart w:id="115" w:name="bookmark92"/>
      <w:bookmarkEnd w:id="115"/>
      <w:bookmarkStart w:id="116" w:name="bookmark502"/>
      <w:bookmarkEnd w:id="116"/>
      <w:r>
        <w:rPr>
          <w:rFonts w:ascii="黑体" w:hAnsi="黑体" w:eastAsia="黑体" w:cs="黑体"/>
          <w:spacing w:val="-2"/>
          <w:sz w:val="24"/>
          <w:szCs w:val="24"/>
        </w:rPr>
        <w:t>附表七：投标文件问题的澄清</w:t>
      </w:r>
    </w:p>
    <w:p w14:paraId="3EC841A0">
      <w:pPr>
        <w:pStyle w:val="5"/>
        <w:spacing w:line="264" w:lineRule="auto"/>
      </w:pPr>
    </w:p>
    <w:p w14:paraId="3E658E1E">
      <w:pPr>
        <w:pStyle w:val="5"/>
        <w:spacing w:line="264" w:lineRule="auto"/>
      </w:pPr>
    </w:p>
    <w:p w14:paraId="25C0A4B9">
      <w:pPr>
        <w:spacing w:before="91" w:line="219" w:lineRule="auto"/>
        <w:ind w:left="2336"/>
        <w:rPr>
          <w:rFonts w:ascii="黑体" w:hAnsi="黑体" w:eastAsia="黑体" w:cs="黑体"/>
          <w:sz w:val="28"/>
          <w:szCs w:val="28"/>
        </w:rPr>
      </w:pPr>
      <w:r>
        <w:rPr>
          <w:rFonts w:ascii="黑体" w:hAnsi="黑体" w:eastAsia="黑体" w:cs="黑体"/>
          <w:spacing w:val="-1"/>
          <w:sz w:val="28"/>
          <w:szCs w:val="28"/>
        </w:rPr>
        <w:t>投标文件问题的澄清、说明或补正</w:t>
      </w:r>
    </w:p>
    <w:p w14:paraId="4F104394">
      <w:pPr>
        <w:pStyle w:val="5"/>
        <w:spacing w:line="315" w:lineRule="auto"/>
      </w:pPr>
    </w:p>
    <w:p w14:paraId="461BFC94">
      <w:pPr>
        <w:spacing w:before="68" w:line="221" w:lineRule="auto"/>
        <w:ind w:left="5342"/>
        <w:rPr>
          <w:rFonts w:ascii="宋体" w:hAnsi="宋体" w:eastAsia="宋体" w:cs="宋体"/>
          <w:sz w:val="21"/>
          <w:szCs w:val="21"/>
        </w:rPr>
      </w:pPr>
      <w:r>
        <w:rPr>
          <w:rFonts w:ascii="宋体" w:hAnsi="宋体" w:eastAsia="宋体" w:cs="宋体"/>
          <w:spacing w:val="-13"/>
          <w:sz w:val="21"/>
          <w:szCs w:val="21"/>
        </w:rPr>
        <w:t>编号：</w:t>
      </w:r>
    </w:p>
    <w:p w14:paraId="306CBCBA">
      <w:pPr>
        <w:tabs>
          <w:tab w:val="left" w:pos="1868"/>
        </w:tabs>
        <w:spacing w:before="212" w:line="220" w:lineRule="auto"/>
        <w:ind w:left="18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（标段名称）项目招标评标委员会：</w:t>
      </w:r>
    </w:p>
    <w:p w14:paraId="7760FF5E">
      <w:pPr>
        <w:spacing w:before="229" w:line="221" w:lineRule="auto"/>
        <w:ind w:left="408"/>
        <w:rPr>
          <w:rFonts w:ascii="宋体" w:hAnsi="宋体" w:eastAsia="宋体" w:cs="宋体"/>
          <w:sz w:val="21"/>
          <w:szCs w:val="21"/>
        </w:rPr>
      </w:pPr>
      <w:r>
        <w:rPr>
          <w:rFonts w:ascii="宋体" w:hAnsi="宋体" w:eastAsia="宋体" w:cs="宋体"/>
          <w:spacing w:val="-3"/>
          <w:sz w:val="21"/>
          <w:szCs w:val="21"/>
        </w:rPr>
        <w:t>投标文件问题澄清通知（编号</w:t>
      </w:r>
      <w:r>
        <w:rPr>
          <w:rFonts w:ascii="宋体" w:hAnsi="宋体" w:eastAsia="宋体" w:cs="宋体"/>
          <w:spacing w:val="-1"/>
          <w:sz w:val="21"/>
          <w:szCs w:val="21"/>
        </w:rPr>
        <w:t>：</w:t>
      </w:r>
      <w:r>
        <w:rPr>
          <w:rFonts w:ascii="宋体" w:hAnsi="宋体" w:eastAsia="宋体" w:cs="宋体"/>
          <w:spacing w:val="-7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1"/>
          <w:sz w:val="21"/>
          <w:szCs w:val="21"/>
        </w:rPr>
        <w:t>）</w:t>
      </w:r>
      <w:r>
        <w:rPr>
          <w:rFonts w:ascii="宋体" w:hAnsi="宋体" w:eastAsia="宋体" w:cs="宋体"/>
          <w:spacing w:val="-3"/>
          <w:sz w:val="21"/>
          <w:szCs w:val="21"/>
        </w:rPr>
        <w:t>已收悉，现澄清、说明或者补正如下：</w:t>
      </w:r>
    </w:p>
    <w:p w14:paraId="52D261D4">
      <w:pPr>
        <w:spacing w:before="265" w:line="233"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p>
    <w:p w14:paraId="1B9A724A">
      <w:pPr>
        <w:spacing w:before="246" w:line="233" w:lineRule="auto"/>
        <w:ind w:left="40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p>
    <w:p w14:paraId="0421508B">
      <w:pPr>
        <w:pStyle w:val="5"/>
        <w:spacing w:line="309" w:lineRule="auto"/>
      </w:pPr>
    </w:p>
    <w:p w14:paraId="0D9C5DD2">
      <w:pPr>
        <w:pStyle w:val="5"/>
        <w:spacing w:line="309" w:lineRule="auto"/>
      </w:pPr>
    </w:p>
    <w:p w14:paraId="370BDE10">
      <w:pPr>
        <w:spacing w:before="68" w:line="332" w:lineRule="exact"/>
        <w:ind w:left="418"/>
        <w:rPr>
          <w:rFonts w:ascii="宋体" w:hAnsi="宋体" w:eastAsia="宋体" w:cs="宋体"/>
          <w:sz w:val="21"/>
          <w:szCs w:val="21"/>
        </w:rPr>
      </w:pPr>
      <w:r>
        <w:rPr>
          <w:rFonts w:ascii="宋体" w:hAnsi="宋体" w:eastAsia="宋体" w:cs="宋体"/>
          <w:spacing w:val="-5"/>
          <w:position w:val="2"/>
          <w:sz w:val="21"/>
          <w:szCs w:val="21"/>
        </w:rPr>
        <w:t>……</w:t>
      </w:r>
    </w:p>
    <w:p w14:paraId="4647E203">
      <w:pPr>
        <w:pStyle w:val="5"/>
        <w:spacing w:line="245" w:lineRule="auto"/>
      </w:pPr>
    </w:p>
    <w:p w14:paraId="053E2924">
      <w:pPr>
        <w:pStyle w:val="5"/>
        <w:spacing w:line="245" w:lineRule="auto"/>
      </w:pPr>
    </w:p>
    <w:p w14:paraId="4E82E94F">
      <w:pPr>
        <w:pStyle w:val="5"/>
        <w:spacing w:line="245" w:lineRule="auto"/>
      </w:pPr>
    </w:p>
    <w:p w14:paraId="0D9E4EEC">
      <w:pPr>
        <w:pStyle w:val="5"/>
        <w:spacing w:line="245" w:lineRule="auto"/>
      </w:pPr>
    </w:p>
    <w:p w14:paraId="293F13A9">
      <w:pPr>
        <w:pStyle w:val="5"/>
        <w:spacing w:line="245" w:lineRule="auto"/>
      </w:pPr>
    </w:p>
    <w:p w14:paraId="377C88F1">
      <w:pPr>
        <w:pStyle w:val="5"/>
        <w:spacing w:line="245" w:lineRule="auto"/>
      </w:pPr>
    </w:p>
    <w:p w14:paraId="0F177BB7">
      <w:pPr>
        <w:pStyle w:val="5"/>
        <w:spacing w:line="245" w:lineRule="auto"/>
      </w:pPr>
    </w:p>
    <w:p w14:paraId="1B436D86">
      <w:pPr>
        <w:pStyle w:val="5"/>
        <w:spacing w:line="245" w:lineRule="auto"/>
      </w:pPr>
    </w:p>
    <w:p w14:paraId="031E9284">
      <w:pPr>
        <w:pStyle w:val="5"/>
        <w:spacing w:line="245" w:lineRule="auto"/>
      </w:pPr>
    </w:p>
    <w:p w14:paraId="65638299">
      <w:pPr>
        <w:pStyle w:val="5"/>
        <w:spacing w:line="245" w:lineRule="auto"/>
      </w:pPr>
    </w:p>
    <w:p w14:paraId="6CF261C6">
      <w:pPr>
        <w:pStyle w:val="5"/>
        <w:spacing w:line="245" w:lineRule="auto"/>
      </w:pPr>
    </w:p>
    <w:p w14:paraId="7BCA1A56">
      <w:pPr>
        <w:pStyle w:val="5"/>
        <w:spacing w:line="246" w:lineRule="auto"/>
      </w:pPr>
    </w:p>
    <w:p w14:paraId="6307F69D">
      <w:pPr>
        <w:spacing w:before="69" w:line="220" w:lineRule="auto"/>
        <w:jc w:val="right"/>
        <w:rPr>
          <w:rFonts w:ascii="宋体" w:hAnsi="宋体" w:eastAsia="宋体" w:cs="宋体"/>
          <w:sz w:val="21"/>
          <w:szCs w:val="21"/>
        </w:rPr>
      </w:pPr>
      <w:r>
        <w:rPr>
          <w:rFonts w:ascii="宋体" w:hAnsi="宋体" w:eastAsia="宋体" w:cs="宋体"/>
          <w:spacing w:val="-3"/>
          <w:sz w:val="21"/>
          <w:szCs w:val="21"/>
        </w:rPr>
        <w:t>投标人</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r>
        <w:rPr>
          <w:rFonts w:ascii="宋体" w:hAnsi="宋体" w:eastAsia="宋体" w:cs="宋体"/>
          <w:spacing w:val="-3"/>
          <w:sz w:val="21"/>
          <w:szCs w:val="21"/>
        </w:rPr>
        <w:t>盖单位章）</w:t>
      </w:r>
    </w:p>
    <w:p w14:paraId="0564F00F">
      <w:pPr>
        <w:pStyle w:val="5"/>
        <w:spacing w:line="279" w:lineRule="auto"/>
      </w:pPr>
    </w:p>
    <w:p w14:paraId="2F958208">
      <w:pPr>
        <w:spacing w:before="69" w:line="221" w:lineRule="auto"/>
        <w:jc w:val="right"/>
        <w:rPr>
          <w:rFonts w:ascii="宋体" w:hAnsi="宋体" w:eastAsia="宋体" w:cs="宋体"/>
          <w:sz w:val="21"/>
          <w:szCs w:val="21"/>
        </w:rPr>
      </w:pPr>
      <w:r>
        <w:rPr>
          <w:rFonts w:ascii="宋体" w:hAnsi="宋体" w:eastAsia="宋体" w:cs="宋体"/>
          <w:spacing w:val="-3"/>
          <w:sz w:val="21"/>
          <w:szCs w:val="21"/>
        </w:rPr>
        <w:t>法定代表人</w:t>
      </w:r>
      <w:r>
        <w:rPr>
          <w:rFonts w:ascii="宋体" w:hAnsi="宋体" w:eastAsia="宋体" w:cs="宋体"/>
          <w:spacing w:val="1"/>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3"/>
          <w:sz w:val="21"/>
          <w:szCs w:val="21"/>
        </w:rPr>
        <w:t>签字）</w:t>
      </w:r>
    </w:p>
    <w:p w14:paraId="169081CC">
      <w:pPr>
        <w:pStyle w:val="5"/>
        <w:spacing w:line="279" w:lineRule="auto"/>
      </w:pPr>
    </w:p>
    <w:p w14:paraId="5330884B">
      <w:pPr>
        <w:tabs>
          <w:tab w:val="left" w:pos="6382"/>
        </w:tabs>
        <w:spacing w:before="69" w:line="221" w:lineRule="auto"/>
        <w:ind w:left="575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7"/>
          <w:sz w:val="21"/>
          <w:szCs w:val="21"/>
        </w:rPr>
        <w:t>年</w:t>
      </w:r>
      <w:r>
        <w:rPr>
          <w:rFonts w:ascii="宋体" w:hAnsi="宋体" w:eastAsia="宋体" w:cs="宋体"/>
          <w:spacing w:val="25"/>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7"/>
          <w:sz w:val="21"/>
          <w:szCs w:val="21"/>
        </w:rPr>
        <w:t>月</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74E2308A">
      <w:pPr>
        <w:spacing w:line="221" w:lineRule="auto"/>
        <w:rPr>
          <w:rFonts w:ascii="宋体" w:hAnsi="宋体" w:eastAsia="宋体" w:cs="宋体"/>
          <w:sz w:val="21"/>
          <w:szCs w:val="21"/>
        </w:rPr>
        <w:sectPr>
          <w:footerReference r:id="rId46" w:type="default"/>
          <w:pgSz w:w="11905" w:h="16843"/>
          <w:pgMar w:top="969" w:right="1355" w:bottom="1026" w:left="1480" w:header="0" w:footer="754" w:gutter="0"/>
          <w:cols w:space="0" w:num="1"/>
          <w:rtlGutter w:val="0"/>
          <w:docGrid w:linePitch="0" w:charSpace="0"/>
        </w:sectPr>
      </w:pPr>
    </w:p>
    <w:p w14:paraId="71D2BB3B">
      <w:pPr>
        <w:pStyle w:val="5"/>
        <w:spacing w:line="249" w:lineRule="auto"/>
      </w:pPr>
    </w:p>
    <w:p w14:paraId="15DE756E">
      <w:pPr>
        <w:pStyle w:val="5"/>
        <w:spacing w:line="250" w:lineRule="auto"/>
      </w:pPr>
    </w:p>
    <w:p w14:paraId="41523350">
      <w:pPr>
        <w:pStyle w:val="5"/>
        <w:spacing w:line="250" w:lineRule="auto"/>
      </w:pPr>
    </w:p>
    <w:p w14:paraId="37EF2B41">
      <w:pPr>
        <w:pStyle w:val="5"/>
        <w:spacing w:line="250" w:lineRule="auto"/>
      </w:pPr>
    </w:p>
    <w:p w14:paraId="268BD22C">
      <w:pPr>
        <w:pStyle w:val="5"/>
        <w:spacing w:line="250" w:lineRule="auto"/>
      </w:pPr>
    </w:p>
    <w:p w14:paraId="47E71880">
      <w:pPr>
        <w:spacing w:before="78" w:line="220" w:lineRule="auto"/>
        <w:ind w:left="22"/>
        <w:outlineLvl w:val="1"/>
        <w:rPr>
          <w:rFonts w:ascii="黑体" w:hAnsi="黑体" w:eastAsia="黑体" w:cs="黑体"/>
          <w:sz w:val="24"/>
          <w:szCs w:val="24"/>
        </w:rPr>
      </w:pPr>
      <w:bookmarkStart w:id="117" w:name="bookmark93"/>
      <w:bookmarkEnd w:id="117"/>
      <w:r>
        <w:rPr>
          <w:rFonts w:ascii="黑体" w:hAnsi="黑体" w:eastAsia="黑体" w:cs="黑体"/>
          <w:spacing w:val="-3"/>
          <w:sz w:val="24"/>
          <w:szCs w:val="24"/>
        </w:rPr>
        <w:t>附表八：中标通知书</w:t>
      </w:r>
    </w:p>
    <w:p w14:paraId="5B109C35">
      <w:pPr>
        <w:pStyle w:val="5"/>
        <w:spacing w:line="264" w:lineRule="auto"/>
      </w:pPr>
    </w:p>
    <w:p w14:paraId="700BAEA4">
      <w:pPr>
        <w:pStyle w:val="5"/>
        <w:spacing w:line="264" w:lineRule="auto"/>
      </w:pPr>
    </w:p>
    <w:p w14:paraId="598F5005">
      <w:pPr>
        <w:spacing w:before="91" w:line="220" w:lineRule="auto"/>
        <w:ind w:left="3784"/>
        <w:rPr>
          <w:rFonts w:ascii="黑体" w:hAnsi="黑体" w:eastAsia="黑体" w:cs="黑体"/>
          <w:sz w:val="28"/>
          <w:szCs w:val="28"/>
        </w:rPr>
      </w:pPr>
      <w:r>
        <w:rPr>
          <w:rFonts w:ascii="黑体" w:hAnsi="黑体" w:eastAsia="黑体" w:cs="黑体"/>
          <w:spacing w:val="-6"/>
          <w:sz w:val="28"/>
          <w:szCs w:val="28"/>
        </w:rPr>
        <w:t>中标通知书</w:t>
      </w:r>
    </w:p>
    <w:p w14:paraId="1FE0279C">
      <w:pPr>
        <w:pStyle w:val="5"/>
        <w:spacing w:line="375" w:lineRule="auto"/>
      </w:pPr>
    </w:p>
    <w:p w14:paraId="7F2CE6B4">
      <w:pPr>
        <w:spacing w:before="68" w:line="221" w:lineRule="auto"/>
        <w:ind w:left="6140"/>
        <w:rPr>
          <w:rFonts w:ascii="宋体" w:hAnsi="宋体" w:eastAsia="宋体" w:cs="宋体"/>
          <w:sz w:val="21"/>
          <w:szCs w:val="21"/>
        </w:rPr>
      </w:pPr>
      <w:r>
        <w:rPr>
          <w:rFonts w:ascii="宋体" w:hAnsi="宋体" w:eastAsia="宋体" w:cs="宋体"/>
          <w:spacing w:val="-12"/>
          <w:sz w:val="21"/>
          <w:szCs w:val="21"/>
        </w:rPr>
        <w:t>编号：</w:t>
      </w:r>
    </w:p>
    <w:p w14:paraId="2A01BC2C">
      <w:pPr>
        <w:pStyle w:val="5"/>
        <w:spacing w:line="398" w:lineRule="auto"/>
      </w:pPr>
    </w:p>
    <w:p w14:paraId="6BC685E7">
      <w:pPr>
        <w:tabs>
          <w:tab w:val="left" w:pos="1576"/>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rPr>
        <w:t>（中标人名称</w:t>
      </w:r>
      <w:r>
        <w:rPr>
          <w:rFonts w:ascii="宋体" w:hAnsi="宋体" w:eastAsia="宋体" w:cs="宋体"/>
          <w:spacing w:val="-20"/>
          <w:sz w:val="21"/>
          <w:szCs w:val="21"/>
        </w:rPr>
        <w:t>）：</w:t>
      </w:r>
    </w:p>
    <w:p w14:paraId="64C7F17D">
      <w:pPr>
        <w:pStyle w:val="5"/>
        <w:spacing w:line="318" w:lineRule="auto"/>
      </w:pPr>
    </w:p>
    <w:p w14:paraId="785B0384">
      <w:pPr>
        <w:pStyle w:val="5"/>
        <w:spacing w:line="318" w:lineRule="auto"/>
      </w:pPr>
    </w:p>
    <w:p w14:paraId="61455834">
      <w:pPr>
        <w:spacing w:before="69" w:line="422" w:lineRule="auto"/>
        <w:ind w:left="7" w:right="3" w:firstLine="421"/>
        <w:rPr>
          <w:rFonts w:ascii="宋体" w:hAnsi="宋体" w:eastAsia="宋体" w:cs="宋体"/>
          <w:sz w:val="21"/>
          <w:szCs w:val="21"/>
        </w:rPr>
      </w:pPr>
      <w:r>
        <w:rPr>
          <w:rFonts w:ascii="宋体" w:hAnsi="宋体" w:eastAsia="宋体" w:cs="宋体"/>
          <w:spacing w:val="2"/>
          <w:sz w:val="21"/>
          <w:szCs w:val="21"/>
        </w:rPr>
        <w:t>你方于</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2"/>
          <w:sz w:val="21"/>
          <w:szCs w:val="21"/>
        </w:rPr>
        <w:t>（投标日期）所递交的</w:t>
      </w:r>
      <w:r>
        <w:rPr>
          <w:rFonts w:ascii="宋体" w:hAnsi="宋体" w:eastAsia="宋体" w:cs="宋体"/>
          <w:spacing w:val="-99"/>
          <w:sz w:val="21"/>
          <w:szCs w:val="21"/>
        </w:rPr>
        <w:t xml:space="preserve"> </w:t>
      </w:r>
      <w:r>
        <w:rPr>
          <w:rFonts w:ascii="宋体" w:hAnsi="宋体" w:eastAsia="宋体" w:cs="宋体"/>
          <w:spacing w:val="10"/>
          <w:sz w:val="21"/>
          <w:szCs w:val="21"/>
          <w:u w:val="single" w:color="auto"/>
        </w:rPr>
        <w:t xml:space="preserve">          </w:t>
      </w:r>
      <w:r>
        <w:rPr>
          <w:rFonts w:ascii="宋体" w:hAnsi="宋体" w:eastAsia="宋体" w:cs="宋体"/>
          <w:spacing w:val="2"/>
          <w:sz w:val="21"/>
          <w:szCs w:val="21"/>
        </w:rPr>
        <w:t>（标段名称）项目（标段唯一标识</w:t>
      </w:r>
      <w:r>
        <w:rPr>
          <w:rFonts w:ascii="宋体" w:hAnsi="宋体" w:eastAsia="宋体" w:cs="宋体"/>
          <w:spacing w:val="-1"/>
          <w:sz w:val="21"/>
          <w:szCs w:val="21"/>
        </w:rPr>
        <w:t>码</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2"/>
          <w:sz w:val="21"/>
          <w:szCs w:val="21"/>
        </w:rPr>
        <w:t>）</w:t>
      </w:r>
      <w:r>
        <w:rPr>
          <w:rFonts w:ascii="宋体" w:hAnsi="宋体" w:eastAsia="宋体" w:cs="宋体"/>
          <w:spacing w:val="-1"/>
          <w:sz w:val="21"/>
          <w:szCs w:val="21"/>
        </w:rPr>
        <w:t>投标文件已被我方接受，被确定为中标人。</w:t>
      </w:r>
    </w:p>
    <w:p w14:paraId="5E3892C9">
      <w:pPr>
        <w:spacing w:line="219" w:lineRule="auto"/>
        <w:ind w:left="448"/>
        <w:rPr>
          <w:rFonts w:ascii="宋体" w:hAnsi="宋体" w:eastAsia="宋体" w:cs="宋体"/>
          <w:sz w:val="21"/>
          <w:szCs w:val="21"/>
        </w:rPr>
      </w:pPr>
      <w:r>
        <w:rPr>
          <w:rFonts w:ascii="宋体" w:hAnsi="宋体" w:eastAsia="宋体" w:cs="宋体"/>
          <w:spacing w:val="-8"/>
          <w:sz w:val="21"/>
          <w:szCs w:val="21"/>
        </w:rPr>
        <w:t>中标价：</w:t>
      </w:r>
      <w:r>
        <w:rPr>
          <w:rFonts w:ascii="宋体" w:hAnsi="宋体" w:eastAsia="宋体" w:cs="宋体"/>
          <w:spacing w:val="4"/>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8"/>
          <w:sz w:val="21"/>
          <w:szCs w:val="21"/>
        </w:rPr>
        <w:t>元。</w:t>
      </w:r>
    </w:p>
    <w:p w14:paraId="2F76820F">
      <w:pPr>
        <w:spacing w:before="231" w:line="221" w:lineRule="auto"/>
        <w:ind w:left="430"/>
        <w:rPr>
          <w:rFonts w:ascii="宋体" w:hAnsi="宋体" w:eastAsia="宋体" w:cs="宋体"/>
          <w:sz w:val="21"/>
          <w:szCs w:val="21"/>
        </w:rPr>
      </w:pPr>
      <w:r>
        <w:rPr>
          <w:rFonts w:ascii="宋体" w:hAnsi="宋体" w:eastAsia="宋体" w:cs="宋体"/>
          <w:spacing w:val="-7"/>
          <w:sz w:val="21"/>
          <w:szCs w:val="21"/>
        </w:rPr>
        <w:t>工</w:t>
      </w:r>
      <w:r>
        <w:rPr>
          <w:rFonts w:ascii="宋体" w:hAnsi="宋体" w:eastAsia="宋体" w:cs="宋体"/>
          <w:spacing w:val="14"/>
          <w:sz w:val="21"/>
          <w:szCs w:val="21"/>
        </w:rPr>
        <w:t xml:space="preserve">  </w:t>
      </w:r>
      <w:r>
        <w:rPr>
          <w:rFonts w:ascii="宋体" w:hAnsi="宋体" w:eastAsia="宋体" w:cs="宋体"/>
          <w:spacing w:val="-7"/>
          <w:sz w:val="21"/>
          <w:szCs w:val="21"/>
        </w:rPr>
        <w:t>期：</w:t>
      </w:r>
      <w:r>
        <w:rPr>
          <w:rFonts w:ascii="宋体" w:hAnsi="宋体" w:eastAsia="宋体" w:cs="宋体"/>
          <w:spacing w:val="-7"/>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7"/>
          <w:sz w:val="21"/>
          <w:szCs w:val="21"/>
        </w:rPr>
        <w:t>日历天。</w:t>
      </w:r>
    </w:p>
    <w:p w14:paraId="7B05267B">
      <w:pPr>
        <w:spacing w:before="229" w:line="221" w:lineRule="auto"/>
        <w:ind w:left="429"/>
        <w:rPr>
          <w:rFonts w:ascii="宋体" w:hAnsi="宋体" w:eastAsia="宋体" w:cs="宋体"/>
          <w:sz w:val="21"/>
          <w:szCs w:val="21"/>
        </w:rPr>
      </w:pPr>
      <w:r>
        <w:rPr>
          <w:rFonts w:ascii="宋体" w:hAnsi="宋体" w:eastAsia="宋体" w:cs="宋体"/>
          <w:sz w:val="21"/>
          <w:szCs w:val="21"/>
        </w:rPr>
        <w:t>质量标准：</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0264250">
      <w:pPr>
        <w:spacing w:before="228" w:line="221" w:lineRule="auto"/>
        <w:ind w:left="431"/>
        <w:rPr>
          <w:rFonts w:ascii="宋体" w:hAnsi="宋体" w:eastAsia="宋体" w:cs="宋体"/>
          <w:sz w:val="21"/>
          <w:szCs w:val="21"/>
        </w:rPr>
      </w:pPr>
      <w:r>
        <w:rPr>
          <w:rFonts w:ascii="宋体" w:hAnsi="宋体" w:eastAsia="宋体" w:cs="宋体"/>
          <w:spacing w:val="-16"/>
          <w:sz w:val="21"/>
          <w:szCs w:val="21"/>
        </w:rPr>
        <w:t>项目经理</w:t>
      </w:r>
      <w:r>
        <w:rPr>
          <w:rFonts w:ascii="宋体" w:hAnsi="宋体" w:eastAsia="宋体" w:cs="宋体"/>
          <w:spacing w:val="-1"/>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6"/>
          <w:sz w:val="21"/>
          <w:szCs w:val="21"/>
        </w:rPr>
        <w:t>姓名）。</w:t>
      </w:r>
    </w:p>
    <w:p w14:paraId="0E34D505">
      <w:pPr>
        <w:pStyle w:val="5"/>
        <w:spacing w:line="317" w:lineRule="auto"/>
      </w:pPr>
    </w:p>
    <w:p w14:paraId="1C5CEAEC">
      <w:pPr>
        <w:pStyle w:val="5"/>
        <w:spacing w:line="318" w:lineRule="auto"/>
      </w:pPr>
    </w:p>
    <w:p w14:paraId="3AA55CA7">
      <w:pPr>
        <w:spacing w:before="69" w:line="419" w:lineRule="auto"/>
        <w:ind w:left="8" w:firstLine="418"/>
        <w:jc w:val="both"/>
        <w:rPr>
          <w:rFonts w:ascii="宋体" w:hAnsi="宋体" w:eastAsia="宋体" w:cs="宋体"/>
          <w:sz w:val="21"/>
          <w:szCs w:val="21"/>
        </w:rPr>
      </w:pPr>
      <w:r>
        <w:rPr>
          <w:rFonts w:ascii="宋体" w:hAnsi="宋体" w:eastAsia="宋体" w:cs="宋体"/>
          <w:spacing w:val="2"/>
          <w:sz w:val="21"/>
          <w:szCs w:val="21"/>
        </w:rPr>
        <w:t>请你方在接到本通知书后的</w:t>
      </w:r>
      <w:r>
        <w:rPr>
          <w:rFonts w:ascii="宋体" w:hAnsi="宋体" w:eastAsia="宋体" w:cs="宋体"/>
          <w:spacing w:val="-81"/>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2"/>
          <w:sz w:val="21"/>
          <w:szCs w:val="21"/>
        </w:rPr>
        <w:t>日内到</w:t>
      </w:r>
      <w:r>
        <w:rPr>
          <w:rFonts w:ascii="宋体" w:hAnsi="宋体" w:eastAsia="宋体" w:cs="宋体"/>
          <w:spacing w:val="-10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（指定地点）与我方签订合同，在此之前按招标文件第二章“投标人须知”第 </w:t>
      </w:r>
      <w:r>
        <w:rPr>
          <w:rFonts w:ascii="Times New Roman" w:hAnsi="Times New Roman" w:eastAsia="Times New Roman" w:cs="Times New Roman"/>
          <w:spacing w:val="2"/>
          <w:sz w:val="21"/>
          <w:szCs w:val="21"/>
        </w:rPr>
        <w:t>7.4</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款规定向我方提交履约担保（如</w:t>
      </w:r>
      <w:r>
        <w:rPr>
          <w:rFonts w:ascii="宋体" w:hAnsi="宋体" w:eastAsia="宋体" w:cs="宋体"/>
          <w:spacing w:val="-42"/>
          <w:sz w:val="21"/>
          <w:szCs w:val="21"/>
        </w:rPr>
        <w:t>有）。</w:t>
      </w:r>
    </w:p>
    <w:p w14:paraId="2792713E">
      <w:pPr>
        <w:spacing w:before="11" w:line="220" w:lineRule="auto"/>
        <w:ind w:left="439"/>
        <w:rPr>
          <w:rFonts w:ascii="宋体" w:hAnsi="宋体" w:eastAsia="宋体" w:cs="宋体"/>
          <w:sz w:val="21"/>
          <w:szCs w:val="21"/>
        </w:rPr>
      </w:pPr>
      <w:r>
        <w:rPr>
          <w:rFonts w:ascii="宋体" w:hAnsi="宋体" w:eastAsia="宋体" w:cs="宋体"/>
          <w:spacing w:val="-2"/>
          <w:sz w:val="21"/>
          <w:szCs w:val="21"/>
        </w:rPr>
        <w:t>随附的投标文件澄清、说明、补正事项纪要（如果有</w:t>
      </w:r>
      <w:r>
        <w:rPr>
          <w:rFonts w:ascii="宋体" w:hAnsi="宋体" w:eastAsia="宋体" w:cs="宋体"/>
          <w:spacing w:val="-18"/>
          <w:sz w:val="21"/>
          <w:szCs w:val="21"/>
        </w:rPr>
        <w:t>），</w:t>
      </w:r>
      <w:r>
        <w:rPr>
          <w:rFonts w:ascii="宋体" w:hAnsi="宋体" w:eastAsia="宋体" w:cs="宋体"/>
          <w:spacing w:val="-2"/>
          <w:sz w:val="21"/>
          <w:szCs w:val="21"/>
        </w:rPr>
        <w:t>是</w:t>
      </w:r>
      <w:r>
        <w:rPr>
          <w:rFonts w:ascii="宋体" w:hAnsi="宋体" w:eastAsia="宋体" w:cs="宋体"/>
          <w:spacing w:val="-3"/>
          <w:sz w:val="21"/>
          <w:szCs w:val="21"/>
        </w:rPr>
        <w:t>本中标通知书的组成部分。</w:t>
      </w:r>
    </w:p>
    <w:p w14:paraId="203F8E78">
      <w:pPr>
        <w:spacing w:before="229" w:line="221" w:lineRule="auto"/>
        <w:ind w:left="428"/>
        <w:rPr>
          <w:rFonts w:ascii="宋体" w:hAnsi="宋体" w:eastAsia="宋体" w:cs="宋体"/>
          <w:sz w:val="21"/>
          <w:szCs w:val="21"/>
        </w:rPr>
      </w:pPr>
      <w:r>
        <w:rPr>
          <w:rFonts w:ascii="宋体" w:hAnsi="宋体" w:eastAsia="宋体" w:cs="宋体"/>
          <w:spacing w:val="-5"/>
          <w:sz w:val="21"/>
          <w:szCs w:val="21"/>
        </w:rPr>
        <w:t>特此通知。</w:t>
      </w:r>
    </w:p>
    <w:p w14:paraId="6668624C">
      <w:pPr>
        <w:spacing w:before="230" w:line="220" w:lineRule="auto"/>
        <w:ind w:left="444"/>
        <w:rPr>
          <w:rFonts w:ascii="宋体" w:hAnsi="宋体" w:eastAsia="宋体" w:cs="宋体"/>
          <w:sz w:val="21"/>
          <w:szCs w:val="21"/>
        </w:rPr>
      </w:pPr>
      <w:r>
        <w:rPr>
          <w:rFonts w:ascii="宋体" w:hAnsi="宋体" w:eastAsia="宋体" w:cs="宋体"/>
          <w:spacing w:val="-2"/>
          <w:sz w:val="21"/>
          <w:szCs w:val="21"/>
        </w:rPr>
        <w:t>附：澄清、说明、补正事项纪要</w:t>
      </w:r>
    </w:p>
    <w:p w14:paraId="77B1C2B3">
      <w:pPr>
        <w:pStyle w:val="5"/>
        <w:spacing w:line="265" w:lineRule="auto"/>
      </w:pPr>
    </w:p>
    <w:p w14:paraId="48179B01">
      <w:pPr>
        <w:pStyle w:val="5"/>
        <w:spacing w:line="265" w:lineRule="auto"/>
      </w:pPr>
    </w:p>
    <w:p w14:paraId="6A2B98F7">
      <w:pPr>
        <w:pStyle w:val="5"/>
        <w:spacing w:line="265" w:lineRule="auto"/>
      </w:pPr>
    </w:p>
    <w:p w14:paraId="33090019">
      <w:pPr>
        <w:pStyle w:val="5"/>
        <w:spacing w:line="265" w:lineRule="auto"/>
      </w:pPr>
    </w:p>
    <w:p w14:paraId="126EAE0C">
      <w:pPr>
        <w:pStyle w:val="5"/>
        <w:spacing w:line="265" w:lineRule="auto"/>
      </w:pPr>
    </w:p>
    <w:p w14:paraId="5D7AF977">
      <w:pPr>
        <w:pStyle w:val="5"/>
        <w:spacing w:line="266" w:lineRule="auto"/>
      </w:pPr>
    </w:p>
    <w:p w14:paraId="4333A69A">
      <w:pPr>
        <w:spacing w:before="69" w:line="220" w:lineRule="auto"/>
        <w:ind w:left="4817"/>
        <w:rPr>
          <w:rFonts w:ascii="宋体" w:hAnsi="宋体" w:eastAsia="宋体" w:cs="宋体"/>
          <w:sz w:val="21"/>
          <w:szCs w:val="21"/>
        </w:rPr>
      </w:pPr>
      <w:r>
        <w:rPr>
          <w:rFonts w:ascii="宋体" w:hAnsi="宋体" w:eastAsia="宋体" w:cs="宋体"/>
          <w:spacing w:val="3"/>
          <w:sz w:val="21"/>
          <w:szCs w:val="21"/>
        </w:rPr>
        <w:t>招标人</w:t>
      </w:r>
      <w:r>
        <w:rPr>
          <w:rFonts w:ascii="宋体" w:hAnsi="宋体" w:eastAsia="宋体" w:cs="宋体"/>
          <w:spacing w:val="-16"/>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16"/>
          <w:sz w:val="21"/>
          <w:szCs w:val="21"/>
        </w:rPr>
        <w:t>（</w:t>
      </w:r>
      <w:r>
        <w:rPr>
          <w:rFonts w:ascii="宋体" w:hAnsi="宋体" w:eastAsia="宋体" w:cs="宋体"/>
          <w:spacing w:val="3"/>
          <w:sz w:val="21"/>
          <w:szCs w:val="21"/>
        </w:rPr>
        <w:t>盖单位章）</w:t>
      </w:r>
    </w:p>
    <w:p w14:paraId="6206F510">
      <w:pPr>
        <w:tabs>
          <w:tab w:val="left" w:pos="7012"/>
        </w:tabs>
        <w:spacing w:before="230" w:line="424" w:lineRule="auto"/>
        <w:ind w:left="6173" w:right="120" w:hanging="1356"/>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5"/>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1"/>
          <w:sz w:val="21"/>
          <w:szCs w:val="21"/>
        </w:rPr>
        <w:t>签字）</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7"/>
          <w:sz w:val="21"/>
          <w:szCs w:val="21"/>
        </w:rPr>
        <w:t>月</w:t>
      </w:r>
      <w:r>
        <w:rPr>
          <w:rFonts w:ascii="宋体" w:hAnsi="宋体" w:eastAsia="宋体" w:cs="宋体"/>
          <w:spacing w:val="25"/>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0D5C319A">
      <w:pPr>
        <w:spacing w:line="424" w:lineRule="auto"/>
        <w:rPr>
          <w:rFonts w:ascii="宋体" w:hAnsi="宋体" w:eastAsia="宋体" w:cs="宋体"/>
          <w:sz w:val="21"/>
          <w:szCs w:val="21"/>
        </w:rPr>
        <w:sectPr>
          <w:footerReference r:id="rId47" w:type="default"/>
          <w:pgSz w:w="11905" w:h="16843"/>
          <w:pgMar w:top="969" w:right="1355" w:bottom="1026" w:left="1480" w:header="0" w:footer="754" w:gutter="0"/>
          <w:cols w:space="0" w:num="1"/>
          <w:rtlGutter w:val="0"/>
          <w:docGrid w:linePitch="0" w:charSpace="0"/>
        </w:sectPr>
      </w:pPr>
    </w:p>
    <w:p w14:paraId="2DDAE6E8">
      <w:pPr>
        <w:pStyle w:val="5"/>
        <w:spacing w:line="249" w:lineRule="auto"/>
      </w:pPr>
    </w:p>
    <w:p w14:paraId="471937A9">
      <w:pPr>
        <w:pStyle w:val="5"/>
        <w:spacing w:line="250" w:lineRule="auto"/>
      </w:pPr>
    </w:p>
    <w:p w14:paraId="06DF0E4E">
      <w:pPr>
        <w:pStyle w:val="5"/>
        <w:spacing w:line="250" w:lineRule="auto"/>
      </w:pPr>
    </w:p>
    <w:p w14:paraId="771F3795">
      <w:pPr>
        <w:pStyle w:val="5"/>
        <w:spacing w:line="250" w:lineRule="auto"/>
      </w:pPr>
    </w:p>
    <w:p w14:paraId="5CED0D5B">
      <w:pPr>
        <w:pStyle w:val="5"/>
        <w:spacing w:line="250" w:lineRule="auto"/>
      </w:pPr>
    </w:p>
    <w:p w14:paraId="6F1D3A7F">
      <w:pPr>
        <w:spacing w:before="78" w:line="220" w:lineRule="auto"/>
        <w:ind w:left="22"/>
        <w:outlineLvl w:val="1"/>
        <w:rPr>
          <w:rFonts w:ascii="黑体" w:hAnsi="黑体" w:eastAsia="黑体" w:cs="黑体"/>
          <w:sz w:val="24"/>
          <w:szCs w:val="24"/>
        </w:rPr>
      </w:pPr>
      <w:bookmarkStart w:id="118" w:name="bookmark94"/>
      <w:bookmarkEnd w:id="118"/>
      <w:r>
        <w:rPr>
          <w:rFonts w:ascii="黑体" w:hAnsi="黑体" w:eastAsia="黑体" w:cs="黑体"/>
          <w:spacing w:val="-2"/>
          <w:sz w:val="24"/>
          <w:szCs w:val="24"/>
        </w:rPr>
        <w:t>附表九：中标结果通知书</w:t>
      </w:r>
    </w:p>
    <w:p w14:paraId="322E4B96">
      <w:pPr>
        <w:pStyle w:val="5"/>
        <w:spacing w:line="264" w:lineRule="auto"/>
      </w:pPr>
    </w:p>
    <w:p w14:paraId="5FE2F398">
      <w:pPr>
        <w:pStyle w:val="5"/>
        <w:spacing w:line="264" w:lineRule="auto"/>
      </w:pPr>
    </w:p>
    <w:p w14:paraId="32999252">
      <w:pPr>
        <w:spacing w:before="91" w:line="220" w:lineRule="auto"/>
        <w:ind w:left="3503"/>
        <w:rPr>
          <w:rFonts w:ascii="黑体" w:hAnsi="黑体" w:eastAsia="黑体" w:cs="黑体"/>
          <w:sz w:val="28"/>
          <w:szCs w:val="28"/>
        </w:rPr>
      </w:pPr>
      <w:r>
        <w:rPr>
          <w:rFonts w:ascii="黑体" w:hAnsi="黑体" w:eastAsia="黑体" w:cs="黑体"/>
          <w:spacing w:val="-5"/>
          <w:sz w:val="28"/>
          <w:szCs w:val="28"/>
        </w:rPr>
        <w:t>中标结果通知书</w:t>
      </w:r>
    </w:p>
    <w:p w14:paraId="16676E99">
      <w:pPr>
        <w:pStyle w:val="5"/>
        <w:spacing w:line="375" w:lineRule="auto"/>
      </w:pPr>
    </w:p>
    <w:p w14:paraId="53346BD6">
      <w:pPr>
        <w:tabs>
          <w:tab w:val="left" w:pos="2311"/>
        </w:tabs>
        <w:spacing w:before="69"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（未中标人名称</w:t>
      </w:r>
      <w:r>
        <w:rPr>
          <w:rFonts w:ascii="宋体" w:hAnsi="宋体" w:eastAsia="宋体" w:cs="宋体"/>
          <w:spacing w:val="-54"/>
          <w:w w:val="97"/>
          <w:sz w:val="21"/>
          <w:szCs w:val="21"/>
        </w:rPr>
        <w:t>）：</w:t>
      </w:r>
    </w:p>
    <w:p w14:paraId="08D1B9F4">
      <w:pPr>
        <w:pStyle w:val="5"/>
        <w:spacing w:line="317" w:lineRule="auto"/>
      </w:pPr>
    </w:p>
    <w:p w14:paraId="5D09CAE0">
      <w:pPr>
        <w:pStyle w:val="5"/>
        <w:spacing w:line="318" w:lineRule="auto"/>
      </w:pPr>
    </w:p>
    <w:p w14:paraId="2D342A11">
      <w:pPr>
        <w:spacing w:before="68" w:line="424" w:lineRule="auto"/>
        <w:ind w:left="8" w:firstLine="421"/>
        <w:jc w:val="both"/>
        <w:rPr>
          <w:rFonts w:ascii="宋体" w:hAnsi="宋体" w:eastAsia="宋体" w:cs="宋体"/>
          <w:sz w:val="21"/>
          <w:szCs w:val="21"/>
        </w:rPr>
      </w:pPr>
      <w:r>
        <w:rPr>
          <w:rFonts w:ascii="宋体" w:hAnsi="宋体" w:eastAsia="宋体" w:cs="宋体"/>
          <w:spacing w:val="1"/>
          <w:sz w:val="21"/>
          <w:szCs w:val="21"/>
        </w:rPr>
        <w:t>我方已接受</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rPr>
        <w:t>（中标人名称）于</w:t>
      </w:r>
      <w:r>
        <w:rPr>
          <w:rFonts w:ascii="宋体" w:hAnsi="宋体" w:eastAsia="宋体" w:cs="宋体"/>
          <w:spacing w:val="-8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rPr>
        <w:t>（投标日期）</w:t>
      </w:r>
      <w:r>
        <w:rPr>
          <w:rFonts w:ascii="宋体" w:hAnsi="宋体" w:eastAsia="宋体" w:cs="宋体"/>
          <w:spacing w:val="10"/>
          <w:sz w:val="21"/>
          <w:szCs w:val="21"/>
        </w:rPr>
        <w:t>所递交的</w:t>
      </w:r>
      <w:r>
        <w:rPr>
          <w:rFonts w:ascii="宋体" w:hAnsi="宋体" w:eastAsia="宋体" w:cs="宋体"/>
          <w:spacing w:val="-84"/>
          <w:sz w:val="21"/>
          <w:szCs w:val="21"/>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（标段名称）</w:t>
      </w:r>
      <w:r>
        <w:rPr>
          <w:rFonts w:ascii="宋体" w:hAnsi="宋体" w:eastAsia="宋体" w:cs="宋体"/>
          <w:spacing w:val="-59"/>
          <w:sz w:val="21"/>
          <w:szCs w:val="21"/>
        </w:rPr>
        <w:t xml:space="preserve"> </w:t>
      </w:r>
      <w:r>
        <w:rPr>
          <w:rFonts w:ascii="宋体" w:hAnsi="宋体" w:eastAsia="宋体" w:cs="宋体"/>
          <w:spacing w:val="10"/>
          <w:sz w:val="21"/>
          <w:szCs w:val="21"/>
        </w:rPr>
        <w:t>项目（标段唯一标识码</w:t>
      </w:r>
      <w:r>
        <w:rPr>
          <w:rFonts w:ascii="宋体" w:hAnsi="宋体" w:eastAsia="宋体" w:cs="宋体"/>
          <w:spacing w:val="6"/>
          <w:sz w:val="21"/>
          <w:szCs w:val="21"/>
        </w:rPr>
        <w:t>：</w:t>
      </w:r>
      <w:r>
        <w:rPr>
          <w:rFonts w:ascii="宋体" w:hAnsi="宋体" w:eastAsia="宋体" w:cs="宋体"/>
          <w:spacing w:val="-65"/>
          <w:sz w:val="21"/>
          <w:szCs w:val="21"/>
        </w:rPr>
        <w:t xml:space="preserve"> </w:t>
      </w:r>
      <w:r>
        <w:rPr>
          <w:rFonts w:ascii="宋体" w:hAnsi="宋体" w:eastAsia="宋体" w:cs="宋体"/>
          <w:spacing w:val="15"/>
          <w:sz w:val="21"/>
          <w:szCs w:val="21"/>
          <w:u w:val="single" w:color="auto"/>
        </w:rPr>
        <w:t xml:space="preserve">     </w:t>
      </w:r>
      <w:r>
        <w:rPr>
          <w:rFonts w:ascii="宋体" w:hAnsi="宋体" w:eastAsia="宋体" w:cs="宋体"/>
          <w:spacing w:val="46"/>
          <w:sz w:val="21"/>
          <w:szCs w:val="21"/>
        </w:rPr>
        <w:t xml:space="preserve"> </w:t>
      </w:r>
      <w:r>
        <w:rPr>
          <w:rFonts w:ascii="宋体" w:hAnsi="宋体" w:eastAsia="宋体" w:cs="宋体"/>
          <w:spacing w:val="6"/>
          <w:sz w:val="21"/>
          <w:szCs w:val="21"/>
        </w:rPr>
        <w:t>）</w:t>
      </w:r>
      <w:r>
        <w:rPr>
          <w:rFonts w:ascii="宋体" w:hAnsi="宋体" w:eastAsia="宋体" w:cs="宋体"/>
          <w:spacing w:val="10"/>
          <w:sz w:val="21"/>
          <w:szCs w:val="21"/>
        </w:rPr>
        <w:t>投标文件，</w:t>
      </w:r>
      <w:r>
        <w:rPr>
          <w:rFonts w:ascii="宋体" w:hAnsi="宋体" w:eastAsia="宋体" w:cs="宋体"/>
          <w:spacing w:val="-63"/>
          <w:sz w:val="21"/>
          <w:szCs w:val="21"/>
        </w:rPr>
        <w:t xml:space="preserve"> </w:t>
      </w:r>
      <w:r>
        <w:rPr>
          <w:rFonts w:ascii="宋体" w:hAnsi="宋体" w:eastAsia="宋体" w:cs="宋体"/>
          <w:spacing w:val="10"/>
          <w:sz w:val="21"/>
          <w:szCs w:val="21"/>
        </w:rPr>
        <w:t>确定</w:t>
      </w:r>
      <w:r>
        <w:rPr>
          <w:rFonts w:ascii="宋体" w:hAnsi="宋体" w:eastAsia="宋体" w:cs="宋体"/>
          <w:spacing w:val="-1"/>
          <w:sz w:val="21"/>
          <w:szCs w:val="21"/>
        </w:rPr>
        <w:t>（中标人名称）为中标人。</w:t>
      </w:r>
    </w:p>
    <w:p w14:paraId="4ED269AB">
      <w:pPr>
        <w:pStyle w:val="5"/>
        <w:spacing w:line="404" w:lineRule="auto"/>
      </w:pPr>
    </w:p>
    <w:p w14:paraId="07C2F4CA">
      <w:pPr>
        <w:spacing w:before="68" w:line="234" w:lineRule="auto"/>
        <w:ind w:left="429"/>
        <w:rPr>
          <w:rFonts w:ascii="Times New Roman" w:hAnsi="Times New Roman" w:eastAsia="Times New Roman" w:cs="Times New Roman"/>
          <w:sz w:val="21"/>
          <w:szCs w:val="21"/>
        </w:rPr>
      </w:pPr>
      <w:r>
        <w:rPr>
          <w:rFonts w:ascii="宋体" w:hAnsi="宋体" w:eastAsia="宋体" w:cs="宋体"/>
          <w:spacing w:val="-1"/>
          <w:sz w:val="21"/>
          <w:szCs w:val="21"/>
        </w:rPr>
        <w:t>感谢你单位对我方工作的大力支持</w:t>
      </w:r>
      <w:r>
        <w:rPr>
          <w:rFonts w:ascii="Times New Roman" w:hAnsi="Times New Roman" w:eastAsia="Times New Roman" w:cs="Times New Roman"/>
          <w:spacing w:val="-1"/>
          <w:sz w:val="21"/>
          <w:szCs w:val="21"/>
        </w:rPr>
        <w:t>!</w:t>
      </w:r>
    </w:p>
    <w:p w14:paraId="79E16B47">
      <w:pPr>
        <w:pStyle w:val="5"/>
        <w:spacing w:line="256" w:lineRule="auto"/>
      </w:pPr>
    </w:p>
    <w:p w14:paraId="4A0E69F8">
      <w:pPr>
        <w:pStyle w:val="5"/>
        <w:spacing w:line="256" w:lineRule="auto"/>
      </w:pPr>
    </w:p>
    <w:p w14:paraId="7088967A">
      <w:pPr>
        <w:pStyle w:val="5"/>
        <w:spacing w:line="256" w:lineRule="auto"/>
      </w:pPr>
    </w:p>
    <w:p w14:paraId="5A47AF1F">
      <w:pPr>
        <w:pStyle w:val="5"/>
        <w:spacing w:line="256" w:lineRule="auto"/>
      </w:pPr>
    </w:p>
    <w:p w14:paraId="58CBAE27">
      <w:pPr>
        <w:pStyle w:val="5"/>
        <w:spacing w:line="257" w:lineRule="auto"/>
      </w:pPr>
    </w:p>
    <w:p w14:paraId="50F6A8E0">
      <w:pPr>
        <w:pStyle w:val="5"/>
        <w:spacing w:line="257" w:lineRule="auto"/>
      </w:pPr>
    </w:p>
    <w:p w14:paraId="70B3827E">
      <w:pPr>
        <w:pStyle w:val="5"/>
        <w:spacing w:line="257" w:lineRule="auto"/>
      </w:pPr>
    </w:p>
    <w:p w14:paraId="78FC7022">
      <w:pPr>
        <w:pStyle w:val="5"/>
        <w:spacing w:line="257" w:lineRule="auto"/>
      </w:pPr>
    </w:p>
    <w:p w14:paraId="6FC4E024">
      <w:pPr>
        <w:spacing w:before="69" w:line="220" w:lineRule="auto"/>
        <w:ind w:left="5131"/>
        <w:rPr>
          <w:rFonts w:ascii="宋体" w:hAnsi="宋体" w:eastAsia="宋体" w:cs="宋体"/>
          <w:sz w:val="21"/>
          <w:szCs w:val="21"/>
        </w:rPr>
      </w:pPr>
      <w:r>
        <w:rPr>
          <w:rFonts w:ascii="宋体" w:hAnsi="宋体" w:eastAsia="宋体" w:cs="宋体"/>
          <w:sz w:val="21"/>
          <w:szCs w:val="21"/>
        </w:rPr>
        <w:t>招标人</w:t>
      </w:r>
      <w:r>
        <w:rPr>
          <w:rFonts w:ascii="宋体" w:hAnsi="宋体" w:eastAsia="宋体" w:cs="宋体"/>
          <w:spacing w:val="-2"/>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2"/>
          <w:sz w:val="21"/>
          <w:szCs w:val="21"/>
        </w:rPr>
        <w:t>（</w:t>
      </w:r>
      <w:r>
        <w:rPr>
          <w:rFonts w:ascii="宋体" w:hAnsi="宋体" w:eastAsia="宋体" w:cs="宋体"/>
          <w:sz w:val="21"/>
          <w:szCs w:val="21"/>
        </w:rPr>
        <w:t>盖单位章）</w:t>
      </w:r>
    </w:p>
    <w:p w14:paraId="34577EA2">
      <w:pPr>
        <w:tabs>
          <w:tab w:val="left" w:pos="6592"/>
        </w:tabs>
        <w:spacing w:before="229" w:line="424" w:lineRule="auto"/>
        <w:ind w:left="5856" w:right="106" w:hanging="725"/>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6"/>
          <w:sz w:val="21"/>
          <w:szCs w:val="21"/>
        </w:rPr>
        <w:t>：</w:t>
      </w:r>
      <w:r>
        <w:rPr>
          <w:rFonts w:ascii="宋体" w:hAnsi="宋体" w:eastAsia="宋体" w:cs="宋体"/>
          <w:spacing w:val="8"/>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16"/>
          <w:sz w:val="21"/>
          <w:szCs w:val="21"/>
        </w:rPr>
        <w:t>（</w:t>
      </w:r>
      <w:r>
        <w:rPr>
          <w:rFonts w:ascii="宋体" w:hAnsi="宋体" w:eastAsia="宋体" w:cs="宋体"/>
          <w:spacing w:val="1"/>
          <w:sz w:val="21"/>
          <w:szCs w:val="21"/>
        </w:rPr>
        <w:t>签字）</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7"/>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7"/>
          <w:sz w:val="21"/>
          <w:szCs w:val="21"/>
        </w:rPr>
        <w:t>日</w:t>
      </w:r>
    </w:p>
    <w:p w14:paraId="2262F8F1">
      <w:pPr>
        <w:spacing w:line="424" w:lineRule="auto"/>
        <w:rPr>
          <w:rFonts w:ascii="宋体" w:hAnsi="宋体" w:eastAsia="宋体" w:cs="宋体"/>
          <w:sz w:val="21"/>
          <w:szCs w:val="21"/>
        </w:rPr>
        <w:sectPr>
          <w:footerReference r:id="rId48" w:type="default"/>
          <w:pgSz w:w="11905" w:h="16843"/>
          <w:pgMar w:top="969" w:right="1355" w:bottom="1026" w:left="1480" w:header="0" w:footer="754" w:gutter="0"/>
          <w:cols w:space="0" w:num="1"/>
          <w:rtlGutter w:val="0"/>
          <w:docGrid w:linePitch="0" w:charSpace="0"/>
        </w:sectPr>
      </w:pPr>
    </w:p>
    <w:p w14:paraId="592F2FA8">
      <w:pPr>
        <w:pStyle w:val="5"/>
        <w:spacing w:line="249" w:lineRule="auto"/>
      </w:pPr>
    </w:p>
    <w:p w14:paraId="45164948">
      <w:pPr>
        <w:pStyle w:val="5"/>
        <w:spacing w:line="250" w:lineRule="auto"/>
      </w:pPr>
    </w:p>
    <w:p w14:paraId="054F5BD2">
      <w:pPr>
        <w:pStyle w:val="5"/>
        <w:spacing w:line="250" w:lineRule="auto"/>
      </w:pPr>
    </w:p>
    <w:p w14:paraId="3652BAF5">
      <w:pPr>
        <w:pStyle w:val="5"/>
        <w:spacing w:line="250" w:lineRule="auto"/>
      </w:pPr>
    </w:p>
    <w:p w14:paraId="28833B68">
      <w:pPr>
        <w:pStyle w:val="5"/>
        <w:spacing w:line="250" w:lineRule="auto"/>
      </w:pPr>
    </w:p>
    <w:p w14:paraId="48569191">
      <w:pPr>
        <w:spacing w:before="78" w:line="219" w:lineRule="auto"/>
        <w:ind w:left="22"/>
        <w:outlineLvl w:val="1"/>
        <w:rPr>
          <w:rFonts w:ascii="黑体" w:hAnsi="黑体" w:eastAsia="黑体" w:cs="黑体"/>
          <w:sz w:val="24"/>
          <w:szCs w:val="24"/>
        </w:rPr>
      </w:pPr>
      <w:bookmarkStart w:id="119" w:name="bookmark95"/>
      <w:bookmarkEnd w:id="119"/>
      <w:bookmarkStart w:id="120" w:name="bookmark503"/>
      <w:bookmarkEnd w:id="120"/>
      <w:r>
        <w:rPr>
          <w:rFonts w:ascii="黑体" w:hAnsi="黑体" w:eastAsia="黑体" w:cs="黑体"/>
          <w:spacing w:val="-3"/>
          <w:sz w:val="24"/>
          <w:szCs w:val="24"/>
        </w:rPr>
        <w:t>附表十：异议函</w:t>
      </w:r>
    </w:p>
    <w:p w14:paraId="6B1659B4">
      <w:pPr>
        <w:pStyle w:val="5"/>
        <w:spacing w:line="264" w:lineRule="auto"/>
      </w:pPr>
    </w:p>
    <w:p w14:paraId="27F78716">
      <w:pPr>
        <w:pStyle w:val="5"/>
        <w:spacing w:line="265" w:lineRule="auto"/>
      </w:pPr>
    </w:p>
    <w:p w14:paraId="0A161DCF">
      <w:pPr>
        <w:spacing w:before="91" w:line="219" w:lineRule="auto"/>
        <w:ind w:left="4046"/>
        <w:rPr>
          <w:rFonts w:ascii="黑体" w:hAnsi="黑体" w:eastAsia="黑体" w:cs="黑体"/>
          <w:sz w:val="28"/>
          <w:szCs w:val="28"/>
        </w:rPr>
      </w:pPr>
      <w:r>
        <w:rPr>
          <w:rFonts w:ascii="黑体" w:hAnsi="黑体" w:eastAsia="黑体" w:cs="黑体"/>
          <w:spacing w:val="-4"/>
          <w:sz w:val="28"/>
          <w:szCs w:val="28"/>
        </w:rPr>
        <w:t>异议函</w:t>
      </w:r>
    </w:p>
    <w:p w14:paraId="0C9330D7">
      <w:pPr>
        <w:pStyle w:val="5"/>
        <w:spacing w:line="304" w:lineRule="auto"/>
      </w:pPr>
    </w:p>
    <w:p w14:paraId="1A692448">
      <w:pPr>
        <w:pStyle w:val="5"/>
        <w:spacing w:line="305" w:lineRule="auto"/>
      </w:pPr>
    </w:p>
    <w:p w14:paraId="42DC1AC3">
      <w:pPr>
        <w:spacing w:before="69" w:line="221" w:lineRule="auto"/>
        <w:ind w:left="6942"/>
        <w:rPr>
          <w:rFonts w:ascii="宋体" w:hAnsi="宋体" w:eastAsia="宋体" w:cs="宋体"/>
          <w:sz w:val="21"/>
          <w:szCs w:val="21"/>
        </w:rPr>
      </w:pPr>
      <w:r>
        <w:rPr>
          <w:rFonts w:ascii="宋体" w:hAnsi="宋体" w:eastAsia="宋体" w:cs="宋体"/>
          <w:spacing w:val="-12"/>
          <w:sz w:val="21"/>
          <w:szCs w:val="21"/>
        </w:rPr>
        <w:t>编号：</w:t>
      </w:r>
    </w:p>
    <w:p w14:paraId="536FC5B0">
      <w:pPr>
        <w:tabs>
          <w:tab w:val="left" w:pos="1996"/>
        </w:tabs>
        <w:spacing w:before="157"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4D9D205B">
      <w:pPr>
        <w:spacing w:before="159" w:line="340" w:lineRule="auto"/>
        <w:ind w:left="7" w:firstLine="422"/>
        <w:rPr>
          <w:rFonts w:ascii="宋体" w:hAnsi="宋体" w:eastAsia="宋体" w:cs="宋体"/>
          <w:sz w:val="21"/>
          <w:szCs w:val="21"/>
        </w:rPr>
      </w:pPr>
      <w:r>
        <w:rPr>
          <w:rFonts w:ascii="宋体" w:hAnsi="宋体" w:eastAsia="宋体" w:cs="宋体"/>
          <w:sz w:val="21"/>
          <w:szCs w:val="21"/>
        </w:rPr>
        <w:t>我方已研究（看到）你方发出的</w:t>
      </w:r>
      <w:r>
        <w:rPr>
          <w:rFonts w:ascii="宋体" w:hAnsi="宋体" w:eastAsia="宋体" w:cs="宋体"/>
          <w:spacing w:val="3"/>
          <w:sz w:val="21"/>
          <w:szCs w:val="21"/>
          <w:u w:val="single" w:color="auto"/>
        </w:rPr>
        <w:t xml:space="preserve">                      </w:t>
      </w:r>
      <w:r>
        <w:rPr>
          <w:rFonts w:ascii="宋体" w:hAnsi="宋体" w:eastAsia="宋体" w:cs="宋体"/>
          <w:sz w:val="21"/>
          <w:szCs w:val="21"/>
        </w:rPr>
        <w:t>（标段名称）项目（标</w:t>
      </w:r>
      <w:r>
        <w:rPr>
          <w:rFonts w:ascii="宋体" w:hAnsi="宋体" w:eastAsia="宋体" w:cs="宋体"/>
          <w:spacing w:val="-1"/>
          <w:sz w:val="21"/>
          <w:szCs w:val="21"/>
        </w:rPr>
        <w:t>段唯一标识</w:t>
      </w:r>
      <w:r>
        <w:rPr>
          <w:rFonts w:ascii="宋体" w:hAnsi="宋体" w:eastAsia="宋体" w:cs="宋体"/>
          <w:spacing w:val="-2"/>
          <w:sz w:val="21"/>
          <w:szCs w:val="21"/>
        </w:rPr>
        <w:t>码</w:t>
      </w:r>
      <w:r>
        <w:rPr>
          <w:rFonts w:ascii="宋体" w:hAnsi="宋体" w:eastAsia="宋体" w:cs="宋体"/>
          <w:spacing w:val="-20"/>
          <w:sz w:val="21"/>
          <w:szCs w:val="21"/>
        </w:rPr>
        <w:t>：</w:t>
      </w:r>
      <w:r>
        <w:rPr>
          <w:rFonts w:ascii="宋体" w:hAnsi="宋体" w:eastAsia="宋体" w:cs="宋体"/>
          <w:spacing w:val="17"/>
          <w:sz w:val="21"/>
          <w:szCs w:val="21"/>
          <w:u w:val="single" w:color="auto"/>
        </w:rPr>
        <w:t xml:space="preserve">      </w:t>
      </w:r>
      <w:r>
        <w:rPr>
          <w:rFonts w:ascii="宋体" w:hAnsi="宋体" w:eastAsia="宋体" w:cs="宋体"/>
          <w:spacing w:val="35"/>
          <w:sz w:val="21"/>
          <w:szCs w:val="21"/>
        </w:rPr>
        <w:t xml:space="preserve"> </w:t>
      </w:r>
      <w:r>
        <w:rPr>
          <w:rFonts w:ascii="宋体" w:hAnsi="宋体" w:eastAsia="宋体" w:cs="宋体"/>
          <w:spacing w:val="-20"/>
          <w:sz w:val="21"/>
          <w:szCs w:val="21"/>
        </w:rPr>
        <w:t>）</w:t>
      </w:r>
      <w:r>
        <w:rPr>
          <w:rFonts w:ascii="宋体" w:hAnsi="宋体" w:eastAsia="宋体" w:cs="宋体"/>
          <w:spacing w:val="-2"/>
          <w:sz w:val="21"/>
          <w:szCs w:val="21"/>
        </w:rPr>
        <w:t>招标文件（或评标结果公示</w:t>
      </w:r>
      <w:r>
        <w:rPr>
          <w:rFonts w:ascii="宋体" w:hAnsi="宋体" w:eastAsia="宋体" w:cs="宋体"/>
          <w:spacing w:val="-20"/>
          <w:sz w:val="21"/>
          <w:szCs w:val="21"/>
        </w:rPr>
        <w:t>），</w:t>
      </w:r>
      <w:r>
        <w:rPr>
          <w:rFonts w:ascii="宋体" w:hAnsi="宋体" w:eastAsia="宋体" w:cs="宋体"/>
          <w:spacing w:val="-2"/>
          <w:sz w:val="21"/>
          <w:szCs w:val="21"/>
        </w:rPr>
        <w:t>现对下列问题提出异议，请予以解释：</w:t>
      </w:r>
    </w:p>
    <w:p w14:paraId="5610FB64">
      <w:pPr>
        <w:spacing w:line="340" w:lineRule="auto"/>
        <w:rPr>
          <w:rFonts w:ascii="宋体" w:hAnsi="宋体" w:eastAsia="宋体" w:cs="宋体"/>
          <w:sz w:val="21"/>
          <w:szCs w:val="21"/>
        </w:rPr>
        <w:sectPr>
          <w:footerReference r:id="rId49" w:type="default"/>
          <w:pgSz w:w="11905" w:h="16843"/>
          <w:pgMar w:top="969" w:right="1355" w:bottom="1026" w:left="1480" w:header="0" w:footer="754" w:gutter="0"/>
          <w:cols w:space="0" w:num="1"/>
          <w:rtlGutter w:val="0"/>
          <w:docGrid w:linePitch="0" w:charSpace="0"/>
        </w:sectPr>
      </w:pPr>
    </w:p>
    <w:p w14:paraId="4ACB4977">
      <w:pPr>
        <w:spacing w:before="43"/>
        <w:jc w:val="right"/>
        <w:rPr>
          <w:rFonts w:ascii="宋体" w:hAnsi="宋体" w:eastAsia="宋体" w:cs="宋体"/>
          <w:sz w:val="21"/>
          <w:szCs w:val="21"/>
        </w:rPr>
      </w:pPr>
      <w:r>
        <w:rPr>
          <w:rFonts w:ascii="宋体" w:hAnsi="宋体" w:eastAsia="宋体" w:cs="宋体"/>
          <w:spacing w:val="-12"/>
          <w:sz w:val="21"/>
          <w:szCs w:val="21"/>
        </w:rPr>
        <w:t>1.</w:t>
      </w:r>
    </w:p>
    <w:p w14:paraId="4F4841D5">
      <w:pPr>
        <w:spacing w:before="134" w:line="223" w:lineRule="auto"/>
        <w:jc w:val="right"/>
        <w:rPr>
          <w:rFonts w:ascii="宋体" w:hAnsi="宋体" w:eastAsia="宋体" w:cs="宋体"/>
          <w:sz w:val="21"/>
          <w:szCs w:val="21"/>
        </w:rPr>
      </w:pPr>
      <w:r>
        <w:rPr>
          <w:rFonts w:ascii="宋体" w:hAnsi="宋体" w:eastAsia="宋体" w:cs="宋体"/>
          <w:spacing w:val="-5"/>
          <w:sz w:val="21"/>
          <w:szCs w:val="21"/>
        </w:rPr>
        <w:t>2.</w:t>
      </w:r>
    </w:p>
    <w:p w14:paraId="5F424E2A">
      <w:pPr>
        <w:pStyle w:val="5"/>
        <w:spacing w:line="14" w:lineRule="auto"/>
        <w:rPr>
          <w:sz w:val="2"/>
        </w:rPr>
      </w:pPr>
      <w:r>
        <w:rPr>
          <w:sz w:val="2"/>
          <w:szCs w:val="2"/>
        </w:rPr>
        <w:br w:type="column"/>
      </w:r>
    </w:p>
    <w:p w14:paraId="47CB74FA">
      <w:pPr>
        <w:spacing w:before="41" w:line="332" w:lineRule="exact"/>
        <w:rPr>
          <w:rFonts w:ascii="宋体" w:hAnsi="宋体" w:eastAsia="宋体" w:cs="宋体"/>
          <w:sz w:val="21"/>
          <w:szCs w:val="21"/>
        </w:rPr>
      </w:pPr>
      <w:r>
        <w:rPr>
          <w:rFonts w:ascii="宋体" w:hAnsi="宋体" w:eastAsia="宋体" w:cs="宋体"/>
          <w:spacing w:val="-5"/>
          <w:position w:val="2"/>
          <w:sz w:val="21"/>
          <w:szCs w:val="21"/>
        </w:rPr>
        <w:t>……</w:t>
      </w:r>
    </w:p>
    <w:p w14:paraId="74E543CB">
      <w:pPr>
        <w:spacing w:before="76" w:line="223" w:lineRule="auto"/>
        <w:rPr>
          <w:rFonts w:ascii="宋体" w:hAnsi="宋体" w:eastAsia="宋体" w:cs="宋体"/>
          <w:sz w:val="21"/>
          <w:szCs w:val="21"/>
        </w:rPr>
      </w:pPr>
      <w:r>
        <w:rPr>
          <w:rFonts w:ascii="宋体" w:hAnsi="宋体" w:eastAsia="宋体" w:cs="宋体"/>
          <w:spacing w:val="-5"/>
          <w:sz w:val="21"/>
          <w:szCs w:val="21"/>
        </w:rPr>
        <w:t>……</w:t>
      </w:r>
    </w:p>
    <w:p w14:paraId="2E0AEACF">
      <w:pPr>
        <w:spacing w:line="223" w:lineRule="auto"/>
        <w:rPr>
          <w:rFonts w:ascii="宋体" w:hAnsi="宋体" w:eastAsia="宋体" w:cs="宋体"/>
          <w:sz w:val="21"/>
          <w:szCs w:val="21"/>
        </w:rPr>
        <w:sectPr>
          <w:type w:val="continuous"/>
          <w:pgSz w:w="11905" w:h="16843"/>
          <w:pgMar w:top="969" w:right="1355" w:bottom="1026" w:left="1480" w:header="0" w:footer="754" w:gutter="0"/>
          <w:cols w:space="0" w:num="1"/>
          <w:rtlGutter w:val="0"/>
          <w:docGrid w:linePitch="0" w:charSpace="0"/>
        </w:sectPr>
      </w:pPr>
    </w:p>
    <w:p w14:paraId="56A904DB">
      <w:pPr>
        <w:pStyle w:val="5"/>
        <w:spacing w:line="246" w:lineRule="auto"/>
      </w:pPr>
    </w:p>
    <w:p w14:paraId="578B00D5">
      <w:pPr>
        <w:pStyle w:val="5"/>
        <w:spacing w:line="246" w:lineRule="auto"/>
      </w:pPr>
    </w:p>
    <w:p w14:paraId="51A039FE">
      <w:pPr>
        <w:spacing w:before="69" w:line="359" w:lineRule="auto"/>
        <w:ind w:left="3372" w:right="513" w:firstLine="1"/>
        <w:rPr>
          <w:rFonts w:ascii="宋体" w:hAnsi="宋体" w:eastAsia="宋体" w:cs="宋体"/>
          <w:sz w:val="21"/>
          <w:szCs w:val="21"/>
        </w:rPr>
      </w:pPr>
      <w:r>
        <w:rPr>
          <w:rFonts w:ascii="宋体" w:hAnsi="宋体" w:eastAsia="宋体" w:cs="宋体"/>
          <w:sz w:val="21"/>
          <w:szCs w:val="21"/>
        </w:rPr>
        <w:t>投标人或利害关系人</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11"/>
          <w:sz w:val="21"/>
          <w:szCs w:val="21"/>
        </w:rPr>
        <w:t>（</w:t>
      </w:r>
      <w:r>
        <w:rPr>
          <w:rFonts w:ascii="宋体" w:hAnsi="宋体" w:eastAsia="宋体" w:cs="宋体"/>
          <w:sz w:val="21"/>
          <w:szCs w:val="21"/>
        </w:rPr>
        <w:t>盖单位章）</w:t>
      </w:r>
      <w:r>
        <w:rPr>
          <w:rFonts w:ascii="宋体" w:hAnsi="宋体" w:eastAsia="宋体" w:cs="宋体"/>
          <w:spacing w:val="1"/>
          <w:sz w:val="21"/>
          <w:szCs w:val="21"/>
        </w:rPr>
        <w:t>法定代表人</w:t>
      </w:r>
      <w:r>
        <w:rPr>
          <w:rFonts w:ascii="宋体" w:hAnsi="宋体" w:eastAsia="宋体" w:cs="宋体"/>
          <w:spacing w:val="-16"/>
          <w:sz w:val="21"/>
          <w:szCs w:val="21"/>
        </w:rPr>
        <w:t>：</w:t>
      </w:r>
      <w:r>
        <w:rPr>
          <w:rFonts w:ascii="宋体" w:hAnsi="宋体" w:eastAsia="宋体" w:cs="宋体"/>
          <w:sz w:val="21"/>
          <w:szCs w:val="21"/>
          <w:u w:val="single" w:color="auto"/>
        </w:rPr>
        <w:t xml:space="preserve">                            </w:t>
      </w:r>
      <w:r>
        <w:rPr>
          <w:rFonts w:ascii="宋体" w:hAnsi="宋体" w:eastAsia="宋体" w:cs="宋体"/>
          <w:spacing w:val="-16"/>
          <w:sz w:val="21"/>
          <w:szCs w:val="21"/>
        </w:rPr>
        <w:t>（</w:t>
      </w:r>
      <w:r>
        <w:rPr>
          <w:rFonts w:ascii="宋体" w:hAnsi="宋体" w:eastAsia="宋体" w:cs="宋体"/>
          <w:spacing w:val="1"/>
          <w:sz w:val="21"/>
          <w:szCs w:val="21"/>
        </w:rPr>
        <w:t>签字）</w:t>
      </w:r>
    </w:p>
    <w:p w14:paraId="790CD5F3">
      <w:pPr>
        <w:tabs>
          <w:tab w:val="left" w:pos="6827"/>
        </w:tabs>
        <w:spacing w:before="1" w:line="185" w:lineRule="auto"/>
        <w:ind w:left="578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5"/>
          <w:sz w:val="21"/>
          <w:szCs w:val="21"/>
        </w:rPr>
        <w:t xml:space="preserve"> </w:t>
      </w:r>
      <w:r>
        <w:rPr>
          <w:rFonts w:ascii="宋体" w:hAnsi="宋体" w:eastAsia="宋体" w:cs="宋体"/>
          <w:spacing w:val="-7"/>
          <w:sz w:val="21"/>
          <w:szCs w:val="21"/>
        </w:rPr>
        <w:t>年</w:t>
      </w:r>
      <w:r>
        <w:rPr>
          <w:rFonts w:ascii="宋体" w:hAnsi="宋体" w:eastAsia="宋体" w:cs="宋体"/>
          <w:spacing w:val="-105"/>
          <w:sz w:val="21"/>
          <w:szCs w:val="21"/>
        </w:rPr>
        <w:t xml:space="preserve"> </w:t>
      </w:r>
      <w:r>
        <w:rPr>
          <w:rFonts w:ascii="宋体" w:hAnsi="宋体" w:eastAsia="宋体" w:cs="宋体"/>
          <w:spacing w:val="34"/>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7"/>
          <w:sz w:val="21"/>
          <w:szCs w:val="21"/>
        </w:rPr>
        <w:t>日</w:t>
      </w:r>
    </w:p>
    <w:p w14:paraId="2344D68B">
      <w:pPr>
        <w:spacing w:line="185" w:lineRule="auto"/>
        <w:rPr>
          <w:rFonts w:ascii="宋体" w:hAnsi="宋体" w:eastAsia="宋体" w:cs="宋体"/>
          <w:sz w:val="21"/>
          <w:szCs w:val="21"/>
        </w:rPr>
        <w:sectPr>
          <w:type w:val="continuous"/>
          <w:pgSz w:w="11905" w:h="16843"/>
          <w:pgMar w:top="969" w:right="1355" w:bottom="1026" w:left="1480" w:header="0" w:footer="754" w:gutter="0"/>
          <w:cols w:space="0" w:num="1"/>
          <w:rtlGutter w:val="0"/>
          <w:docGrid w:linePitch="0" w:charSpace="0"/>
        </w:sectPr>
      </w:pPr>
    </w:p>
    <w:p w14:paraId="709E37D6">
      <w:pPr>
        <w:pStyle w:val="5"/>
        <w:spacing w:line="254" w:lineRule="auto"/>
      </w:pPr>
    </w:p>
    <w:p w14:paraId="10B43A35">
      <w:pPr>
        <w:pStyle w:val="5"/>
        <w:spacing w:line="254" w:lineRule="auto"/>
      </w:pPr>
    </w:p>
    <w:p w14:paraId="5B12D377">
      <w:pPr>
        <w:pStyle w:val="5"/>
        <w:spacing w:line="254" w:lineRule="auto"/>
      </w:pPr>
    </w:p>
    <w:p w14:paraId="1FDB9414">
      <w:pPr>
        <w:pStyle w:val="5"/>
        <w:spacing w:line="254" w:lineRule="auto"/>
      </w:pPr>
    </w:p>
    <w:p w14:paraId="5CD8EB56">
      <w:pPr>
        <w:pStyle w:val="5"/>
        <w:spacing w:line="254" w:lineRule="auto"/>
      </w:pPr>
    </w:p>
    <w:p w14:paraId="6433D432">
      <w:pPr>
        <w:pStyle w:val="5"/>
        <w:spacing w:line="254" w:lineRule="auto"/>
      </w:pPr>
    </w:p>
    <w:p w14:paraId="4F7C617D">
      <w:pPr>
        <w:pStyle w:val="5"/>
        <w:spacing w:line="255" w:lineRule="auto"/>
      </w:pPr>
    </w:p>
    <w:p w14:paraId="1E694589">
      <w:pPr>
        <w:spacing w:before="78" w:line="219" w:lineRule="auto"/>
        <w:ind w:left="22"/>
        <w:outlineLvl w:val="1"/>
        <w:rPr>
          <w:rFonts w:ascii="黑体" w:hAnsi="黑体" w:eastAsia="黑体" w:cs="黑体"/>
          <w:sz w:val="24"/>
          <w:szCs w:val="24"/>
        </w:rPr>
      </w:pPr>
      <w:bookmarkStart w:id="121" w:name="bookmark96"/>
      <w:bookmarkEnd w:id="121"/>
      <w:r>
        <w:rPr>
          <w:rFonts w:ascii="黑体" w:hAnsi="黑体" w:eastAsia="黑体" w:cs="黑体"/>
          <w:spacing w:val="-5"/>
          <w:sz w:val="24"/>
          <w:szCs w:val="24"/>
        </w:rPr>
        <w:t>附表十一：异议答复函</w:t>
      </w:r>
    </w:p>
    <w:p w14:paraId="4480C37D">
      <w:pPr>
        <w:pStyle w:val="5"/>
        <w:spacing w:line="264" w:lineRule="auto"/>
      </w:pPr>
    </w:p>
    <w:p w14:paraId="4E5DD233">
      <w:pPr>
        <w:pStyle w:val="5"/>
        <w:spacing w:line="265" w:lineRule="auto"/>
      </w:pPr>
    </w:p>
    <w:p w14:paraId="3FD3E6C8">
      <w:pPr>
        <w:spacing w:before="91" w:line="219" w:lineRule="auto"/>
        <w:ind w:left="3768"/>
        <w:rPr>
          <w:rFonts w:ascii="黑体" w:hAnsi="黑体" w:eastAsia="黑体" w:cs="黑体"/>
          <w:sz w:val="28"/>
          <w:szCs w:val="28"/>
        </w:rPr>
      </w:pPr>
      <w:r>
        <w:rPr>
          <w:rFonts w:ascii="黑体" w:hAnsi="黑体" w:eastAsia="黑体" w:cs="黑体"/>
          <w:spacing w:val="-3"/>
          <w:sz w:val="28"/>
          <w:szCs w:val="28"/>
        </w:rPr>
        <w:t>异议答复函</w:t>
      </w:r>
    </w:p>
    <w:p w14:paraId="045EFDF6">
      <w:pPr>
        <w:pStyle w:val="5"/>
        <w:spacing w:line="304" w:lineRule="auto"/>
      </w:pPr>
    </w:p>
    <w:p w14:paraId="1E39B066">
      <w:pPr>
        <w:pStyle w:val="5"/>
        <w:spacing w:line="305" w:lineRule="auto"/>
      </w:pPr>
    </w:p>
    <w:p w14:paraId="56AE6A94">
      <w:pPr>
        <w:spacing w:before="69" w:line="221" w:lineRule="auto"/>
        <w:ind w:left="6522"/>
        <w:rPr>
          <w:rFonts w:ascii="宋体" w:hAnsi="宋体" w:eastAsia="宋体" w:cs="宋体"/>
          <w:sz w:val="21"/>
          <w:szCs w:val="21"/>
        </w:rPr>
      </w:pPr>
      <w:r>
        <w:rPr>
          <w:rFonts w:ascii="宋体" w:hAnsi="宋体" w:eastAsia="宋体" w:cs="宋体"/>
          <w:spacing w:val="-12"/>
          <w:sz w:val="21"/>
          <w:szCs w:val="21"/>
        </w:rPr>
        <w:t>编号：</w:t>
      </w:r>
    </w:p>
    <w:p w14:paraId="2FAAB080">
      <w:pPr>
        <w:tabs>
          <w:tab w:val="left" w:pos="1996"/>
        </w:tabs>
        <w:spacing w:before="15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（投标人或利害关系人名称</w:t>
      </w:r>
      <w:r>
        <w:rPr>
          <w:rFonts w:ascii="宋体" w:hAnsi="宋体" w:eastAsia="宋体" w:cs="宋体"/>
          <w:spacing w:val="-54"/>
          <w:w w:val="97"/>
          <w:sz w:val="21"/>
          <w:szCs w:val="21"/>
        </w:rPr>
        <w:t>）：</w:t>
      </w:r>
    </w:p>
    <w:p w14:paraId="5BB3697F">
      <w:pPr>
        <w:spacing w:before="155" w:line="360" w:lineRule="auto"/>
        <w:ind w:left="12" w:firstLine="416"/>
        <w:rPr>
          <w:rFonts w:ascii="宋体" w:hAnsi="宋体" w:eastAsia="宋体" w:cs="宋体"/>
          <w:sz w:val="21"/>
          <w:szCs w:val="21"/>
        </w:rPr>
      </w:pPr>
      <w:r>
        <w:rPr>
          <w:rFonts w:ascii="宋体" w:hAnsi="宋体" w:eastAsia="宋体" w:cs="宋体"/>
          <w:sz w:val="21"/>
          <w:szCs w:val="21"/>
        </w:rPr>
        <w:t>你方提出的有关</w:t>
      </w:r>
      <w:r>
        <w:rPr>
          <w:rFonts w:ascii="宋体" w:hAnsi="宋体" w:eastAsia="宋体" w:cs="宋体"/>
          <w:spacing w:val="5"/>
          <w:sz w:val="21"/>
          <w:szCs w:val="21"/>
          <w:u w:val="single" w:color="auto"/>
        </w:rPr>
        <w:t xml:space="preserve">              </w:t>
      </w:r>
      <w:r>
        <w:rPr>
          <w:rFonts w:ascii="宋体" w:hAnsi="宋体" w:eastAsia="宋体" w:cs="宋体"/>
          <w:sz w:val="21"/>
          <w:szCs w:val="21"/>
        </w:rPr>
        <w:t>（标段名称）项目招标文件（或评标结果公示）的异</w:t>
      </w:r>
      <w:r>
        <w:rPr>
          <w:rFonts w:ascii="宋体" w:hAnsi="宋体" w:eastAsia="宋体" w:cs="宋体"/>
          <w:spacing w:val="-1"/>
          <w:sz w:val="21"/>
          <w:szCs w:val="21"/>
        </w:rPr>
        <w:t>议已收</w:t>
      </w:r>
      <w:r>
        <w:rPr>
          <w:rFonts w:ascii="宋体" w:hAnsi="宋体" w:eastAsia="宋体" w:cs="宋体"/>
          <w:spacing w:val="-2"/>
          <w:sz w:val="21"/>
          <w:szCs w:val="21"/>
        </w:rPr>
        <w:t>悉，现答复如下：</w:t>
      </w:r>
    </w:p>
    <w:p w14:paraId="218E7A75">
      <w:pPr>
        <w:ind w:left="443"/>
        <w:rPr>
          <w:rFonts w:ascii="宋体" w:hAnsi="宋体" w:eastAsia="宋体" w:cs="宋体"/>
          <w:sz w:val="21"/>
          <w:szCs w:val="21"/>
        </w:rPr>
      </w:pPr>
      <w:r>
        <w:rPr>
          <w:rFonts w:ascii="宋体" w:hAnsi="宋体" w:eastAsia="宋体" w:cs="宋体"/>
          <w:spacing w:val="-6"/>
          <w:sz w:val="21"/>
          <w:szCs w:val="21"/>
        </w:rPr>
        <w:t>1.……</w:t>
      </w:r>
    </w:p>
    <w:p w14:paraId="662DEDD6">
      <w:pPr>
        <w:spacing w:before="135"/>
        <w:ind w:left="430"/>
        <w:rPr>
          <w:rFonts w:ascii="宋体" w:hAnsi="宋体" w:eastAsia="宋体" w:cs="宋体"/>
          <w:sz w:val="21"/>
          <w:szCs w:val="21"/>
        </w:rPr>
      </w:pPr>
      <w:r>
        <w:rPr>
          <w:rFonts w:ascii="宋体" w:hAnsi="宋体" w:eastAsia="宋体" w:cs="宋体"/>
          <w:spacing w:val="-2"/>
          <w:sz w:val="21"/>
          <w:szCs w:val="21"/>
        </w:rPr>
        <w:t>2.……</w:t>
      </w:r>
    </w:p>
    <w:p w14:paraId="56986A78">
      <w:pPr>
        <w:spacing w:before="135" w:line="332" w:lineRule="exact"/>
        <w:ind w:left="441"/>
        <w:rPr>
          <w:rFonts w:ascii="宋体" w:hAnsi="宋体" w:eastAsia="宋体" w:cs="宋体"/>
          <w:sz w:val="21"/>
          <w:szCs w:val="21"/>
        </w:rPr>
      </w:pPr>
      <w:r>
        <w:rPr>
          <w:rFonts w:ascii="宋体" w:hAnsi="宋体" w:eastAsia="宋体" w:cs="宋体"/>
          <w:spacing w:val="-5"/>
          <w:position w:val="2"/>
          <w:sz w:val="21"/>
          <w:szCs w:val="21"/>
        </w:rPr>
        <w:t>……</w:t>
      </w:r>
    </w:p>
    <w:p w14:paraId="2C32A1AF">
      <w:pPr>
        <w:pStyle w:val="5"/>
        <w:spacing w:line="245" w:lineRule="auto"/>
      </w:pPr>
    </w:p>
    <w:p w14:paraId="7F26D31A">
      <w:pPr>
        <w:pStyle w:val="5"/>
        <w:spacing w:line="245" w:lineRule="auto"/>
      </w:pPr>
    </w:p>
    <w:p w14:paraId="35FB1568">
      <w:pPr>
        <w:pStyle w:val="5"/>
        <w:spacing w:line="245" w:lineRule="auto"/>
      </w:pPr>
    </w:p>
    <w:p w14:paraId="0148AD87">
      <w:pPr>
        <w:pStyle w:val="5"/>
        <w:spacing w:line="245" w:lineRule="auto"/>
      </w:pPr>
    </w:p>
    <w:p w14:paraId="682A181B">
      <w:pPr>
        <w:pStyle w:val="5"/>
        <w:spacing w:line="246" w:lineRule="auto"/>
      </w:pPr>
    </w:p>
    <w:p w14:paraId="0A4300D9">
      <w:pPr>
        <w:spacing w:before="69" w:line="220" w:lineRule="auto"/>
        <w:ind w:left="3789"/>
        <w:rPr>
          <w:rFonts w:ascii="宋体" w:hAnsi="宋体" w:eastAsia="宋体" w:cs="宋体"/>
          <w:sz w:val="21"/>
          <w:szCs w:val="21"/>
        </w:rPr>
      </w:pPr>
      <w:r>
        <w:rPr>
          <w:rFonts w:ascii="宋体" w:hAnsi="宋体" w:eastAsia="宋体" w:cs="宋体"/>
          <w:spacing w:val="-4"/>
          <w:sz w:val="21"/>
          <w:szCs w:val="21"/>
        </w:rPr>
        <w:t>招标人（招标委托人</w:t>
      </w:r>
      <w:r>
        <w:rPr>
          <w:rFonts w:ascii="宋体" w:hAnsi="宋体" w:eastAsia="宋体" w:cs="宋体"/>
          <w:spacing w:val="-19"/>
          <w:sz w:val="21"/>
          <w:szCs w:val="21"/>
        </w:rPr>
        <w:t>）：</w:t>
      </w:r>
      <w:r>
        <w:rPr>
          <w:rFonts w:ascii="宋体" w:hAnsi="宋体" w:eastAsia="宋体" w:cs="宋体"/>
          <w:spacing w:val="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9"/>
          <w:sz w:val="21"/>
          <w:szCs w:val="21"/>
        </w:rPr>
        <w:t>（</w:t>
      </w:r>
      <w:r>
        <w:rPr>
          <w:rFonts w:ascii="宋体" w:hAnsi="宋体" w:eastAsia="宋体" w:cs="宋体"/>
          <w:spacing w:val="-4"/>
          <w:sz w:val="21"/>
          <w:szCs w:val="21"/>
        </w:rPr>
        <w:t>盖单位章）</w:t>
      </w:r>
    </w:p>
    <w:p w14:paraId="50890C34">
      <w:pPr>
        <w:pStyle w:val="5"/>
        <w:spacing w:line="247" w:lineRule="auto"/>
      </w:pPr>
    </w:p>
    <w:p w14:paraId="7BF74137">
      <w:pPr>
        <w:pStyle w:val="5"/>
        <w:spacing w:line="247" w:lineRule="auto"/>
      </w:pPr>
    </w:p>
    <w:p w14:paraId="6DCC3962">
      <w:pPr>
        <w:tabs>
          <w:tab w:val="left" w:pos="6615"/>
        </w:tabs>
        <w:spacing w:before="68" w:line="221" w:lineRule="auto"/>
        <w:ind w:left="567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26"/>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7"/>
          <w:sz w:val="21"/>
          <w:szCs w:val="21"/>
        </w:rPr>
        <w:t>日</w:t>
      </w:r>
    </w:p>
    <w:p w14:paraId="17BEE8E5">
      <w:pPr>
        <w:spacing w:line="221" w:lineRule="auto"/>
        <w:rPr>
          <w:rFonts w:ascii="宋体" w:hAnsi="宋体" w:eastAsia="宋体" w:cs="宋体"/>
          <w:sz w:val="21"/>
          <w:szCs w:val="21"/>
        </w:rPr>
        <w:sectPr>
          <w:footerReference r:id="rId50" w:type="default"/>
          <w:pgSz w:w="11905" w:h="16843"/>
          <w:pgMar w:top="969" w:right="1355" w:bottom="1026" w:left="1480" w:header="0" w:footer="754" w:gutter="0"/>
          <w:cols w:space="0" w:num="1"/>
          <w:rtlGutter w:val="0"/>
          <w:docGrid w:linePitch="0" w:charSpace="0"/>
        </w:sectPr>
      </w:pPr>
    </w:p>
    <w:p w14:paraId="7EBE1CA0">
      <w:pPr>
        <w:pStyle w:val="5"/>
        <w:spacing w:line="249" w:lineRule="auto"/>
      </w:pPr>
    </w:p>
    <w:p w14:paraId="3358B924">
      <w:pPr>
        <w:pStyle w:val="5"/>
        <w:spacing w:line="250" w:lineRule="auto"/>
      </w:pPr>
    </w:p>
    <w:p w14:paraId="218E91D4">
      <w:pPr>
        <w:pStyle w:val="5"/>
        <w:spacing w:line="250" w:lineRule="auto"/>
      </w:pPr>
    </w:p>
    <w:p w14:paraId="0E64CF3D">
      <w:pPr>
        <w:pStyle w:val="5"/>
        <w:spacing w:line="250" w:lineRule="auto"/>
      </w:pPr>
    </w:p>
    <w:p w14:paraId="146389B3">
      <w:pPr>
        <w:pStyle w:val="5"/>
        <w:spacing w:line="250" w:lineRule="auto"/>
      </w:pPr>
    </w:p>
    <w:p w14:paraId="71E4A328">
      <w:pPr>
        <w:spacing w:before="78" w:line="220" w:lineRule="auto"/>
        <w:ind w:left="13"/>
        <w:outlineLvl w:val="1"/>
        <w:rPr>
          <w:rFonts w:ascii="黑体" w:hAnsi="黑体" w:eastAsia="黑体" w:cs="黑体"/>
          <w:sz w:val="24"/>
          <w:szCs w:val="24"/>
        </w:rPr>
      </w:pPr>
      <w:bookmarkStart w:id="122" w:name="bookmark97"/>
      <w:bookmarkEnd w:id="122"/>
      <w:r>
        <w:rPr>
          <w:rFonts w:ascii="黑体" w:hAnsi="黑体" w:eastAsia="黑体" w:cs="黑体"/>
          <w:spacing w:val="-5"/>
          <w:sz w:val="24"/>
          <w:szCs w:val="24"/>
        </w:rPr>
        <w:t>附表十二：授权委托书</w:t>
      </w:r>
    </w:p>
    <w:p w14:paraId="0A398ECC">
      <w:pPr>
        <w:pStyle w:val="5"/>
        <w:spacing w:line="264" w:lineRule="auto"/>
      </w:pPr>
    </w:p>
    <w:p w14:paraId="1B0DC3EC">
      <w:pPr>
        <w:pStyle w:val="5"/>
        <w:spacing w:line="264" w:lineRule="auto"/>
      </w:pPr>
    </w:p>
    <w:p w14:paraId="0F2C7476">
      <w:pPr>
        <w:spacing w:before="91" w:line="220" w:lineRule="auto"/>
        <w:ind w:left="3751"/>
        <w:rPr>
          <w:rFonts w:ascii="黑体" w:hAnsi="黑体" w:eastAsia="黑体" w:cs="黑体"/>
          <w:sz w:val="28"/>
          <w:szCs w:val="28"/>
        </w:rPr>
      </w:pPr>
      <w:r>
        <w:rPr>
          <w:rFonts w:ascii="黑体" w:hAnsi="黑体" w:eastAsia="黑体" w:cs="黑体"/>
          <w:spacing w:val="-2"/>
          <w:sz w:val="28"/>
          <w:szCs w:val="28"/>
        </w:rPr>
        <w:t>授权委托书</w:t>
      </w:r>
    </w:p>
    <w:p w14:paraId="2864F522">
      <w:pPr>
        <w:pStyle w:val="5"/>
        <w:spacing w:line="276" w:lineRule="auto"/>
      </w:pPr>
    </w:p>
    <w:p w14:paraId="24FF3F63">
      <w:pPr>
        <w:pStyle w:val="5"/>
        <w:spacing w:line="276" w:lineRule="auto"/>
      </w:pPr>
    </w:p>
    <w:p w14:paraId="421153B9">
      <w:pPr>
        <w:pStyle w:val="5"/>
        <w:spacing w:line="277" w:lineRule="auto"/>
      </w:pPr>
    </w:p>
    <w:p w14:paraId="0CB447F5">
      <w:pPr>
        <w:pStyle w:val="5"/>
        <w:spacing w:line="277" w:lineRule="auto"/>
      </w:pPr>
    </w:p>
    <w:p w14:paraId="56417829">
      <w:pPr>
        <w:spacing w:before="68" w:line="441" w:lineRule="auto"/>
        <w:ind w:firstLine="420"/>
        <w:jc w:val="both"/>
        <w:rPr>
          <w:rFonts w:ascii="宋体" w:hAnsi="宋体" w:eastAsia="宋体" w:cs="宋体"/>
          <w:sz w:val="21"/>
          <w:szCs w:val="21"/>
        </w:rPr>
      </w:pPr>
      <w:r>
        <w:rPr>
          <w:rFonts w:ascii="宋体" w:hAnsi="宋体" w:eastAsia="宋体" w:cs="宋体"/>
          <w:spacing w:val="1"/>
          <w:sz w:val="21"/>
          <w:szCs w:val="21"/>
        </w:rPr>
        <w:t>本人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w:t>
      </w:r>
      <w:r>
        <w:rPr>
          <w:rFonts w:ascii="宋体" w:hAnsi="宋体" w:eastAsia="宋体" w:cs="宋体"/>
          <w:spacing w:val="-8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（投标人名称）的法定代表人，</w:t>
      </w:r>
      <w:r>
        <w:rPr>
          <w:rFonts w:ascii="宋体" w:hAnsi="宋体" w:eastAsia="宋体" w:cs="宋体"/>
          <w:sz w:val="21"/>
          <w:szCs w:val="21"/>
        </w:rPr>
        <w:t>现委托</w:t>
      </w:r>
      <w:r>
        <w:rPr>
          <w:rFonts w:ascii="宋体" w:hAnsi="宋体" w:eastAsia="宋体" w:cs="宋体"/>
          <w:spacing w:val="3"/>
          <w:sz w:val="21"/>
          <w:szCs w:val="21"/>
          <w:u w:val="single" w:color="auto"/>
        </w:rPr>
        <w:t xml:space="preserve">      </w:t>
      </w:r>
      <w:r>
        <w:rPr>
          <w:rFonts w:ascii="宋体" w:hAnsi="宋体" w:eastAsia="宋体" w:cs="宋体"/>
          <w:sz w:val="21"/>
          <w:szCs w:val="21"/>
        </w:rPr>
        <w:t>（姓名）为我</w:t>
      </w:r>
      <w:r>
        <w:rPr>
          <w:rFonts w:ascii="宋体" w:hAnsi="宋体" w:eastAsia="宋体" w:cs="宋体"/>
          <w:spacing w:val="24"/>
          <w:sz w:val="21"/>
          <w:szCs w:val="21"/>
        </w:rPr>
        <w:t>方代理人。代理人根据授权，以我方名义签署、澄清、说明、补正、递交、撤回、修改</w:t>
      </w:r>
      <w:r>
        <w:rPr>
          <w:rFonts w:ascii="宋体" w:hAnsi="宋体" w:eastAsia="宋体" w:cs="宋体"/>
          <w:spacing w:val="1"/>
          <w:sz w:val="21"/>
          <w:szCs w:val="21"/>
        </w:rPr>
        <w:t>（标段名称）项目（标段唯一标识码</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31"/>
          <w:sz w:val="21"/>
          <w:szCs w:val="21"/>
        </w:rPr>
        <w:t xml:space="preserve"> </w:t>
      </w:r>
      <w:r>
        <w:rPr>
          <w:rFonts w:ascii="宋体" w:hAnsi="宋体" w:eastAsia="宋体" w:cs="宋体"/>
          <w:spacing w:val="2"/>
          <w:sz w:val="21"/>
          <w:szCs w:val="21"/>
        </w:rPr>
        <w:t>）</w:t>
      </w:r>
      <w:r>
        <w:rPr>
          <w:rFonts w:ascii="宋体" w:hAnsi="宋体" w:eastAsia="宋体" w:cs="宋体"/>
          <w:spacing w:val="1"/>
          <w:sz w:val="21"/>
          <w:szCs w:val="21"/>
        </w:rPr>
        <w:t>投标文件、签订合同和处理有关事宜，其法律后</w:t>
      </w:r>
      <w:r>
        <w:rPr>
          <w:rFonts w:ascii="宋体" w:hAnsi="宋体" w:eastAsia="宋体" w:cs="宋体"/>
          <w:spacing w:val="-3"/>
          <w:sz w:val="21"/>
          <w:szCs w:val="21"/>
        </w:rPr>
        <w:t>果由我方承担。</w:t>
      </w:r>
    </w:p>
    <w:p w14:paraId="640A23C2">
      <w:pPr>
        <w:spacing w:before="112" w:line="221" w:lineRule="auto"/>
        <w:ind w:left="418"/>
        <w:rPr>
          <w:rFonts w:ascii="宋体" w:hAnsi="宋体" w:eastAsia="宋体" w:cs="宋体"/>
          <w:sz w:val="21"/>
          <w:szCs w:val="21"/>
        </w:rPr>
      </w:pPr>
      <w:r>
        <w:rPr>
          <w:rFonts w:ascii="宋体" w:hAnsi="宋体" w:eastAsia="宋体" w:cs="宋体"/>
          <w:spacing w:val="-6"/>
          <w:sz w:val="21"/>
          <w:szCs w:val="21"/>
        </w:rPr>
        <w:t>委托期限：</w:t>
      </w:r>
    </w:p>
    <w:p w14:paraId="5BB47F19">
      <w:pPr>
        <w:pStyle w:val="5"/>
        <w:spacing w:line="318" w:lineRule="auto"/>
      </w:pPr>
    </w:p>
    <w:p w14:paraId="79858EDA">
      <w:pPr>
        <w:tabs>
          <w:tab w:val="left" w:pos="7445"/>
        </w:tabs>
        <w:spacing w:before="69" w:line="93" w:lineRule="auto"/>
        <w:ind w:left="146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24ACD0B2">
      <w:pPr>
        <w:pStyle w:val="5"/>
        <w:spacing w:line="425" w:lineRule="auto"/>
      </w:pPr>
    </w:p>
    <w:p w14:paraId="58248545">
      <w:pPr>
        <w:spacing w:before="69" w:line="221" w:lineRule="auto"/>
        <w:ind w:left="418"/>
        <w:rPr>
          <w:rFonts w:ascii="宋体" w:hAnsi="宋体" w:eastAsia="宋体" w:cs="宋体"/>
          <w:sz w:val="21"/>
          <w:szCs w:val="21"/>
        </w:rPr>
      </w:pPr>
      <w:r>
        <w:rPr>
          <w:rFonts w:ascii="宋体" w:hAnsi="宋体" w:eastAsia="宋体" w:cs="宋体"/>
          <w:spacing w:val="-3"/>
          <w:sz w:val="21"/>
          <w:szCs w:val="21"/>
        </w:rPr>
        <w:t>代理人无转委托权。</w:t>
      </w:r>
    </w:p>
    <w:p w14:paraId="7108086C">
      <w:pPr>
        <w:pStyle w:val="5"/>
        <w:spacing w:line="417" w:lineRule="auto"/>
      </w:pPr>
    </w:p>
    <w:p w14:paraId="1D57574E">
      <w:pPr>
        <w:spacing w:before="68" w:line="220" w:lineRule="auto"/>
        <w:ind w:left="435"/>
        <w:rPr>
          <w:rFonts w:ascii="宋体" w:hAnsi="宋体" w:eastAsia="宋体" w:cs="宋体"/>
          <w:sz w:val="21"/>
          <w:szCs w:val="21"/>
        </w:rPr>
      </w:pPr>
      <w:r>
        <w:rPr>
          <w:rFonts w:ascii="宋体" w:hAnsi="宋体" w:eastAsia="宋体" w:cs="宋体"/>
          <w:spacing w:val="-2"/>
          <w:sz w:val="21"/>
          <w:szCs w:val="21"/>
        </w:rPr>
        <w:t>附：法定代表人身份证明</w:t>
      </w:r>
    </w:p>
    <w:p w14:paraId="362E815B">
      <w:pPr>
        <w:pStyle w:val="5"/>
        <w:spacing w:line="245" w:lineRule="auto"/>
      </w:pPr>
    </w:p>
    <w:p w14:paraId="14E7A482">
      <w:pPr>
        <w:pStyle w:val="5"/>
        <w:spacing w:line="246" w:lineRule="auto"/>
      </w:pPr>
    </w:p>
    <w:p w14:paraId="147EBE42">
      <w:pPr>
        <w:pStyle w:val="5"/>
        <w:spacing w:line="246" w:lineRule="auto"/>
      </w:pPr>
    </w:p>
    <w:p w14:paraId="7AAD44CA">
      <w:pPr>
        <w:spacing w:before="69" w:line="220" w:lineRule="auto"/>
        <w:ind w:left="2942"/>
        <w:rPr>
          <w:rFonts w:ascii="宋体" w:hAnsi="宋体" w:eastAsia="宋体" w:cs="宋体"/>
          <w:sz w:val="21"/>
          <w:szCs w:val="21"/>
        </w:rPr>
      </w:pPr>
      <w:r>
        <w:rPr>
          <w:rFonts w:ascii="宋体" w:hAnsi="宋体" w:eastAsia="宋体" w:cs="宋体"/>
          <w:spacing w:val="-1"/>
          <w:sz w:val="21"/>
          <w:szCs w:val="21"/>
        </w:rPr>
        <w:t>投  标</w:t>
      </w:r>
      <w:r>
        <w:rPr>
          <w:rFonts w:ascii="宋体" w:hAnsi="宋体" w:eastAsia="宋体" w:cs="宋体"/>
          <w:spacing w:val="4"/>
          <w:sz w:val="21"/>
          <w:szCs w:val="21"/>
        </w:rPr>
        <w:t xml:space="preserve">  </w:t>
      </w:r>
      <w:r>
        <w:rPr>
          <w:rFonts w:ascii="宋体" w:hAnsi="宋体" w:eastAsia="宋体" w:cs="宋体"/>
          <w:spacing w:val="-1"/>
          <w:sz w:val="21"/>
          <w:szCs w:val="21"/>
        </w:rPr>
        <w:t>人</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
          <w:sz w:val="21"/>
          <w:szCs w:val="21"/>
        </w:rPr>
        <w:t>盖单位章）</w:t>
      </w:r>
    </w:p>
    <w:p w14:paraId="6AD3D9CB">
      <w:pPr>
        <w:pStyle w:val="5"/>
        <w:spacing w:line="477" w:lineRule="auto"/>
      </w:pPr>
    </w:p>
    <w:p w14:paraId="36EA1153">
      <w:pPr>
        <w:spacing w:before="69" w:line="221" w:lineRule="auto"/>
        <w:ind w:left="2940"/>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r>
        <w:rPr>
          <w:rFonts w:ascii="宋体" w:hAnsi="宋体" w:eastAsia="宋体" w:cs="宋体"/>
          <w:spacing w:val="-1"/>
          <w:sz w:val="21"/>
          <w:szCs w:val="21"/>
        </w:rPr>
        <w:t>签字）</w:t>
      </w:r>
    </w:p>
    <w:p w14:paraId="3EFBBBF1">
      <w:pPr>
        <w:pStyle w:val="5"/>
      </w:pPr>
    </w:p>
    <w:p w14:paraId="68E4E4DC">
      <w:pPr>
        <w:pStyle w:val="5"/>
      </w:pPr>
    </w:p>
    <w:p w14:paraId="1EF0C17B">
      <w:pPr>
        <w:spacing w:before="69" w:line="214" w:lineRule="auto"/>
        <w:ind w:left="2945"/>
        <w:rPr>
          <w:rFonts w:ascii="宋体" w:hAnsi="宋体" w:eastAsia="宋体" w:cs="宋体"/>
          <w:sz w:val="21"/>
          <w:szCs w:val="21"/>
        </w:rPr>
      </w:pPr>
      <w:r>
        <w:rPr>
          <w:rFonts w:ascii="宋体" w:hAnsi="宋体" w:eastAsia="宋体" w:cs="宋体"/>
          <w:sz w:val="21"/>
          <w:szCs w:val="21"/>
        </w:rPr>
        <w:t>身份证号码：________________</w:t>
      </w:r>
      <w:r>
        <w:rPr>
          <w:rFonts w:ascii="宋体" w:hAnsi="宋体" w:eastAsia="宋体" w:cs="宋体"/>
          <w:spacing w:val="-1"/>
          <w:sz w:val="21"/>
          <w:szCs w:val="21"/>
        </w:rPr>
        <w:t>____________</w:t>
      </w:r>
    </w:p>
    <w:p w14:paraId="599F4312">
      <w:pPr>
        <w:pStyle w:val="5"/>
        <w:spacing w:line="241" w:lineRule="auto"/>
      </w:pPr>
    </w:p>
    <w:p w14:paraId="7671E514">
      <w:pPr>
        <w:pStyle w:val="5"/>
        <w:spacing w:line="242" w:lineRule="auto"/>
      </w:pPr>
    </w:p>
    <w:p w14:paraId="3A31EC81">
      <w:pPr>
        <w:spacing w:before="69" w:line="221" w:lineRule="auto"/>
        <w:ind w:left="2938"/>
        <w:rPr>
          <w:rFonts w:ascii="宋体" w:hAnsi="宋体" w:eastAsia="宋体" w:cs="宋体"/>
          <w:sz w:val="21"/>
          <w:szCs w:val="21"/>
        </w:rPr>
      </w:pPr>
      <w:r>
        <w:rPr>
          <w:rFonts w:ascii="宋体" w:hAnsi="宋体" w:eastAsia="宋体" w:cs="宋体"/>
          <w:sz w:val="21"/>
          <w:szCs w:val="21"/>
        </w:rPr>
        <w:t>委托代理人</w:t>
      </w:r>
      <w:r>
        <w:rPr>
          <w:rFonts w:ascii="宋体" w:hAnsi="宋体" w:eastAsia="宋体" w:cs="宋体"/>
          <w:spacing w:val="-3"/>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z w:val="21"/>
          <w:szCs w:val="21"/>
        </w:rPr>
        <w:t>签字）</w:t>
      </w:r>
    </w:p>
    <w:p w14:paraId="7AA9D158">
      <w:pPr>
        <w:pStyle w:val="5"/>
        <w:spacing w:line="477" w:lineRule="auto"/>
      </w:pPr>
    </w:p>
    <w:p w14:paraId="43383C21">
      <w:pPr>
        <w:spacing w:before="68" w:line="214" w:lineRule="auto"/>
        <w:ind w:left="2945"/>
        <w:rPr>
          <w:rFonts w:ascii="宋体" w:hAnsi="宋体" w:eastAsia="宋体" w:cs="宋体"/>
          <w:sz w:val="21"/>
          <w:szCs w:val="21"/>
        </w:rPr>
      </w:pPr>
      <w:r>
        <w:rPr>
          <w:rFonts w:ascii="宋体" w:hAnsi="宋体" w:eastAsia="宋体" w:cs="宋体"/>
          <w:sz w:val="21"/>
          <w:szCs w:val="21"/>
        </w:rPr>
        <w:t>身份证号码：________________</w:t>
      </w:r>
      <w:r>
        <w:rPr>
          <w:rFonts w:ascii="宋体" w:hAnsi="宋体" w:eastAsia="宋体" w:cs="宋体"/>
          <w:spacing w:val="-1"/>
          <w:sz w:val="21"/>
          <w:szCs w:val="21"/>
        </w:rPr>
        <w:t>____________</w:t>
      </w:r>
    </w:p>
    <w:p w14:paraId="1BC872D7">
      <w:pPr>
        <w:pStyle w:val="5"/>
        <w:spacing w:line="243" w:lineRule="auto"/>
      </w:pPr>
    </w:p>
    <w:p w14:paraId="06DD5CD5">
      <w:pPr>
        <w:pStyle w:val="5"/>
        <w:spacing w:line="243" w:lineRule="auto"/>
      </w:pPr>
    </w:p>
    <w:p w14:paraId="7822DEA5">
      <w:pPr>
        <w:tabs>
          <w:tab w:val="left" w:pos="5665"/>
        </w:tabs>
        <w:spacing w:before="69" w:line="221" w:lineRule="auto"/>
        <w:ind w:left="482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3ABF4CEC">
      <w:pPr>
        <w:spacing w:line="221" w:lineRule="auto"/>
        <w:rPr>
          <w:rFonts w:ascii="宋体" w:hAnsi="宋体" w:eastAsia="宋体" w:cs="宋体"/>
          <w:sz w:val="21"/>
          <w:szCs w:val="21"/>
        </w:rPr>
        <w:sectPr>
          <w:footerReference r:id="rId51" w:type="default"/>
          <w:pgSz w:w="11905" w:h="16843"/>
          <w:pgMar w:top="969" w:right="1355" w:bottom="1026" w:left="1480" w:header="0" w:footer="754" w:gutter="0"/>
          <w:cols w:space="0" w:num="1"/>
          <w:rtlGutter w:val="0"/>
          <w:docGrid w:linePitch="0" w:charSpace="0"/>
        </w:sectPr>
      </w:pPr>
    </w:p>
    <w:p w14:paraId="4C956A99">
      <w:pPr>
        <w:pStyle w:val="5"/>
        <w:spacing w:line="241" w:lineRule="auto"/>
      </w:pPr>
    </w:p>
    <w:p w14:paraId="01FAB56F">
      <w:pPr>
        <w:pStyle w:val="5"/>
        <w:spacing w:line="241" w:lineRule="auto"/>
      </w:pPr>
    </w:p>
    <w:p w14:paraId="2BE40311">
      <w:pPr>
        <w:pStyle w:val="5"/>
        <w:spacing w:line="241" w:lineRule="auto"/>
      </w:pPr>
    </w:p>
    <w:p w14:paraId="18AC177B">
      <w:pPr>
        <w:pStyle w:val="5"/>
        <w:spacing w:line="241" w:lineRule="auto"/>
      </w:pPr>
    </w:p>
    <w:p w14:paraId="14BE48C5">
      <w:pPr>
        <w:pStyle w:val="5"/>
        <w:spacing w:line="242" w:lineRule="auto"/>
      </w:pPr>
    </w:p>
    <w:p w14:paraId="776F288D">
      <w:pPr>
        <w:pStyle w:val="5"/>
        <w:spacing w:line="242" w:lineRule="auto"/>
      </w:pPr>
    </w:p>
    <w:p w14:paraId="59B72E63">
      <w:pPr>
        <w:pStyle w:val="5"/>
        <w:spacing w:line="242" w:lineRule="auto"/>
      </w:pPr>
    </w:p>
    <w:p w14:paraId="39586890">
      <w:pPr>
        <w:pStyle w:val="5"/>
        <w:spacing w:line="242" w:lineRule="auto"/>
      </w:pPr>
    </w:p>
    <w:p w14:paraId="6219C3C2">
      <w:pPr>
        <w:pStyle w:val="5"/>
        <w:spacing w:line="242" w:lineRule="auto"/>
      </w:pPr>
    </w:p>
    <w:p w14:paraId="035AC837">
      <w:pPr>
        <w:pStyle w:val="5"/>
        <w:spacing w:line="242" w:lineRule="auto"/>
      </w:pPr>
    </w:p>
    <w:p w14:paraId="27F80E2B">
      <w:pPr>
        <w:pStyle w:val="5"/>
        <w:spacing w:line="242" w:lineRule="auto"/>
      </w:pPr>
    </w:p>
    <w:p w14:paraId="0BF6BE3B">
      <w:pPr>
        <w:pStyle w:val="5"/>
        <w:spacing w:line="242" w:lineRule="auto"/>
      </w:pPr>
    </w:p>
    <w:p w14:paraId="1018ACF9">
      <w:pPr>
        <w:pStyle w:val="5"/>
        <w:spacing w:line="242" w:lineRule="auto"/>
      </w:pPr>
    </w:p>
    <w:p w14:paraId="3A41490D">
      <w:pPr>
        <w:pStyle w:val="5"/>
        <w:spacing w:line="242" w:lineRule="auto"/>
      </w:pPr>
    </w:p>
    <w:p w14:paraId="4E9D8A5B">
      <w:pPr>
        <w:pStyle w:val="5"/>
        <w:spacing w:line="242" w:lineRule="auto"/>
      </w:pPr>
    </w:p>
    <w:p w14:paraId="7013B254">
      <w:pPr>
        <w:pStyle w:val="5"/>
        <w:spacing w:line="242" w:lineRule="auto"/>
      </w:pPr>
    </w:p>
    <w:p w14:paraId="2A114A61">
      <w:pPr>
        <w:pStyle w:val="5"/>
        <w:spacing w:line="242" w:lineRule="auto"/>
      </w:pPr>
    </w:p>
    <w:p w14:paraId="4A521F46">
      <w:pPr>
        <w:pStyle w:val="5"/>
        <w:spacing w:line="242" w:lineRule="auto"/>
      </w:pPr>
    </w:p>
    <w:p w14:paraId="34E0158E">
      <w:pPr>
        <w:pStyle w:val="5"/>
        <w:spacing w:line="242" w:lineRule="auto"/>
      </w:pPr>
    </w:p>
    <w:p w14:paraId="25AC052E">
      <w:pPr>
        <w:spacing w:before="101" w:line="224" w:lineRule="auto"/>
        <w:ind w:left="2871"/>
        <w:rPr>
          <w:rFonts w:ascii="黑体" w:hAnsi="黑体" w:eastAsia="黑体" w:cs="黑体"/>
          <w:sz w:val="31"/>
          <w:szCs w:val="31"/>
        </w:rPr>
      </w:pPr>
      <w:bookmarkStart w:id="123" w:name="bookmark504"/>
      <w:bookmarkEnd w:id="123"/>
      <w:r>
        <w:rPr>
          <w:rFonts w:ascii="黑体" w:hAnsi="黑体" w:eastAsia="黑体" w:cs="黑体"/>
          <w:spacing w:val="7"/>
          <w:sz w:val="31"/>
          <w:szCs w:val="31"/>
        </w:rPr>
        <w:t>第三章  评标办法</w:t>
      </w:r>
    </w:p>
    <w:p w14:paraId="180CA64C">
      <w:pPr>
        <w:spacing w:line="224" w:lineRule="auto"/>
        <w:rPr>
          <w:rFonts w:ascii="黑体" w:hAnsi="黑体" w:eastAsia="黑体" w:cs="黑体"/>
          <w:sz w:val="31"/>
          <w:szCs w:val="31"/>
        </w:rPr>
        <w:sectPr>
          <w:footerReference r:id="rId52" w:type="default"/>
          <w:pgSz w:w="11905" w:h="16843"/>
          <w:pgMar w:top="969" w:right="1355" w:bottom="1026" w:left="1480" w:header="0" w:footer="754" w:gutter="0"/>
          <w:cols w:space="0" w:num="1"/>
          <w:rtlGutter w:val="0"/>
          <w:docGrid w:linePitch="0" w:charSpace="0"/>
        </w:sectPr>
      </w:pPr>
    </w:p>
    <w:p w14:paraId="676B765C">
      <w:pPr>
        <w:pStyle w:val="5"/>
        <w:spacing w:line="253" w:lineRule="auto"/>
      </w:pPr>
    </w:p>
    <w:p w14:paraId="70C43870">
      <w:pPr>
        <w:pStyle w:val="5"/>
        <w:spacing w:line="253" w:lineRule="auto"/>
      </w:pPr>
    </w:p>
    <w:p w14:paraId="533138B8">
      <w:pPr>
        <w:spacing w:before="100" w:line="224" w:lineRule="auto"/>
        <w:ind w:left="3202"/>
        <w:outlineLvl w:val="0"/>
        <w:rPr>
          <w:rFonts w:ascii="黑体" w:hAnsi="黑体" w:eastAsia="黑体" w:cs="黑体"/>
          <w:sz w:val="31"/>
          <w:szCs w:val="31"/>
        </w:rPr>
      </w:pPr>
      <w:bookmarkStart w:id="124" w:name="bookmark505"/>
      <w:bookmarkEnd w:id="124"/>
      <w:bookmarkStart w:id="125" w:name="bookmark98"/>
      <w:bookmarkEnd w:id="125"/>
      <w:r>
        <w:rPr>
          <w:rFonts w:ascii="黑体" w:hAnsi="黑体" w:eastAsia="黑体" w:cs="黑体"/>
          <w:spacing w:val="7"/>
          <w:sz w:val="31"/>
          <w:szCs w:val="31"/>
        </w:rPr>
        <w:t>第三章  评标办法</w:t>
      </w:r>
    </w:p>
    <w:p w14:paraId="2E24B8D6">
      <w:pPr>
        <w:spacing w:before="176" w:line="211" w:lineRule="auto"/>
        <w:ind w:left="2520"/>
        <w:outlineLvl w:val="1"/>
        <w:rPr>
          <w:rFonts w:ascii="黑体" w:hAnsi="黑体" w:eastAsia="黑体" w:cs="黑体"/>
          <w:sz w:val="28"/>
          <w:szCs w:val="28"/>
        </w:rPr>
      </w:pPr>
      <w:bookmarkStart w:id="126" w:name="bookmark99"/>
      <w:bookmarkEnd w:id="126"/>
      <w:r>
        <w:rPr>
          <w:rFonts w:ascii="黑体" w:hAnsi="黑体" w:eastAsia="黑体" w:cs="黑体"/>
          <w:spacing w:val="-2"/>
          <w:sz w:val="28"/>
          <w:szCs w:val="28"/>
        </w:rPr>
        <w:t>评标办法前附表（综合评估法）</w:t>
      </w: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058"/>
        <w:gridCol w:w="2339"/>
        <w:gridCol w:w="4793"/>
      </w:tblGrid>
      <w:tr w14:paraId="471BF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04" w:type="dxa"/>
            <w:gridSpan w:val="2"/>
            <w:vAlign w:val="top"/>
          </w:tcPr>
          <w:p w14:paraId="31013614">
            <w:pPr>
              <w:pStyle w:val="11"/>
              <w:spacing w:before="175" w:line="221" w:lineRule="auto"/>
              <w:ind w:left="592"/>
            </w:pPr>
            <w:r>
              <w:rPr>
                <w:b/>
                <w:bCs/>
                <w:spacing w:val="-4"/>
              </w:rPr>
              <w:t>条款号</w:t>
            </w:r>
          </w:p>
        </w:tc>
        <w:tc>
          <w:tcPr>
            <w:tcW w:w="2339" w:type="dxa"/>
            <w:vAlign w:val="top"/>
          </w:tcPr>
          <w:p w14:paraId="569E36BE">
            <w:pPr>
              <w:pStyle w:val="11"/>
              <w:spacing w:before="175" w:line="221" w:lineRule="auto"/>
              <w:ind w:left="752"/>
            </w:pPr>
            <w:r>
              <w:rPr>
                <w:b/>
                <w:bCs/>
                <w:spacing w:val="-3"/>
              </w:rPr>
              <w:t>评审因素</w:t>
            </w:r>
          </w:p>
        </w:tc>
        <w:tc>
          <w:tcPr>
            <w:tcW w:w="4793" w:type="dxa"/>
            <w:vAlign w:val="top"/>
          </w:tcPr>
          <w:p w14:paraId="2B3FC572">
            <w:pPr>
              <w:pStyle w:val="11"/>
              <w:spacing w:before="176" w:line="221" w:lineRule="auto"/>
              <w:ind w:left="1977"/>
            </w:pPr>
            <w:r>
              <w:rPr>
                <w:b/>
                <w:bCs/>
                <w:spacing w:val="-3"/>
              </w:rPr>
              <w:t>评审标准</w:t>
            </w:r>
          </w:p>
        </w:tc>
      </w:tr>
      <w:tr w14:paraId="54C1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restart"/>
            <w:tcBorders>
              <w:bottom w:val="nil"/>
            </w:tcBorders>
            <w:vAlign w:val="top"/>
          </w:tcPr>
          <w:p w14:paraId="6D2C3389">
            <w:pPr>
              <w:rPr>
                <w:rFonts w:ascii="Arial"/>
                <w:sz w:val="21"/>
              </w:rPr>
            </w:pPr>
          </w:p>
          <w:p w14:paraId="532E2FF0">
            <w:pPr>
              <w:rPr>
                <w:rFonts w:ascii="Arial"/>
                <w:sz w:val="21"/>
              </w:rPr>
            </w:pPr>
          </w:p>
          <w:p w14:paraId="29C77151">
            <w:pPr>
              <w:spacing w:line="241" w:lineRule="auto"/>
              <w:rPr>
                <w:rFonts w:ascii="Arial"/>
                <w:sz w:val="21"/>
              </w:rPr>
            </w:pPr>
          </w:p>
          <w:p w14:paraId="4587F30C">
            <w:pPr>
              <w:spacing w:line="241" w:lineRule="auto"/>
              <w:rPr>
                <w:rFonts w:ascii="Arial"/>
                <w:sz w:val="21"/>
              </w:rPr>
            </w:pPr>
          </w:p>
          <w:p w14:paraId="089E4E77">
            <w:pPr>
              <w:spacing w:line="241" w:lineRule="auto"/>
              <w:rPr>
                <w:rFonts w:ascii="Arial"/>
                <w:sz w:val="21"/>
              </w:rPr>
            </w:pPr>
          </w:p>
          <w:p w14:paraId="334F7B72">
            <w:pPr>
              <w:spacing w:line="241" w:lineRule="auto"/>
              <w:rPr>
                <w:rFonts w:ascii="Arial"/>
                <w:sz w:val="21"/>
              </w:rPr>
            </w:pPr>
          </w:p>
          <w:p w14:paraId="320E36EF">
            <w:pPr>
              <w:spacing w:line="241" w:lineRule="auto"/>
              <w:rPr>
                <w:rFonts w:ascii="Arial"/>
                <w:sz w:val="21"/>
              </w:rPr>
            </w:pPr>
          </w:p>
          <w:p w14:paraId="335C534D">
            <w:pPr>
              <w:spacing w:line="241" w:lineRule="auto"/>
              <w:rPr>
                <w:rFonts w:ascii="Arial"/>
                <w:sz w:val="21"/>
              </w:rPr>
            </w:pPr>
          </w:p>
          <w:p w14:paraId="03C4F3C0">
            <w:pPr>
              <w:spacing w:line="241" w:lineRule="auto"/>
              <w:rPr>
                <w:rFonts w:ascii="Arial"/>
                <w:sz w:val="21"/>
              </w:rPr>
            </w:pPr>
          </w:p>
          <w:p w14:paraId="1AA81DE4">
            <w:pPr>
              <w:spacing w:line="241" w:lineRule="auto"/>
              <w:rPr>
                <w:rFonts w:ascii="Arial"/>
                <w:sz w:val="21"/>
              </w:rPr>
            </w:pPr>
          </w:p>
          <w:p w14:paraId="6BB9A274">
            <w:pPr>
              <w:spacing w:line="241" w:lineRule="auto"/>
              <w:rPr>
                <w:rFonts w:ascii="Arial"/>
                <w:sz w:val="21"/>
              </w:rPr>
            </w:pPr>
          </w:p>
          <w:p w14:paraId="3B534785">
            <w:pPr>
              <w:spacing w:line="241" w:lineRule="auto"/>
              <w:rPr>
                <w:rFonts w:ascii="Arial"/>
                <w:sz w:val="21"/>
              </w:rPr>
            </w:pPr>
          </w:p>
          <w:p w14:paraId="662A2A2B">
            <w:pPr>
              <w:spacing w:line="241" w:lineRule="auto"/>
              <w:rPr>
                <w:rFonts w:ascii="Arial"/>
                <w:sz w:val="21"/>
              </w:rPr>
            </w:pPr>
          </w:p>
          <w:p w14:paraId="1398D0F3">
            <w:pPr>
              <w:spacing w:line="241" w:lineRule="auto"/>
              <w:rPr>
                <w:rFonts w:ascii="Arial"/>
                <w:sz w:val="21"/>
              </w:rPr>
            </w:pPr>
          </w:p>
          <w:p w14:paraId="0A40A699">
            <w:pPr>
              <w:spacing w:before="61" w:line="233" w:lineRule="auto"/>
              <w:ind w:left="1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2.1.1</w:t>
            </w:r>
          </w:p>
        </w:tc>
        <w:tc>
          <w:tcPr>
            <w:tcW w:w="1058" w:type="dxa"/>
            <w:vMerge w:val="restart"/>
            <w:tcBorders>
              <w:bottom w:val="nil"/>
            </w:tcBorders>
            <w:vAlign w:val="top"/>
          </w:tcPr>
          <w:p w14:paraId="72D0FE7C">
            <w:pPr>
              <w:spacing w:line="242" w:lineRule="auto"/>
              <w:rPr>
                <w:rFonts w:ascii="Arial"/>
                <w:sz w:val="21"/>
              </w:rPr>
            </w:pPr>
          </w:p>
          <w:p w14:paraId="2089EE81">
            <w:pPr>
              <w:spacing w:line="242" w:lineRule="auto"/>
              <w:rPr>
                <w:rFonts w:ascii="Arial"/>
                <w:sz w:val="21"/>
              </w:rPr>
            </w:pPr>
          </w:p>
          <w:p w14:paraId="5B5635D4">
            <w:pPr>
              <w:spacing w:line="242" w:lineRule="auto"/>
              <w:rPr>
                <w:rFonts w:ascii="Arial"/>
                <w:sz w:val="21"/>
              </w:rPr>
            </w:pPr>
          </w:p>
          <w:p w14:paraId="3FF2DF07">
            <w:pPr>
              <w:spacing w:line="243" w:lineRule="auto"/>
              <w:rPr>
                <w:rFonts w:ascii="Arial"/>
                <w:sz w:val="21"/>
              </w:rPr>
            </w:pPr>
          </w:p>
          <w:p w14:paraId="57DC04CB">
            <w:pPr>
              <w:spacing w:line="243" w:lineRule="auto"/>
              <w:rPr>
                <w:rFonts w:ascii="Arial"/>
                <w:sz w:val="21"/>
              </w:rPr>
            </w:pPr>
          </w:p>
          <w:p w14:paraId="3C308BD4">
            <w:pPr>
              <w:spacing w:line="243" w:lineRule="auto"/>
              <w:rPr>
                <w:rFonts w:ascii="Arial"/>
                <w:sz w:val="21"/>
              </w:rPr>
            </w:pPr>
          </w:p>
          <w:p w14:paraId="56785CDB">
            <w:pPr>
              <w:spacing w:line="243" w:lineRule="auto"/>
              <w:rPr>
                <w:rFonts w:ascii="Arial"/>
                <w:sz w:val="21"/>
              </w:rPr>
            </w:pPr>
          </w:p>
          <w:p w14:paraId="164CD331">
            <w:pPr>
              <w:spacing w:line="243" w:lineRule="auto"/>
              <w:rPr>
                <w:rFonts w:ascii="Arial"/>
                <w:sz w:val="21"/>
              </w:rPr>
            </w:pPr>
          </w:p>
          <w:p w14:paraId="185EA46A">
            <w:pPr>
              <w:spacing w:line="243" w:lineRule="auto"/>
              <w:rPr>
                <w:rFonts w:ascii="Arial"/>
                <w:sz w:val="21"/>
              </w:rPr>
            </w:pPr>
          </w:p>
          <w:p w14:paraId="38C8327F">
            <w:pPr>
              <w:spacing w:line="243" w:lineRule="auto"/>
              <w:rPr>
                <w:rFonts w:ascii="Arial"/>
                <w:sz w:val="21"/>
              </w:rPr>
            </w:pPr>
          </w:p>
          <w:p w14:paraId="223B7A30">
            <w:pPr>
              <w:spacing w:line="243" w:lineRule="auto"/>
              <w:rPr>
                <w:rFonts w:ascii="Arial"/>
                <w:sz w:val="21"/>
              </w:rPr>
            </w:pPr>
          </w:p>
          <w:p w14:paraId="5BA52644">
            <w:pPr>
              <w:spacing w:line="243" w:lineRule="auto"/>
              <w:rPr>
                <w:rFonts w:ascii="Arial"/>
                <w:sz w:val="21"/>
              </w:rPr>
            </w:pPr>
          </w:p>
          <w:p w14:paraId="4973131B">
            <w:pPr>
              <w:pStyle w:val="11"/>
              <w:spacing w:before="68" w:line="369" w:lineRule="auto"/>
              <w:ind w:left="321" w:right="316" w:firstLine="3"/>
            </w:pPr>
            <w:r>
              <w:rPr>
                <w:spacing w:val="-5"/>
              </w:rPr>
              <w:t>形式</w:t>
            </w:r>
            <w:r>
              <w:rPr>
                <w:spacing w:val="-3"/>
              </w:rPr>
              <w:t>评审</w:t>
            </w:r>
          </w:p>
          <w:p w14:paraId="7B4F1A27">
            <w:pPr>
              <w:pStyle w:val="11"/>
              <w:spacing w:line="221" w:lineRule="auto"/>
              <w:ind w:left="323"/>
            </w:pPr>
            <w:r>
              <w:rPr>
                <w:spacing w:val="-2"/>
              </w:rPr>
              <w:t>标准</w:t>
            </w:r>
          </w:p>
        </w:tc>
        <w:tc>
          <w:tcPr>
            <w:tcW w:w="2339" w:type="dxa"/>
            <w:vAlign w:val="top"/>
          </w:tcPr>
          <w:p w14:paraId="1B819E1C">
            <w:pPr>
              <w:pStyle w:val="11"/>
              <w:spacing w:before="173" w:line="221" w:lineRule="auto"/>
              <w:ind w:left="114"/>
            </w:pPr>
            <w:r>
              <w:rPr>
                <w:spacing w:val="-2"/>
              </w:rPr>
              <w:t>投标人名称</w:t>
            </w:r>
          </w:p>
        </w:tc>
        <w:tc>
          <w:tcPr>
            <w:tcW w:w="4793" w:type="dxa"/>
            <w:vAlign w:val="top"/>
          </w:tcPr>
          <w:p w14:paraId="3B7CB3EA">
            <w:pPr>
              <w:pStyle w:val="11"/>
              <w:spacing w:before="173" w:line="220" w:lineRule="auto"/>
              <w:ind w:left="117"/>
            </w:pPr>
            <w:r>
              <w:rPr>
                <w:spacing w:val="-1"/>
              </w:rPr>
              <w:t>与营业执照、资质证书、安全生产许可证一致</w:t>
            </w:r>
          </w:p>
        </w:tc>
      </w:tr>
      <w:tr w14:paraId="7A29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6B818C77">
            <w:pPr>
              <w:rPr>
                <w:rFonts w:ascii="Arial"/>
                <w:sz w:val="21"/>
              </w:rPr>
            </w:pPr>
          </w:p>
        </w:tc>
        <w:tc>
          <w:tcPr>
            <w:tcW w:w="1058" w:type="dxa"/>
            <w:vMerge w:val="continue"/>
            <w:tcBorders>
              <w:top w:val="nil"/>
              <w:bottom w:val="nil"/>
            </w:tcBorders>
            <w:vAlign w:val="top"/>
          </w:tcPr>
          <w:p w14:paraId="5F113BDA">
            <w:pPr>
              <w:rPr>
                <w:rFonts w:ascii="Arial"/>
                <w:sz w:val="21"/>
              </w:rPr>
            </w:pPr>
          </w:p>
        </w:tc>
        <w:tc>
          <w:tcPr>
            <w:tcW w:w="2339" w:type="dxa"/>
            <w:tcBorders>
              <w:bottom w:val="single" w:color="000000" w:sz="4" w:space="0"/>
            </w:tcBorders>
            <w:vAlign w:val="top"/>
          </w:tcPr>
          <w:p w14:paraId="374952C8">
            <w:pPr>
              <w:pStyle w:val="11"/>
              <w:spacing w:before="171" w:line="220" w:lineRule="auto"/>
              <w:ind w:left="114"/>
            </w:pPr>
            <w:r>
              <w:rPr>
                <w:spacing w:val="-1"/>
              </w:rPr>
              <w:t>投标文件签字盖章</w:t>
            </w:r>
          </w:p>
        </w:tc>
        <w:tc>
          <w:tcPr>
            <w:tcW w:w="4793" w:type="dxa"/>
            <w:tcBorders>
              <w:bottom w:val="single" w:color="000000" w:sz="4" w:space="0"/>
            </w:tcBorders>
            <w:vAlign w:val="top"/>
          </w:tcPr>
          <w:p w14:paraId="11B66585">
            <w:pPr>
              <w:pStyle w:val="11"/>
              <w:spacing w:before="171" w:line="220" w:lineRule="auto"/>
              <w:ind w:left="115"/>
            </w:pPr>
            <w:r>
              <w:rPr>
                <w:spacing w:val="-2"/>
              </w:rPr>
              <w:t>符合第二章“投标人须知”第</w:t>
            </w:r>
            <w:r>
              <w:rPr>
                <w:spacing w:val="-25"/>
              </w:rPr>
              <w:t xml:space="preserve"> </w:t>
            </w:r>
            <w:r>
              <w:rPr>
                <w:spacing w:val="-2"/>
              </w:rPr>
              <w:t>3.7.3（4）目规定</w:t>
            </w:r>
          </w:p>
        </w:tc>
      </w:tr>
      <w:tr w14:paraId="340E0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746" w:type="dxa"/>
            <w:vMerge w:val="continue"/>
            <w:tcBorders>
              <w:top w:val="nil"/>
              <w:bottom w:val="nil"/>
            </w:tcBorders>
            <w:vAlign w:val="top"/>
          </w:tcPr>
          <w:p w14:paraId="56E92D5A">
            <w:pPr>
              <w:rPr>
                <w:rFonts w:ascii="Arial"/>
                <w:sz w:val="21"/>
              </w:rPr>
            </w:pPr>
          </w:p>
        </w:tc>
        <w:tc>
          <w:tcPr>
            <w:tcW w:w="1058" w:type="dxa"/>
            <w:vMerge w:val="continue"/>
            <w:tcBorders>
              <w:top w:val="nil"/>
              <w:bottom w:val="nil"/>
            </w:tcBorders>
            <w:vAlign w:val="top"/>
          </w:tcPr>
          <w:p w14:paraId="6B72308D">
            <w:pPr>
              <w:rPr>
                <w:rFonts w:ascii="Arial"/>
                <w:sz w:val="21"/>
              </w:rPr>
            </w:pPr>
          </w:p>
        </w:tc>
        <w:tc>
          <w:tcPr>
            <w:tcW w:w="2339" w:type="dxa"/>
            <w:tcBorders>
              <w:top w:val="single" w:color="000000" w:sz="4" w:space="0"/>
            </w:tcBorders>
            <w:vAlign w:val="top"/>
          </w:tcPr>
          <w:p w14:paraId="2647F324">
            <w:pPr>
              <w:spacing w:line="291" w:lineRule="auto"/>
              <w:rPr>
                <w:rFonts w:ascii="Arial"/>
                <w:sz w:val="21"/>
              </w:rPr>
            </w:pPr>
          </w:p>
          <w:p w14:paraId="71A2B6C3">
            <w:pPr>
              <w:pStyle w:val="11"/>
              <w:spacing w:before="68" w:line="221" w:lineRule="auto"/>
              <w:ind w:left="114"/>
            </w:pPr>
            <w:r>
              <w:rPr>
                <w:spacing w:val="-1"/>
              </w:rPr>
              <w:t>投标文件格式、内容</w:t>
            </w:r>
          </w:p>
        </w:tc>
        <w:tc>
          <w:tcPr>
            <w:tcW w:w="4793" w:type="dxa"/>
            <w:tcBorders>
              <w:top w:val="single" w:color="000000" w:sz="4" w:space="0"/>
            </w:tcBorders>
            <w:vAlign w:val="top"/>
          </w:tcPr>
          <w:p w14:paraId="52E86344">
            <w:pPr>
              <w:pStyle w:val="11"/>
              <w:spacing w:before="149" w:line="299" w:lineRule="auto"/>
              <w:ind w:left="115" w:right="104"/>
            </w:pPr>
            <w:r>
              <w:rPr>
                <w:spacing w:val="7"/>
              </w:rPr>
              <w:t>符合第八章“投标文件格式”的要求且实质性内</w:t>
            </w:r>
            <w:r>
              <w:rPr>
                <w:spacing w:val="-2"/>
              </w:rPr>
              <w:t>容齐全</w:t>
            </w:r>
          </w:p>
        </w:tc>
      </w:tr>
      <w:tr w14:paraId="728E3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2AAA7874">
            <w:pPr>
              <w:rPr>
                <w:rFonts w:ascii="Arial"/>
                <w:sz w:val="21"/>
              </w:rPr>
            </w:pPr>
          </w:p>
        </w:tc>
        <w:tc>
          <w:tcPr>
            <w:tcW w:w="1058" w:type="dxa"/>
            <w:vMerge w:val="continue"/>
            <w:tcBorders>
              <w:top w:val="nil"/>
              <w:bottom w:val="nil"/>
            </w:tcBorders>
            <w:vAlign w:val="top"/>
          </w:tcPr>
          <w:p w14:paraId="2A61CD62">
            <w:pPr>
              <w:rPr>
                <w:rFonts w:ascii="Arial"/>
                <w:sz w:val="21"/>
              </w:rPr>
            </w:pPr>
          </w:p>
        </w:tc>
        <w:tc>
          <w:tcPr>
            <w:tcW w:w="2339" w:type="dxa"/>
            <w:vAlign w:val="top"/>
          </w:tcPr>
          <w:p w14:paraId="1D264DF9">
            <w:pPr>
              <w:spacing w:line="296" w:lineRule="auto"/>
              <w:rPr>
                <w:rFonts w:ascii="Arial"/>
                <w:sz w:val="21"/>
              </w:rPr>
            </w:pPr>
          </w:p>
          <w:p w14:paraId="089DAF05">
            <w:pPr>
              <w:pStyle w:val="11"/>
              <w:spacing w:before="69" w:line="221" w:lineRule="auto"/>
              <w:ind w:left="112"/>
            </w:pPr>
            <w:r>
              <w:rPr>
                <w:spacing w:val="-1"/>
              </w:rPr>
              <w:t>联合体投标人（如有）</w:t>
            </w:r>
          </w:p>
        </w:tc>
        <w:tc>
          <w:tcPr>
            <w:tcW w:w="4793" w:type="dxa"/>
            <w:vAlign w:val="top"/>
          </w:tcPr>
          <w:p w14:paraId="128717F7">
            <w:pPr>
              <w:pStyle w:val="11"/>
              <w:spacing w:before="156" w:line="298" w:lineRule="auto"/>
              <w:ind w:left="130" w:right="105" w:hanging="16"/>
            </w:pPr>
            <w:r>
              <w:rPr>
                <w:spacing w:val="7"/>
              </w:rPr>
              <w:t>提交联合体协议书，并明确联合体牵头人和各方</w:t>
            </w:r>
            <w:r>
              <w:rPr>
                <w:spacing w:val="-5"/>
              </w:rPr>
              <w:t>的权利义务</w:t>
            </w:r>
          </w:p>
        </w:tc>
      </w:tr>
      <w:tr w14:paraId="3FE4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42B235A3">
            <w:pPr>
              <w:rPr>
                <w:rFonts w:ascii="Arial"/>
                <w:sz w:val="21"/>
              </w:rPr>
            </w:pPr>
          </w:p>
        </w:tc>
        <w:tc>
          <w:tcPr>
            <w:tcW w:w="1058" w:type="dxa"/>
            <w:vMerge w:val="continue"/>
            <w:tcBorders>
              <w:top w:val="nil"/>
              <w:bottom w:val="nil"/>
            </w:tcBorders>
            <w:vAlign w:val="top"/>
          </w:tcPr>
          <w:p w14:paraId="003F851F">
            <w:pPr>
              <w:rPr>
                <w:rFonts w:ascii="Arial"/>
                <w:sz w:val="21"/>
              </w:rPr>
            </w:pPr>
          </w:p>
        </w:tc>
        <w:tc>
          <w:tcPr>
            <w:tcW w:w="2339" w:type="dxa"/>
            <w:vAlign w:val="top"/>
          </w:tcPr>
          <w:p w14:paraId="065DA094">
            <w:pPr>
              <w:spacing w:line="297" w:lineRule="auto"/>
              <w:rPr>
                <w:rFonts w:ascii="Arial"/>
                <w:sz w:val="21"/>
              </w:rPr>
            </w:pPr>
          </w:p>
          <w:p w14:paraId="2E3CEC4F">
            <w:pPr>
              <w:pStyle w:val="11"/>
              <w:spacing w:before="68" w:line="219" w:lineRule="auto"/>
              <w:ind w:left="110"/>
            </w:pPr>
            <w:r>
              <w:rPr>
                <w:spacing w:val="1"/>
              </w:rPr>
              <w:t>报价唯一</w:t>
            </w:r>
          </w:p>
        </w:tc>
        <w:tc>
          <w:tcPr>
            <w:tcW w:w="4793" w:type="dxa"/>
            <w:vAlign w:val="top"/>
          </w:tcPr>
          <w:p w14:paraId="54CDA36D">
            <w:pPr>
              <w:pStyle w:val="11"/>
              <w:spacing w:before="156" w:line="298" w:lineRule="auto"/>
              <w:ind w:left="114" w:right="105" w:firstLine="1"/>
            </w:pPr>
            <w:r>
              <w:rPr>
                <w:spacing w:val="7"/>
              </w:rPr>
              <w:t>投标报价文件（包括投标函）中的任何单价、合</w:t>
            </w:r>
            <w:r>
              <w:rPr>
                <w:spacing w:val="-1"/>
              </w:rPr>
              <w:t>价或总价只能有一个有效报价</w:t>
            </w:r>
          </w:p>
        </w:tc>
      </w:tr>
      <w:tr w14:paraId="385C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nil"/>
              <w:bottom w:val="nil"/>
            </w:tcBorders>
            <w:vAlign w:val="top"/>
          </w:tcPr>
          <w:p w14:paraId="242D06B8">
            <w:pPr>
              <w:rPr>
                <w:rFonts w:ascii="Arial"/>
                <w:sz w:val="21"/>
              </w:rPr>
            </w:pPr>
          </w:p>
        </w:tc>
        <w:tc>
          <w:tcPr>
            <w:tcW w:w="1058" w:type="dxa"/>
            <w:vMerge w:val="continue"/>
            <w:tcBorders>
              <w:top w:val="nil"/>
              <w:bottom w:val="nil"/>
            </w:tcBorders>
            <w:vAlign w:val="top"/>
          </w:tcPr>
          <w:p w14:paraId="2C2CE3E4">
            <w:pPr>
              <w:rPr>
                <w:rFonts w:ascii="Arial"/>
                <w:sz w:val="21"/>
              </w:rPr>
            </w:pPr>
          </w:p>
        </w:tc>
        <w:tc>
          <w:tcPr>
            <w:tcW w:w="2339" w:type="dxa"/>
            <w:vAlign w:val="top"/>
          </w:tcPr>
          <w:p w14:paraId="1F04D6EA">
            <w:pPr>
              <w:pStyle w:val="11"/>
              <w:spacing w:before="175" w:line="219" w:lineRule="auto"/>
              <w:ind w:left="110"/>
            </w:pPr>
            <w:r>
              <w:rPr>
                <w:spacing w:val="-1"/>
              </w:rPr>
              <w:t>报价表格的完整性</w:t>
            </w:r>
          </w:p>
        </w:tc>
        <w:tc>
          <w:tcPr>
            <w:tcW w:w="4793" w:type="dxa"/>
            <w:vAlign w:val="top"/>
          </w:tcPr>
          <w:p w14:paraId="345954E1">
            <w:pPr>
              <w:pStyle w:val="11"/>
              <w:spacing w:before="175" w:line="219" w:lineRule="auto"/>
              <w:ind w:left="113"/>
            </w:pPr>
            <w:r>
              <w:rPr>
                <w:spacing w:val="-1"/>
              </w:rPr>
              <w:t>应按招标文件的要求完整报送投标报价应有表格</w:t>
            </w:r>
          </w:p>
        </w:tc>
      </w:tr>
      <w:tr w14:paraId="79ED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nil"/>
              <w:bottom w:val="nil"/>
            </w:tcBorders>
            <w:vAlign w:val="top"/>
          </w:tcPr>
          <w:p w14:paraId="6A23FEF8">
            <w:pPr>
              <w:rPr>
                <w:rFonts w:ascii="Arial"/>
                <w:sz w:val="21"/>
              </w:rPr>
            </w:pPr>
          </w:p>
        </w:tc>
        <w:tc>
          <w:tcPr>
            <w:tcW w:w="1058" w:type="dxa"/>
            <w:vMerge w:val="continue"/>
            <w:tcBorders>
              <w:top w:val="nil"/>
              <w:bottom w:val="nil"/>
            </w:tcBorders>
            <w:vAlign w:val="top"/>
          </w:tcPr>
          <w:p w14:paraId="5959E66F">
            <w:pPr>
              <w:rPr>
                <w:rFonts w:ascii="Arial"/>
                <w:sz w:val="21"/>
              </w:rPr>
            </w:pPr>
          </w:p>
        </w:tc>
        <w:tc>
          <w:tcPr>
            <w:tcW w:w="2339" w:type="dxa"/>
            <w:vAlign w:val="top"/>
          </w:tcPr>
          <w:p w14:paraId="03B26613">
            <w:pPr>
              <w:spacing w:line="295" w:lineRule="auto"/>
              <w:rPr>
                <w:rFonts w:ascii="Arial"/>
                <w:sz w:val="21"/>
              </w:rPr>
            </w:pPr>
          </w:p>
          <w:p w14:paraId="49F35AA7">
            <w:pPr>
              <w:pStyle w:val="11"/>
              <w:spacing w:before="68" w:line="221" w:lineRule="auto"/>
              <w:ind w:left="115"/>
            </w:pPr>
            <w:r>
              <w:rPr>
                <w:spacing w:val="-1"/>
              </w:rPr>
              <w:t>项目经理实名认证</w:t>
            </w:r>
          </w:p>
        </w:tc>
        <w:tc>
          <w:tcPr>
            <w:tcW w:w="4793" w:type="dxa"/>
            <w:vAlign w:val="top"/>
          </w:tcPr>
          <w:p w14:paraId="4008E01C">
            <w:pPr>
              <w:pStyle w:val="11"/>
              <w:spacing w:before="157" w:line="298" w:lineRule="auto"/>
              <w:ind w:left="116" w:right="109"/>
            </w:pPr>
            <w:r>
              <w:rPr>
                <w:spacing w:val="18"/>
              </w:rPr>
              <w:t>项目经理完成实名认证（无在建工程和不良行</w:t>
            </w:r>
            <w:r>
              <w:rPr>
                <w:spacing w:val="-6"/>
              </w:rPr>
              <w:t>为）</w:t>
            </w:r>
          </w:p>
        </w:tc>
      </w:tr>
      <w:tr w14:paraId="782B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2899BDAD">
            <w:pPr>
              <w:rPr>
                <w:rFonts w:ascii="Arial"/>
                <w:sz w:val="21"/>
              </w:rPr>
            </w:pPr>
          </w:p>
        </w:tc>
        <w:tc>
          <w:tcPr>
            <w:tcW w:w="1058" w:type="dxa"/>
            <w:vMerge w:val="continue"/>
            <w:tcBorders>
              <w:top w:val="nil"/>
              <w:bottom w:val="nil"/>
            </w:tcBorders>
            <w:vAlign w:val="top"/>
          </w:tcPr>
          <w:p w14:paraId="6C9481E5">
            <w:pPr>
              <w:rPr>
                <w:rFonts w:ascii="Arial"/>
                <w:sz w:val="21"/>
              </w:rPr>
            </w:pPr>
          </w:p>
        </w:tc>
        <w:tc>
          <w:tcPr>
            <w:tcW w:w="2339" w:type="dxa"/>
            <w:vAlign w:val="top"/>
          </w:tcPr>
          <w:p w14:paraId="15333D4F">
            <w:pPr>
              <w:spacing w:line="297" w:lineRule="auto"/>
              <w:rPr>
                <w:rFonts w:ascii="Arial"/>
                <w:sz w:val="21"/>
              </w:rPr>
            </w:pPr>
          </w:p>
          <w:p w14:paraId="50BD0D25">
            <w:pPr>
              <w:pStyle w:val="11"/>
              <w:spacing w:before="68" w:line="221" w:lineRule="auto"/>
              <w:ind w:left="114"/>
            </w:pPr>
            <w:r>
              <w:rPr>
                <w:spacing w:val="-2"/>
              </w:rPr>
              <w:t>备选投标方案</w:t>
            </w:r>
          </w:p>
        </w:tc>
        <w:tc>
          <w:tcPr>
            <w:tcW w:w="4793" w:type="dxa"/>
            <w:vAlign w:val="top"/>
          </w:tcPr>
          <w:p w14:paraId="041BFC4D">
            <w:pPr>
              <w:pStyle w:val="11"/>
              <w:spacing w:before="156" w:line="298" w:lineRule="auto"/>
              <w:ind w:left="115" w:right="105" w:firstLine="10"/>
            </w:pPr>
            <w:r>
              <w:rPr>
                <w:spacing w:val="7"/>
              </w:rPr>
              <w:t>除招标文件明确允许提交备选投标方案外，</w:t>
            </w:r>
            <w:r>
              <w:rPr>
                <w:spacing w:val="6"/>
              </w:rPr>
              <w:t>投标</w:t>
            </w:r>
            <w:r>
              <w:rPr>
                <w:spacing w:val="-1"/>
              </w:rPr>
              <w:t>人不得提交备选投标方案</w:t>
            </w:r>
          </w:p>
        </w:tc>
      </w:tr>
      <w:tr w14:paraId="4080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7DD294F5">
            <w:pPr>
              <w:rPr>
                <w:rFonts w:ascii="Arial"/>
                <w:sz w:val="21"/>
              </w:rPr>
            </w:pPr>
          </w:p>
        </w:tc>
        <w:tc>
          <w:tcPr>
            <w:tcW w:w="1058" w:type="dxa"/>
            <w:vMerge w:val="continue"/>
            <w:tcBorders>
              <w:top w:val="nil"/>
              <w:bottom w:val="nil"/>
            </w:tcBorders>
            <w:vAlign w:val="top"/>
          </w:tcPr>
          <w:p w14:paraId="5C182FC8">
            <w:pPr>
              <w:rPr>
                <w:rFonts w:ascii="Arial"/>
                <w:sz w:val="21"/>
              </w:rPr>
            </w:pPr>
          </w:p>
        </w:tc>
        <w:tc>
          <w:tcPr>
            <w:tcW w:w="2339" w:type="dxa"/>
            <w:vAlign w:val="top"/>
          </w:tcPr>
          <w:p w14:paraId="37BB8156">
            <w:pPr>
              <w:pStyle w:val="11"/>
              <w:spacing w:before="156" w:line="298" w:lineRule="auto"/>
              <w:ind w:left="112" w:right="105"/>
            </w:pPr>
            <w:r>
              <w:rPr>
                <w:spacing w:val="1"/>
              </w:rPr>
              <w:t>法定代表人或授权委托</w:t>
            </w:r>
            <w:r>
              <w:rPr>
                <w:spacing w:val="-2"/>
              </w:rPr>
              <w:t>人实名认证</w:t>
            </w:r>
          </w:p>
        </w:tc>
        <w:tc>
          <w:tcPr>
            <w:tcW w:w="4793" w:type="dxa"/>
            <w:vAlign w:val="top"/>
          </w:tcPr>
          <w:p w14:paraId="43A9040C">
            <w:pPr>
              <w:spacing w:line="297" w:lineRule="auto"/>
              <w:rPr>
                <w:rFonts w:ascii="Arial"/>
                <w:sz w:val="21"/>
              </w:rPr>
            </w:pPr>
          </w:p>
          <w:p w14:paraId="2E71E88F">
            <w:pPr>
              <w:pStyle w:val="11"/>
              <w:spacing w:before="68" w:line="221" w:lineRule="auto"/>
              <w:ind w:left="114"/>
            </w:pPr>
            <w:r>
              <w:rPr>
                <w:spacing w:val="-1"/>
              </w:rPr>
              <w:t>法定代表人或授权委托人完成实名认证</w:t>
            </w:r>
          </w:p>
        </w:tc>
      </w:tr>
      <w:tr w14:paraId="0126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continue"/>
            <w:tcBorders>
              <w:top w:val="nil"/>
            </w:tcBorders>
            <w:vAlign w:val="top"/>
          </w:tcPr>
          <w:p w14:paraId="192F75F5">
            <w:pPr>
              <w:rPr>
                <w:rFonts w:ascii="Arial"/>
                <w:sz w:val="21"/>
              </w:rPr>
            </w:pPr>
          </w:p>
        </w:tc>
        <w:tc>
          <w:tcPr>
            <w:tcW w:w="1058" w:type="dxa"/>
            <w:vMerge w:val="continue"/>
            <w:tcBorders>
              <w:top w:val="nil"/>
            </w:tcBorders>
            <w:vAlign w:val="top"/>
          </w:tcPr>
          <w:p w14:paraId="5418507D">
            <w:pPr>
              <w:rPr>
                <w:rFonts w:ascii="Arial"/>
                <w:sz w:val="21"/>
              </w:rPr>
            </w:pPr>
          </w:p>
        </w:tc>
        <w:tc>
          <w:tcPr>
            <w:tcW w:w="2339" w:type="dxa"/>
            <w:vAlign w:val="top"/>
          </w:tcPr>
          <w:p w14:paraId="2ACD100A">
            <w:pPr>
              <w:pStyle w:val="11"/>
              <w:spacing w:before="176" w:line="221" w:lineRule="auto"/>
              <w:ind w:left="111"/>
            </w:pPr>
            <w:r>
              <w:rPr>
                <w:spacing w:val="-1"/>
              </w:rPr>
              <w:t>模块化暗标</w:t>
            </w:r>
          </w:p>
        </w:tc>
        <w:tc>
          <w:tcPr>
            <w:tcW w:w="4793" w:type="dxa"/>
            <w:vAlign w:val="top"/>
          </w:tcPr>
          <w:p w14:paraId="7EC6F435">
            <w:pPr>
              <w:pStyle w:val="11"/>
              <w:spacing w:before="176" w:line="220" w:lineRule="auto"/>
              <w:ind w:left="115"/>
            </w:pPr>
            <w:r>
              <w:rPr>
                <w:spacing w:val="-2"/>
              </w:rPr>
              <w:t>符合第二章“投标人须知”第</w:t>
            </w:r>
            <w:r>
              <w:rPr>
                <w:spacing w:val="-26"/>
              </w:rPr>
              <w:t xml:space="preserve"> </w:t>
            </w:r>
            <w:r>
              <w:rPr>
                <w:spacing w:val="-2"/>
              </w:rPr>
              <w:t>3.7.4</w:t>
            </w:r>
            <w:r>
              <w:rPr>
                <w:spacing w:val="-43"/>
              </w:rPr>
              <w:t xml:space="preserve"> </w:t>
            </w:r>
            <w:r>
              <w:rPr>
                <w:spacing w:val="-2"/>
              </w:rPr>
              <w:t>项规定</w:t>
            </w:r>
          </w:p>
        </w:tc>
      </w:tr>
      <w:tr w14:paraId="3260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6" w:type="dxa"/>
            <w:vMerge w:val="restart"/>
            <w:tcBorders>
              <w:bottom w:val="nil"/>
            </w:tcBorders>
            <w:vAlign w:val="top"/>
          </w:tcPr>
          <w:p w14:paraId="7E3E2557">
            <w:pPr>
              <w:spacing w:line="242" w:lineRule="auto"/>
              <w:rPr>
                <w:rFonts w:ascii="Arial"/>
                <w:sz w:val="21"/>
              </w:rPr>
            </w:pPr>
          </w:p>
          <w:p w14:paraId="60F0D6C4">
            <w:pPr>
              <w:spacing w:line="243" w:lineRule="auto"/>
              <w:rPr>
                <w:rFonts w:ascii="Arial"/>
                <w:sz w:val="21"/>
              </w:rPr>
            </w:pPr>
          </w:p>
          <w:p w14:paraId="0972C05C">
            <w:pPr>
              <w:spacing w:line="243" w:lineRule="auto"/>
              <w:rPr>
                <w:rFonts w:ascii="Arial"/>
                <w:sz w:val="21"/>
              </w:rPr>
            </w:pPr>
          </w:p>
          <w:p w14:paraId="0F738D89">
            <w:pPr>
              <w:spacing w:line="243" w:lineRule="auto"/>
              <w:rPr>
                <w:rFonts w:ascii="Arial"/>
                <w:sz w:val="21"/>
              </w:rPr>
            </w:pPr>
          </w:p>
          <w:p w14:paraId="39FBFC7E">
            <w:pPr>
              <w:spacing w:line="243" w:lineRule="auto"/>
              <w:rPr>
                <w:rFonts w:ascii="Arial"/>
                <w:sz w:val="21"/>
              </w:rPr>
            </w:pPr>
          </w:p>
          <w:p w14:paraId="3B4CB043">
            <w:pPr>
              <w:spacing w:line="243" w:lineRule="auto"/>
              <w:rPr>
                <w:rFonts w:ascii="Arial"/>
                <w:sz w:val="21"/>
              </w:rPr>
            </w:pPr>
          </w:p>
          <w:p w14:paraId="09EB7A16">
            <w:pPr>
              <w:spacing w:line="243" w:lineRule="auto"/>
              <w:rPr>
                <w:rFonts w:ascii="Arial"/>
                <w:sz w:val="21"/>
              </w:rPr>
            </w:pPr>
          </w:p>
          <w:p w14:paraId="26A01BC3">
            <w:pPr>
              <w:spacing w:line="243" w:lineRule="auto"/>
              <w:rPr>
                <w:rFonts w:ascii="Arial"/>
                <w:sz w:val="21"/>
              </w:rPr>
            </w:pPr>
          </w:p>
          <w:p w14:paraId="03F699B8">
            <w:pPr>
              <w:spacing w:line="243" w:lineRule="auto"/>
              <w:rPr>
                <w:rFonts w:ascii="Arial"/>
                <w:sz w:val="21"/>
              </w:rPr>
            </w:pPr>
          </w:p>
          <w:p w14:paraId="4D7F0CD4">
            <w:pPr>
              <w:spacing w:before="60" w:line="233" w:lineRule="auto"/>
              <w:ind w:left="1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2.1.2</w:t>
            </w:r>
          </w:p>
        </w:tc>
        <w:tc>
          <w:tcPr>
            <w:tcW w:w="1058" w:type="dxa"/>
            <w:vMerge w:val="restart"/>
            <w:tcBorders>
              <w:bottom w:val="nil"/>
            </w:tcBorders>
            <w:vAlign w:val="top"/>
          </w:tcPr>
          <w:p w14:paraId="5B3368EB">
            <w:pPr>
              <w:spacing w:line="246" w:lineRule="auto"/>
              <w:rPr>
                <w:rFonts w:ascii="Arial"/>
                <w:sz w:val="21"/>
              </w:rPr>
            </w:pPr>
          </w:p>
          <w:p w14:paraId="69C69C30">
            <w:pPr>
              <w:spacing w:line="246" w:lineRule="auto"/>
              <w:rPr>
                <w:rFonts w:ascii="Arial"/>
                <w:sz w:val="21"/>
              </w:rPr>
            </w:pPr>
          </w:p>
          <w:p w14:paraId="2AA771D9">
            <w:pPr>
              <w:spacing w:line="246" w:lineRule="auto"/>
              <w:rPr>
                <w:rFonts w:ascii="Arial"/>
                <w:sz w:val="21"/>
              </w:rPr>
            </w:pPr>
          </w:p>
          <w:p w14:paraId="44FF7841">
            <w:pPr>
              <w:spacing w:line="246" w:lineRule="auto"/>
              <w:rPr>
                <w:rFonts w:ascii="Arial"/>
                <w:sz w:val="21"/>
              </w:rPr>
            </w:pPr>
          </w:p>
          <w:p w14:paraId="61312BF0">
            <w:pPr>
              <w:spacing w:line="247" w:lineRule="auto"/>
              <w:rPr>
                <w:rFonts w:ascii="Arial"/>
                <w:sz w:val="21"/>
              </w:rPr>
            </w:pPr>
          </w:p>
          <w:p w14:paraId="7F8190BE">
            <w:pPr>
              <w:spacing w:line="247" w:lineRule="auto"/>
              <w:rPr>
                <w:rFonts w:ascii="Arial"/>
                <w:sz w:val="21"/>
              </w:rPr>
            </w:pPr>
          </w:p>
          <w:p w14:paraId="68572E0C">
            <w:pPr>
              <w:spacing w:line="247" w:lineRule="auto"/>
              <w:rPr>
                <w:rFonts w:ascii="Arial"/>
                <w:sz w:val="21"/>
              </w:rPr>
            </w:pPr>
          </w:p>
          <w:p w14:paraId="0A7639F9">
            <w:pPr>
              <w:pStyle w:val="11"/>
              <w:spacing w:before="68" w:line="371" w:lineRule="auto"/>
              <w:ind w:left="321" w:right="316" w:firstLine="9"/>
              <w:jc w:val="both"/>
            </w:pPr>
            <w:r>
              <w:rPr>
                <w:spacing w:val="-8"/>
              </w:rPr>
              <w:t>资格</w:t>
            </w:r>
            <w:r>
              <w:rPr>
                <w:spacing w:val="-3"/>
              </w:rPr>
              <w:t>评审标准</w:t>
            </w:r>
          </w:p>
        </w:tc>
        <w:tc>
          <w:tcPr>
            <w:tcW w:w="2339" w:type="dxa"/>
            <w:vAlign w:val="top"/>
          </w:tcPr>
          <w:p w14:paraId="73068C74">
            <w:pPr>
              <w:pStyle w:val="11"/>
              <w:spacing w:before="174" w:line="221" w:lineRule="auto"/>
              <w:ind w:left="118"/>
            </w:pPr>
            <w:r>
              <w:rPr>
                <w:spacing w:val="-3"/>
              </w:rPr>
              <w:t>营业执照</w:t>
            </w:r>
          </w:p>
        </w:tc>
        <w:tc>
          <w:tcPr>
            <w:tcW w:w="4793" w:type="dxa"/>
            <w:vAlign w:val="top"/>
          </w:tcPr>
          <w:p w14:paraId="2BC533DC">
            <w:pPr>
              <w:pStyle w:val="11"/>
              <w:spacing w:before="174" w:line="221" w:lineRule="auto"/>
              <w:ind w:left="117"/>
            </w:pPr>
            <w:r>
              <w:rPr>
                <w:spacing w:val="-1"/>
              </w:rPr>
              <w:t>具备有效的营业执照</w:t>
            </w:r>
          </w:p>
        </w:tc>
      </w:tr>
      <w:tr w14:paraId="1D6F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1D201621">
            <w:pPr>
              <w:rPr>
                <w:rFonts w:ascii="Arial"/>
                <w:sz w:val="21"/>
              </w:rPr>
            </w:pPr>
          </w:p>
        </w:tc>
        <w:tc>
          <w:tcPr>
            <w:tcW w:w="1058" w:type="dxa"/>
            <w:vMerge w:val="continue"/>
            <w:tcBorders>
              <w:top w:val="nil"/>
              <w:bottom w:val="nil"/>
            </w:tcBorders>
            <w:vAlign w:val="top"/>
          </w:tcPr>
          <w:p w14:paraId="6FBA6FB5">
            <w:pPr>
              <w:rPr>
                <w:rFonts w:ascii="Arial"/>
                <w:sz w:val="21"/>
              </w:rPr>
            </w:pPr>
          </w:p>
        </w:tc>
        <w:tc>
          <w:tcPr>
            <w:tcW w:w="2339" w:type="dxa"/>
            <w:vAlign w:val="top"/>
          </w:tcPr>
          <w:p w14:paraId="20F0702B">
            <w:pPr>
              <w:pStyle w:val="11"/>
              <w:spacing w:before="174" w:line="221" w:lineRule="auto"/>
              <w:ind w:left="116"/>
            </w:pPr>
            <w:r>
              <w:rPr>
                <w:spacing w:val="-2"/>
              </w:rPr>
              <w:t>安全生产许可证</w:t>
            </w:r>
          </w:p>
        </w:tc>
        <w:tc>
          <w:tcPr>
            <w:tcW w:w="4793" w:type="dxa"/>
            <w:vAlign w:val="top"/>
          </w:tcPr>
          <w:p w14:paraId="6F2E0449">
            <w:pPr>
              <w:pStyle w:val="11"/>
              <w:spacing w:before="174" w:line="221" w:lineRule="auto"/>
              <w:ind w:left="117"/>
            </w:pPr>
            <w:r>
              <w:rPr>
                <w:spacing w:val="-1"/>
              </w:rPr>
              <w:t>具备有效的安全生产许可证</w:t>
            </w:r>
          </w:p>
        </w:tc>
      </w:tr>
      <w:tr w14:paraId="74F9B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continue"/>
            <w:tcBorders>
              <w:top w:val="nil"/>
              <w:bottom w:val="nil"/>
            </w:tcBorders>
            <w:vAlign w:val="top"/>
          </w:tcPr>
          <w:p w14:paraId="08C6179D">
            <w:pPr>
              <w:rPr>
                <w:rFonts w:ascii="Arial"/>
                <w:sz w:val="21"/>
              </w:rPr>
            </w:pPr>
          </w:p>
        </w:tc>
        <w:tc>
          <w:tcPr>
            <w:tcW w:w="1058" w:type="dxa"/>
            <w:vMerge w:val="continue"/>
            <w:tcBorders>
              <w:top w:val="nil"/>
              <w:bottom w:val="nil"/>
            </w:tcBorders>
            <w:vAlign w:val="top"/>
          </w:tcPr>
          <w:p w14:paraId="21BFDEC6">
            <w:pPr>
              <w:rPr>
                <w:rFonts w:ascii="Arial"/>
                <w:sz w:val="21"/>
              </w:rPr>
            </w:pPr>
          </w:p>
        </w:tc>
        <w:tc>
          <w:tcPr>
            <w:tcW w:w="2339" w:type="dxa"/>
            <w:vAlign w:val="top"/>
          </w:tcPr>
          <w:p w14:paraId="5B50B12B">
            <w:pPr>
              <w:pStyle w:val="11"/>
              <w:spacing w:before="176" w:line="221" w:lineRule="auto"/>
              <w:ind w:left="121"/>
            </w:pPr>
            <w:r>
              <w:rPr>
                <w:spacing w:val="-4"/>
              </w:rPr>
              <w:t>资质等级</w:t>
            </w:r>
          </w:p>
        </w:tc>
        <w:tc>
          <w:tcPr>
            <w:tcW w:w="4793" w:type="dxa"/>
            <w:vAlign w:val="top"/>
          </w:tcPr>
          <w:p w14:paraId="2FA05DDA">
            <w:pPr>
              <w:pStyle w:val="11"/>
              <w:spacing w:before="176"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4CFB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1AF33FAE">
            <w:pPr>
              <w:rPr>
                <w:rFonts w:ascii="Arial"/>
                <w:sz w:val="21"/>
              </w:rPr>
            </w:pPr>
          </w:p>
        </w:tc>
        <w:tc>
          <w:tcPr>
            <w:tcW w:w="1058" w:type="dxa"/>
            <w:vMerge w:val="continue"/>
            <w:tcBorders>
              <w:top w:val="nil"/>
              <w:bottom w:val="nil"/>
            </w:tcBorders>
            <w:vAlign w:val="top"/>
          </w:tcPr>
          <w:p w14:paraId="10A29A52">
            <w:pPr>
              <w:rPr>
                <w:rFonts w:ascii="Arial"/>
                <w:sz w:val="21"/>
              </w:rPr>
            </w:pPr>
          </w:p>
        </w:tc>
        <w:tc>
          <w:tcPr>
            <w:tcW w:w="2339" w:type="dxa"/>
            <w:vAlign w:val="top"/>
          </w:tcPr>
          <w:p w14:paraId="0B057C2E">
            <w:pPr>
              <w:pStyle w:val="11"/>
              <w:spacing w:before="175" w:line="220" w:lineRule="auto"/>
              <w:ind w:left="111"/>
            </w:pPr>
            <w:r>
              <w:rPr>
                <w:spacing w:val="-2"/>
              </w:rPr>
              <w:t>信誉</w:t>
            </w:r>
          </w:p>
        </w:tc>
        <w:tc>
          <w:tcPr>
            <w:tcW w:w="4793" w:type="dxa"/>
            <w:vAlign w:val="top"/>
          </w:tcPr>
          <w:p w14:paraId="72CA2773">
            <w:pPr>
              <w:pStyle w:val="11"/>
              <w:spacing w:before="175"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61A6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2A7D5E64">
            <w:pPr>
              <w:rPr>
                <w:rFonts w:ascii="Arial"/>
                <w:sz w:val="21"/>
              </w:rPr>
            </w:pPr>
          </w:p>
        </w:tc>
        <w:tc>
          <w:tcPr>
            <w:tcW w:w="1058" w:type="dxa"/>
            <w:vMerge w:val="continue"/>
            <w:tcBorders>
              <w:top w:val="nil"/>
              <w:bottom w:val="nil"/>
            </w:tcBorders>
            <w:vAlign w:val="top"/>
          </w:tcPr>
          <w:p w14:paraId="102EE91F">
            <w:pPr>
              <w:rPr>
                <w:rFonts w:ascii="Arial"/>
                <w:sz w:val="21"/>
              </w:rPr>
            </w:pPr>
          </w:p>
        </w:tc>
        <w:tc>
          <w:tcPr>
            <w:tcW w:w="2339" w:type="dxa"/>
            <w:vAlign w:val="top"/>
          </w:tcPr>
          <w:p w14:paraId="51CEE223">
            <w:pPr>
              <w:pStyle w:val="11"/>
              <w:spacing w:before="175" w:line="221" w:lineRule="auto"/>
              <w:ind w:left="115"/>
            </w:pPr>
            <w:r>
              <w:rPr>
                <w:spacing w:val="-2"/>
              </w:rPr>
              <w:t>项目经理资格</w:t>
            </w:r>
          </w:p>
        </w:tc>
        <w:tc>
          <w:tcPr>
            <w:tcW w:w="4793" w:type="dxa"/>
            <w:vAlign w:val="top"/>
          </w:tcPr>
          <w:p w14:paraId="163F9EE2">
            <w:pPr>
              <w:pStyle w:val="11"/>
              <w:spacing w:before="175"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420B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continue"/>
            <w:tcBorders>
              <w:top w:val="nil"/>
              <w:bottom w:val="nil"/>
            </w:tcBorders>
            <w:vAlign w:val="top"/>
          </w:tcPr>
          <w:p w14:paraId="74DB79EA">
            <w:pPr>
              <w:rPr>
                <w:rFonts w:ascii="Arial"/>
                <w:sz w:val="21"/>
              </w:rPr>
            </w:pPr>
          </w:p>
        </w:tc>
        <w:tc>
          <w:tcPr>
            <w:tcW w:w="1058" w:type="dxa"/>
            <w:vMerge w:val="continue"/>
            <w:tcBorders>
              <w:top w:val="nil"/>
              <w:bottom w:val="nil"/>
            </w:tcBorders>
            <w:vAlign w:val="top"/>
          </w:tcPr>
          <w:p w14:paraId="503453E7">
            <w:pPr>
              <w:rPr>
                <w:rFonts w:ascii="Arial"/>
                <w:sz w:val="21"/>
              </w:rPr>
            </w:pPr>
          </w:p>
        </w:tc>
        <w:tc>
          <w:tcPr>
            <w:tcW w:w="2339" w:type="dxa"/>
            <w:vAlign w:val="top"/>
          </w:tcPr>
          <w:p w14:paraId="0244C3A8">
            <w:pPr>
              <w:pStyle w:val="11"/>
              <w:spacing w:before="178" w:line="221" w:lineRule="auto"/>
              <w:ind w:left="111"/>
            </w:pPr>
            <w:r>
              <w:rPr>
                <w:spacing w:val="-2"/>
              </w:rPr>
              <w:t>业绩</w:t>
            </w:r>
          </w:p>
        </w:tc>
        <w:tc>
          <w:tcPr>
            <w:tcW w:w="4793" w:type="dxa"/>
            <w:vAlign w:val="top"/>
          </w:tcPr>
          <w:p w14:paraId="12A6D115">
            <w:pPr>
              <w:pStyle w:val="11"/>
              <w:spacing w:before="177"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25C6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nil"/>
              <w:bottom w:val="nil"/>
            </w:tcBorders>
            <w:vAlign w:val="top"/>
          </w:tcPr>
          <w:p w14:paraId="0AF13F9A">
            <w:pPr>
              <w:rPr>
                <w:rFonts w:ascii="Arial"/>
                <w:sz w:val="21"/>
              </w:rPr>
            </w:pPr>
          </w:p>
        </w:tc>
        <w:tc>
          <w:tcPr>
            <w:tcW w:w="1058" w:type="dxa"/>
            <w:vMerge w:val="continue"/>
            <w:tcBorders>
              <w:top w:val="nil"/>
              <w:bottom w:val="nil"/>
            </w:tcBorders>
            <w:vAlign w:val="top"/>
          </w:tcPr>
          <w:p w14:paraId="6F0514C1">
            <w:pPr>
              <w:rPr>
                <w:rFonts w:ascii="Arial"/>
                <w:sz w:val="21"/>
              </w:rPr>
            </w:pPr>
          </w:p>
        </w:tc>
        <w:tc>
          <w:tcPr>
            <w:tcW w:w="2339" w:type="dxa"/>
            <w:vAlign w:val="top"/>
          </w:tcPr>
          <w:p w14:paraId="77AF12B7">
            <w:pPr>
              <w:pStyle w:val="11"/>
              <w:spacing w:before="159" w:line="297" w:lineRule="auto"/>
              <w:ind w:left="112" w:right="105" w:firstLine="2"/>
            </w:pPr>
            <w:r>
              <w:rPr>
                <w:spacing w:val="1"/>
              </w:rPr>
              <w:t>项目管理机构主要人员</w:t>
            </w:r>
            <w:r>
              <w:rPr>
                <w:spacing w:val="-2"/>
              </w:rPr>
              <w:t>要求</w:t>
            </w:r>
          </w:p>
        </w:tc>
        <w:tc>
          <w:tcPr>
            <w:tcW w:w="4793" w:type="dxa"/>
            <w:vAlign w:val="top"/>
          </w:tcPr>
          <w:p w14:paraId="7CE7C4C5">
            <w:pPr>
              <w:spacing w:line="298" w:lineRule="auto"/>
              <w:rPr>
                <w:rFonts w:ascii="Arial"/>
                <w:sz w:val="21"/>
              </w:rPr>
            </w:pPr>
          </w:p>
          <w:p w14:paraId="6539054A">
            <w:pPr>
              <w:pStyle w:val="11"/>
              <w:spacing w:before="68"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589A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1545208F">
            <w:pPr>
              <w:rPr>
                <w:rFonts w:ascii="Arial"/>
                <w:sz w:val="21"/>
              </w:rPr>
            </w:pPr>
          </w:p>
        </w:tc>
        <w:tc>
          <w:tcPr>
            <w:tcW w:w="1058" w:type="dxa"/>
            <w:vMerge w:val="continue"/>
            <w:tcBorders>
              <w:top w:val="nil"/>
              <w:bottom w:val="nil"/>
            </w:tcBorders>
            <w:vAlign w:val="top"/>
          </w:tcPr>
          <w:p w14:paraId="11314F1D">
            <w:pPr>
              <w:rPr>
                <w:rFonts w:ascii="Arial"/>
                <w:sz w:val="21"/>
              </w:rPr>
            </w:pPr>
          </w:p>
        </w:tc>
        <w:tc>
          <w:tcPr>
            <w:tcW w:w="2339" w:type="dxa"/>
            <w:vAlign w:val="top"/>
          </w:tcPr>
          <w:p w14:paraId="32C38F95">
            <w:pPr>
              <w:pStyle w:val="11"/>
              <w:spacing w:before="176" w:line="221" w:lineRule="auto"/>
              <w:ind w:left="112"/>
            </w:pPr>
            <w:r>
              <w:rPr>
                <w:spacing w:val="-2"/>
              </w:rPr>
              <w:t>其他要求</w:t>
            </w:r>
          </w:p>
        </w:tc>
        <w:tc>
          <w:tcPr>
            <w:tcW w:w="4793" w:type="dxa"/>
            <w:vAlign w:val="top"/>
          </w:tcPr>
          <w:p w14:paraId="373D496A">
            <w:pPr>
              <w:pStyle w:val="11"/>
              <w:spacing w:before="176"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1.4.1 </w:t>
            </w:r>
            <w:r>
              <w:rPr>
                <w:spacing w:val="-2"/>
              </w:rPr>
              <w:t>项规定</w:t>
            </w:r>
          </w:p>
        </w:tc>
      </w:tr>
      <w:tr w14:paraId="14C84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6" w:type="dxa"/>
            <w:vMerge w:val="continue"/>
            <w:tcBorders>
              <w:top w:val="nil"/>
            </w:tcBorders>
            <w:vAlign w:val="top"/>
          </w:tcPr>
          <w:p w14:paraId="3D592571">
            <w:pPr>
              <w:rPr>
                <w:rFonts w:ascii="Arial"/>
                <w:sz w:val="21"/>
              </w:rPr>
            </w:pPr>
          </w:p>
        </w:tc>
        <w:tc>
          <w:tcPr>
            <w:tcW w:w="1058" w:type="dxa"/>
            <w:vMerge w:val="continue"/>
            <w:tcBorders>
              <w:top w:val="nil"/>
            </w:tcBorders>
            <w:vAlign w:val="top"/>
          </w:tcPr>
          <w:p w14:paraId="1DF1CB9A">
            <w:pPr>
              <w:rPr>
                <w:rFonts w:ascii="Arial"/>
                <w:sz w:val="21"/>
              </w:rPr>
            </w:pPr>
          </w:p>
        </w:tc>
        <w:tc>
          <w:tcPr>
            <w:tcW w:w="2339" w:type="dxa"/>
            <w:vAlign w:val="top"/>
          </w:tcPr>
          <w:p w14:paraId="48909038">
            <w:pPr>
              <w:pStyle w:val="11"/>
              <w:spacing w:before="176" w:line="221" w:lineRule="auto"/>
              <w:ind w:left="112"/>
            </w:pPr>
            <w:r>
              <w:rPr>
                <w:spacing w:val="-1"/>
              </w:rPr>
              <w:t>联合体投投人（如有）</w:t>
            </w:r>
          </w:p>
        </w:tc>
        <w:tc>
          <w:tcPr>
            <w:tcW w:w="4793" w:type="dxa"/>
            <w:vAlign w:val="top"/>
          </w:tcPr>
          <w:p w14:paraId="6334EE82">
            <w:pPr>
              <w:pStyle w:val="11"/>
              <w:spacing w:before="176"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1.4.2 </w:t>
            </w:r>
            <w:r>
              <w:rPr>
                <w:spacing w:val="-2"/>
              </w:rPr>
              <w:t>项规定</w:t>
            </w:r>
          </w:p>
        </w:tc>
      </w:tr>
    </w:tbl>
    <w:p w14:paraId="1A735C42">
      <w:pPr>
        <w:pStyle w:val="5"/>
      </w:pPr>
    </w:p>
    <w:p w14:paraId="237C862C">
      <w:pPr>
        <w:sectPr>
          <w:footerReference r:id="rId53" w:type="default"/>
          <w:pgSz w:w="11905" w:h="16843"/>
          <w:pgMar w:top="969" w:right="1355" w:bottom="1026" w:left="1480" w:header="0" w:footer="754" w:gutter="0"/>
          <w:cols w:space="0" w:num="1"/>
          <w:rtlGutter w:val="0"/>
          <w:docGrid w:linePitch="0" w:charSpace="0"/>
        </w:sectPr>
      </w:pPr>
    </w:p>
    <w:p w14:paraId="71DD80BF">
      <w:pPr>
        <w:spacing w:before="19"/>
      </w:pPr>
    </w:p>
    <w:p w14:paraId="545C9960">
      <w:pPr>
        <w:spacing w:before="19"/>
      </w:pPr>
    </w:p>
    <w:p w14:paraId="65C71EF8">
      <w:pPr>
        <w:spacing w:before="19"/>
      </w:pPr>
    </w:p>
    <w:p w14:paraId="003BDAE7">
      <w:pPr>
        <w:spacing w:before="19"/>
      </w:pPr>
    </w:p>
    <w:p w14:paraId="0C5631B2">
      <w:pPr>
        <w:spacing w:before="18"/>
      </w:pPr>
    </w:p>
    <w:tbl>
      <w:tblPr>
        <w:tblStyle w:val="1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058"/>
        <w:gridCol w:w="2085"/>
        <w:gridCol w:w="254"/>
        <w:gridCol w:w="4793"/>
      </w:tblGrid>
      <w:tr w14:paraId="7FC0A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46" w:type="dxa"/>
            <w:vAlign w:val="top"/>
          </w:tcPr>
          <w:p w14:paraId="63743686">
            <w:pPr>
              <w:rPr>
                <w:rFonts w:ascii="Arial"/>
                <w:sz w:val="21"/>
              </w:rPr>
            </w:pPr>
          </w:p>
        </w:tc>
        <w:tc>
          <w:tcPr>
            <w:tcW w:w="1058" w:type="dxa"/>
            <w:vAlign w:val="top"/>
          </w:tcPr>
          <w:p w14:paraId="315B799E">
            <w:pPr>
              <w:rPr>
                <w:rFonts w:ascii="Arial"/>
                <w:sz w:val="21"/>
              </w:rPr>
            </w:pPr>
          </w:p>
        </w:tc>
        <w:tc>
          <w:tcPr>
            <w:tcW w:w="2339" w:type="dxa"/>
            <w:gridSpan w:val="2"/>
            <w:vAlign w:val="top"/>
          </w:tcPr>
          <w:p w14:paraId="3218CF7B">
            <w:pPr>
              <w:spacing w:line="297" w:lineRule="auto"/>
              <w:rPr>
                <w:rFonts w:ascii="Arial"/>
                <w:sz w:val="21"/>
              </w:rPr>
            </w:pPr>
          </w:p>
          <w:p w14:paraId="71CDF8F2">
            <w:pPr>
              <w:pStyle w:val="11"/>
              <w:spacing w:before="68" w:line="221" w:lineRule="auto"/>
              <w:ind w:left="115"/>
            </w:pPr>
            <w:bookmarkStart w:id="127" w:name="bookmark506"/>
            <w:bookmarkEnd w:id="127"/>
            <w:r>
              <w:rPr>
                <w:spacing w:val="-1"/>
              </w:rPr>
              <w:t>不存在禁止投标的情形</w:t>
            </w:r>
          </w:p>
        </w:tc>
        <w:tc>
          <w:tcPr>
            <w:tcW w:w="4793" w:type="dxa"/>
            <w:vAlign w:val="top"/>
          </w:tcPr>
          <w:p w14:paraId="16DB3B76">
            <w:pPr>
              <w:pStyle w:val="11"/>
              <w:spacing w:before="158" w:line="299" w:lineRule="auto"/>
              <w:ind w:left="116" w:right="102"/>
            </w:pPr>
            <w:r>
              <w:rPr>
                <w:spacing w:val="-2"/>
              </w:rPr>
              <w:t xml:space="preserve">不存在第二章“投标人须知”第 </w:t>
            </w:r>
            <w:r>
              <w:rPr>
                <w:rFonts w:ascii="Times New Roman" w:hAnsi="Times New Roman" w:eastAsia="Times New Roman" w:cs="Times New Roman"/>
                <w:spacing w:val="-2"/>
              </w:rPr>
              <w:t>1.4.3</w:t>
            </w:r>
            <w:r>
              <w:rPr>
                <w:rFonts w:ascii="Times New Roman" w:hAnsi="Times New Roman" w:eastAsia="Times New Roman" w:cs="Times New Roman"/>
                <w:spacing w:val="50"/>
              </w:rPr>
              <w:t xml:space="preserve"> </w:t>
            </w:r>
            <w:r>
              <w:rPr>
                <w:spacing w:val="-2"/>
              </w:rPr>
              <w:t>项规定的任何一种情形</w:t>
            </w:r>
          </w:p>
        </w:tc>
      </w:tr>
      <w:tr w14:paraId="4658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restart"/>
            <w:tcBorders>
              <w:bottom w:val="nil"/>
            </w:tcBorders>
            <w:vAlign w:val="top"/>
          </w:tcPr>
          <w:p w14:paraId="225EAD99">
            <w:pPr>
              <w:spacing w:line="251" w:lineRule="auto"/>
              <w:rPr>
                <w:rFonts w:ascii="Arial"/>
                <w:sz w:val="21"/>
              </w:rPr>
            </w:pPr>
          </w:p>
          <w:p w14:paraId="45896724">
            <w:pPr>
              <w:spacing w:line="251" w:lineRule="auto"/>
              <w:rPr>
                <w:rFonts w:ascii="Arial"/>
                <w:sz w:val="21"/>
              </w:rPr>
            </w:pPr>
          </w:p>
          <w:p w14:paraId="2D9CCE8E">
            <w:pPr>
              <w:spacing w:line="251" w:lineRule="auto"/>
              <w:rPr>
                <w:rFonts w:ascii="Arial"/>
                <w:sz w:val="21"/>
              </w:rPr>
            </w:pPr>
          </w:p>
          <w:p w14:paraId="43E4A56A">
            <w:pPr>
              <w:spacing w:line="251" w:lineRule="auto"/>
              <w:rPr>
                <w:rFonts w:ascii="Arial"/>
                <w:sz w:val="21"/>
              </w:rPr>
            </w:pPr>
          </w:p>
          <w:p w14:paraId="54151E61">
            <w:pPr>
              <w:spacing w:line="251" w:lineRule="auto"/>
              <w:rPr>
                <w:rFonts w:ascii="Arial"/>
                <w:sz w:val="21"/>
              </w:rPr>
            </w:pPr>
          </w:p>
          <w:p w14:paraId="7C9EF867">
            <w:pPr>
              <w:spacing w:line="251" w:lineRule="auto"/>
              <w:rPr>
                <w:rFonts w:ascii="Arial"/>
                <w:sz w:val="21"/>
              </w:rPr>
            </w:pPr>
          </w:p>
          <w:p w14:paraId="3B12674E">
            <w:pPr>
              <w:spacing w:line="251" w:lineRule="auto"/>
              <w:rPr>
                <w:rFonts w:ascii="Arial"/>
                <w:sz w:val="21"/>
              </w:rPr>
            </w:pPr>
          </w:p>
          <w:p w14:paraId="45176D4D">
            <w:pPr>
              <w:spacing w:line="251" w:lineRule="auto"/>
              <w:rPr>
                <w:rFonts w:ascii="Arial"/>
                <w:sz w:val="21"/>
              </w:rPr>
            </w:pPr>
          </w:p>
          <w:p w14:paraId="6C99386D">
            <w:pPr>
              <w:spacing w:line="251" w:lineRule="auto"/>
              <w:rPr>
                <w:rFonts w:ascii="Arial"/>
                <w:sz w:val="21"/>
              </w:rPr>
            </w:pPr>
          </w:p>
          <w:p w14:paraId="032D9EC4">
            <w:pPr>
              <w:spacing w:line="251" w:lineRule="auto"/>
              <w:rPr>
                <w:rFonts w:ascii="Arial"/>
                <w:sz w:val="21"/>
              </w:rPr>
            </w:pPr>
          </w:p>
          <w:p w14:paraId="7CE4CEAB">
            <w:pPr>
              <w:spacing w:line="252" w:lineRule="auto"/>
              <w:rPr>
                <w:rFonts w:ascii="Arial"/>
                <w:sz w:val="21"/>
              </w:rPr>
            </w:pPr>
          </w:p>
          <w:p w14:paraId="734CC3A9">
            <w:pPr>
              <w:spacing w:line="252" w:lineRule="auto"/>
              <w:rPr>
                <w:rFonts w:ascii="Arial"/>
                <w:sz w:val="21"/>
              </w:rPr>
            </w:pPr>
          </w:p>
          <w:p w14:paraId="13A4D939">
            <w:pPr>
              <w:spacing w:line="252" w:lineRule="auto"/>
              <w:rPr>
                <w:rFonts w:ascii="Arial"/>
                <w:sz w:val="21"/>
              </w:rPr>
            </w:pPr>
          </w:p>
          <w:p w14:paraId="4E33E14D">
            <w:pPr>
              <w:spacing w:before="60" w:line="233" w:lineRule="auto"/>
              <w:ind w:left="1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2.1.3</w:t>
            </w:r>
          </w:p>
        </w:tc>
        <w:tc>
          <w:tcPr>
            <w:tcW w:w="1058" w:type="dxa"/>
            <w:vMerge w:val="restart"/>
            <w:tcBorders>
              <w:bottom w:val="nil"/>
            </w:tcBorders>
            <w:vAlign w:val="top"/>
          </w:tcPr>
          <w:p w14:paraId="77BA106E">
            <w:pPr>
              <w:spacing w:line="251" w:lineRule="auto"/>
              <w:rPr>
                <w:rFonts w:ascii="Arial"/>
                <w:sz w:val="21"/>
              </w:rPr>
            </w:pPr>
          </w:p>
          <w:p w14:paraId="5F231218">
            <w:pPr>
              <w:spacing w:line="251" w:lineRule="auto"/>
              <w:rPr>
                <w:rFonts w:ascii="Arial"/>
                <w:sz w:val="21"/>
              </w:rPr>
            </w:pPr>
          </w:p>
          <w:p w14:paraId="47371239">
            <w:pPr>
              <w:spacing w:line="251" w:lineRule="auto"/>
              <w:rPr>
                <w:rFonts w:ascii="Arial"/>
                <w:sz w:val="21"/>
              </w:rPr>
            </w:pPr>
          </w:p>
          <w:p w14:paraId="7CD0FBD2">
            <w:pPr>
              <w:spacing w:line="251" w:lineRule="auto"/>
              <w:rPr>
                <w:rFonts w:ascii="Arial"/>
                <w:sz w:val="21"/>
              </w:rPr>
            </w:pPr>
          </w:p>
          <w:p w14:paraId="745BE7E6">
            <w:pPr>
              <w:spacing w:line="251" w:lineRule="auto"/>
              <w:rPr>
                <w:rFonts w:ascii="Arial"/>
                <w:sz w:val="21"/>
              </w:rPr>
            </w:pPr>
          </w:p>
          <w:p w14:paraId="4ED97172">
            <w:pPr>
              <w:spacing w:line="251" w:lineRule="auto"/>
              <w:rPr>
                <w:rFonts w:ascii="Arial"/>
                <w:sz w:val="21"/>
              </w:rPr>
            </w:pPr>
          </w:p>
          <w:p w14:paraId="5FB08CE1">
            <w:pPr>
              <w:spacing w:line="251" w:lineRule="auto"/>
              <w:rPr>
                <w:rFonts w:ascii="Arial"/>
                <w:sz w:val="21"/>
              </w:rPr>
            </w:pPr>
          </w:p>
          <w:p w14:paraId="077B00C9">
            <w:pPr>
              <w:spacing w:line="251" w:lineRule="auto"/>
              <w:rPr>
                <w:rFonts w:ascii="Arial"/>
                <w:sz w:val="21"/>
              </w:rPr>
            </w:pPr>
          </w:p>
          <w:p w14:paraId="411177C0">
            <w:pPr>
              <w:spacing w:line="251" w:lineRule="auto"/>
              <w:rPr>
                <w:rFonts w:ascii="Arial"/>
                <w:sz w:val="21"/>
              </w:rPr>
            </w:pPr>
          </w:p>
          <w:p w14:paraId="3D95380C">
            <w:pPr>
              <w:spacing w:line="251" w:lineRule="auto"/>
              <w:rPr>
                <w:rFonts w:ascii="Arial"/>
                <w:sz w:val="21"/>
              </w:rPr>
            </w:pPr>
          </w:p>
          <w:p w14:paraId="21AA35D8">
            <w:pPr>
              <w:spacing w:line="251" w:lineRule="auto"/>
              <w:rPr>
                <w:rFonts w:ascii="Arial"/>
                <w:sz w:val="21"/>
              </w:rPr>
            </w:pPr>
          </w:p>
          <w:p w14:paraId="09E03CB3">
            <w:pPr>
              <w:spacing w:line="251" w:lineRule="auto"/>
              <w:rPr>
                <w:rFonts w:ascii="Arial"/>
                <w:sz w:val="21"/>
              </w:rPr>
            </w:pPr>
          </w:p>
          <w:p w14:paraId="5AE07AD0">
            <w:pPr>
              <w:pStyle w:val="11"/>
              <w:spacing w:before="68" w:line="372" w:lineRule="auto"/>
              <w:ind w:left="110" w:right="107" w:firstLine="11"/>
            </w:pPr>
            <w:r>
              <w:rPr>
                <w:spacing w:val="-12"/>
              </w:rPr>
              <w:t>响</w:t>
            </w:r>
            <w:r>
              <w:rPr>
                <w:spacing w:val="9"/>
              </w:rPr>
              <w:t xml:space="preserve"> </w:t>
            </w:r>
            <w:r>
              <w:rPr>
                <w:spacing w:val="-12"/>
              </w:rPr>
              <w:t>应</w:t>
            </w:r>
            <w:r>
              <w:rPr>
                <w:spacing w:val="9"/>
              </w:rPr>
              <w:t xml:space="preserve"> </w:t>
            </w:r>
            <w:r>
              <w:rPr>
                <w:spacing w:val="-12"/>
              </w:rPr>
              <w:t>性</w:t>
            </w:r>
            <w:r>
              <w:rPr>
                <w:spacing w:val="-2"/>
              </w:rPr>
              <w:t>评审标准</w:t>
            </w:r>
          </w:p>
        </w:tc>
        <w:tc>
          <w:tcPr>
            <w:tcW w:w="2339" w:type="dxa"/>
            <w:gridSpan w:val="2"/>
            <w:vAlign w:val="top"/>
          </w:tcPr>
          <w:p w14:paraId="46C8143D">
            <w:pPr>
              <w:pStyle w:val="11"/>
              <w:spacing w:before="171" w:line="221" w:lineRule="auto"/>
              <w:ind w:left="114"/>
            </w:pPr>
            <w:r>
              <w:rPr>
                <w:spacing w:val="-2"/>
              </w:rPr>
              <w:t>投标内容</w:t>
            </w:r>
          </w:p>
        </w:tc>
        <w:tc>
          <w:tcPr>
            <w:tcW w:w="4793" w:type="dxa"/>
            <w:vAlign w:val="top"/>
          </w:tcPr>
          <w:p w14:paraId="5AD1125A">
            <w:pPr>
              <w:pStyle w:val="11"/>
              <w:spacing w:before="171"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1.3.1 </w:t>
            </w:r>
            <w:r>
              <w:rPr>
                <w:spacing w:val="-2"/>
              </w:rPr>
              <w:t>项规定</w:t>
            </w:r>
          </w:p>
        </w:tc>
      </w:tr>
      <w:tr w14:paraId="1A19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46" w:type="dxa"/>
            <w:vMerge w:val="continue"/>
            <w:tcBorders>
              <w:top w:val="nil"/>
              <w:bottom w:val="nil"/>
            </w:tcBorders>
            <w:vAlign w:val="top"/>
          </w:tcPr>
          <w:p w14:paraId="2BF2148A">
            <w:pPr>
              <w:rPr>
                <w:rFonts w:ascii="Arial"/>
                <w:sz w:val="21"/>
              </w:rPr>
            </w:pPr>
          </w:p>
        </w:tc>
        <w:tc>
          <w:tcPr>
            <w:tcW w:w="1058" w:type="dxa"/>
            <w:vMerge w:val="continue"/>
            <w:tcBorders>
              <w:top w:val="nil"/>
              <w:bottom w:val="nil"/>
            </w:tcBorders>
            <w:vAlign w:val="top"/>
          </w:tcPr>
          <w:p w14:paraId="2E30DF4F">
            <w:pPr>
              <w:rPr>
                <w:rFonts w:ascii="Arial"/>
                <w:sz w:val="21"/>
              </w:rPr>
            </w:pPr>
          </w:p>
        </w:tc>
        <w:tc>
          <w:tcPr>
            <w:tcW w:w="2339" w:type="dxa"/>
            <w:gridSpan w:val="2"/>
            <w:vAlign w:val="top"/>
          </w:tcPr>
          <w:p w14:paraId="7BD1BC48">
            <w:pPr>
              <w:pStyle w:val="11"/>
              <w:spacing w:before="172" w:line="221" w:lineRule="auto"/>
              <w:ind w:left="111"/>
            </w:pPr>
            <w:r>
              <w:rPr>
                <w:spacing w:val="-2"/>
              </w:rPr>
              <w:t>计划工期</w:t>
            </w:r>
          </w:p>
        </w:tc>
        <w:tc>
          <w:tcPr>
            <w:tcW w:w="4793" w:type="dxa"/>
            <w:vAlign w:val="top"/>
          </w:tcPr>
          <w:p w14:paraId="49942BB0">
            <w:pPr>
              <w:pStyle w:val="11"/>
              <w:spacing w:before="171"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1.3.2 </w:t>
            </w:r>
            <w:r>
              <w:rPr>
                <w:spacing w:val="-2"/>
              </w:rPr>
              <w:t>项规定</w:t>
            </w:r>
          </w:p>
        </w:tc>
      </w:tr>
      <w:tr w14:paraId="5158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72E4F392">
            <w:pPr>
              <w:rPr>
                <w:rFonts w:ascii="Arial"/>
                <w:sz w:val="21"/>
              </w:rPr>
            </w:pPr>
          </w:p>
        </w:tc>
        <w:tc>
          <w:tcPr>
            <w:tcW w:w="1058" w:type="dxa"/>
            <w:vMerge w:val="continue"/>
            <w:tcBorders>
              <w:top w:val="nil"/>
              <w:bottom w:val="nil"/>
            </w:tcBorders>
            <w:vAlign w:val="top"/>
          </w:tcPr>
          <w:p w14:paraId="512F3C7A">
            <w:pPr>
              <w:rPr>
                <w:rFonts w:ascii="Arial"/>
                <w:sz w:val="21"/>
              </w:rPr>
            </w:pPr>
          </w:p>
        </w:tc>
        <w:tc>
          <w:tcPr>
            <w:tcW w:w="2339" w:type="dxa"/>
            <w:gridSpan w:val="2"/>
            <w:vAlign w:val="top"/>
          </w:tcPr>
          <w:p w14:paraId="4C4046AE">
            <w:pPr>
              <w:pStyle w:val="11"/>
              <w:spacing w:before="172" w:line="221" w:lineRule="auto"/>
              <w:ind w:left="114"/>
            </w:pPr>
            <w:r>
              <w:rPr>
                <w:spacing w:val="-2"/>
              </w:rPr>
              <w:t>工程质量</w:t>
            </w:r>
          </w:p>
        </w:tc>
        <w:tc>
          <w:tcPr>
            <w:tcW w:w="4793" w:type="dxa"/>
            <w:vAlign w:val="top"/>
          </w:tcPr>
          <w:p w14:paraId="2C7CE08C">
            <w:pPr>
              <w:pStyle w:val="11"/>
              <w:spacing w:before="172" w:line="234" w:lineRule="auto"/>
              <w:ind w:left="115"/>
            </w:pPr>
            <w:r>
              <w:rPr>
                <w:spacing w:val="-2"/>
              </w:rPr>
              <w:t>符合第二章“投标人须知”第</w:t>
            </w:r>
            <w:r>
              <w:rPr>
                <w:spacing w:val="-16"/>
              </w:rPr>
              <w:t xml:space="preserve"> </w:t>
            </w:r>
            <w:r>
              <w:rPr>
                <w:rFonts w:ascii="Times New Roman" w:hAnsi="Times New Roman" w:eastAsia="Times New Roman" w:cs="Times New Roman"/>
                <w:spacing w:val="-2"/>
              </w:rPr>
              <w:t xml:space="preserve">1.3.3 </w:t>
            </w:r>
            <w:r>
              <w:rPr>
                <w:spacing w:val="-2"/>
              </w:rPr>
              <w:t>项规定</w:t>
            </w:r>
          </w:p>
        </w:tc>
      </w:tr>
      <w:tr w14:paraId="4AB5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top"/>
          </w:tcPr>
          <w:p w14:paraId="21AA5B3C">
            <w:pPr>
              <w:rPr>
                <w:rFonts w:ascii="Arial"/>
                <w:sz w:val="21"/>
              </w:rPr>
            </w:pPr>
          </w:p>
        </w:tc>
        <w:tc>
          <w:tcPr>
            <w:tcW w:w="1058" w:type="dxa"/>
            <w:vMerge w:val="continue"/>
            <w:tcBorders>
              <w:top w:val="nil"/>
              <w:bottom w:val="nil"/>
            </w:tcBorders>
            <w:vAlign w:val="top"/>
          </w:tcPr>
          <w:p w14:paraId="4DA4AB74">
            <w:pPr>
              <w:rPr>
                <w:rFonts w:ascii="Arial"/>
                <w:sz w:val="21"/>
              </w:rPr>
            </w:pPr>
          </w:p>
        </w:tc>
        <w:tc>
          <w:tcPr>
            <w:tcW w:w="2339" w:type="dxa"/>
            <w:gridSpan w:val="2"/>
            <w:vAlign w:val="top"/>
          </w:tcPr>
          <w:p w14:paraId="01AC879E">
            <w:pPr>
              <w:pStyle w:val="11"/>
              <w:spacing w:before="172" w:line="221" w:lineRule="auto"/>
              <w:ind w:left="114"/>
            </w:pPr>
            <w:r>
              <w:rPr>
                <w:spacing w:val="-2"/>
              </w:rPr>
              <w:t>投标有效期</w:t>
            </w:r>
          </w:p>
        </w:tc>
        <w:tc>
          <w:tcPr>
            <w:tcW w:w="4793" w:type="dxa"/>
            <w:vAlign w:val="top"/>
          </w:tcPr>
          <w:p w14:paraId="6995E48A">
            <w:pPr>
              <w:pStyle w:val="11"/>
              <w:spacing w:before="172" w:line="234" w:lineRule="auto"/>
              <w:ind w:left="115"/>
            </w:pPr>
            <w:r>
              <w:rPr>
                <w:spacing w:val="-1"/>
              </w:rPr>
              <w:t>符合第二章“投标人须知”第</w:t>
            </w:r>
            <w:r>
              <w:rPr>
                <w:spacing w:val="-38"/>
              </w:rPr>
              <w:t xml:space="preserve"> </w:t>
            </w:r>
            <w:r>
              <w:rPr>
                <w:rFonts w:ascii="Times New Roman" w:hAnsi="Times New Roman" w:eastAsia="Times New Roman" w:cs="Times New Roman"/>
                <w:spacing w:val="-1"/>
              </w:rPr>
              <w:t xml:space="preserve">3.3.1 </w:t>
            </w:r>
            <w:r>
              <w:rPr>
                <w:spacing w:val="-1"/>
              </w:rPr>
              <w:t>项规定</w:t>
            </w:r>
          </w:p>
        </w:tc>
      </w:tr>
      <w:tr w14:paraId="3027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nil"/>
              <w:bottom w:val="nil"/>
            </w:tcBorders>
            <w:vAlign w:val="top"/>
          </w:tcPr>
          <w:p w14:paraId="5165EA48">
            <w:pPr>
              <w:rPr>
                <w:rFonts w:ascii="Arial"/>
                <w:sz w:val="21"/>
              </w:rPr>
            </w:pPr>
          </w:p>
        </w:tc>
        <w:tc>
          <w:tcPr>
            <w:tcW w:w="1058" w:type="dxa"/>
            <w:vMerge w:val="continue"/>
            <w:tcBorders>
              <w:top w:val="nil"/>
              <w:bottom w:val="nil"/>
            </w:tcBorders>
            <w:vAlign w:val="top"/>
          </w:tcPr>
          <w:p w14:paraId="744704E0">
            <w:pPr>
              <w:rPr>
                <w:rFonts w:ascii="Arial"/>
                <w:sz w:val="21"/>
              </w:rPr>
            </w:pPr>
          </w:p>
        </w:tc>
        <w:tc>
          <w:tcPr>
            <w:tcW w:w="2339" w:type="dxa"/>
            <w:gridSpan w:val="2"/>
            <w:vAlign w:val="top"/>
          </w:tcPr>
          <w:p w14:paraId="53AF3948">
            <w:pPr>
              <w:pStyle w:val="11"/>
              <w:spacing w:before="173" w:line="221" w:lineRule="auto"/>
              <w:ind w:left="114"/>
            </w:pPr>
            <w:r>
              <w:rPr>
                <w:spacing w:val="-2"/>
              </w:rPr>
              <w:t>投标保证金</w:t>
            </w:r>
          </w:p>
        </w:tc>
        <w:tc>
          <w:tcPr>
            <w:tcW w:w="4793" w:type="dxa"/>
            <w:vAlign w:val="top"/>
          </w:tcPr>
          <w:p w14:paraId="211437C2">
            <w:pPr>
              <w:pStyle w:val="11"/>
              <w:spacing w:before="173" w:line="234" w:lineRule="auto"/>
              <w:ind w:left="115"/>
            </w:pPr>
            <w:r>
              <w:rPr>
                <w:spacing w:val="-1"/>
              </w:rPr>
              <w:t>符合第二章“投标人须知”第</w:t>
            </w:r>
            <w:r>
              <w:rPr>
                <w:spacing w:val="-38"/>
              </w:rPr>
              <w:t xml:space="preserve"> </w:t>
            </w:r>
            <w:r>
              <w:rPr>
                <w:rFonts w:ascii="Times New Roman" w:hAnsi="Times New Roman" w:eastAsia="Times New Roman" w:cs="Times New Roman"/>
                <w:spacing w:val="-1"/>
              </w:rPr>
              <w:t xml:space="preserve">3.4.1 </w:t>
            </w:r>
            <w:r>
              <w:rPr>
                <w:spacing w:val="-1"/>
              </w:rPr>
              <w:t>项规定</w:t>
            </w:r>
          </w:p>
        </w:tc>
      </w:tr>
      <w:tr w14:paraId="0EFA0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5ABBFC41">
            <w:pPr>
              <w:rPr>
                <w:rFonts w:ascii="Arial"/>
                <w:sz w:val="21"/>
              </w:rPr>
            </w:pPr>
          </w:p>
        </w:tc>
        <w:tc>
          <w:tcPr>
            <w:tcW w:w="1058" w:type="dxa"/>
            <w:vMerge w:val="continue"/>
            <w:tcBorders>
              <w:top w:val="nil"/>
              <w:bottom w:val="nil"/>
            </w:tcBorders>
            <w:vAlign w:val="top"/>
          </w:tcPr>
          <w:p w14:paraId="3DAC9946">
            <w:pPr>
              <w:rPr>
                <w:rFonts w:ascii="Arial"/>
                <w:sz w:val="21"/>
              </w:rPr>
            </w:pPr>
          </w:p>
        </w:tc>
        <w:tc>
          <w:tcPr>
            <w:tcW w:w="2339" w:type="dxa"/>
            <w:gridSpan w:val="2"/>
            <w:vAlign w:val="top"/>
          </w:tcPr>
          <w:p w14:paraId="6C43AA1C">
            <w:pPr>
              <w:spacing w:line="294" w:lineRule="auto"/>
              <w:rPr>
                <w:rFonts w:ascii="Arial"/>
                <w:sz w:val="21"/>
              </w:rPr>
            </w:pPr>
          </w:p>
          <w:p w14:paraId="7EED84F7">
            <w:pPr>
              <w:pStyle w:val="11"/>
              <w:spacing w:before="68" w:line="221" w:lineRule="auto"/>
              <w:ind w:left="111"/>
            </w:pPr>
            <w:r>
              <w:rPr>
                <w:spacing w:val="-1"/>
              </w:rPr>
              <w:t>权利义务</w:t>
            </w:r>
          </w:p>
        </w:tc>
        <w:tc>
          <w:tcPr>
            <w:tcW w:w="4793" w:type="dxa"/>
            <w:vAlign w:val="top"/>
          </w:tcPr>
          <w:p w14:paraId="1B05D12C">
            <w:pPr>
              <w:pStyle w:val="11"/>
              <w:spacing w:before="156" w:line="298" w:lineRule="auto"/>
              <w:ind w:left="134" w:right="105" w:hanging="18"/>
            </w:pPr>
            <w:r>
              <w:rPr>
                <w:spacing w:val="7"/>
              </w:rPr>
              <w:t>投标函附录中的相关承诺符合或优于第四章“合</w:t>
            </w:r>
            <w:r>
              <w:rPr>
                <w:spacing w:val="-3"/>
              </w:rPr>
              <w:t>同条款及格式”的相关规定</w:t>
            </w:r>
          </w:p>
        </w:tc>
      </w:tr>
      <w:tr w14:paraId="1D57A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46" w:type="dxa"/>
            <w:vMerge w:val="continue"/>
            <w:tcBorders>
              <w:top w:val="nil"/>
              <w:bottom w:val="nil"/>
            </w:tcBorders>
            <w:vAlign w:val="top"/>
          </w:tcPr>
          <w:p w14:paraId="591F8892">
            <w:pPr>
              <w:rPr>
                <w:rFonts w:ascii="Arial"/>
                <w:sz w:val="21"/>
              </w:rPr>
            </w:pPr>
          </w:p>
        </w:tc>
        <w:tc>
          <w:tcPr>
            <w:tcW w:w="1058" w:type="dxa"/>
            <w:vMerge w:val="continue"/>
            <w:tcBorders>
              <w:top w:val="nil"/>
              <w:bottom w:val="nil"/>
            </w:tcBorders>
            <w:vAlign w:val="top"/>
          </w:tcPr>
          <w:p w14:paraId="1E103B00">
            <w:pPr>
              <w:rPr>
                <w:rFonts w:ascii="Arial"/>
                <w:sz w:val="21"/>
              </w:rPr>
            </w:pPr>
          </w:p>
        </w:tc>
        <w:tc>
          <w:tcPr>
            <w:tcW w:w="2339" w:type="dxa"/>
            <w:gridSpan w:val="2"/>
            <w:vAlign w:val="top"/>
          </w:tcPr>
          <w:p w14:paraId="3B66F66E">
            <w:pPr>
              <w:pStyle w:val="11"/>
              <w:spacing w:before="197" w:line="221" w:lineRule="auto"/>
              <w:ind w:left="112"/>
            </w:pPr>
            <w:r>
              <w:rPr>
                <w:spacing w:val="-1"/>
              </w:rPr>
              <w:t>技术标准和要求</w:t>
            </w:r>
          </w:p>
        </w:tc>
        <w:tc>
          <w:tcPr>
            <w:tcW w:w="4793" w:type="dxa"/>
            <w:vAlign w:val="top"/>
          </w:tcPr>
          <w:p w14:paraId="4C135B8E">
            <w:pPr>
              <w:pStyle w:val="11"/>
              <w:spacing w:before="197" w:line="220" w:lineRule="auto"/>
              <w:ind w:left="115"/>
            </w:pPr>
            <w:r>
              <w:rPr>
                <w:spacing w:val="-1"/>
              </w:rPr>
              <w:t>符合第七章“技术标准和要求”规定</w:t>
            </w:r>
          </w:p>
        </w:tc>
      </w:tr>
      <w:tr w14:paraId="1F92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bottom w:val="nil"/>
            </w:tcBorders>
            <w:vAlign w:val="top"/>
          </w:tcPr>
          <w:p w14:paraId="0BEE29E8">
            <w:pPr>
              <w:rPr>
                <w:rFonts w:ascii="Arial"/>
                <w:sz w:val="21"/>
              </w:rPr>
            </w:pPr>
          </w:p>
        </w:tc>
        <w:tc>
          <w:tcPr>
            <w:tcW w:w="1058" w:type="dxa"/>
            <w:vMerge w:val="continue"/>
            <w:tcBorders>
              <w:top w:val="nil"/>
              <w:bottom w:val="nil"/>
            </w:tcBorders>
            <w:vAlign w:val="top"/>
          </w:tcPr>
          <w:p w14:paraId="53039E27">
            <w:pPr>
              <w:rPr>
                <w:rFonts w:ascii="Arial"/>
                <w:sz w:val="21"/>
              </w:rPr>
            </w:pPr>
          </w:p>
        </w:tc>
        <w:tc>
          <w:tcPr>
            <w:tcW w:w="2339" w:type="dxa"/>
            <w:gridSpan w:val="2"/>
            <w:vAlign w:val="top"/>
          </w:tcPr>
          <w:p w14:paraId="6FE84E25">
            <w:pPr>
              <w:spacing w:line="298" w:lineRule="auto"/>
              <w:rPr>
                <w:rFonts w:ascii="Arial"/>
                <w:sz w:val="21"/>
              </w:rPr>
            </w:pPr>
          </w:p>
          <w:p w14:paraId="1ADAB37E">
            <w:pPr>
              <w:pStyle w:val="11"/>
              <w:spacing w:before="68" w:line="221" w:lineRule="auto"/>
              <w:ind w:left="114"/>
            </w:pPr>
            <w:r>
              <w:rPr>
                <w:spacing w:val="-2"/>
              </w:rPr>
              <w:t>分包计划</w:t>
            </w:r>
          </w:p>
        </w:tc>
        <w:tc>
          <w:tcPr>
            <w:tcW w:w="4793" w:type="dxa"/>
            <w:vAlign w:val="top"/>
          </w:tcPr>
          <w:p w14:paraId="51FAD693">
            <w:pPr>
              <w:pStyle w:val="11"/>
              <w:spacing w:before="156" w:line="298" w:lineRule="auto"/>
              <w:ind w:left="114" w:right="105"/>
            </w:pPr>
            <w:r>
              <w:rPr>
                <w:spacing w:val="5"/>
              </w:rPr>
              <w:t>符合第二章“投标人须知”第</w:t>
            </w:r>
            <w:r>
              <w:rPr>
                <w:spacing w:val="40"/>
              </w:rPr>
              <w:t xml:space="preserve"> </w:t>
            </w:r>
            <w:r>
              <w:rPr>
                <w:spacing w:val="5"/>
              </w:rPr>
              <w:t>1.11 款规定（如</w:t>
            </w:r>
            <w:r>
              <w:rPr>
                <w:spacing w:val="-6"/>
              </w:rPr>
              <w:t>有）</w:t>
            </w:r>
          </w:p>
        </w:tc>
      </w:tr>
      <w:tr w14:paraId="1B2C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46" w:type="dxa"/>
            <w:vMerge w:val="continue"/>
            <w:tcBorders>
              <w:top w:val="nil"/>
              <w:bottom w:val="nil"/>
            </w:tcBorders>
            <w:vAlign w:val="top"/>
          </w:tcPr>
          <w:p w14:paraId="4C54A7B7">
            <w:pPr>
              <w:rPr>
                <w:rFonts w:ascii="Arial"/>
                <w:sz w:val="21"/>
              </w:rPr>
            </w:pPr>
          </w:p>
        </w:tc>
        <w:tc>
          <w:tcPr>
            <w:tcW w:w="1058" w:type="dxa"/>
            <w:vMerge w:val="continue"/>
            <w:tcBorders>
              <w:top w:val="nil"/>
              <w:bottom w:val="nil"/>
            </w:tcBorders>
            <w:vAlign w:val="top"/>
          </w:tcPr>
          <w:p w14:paraId="59E74E55">
            <w:pPr>
              <w:rPr>
                <w:rFonts w:ascii="Arial"/>
                <w:sz w:val="21"/>
              </w:rPr>
            </w:pPr>
          </w:p>
        </w:tc>
        <w:tc>
          <w:tcPr>
            <w:tcW w:w="2339" w:type="dxa"/>
            <w:gridSpan w:val="2"/>
            <w:vAlign w:val="top"/>
          </w:tcPr>
          <w:p w14:paraId="4A3C4BF2">
            <w:pPr>
              <w:pStyle w:val="11"/>
              <w:spacing w:before="197" w:line="221" w:lineRule="auto"/>
              <w:ind w:left="113"/>
            </w:pPr>
            <w:r>
              <w:rPr>
                <w:spacing w:val="-2"/>
              </w:rPr>
              <w:t>算术错误修正</w:t>
            </w:r>
          </w:p>
        </w:tc>
        <w:tc>
          <w:tcPr>
            <w:tcW w:w="4793" w:type="dxa"/>
            <w:vAlign w:val="top"/>
          </w:tcPr>
          <w:p w14:paraId="36E157F7">
            <w:pPr>
              <w:pStyle w:val="11"/>
              <w:spacing w:before="198" w:line="219" w:lineRule="auto"/>
              <w:ind w:left="116"/>
            </w:pPr>
            <w:r>
              <w:rPr>
                <w:spacing w:val="-1"/>
              </w:rPr>
              <w:t>投标人接受算术错误修正后的报价</w:t>
            </w:r>
          </w:p>
        </w:tc>
      </w:tr>
      <w:tr w14:paraId="4B68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6" w:type="dxa"/>
            <w:vMerge w:val="continue"/>
            <w:tcBorders>
              <w:top w:val="nil"/>
              <w:bottom w:val="nil"/>
            </w:tcBorders>
            <w:vAlign w:val="top"/>
          </w:tcPr>
          <w:p w14:paraId="6F811F0C">
            <w:pPr>
              <w:rPr>
                <w:rFonts w:ascii="Arial"/>
                <w:sz w:val="21"/>
              </w:rPr>
            </w:pPr>
          </w:p>
        </w:tc>
        <w:tc>
          <w:tcPr>
            <w:tcW w:w="1058" w:type="dxa"/>
            <w:vMerge w:val="continue"/>
            <w:tcBorders>
              <w:top w:val="nil"/>
              <w:bottom w:val="nil"/>
            </w:tcBorders>
            <w:vAlign w:val="top"/>
          </w:tcPr>
          <w:p w14:paraId="3633459D">
            <w:pPr>
              <w:rPr>
                <w:rFonts w:ascii="Arial"/>
                <w:sz w:val="21"/>
              </w:rPr>
            </w:pPr>
          </w:p>
        </w:tc>
        <w:tc>
          <w:tcPr>
            <w:tcW w:w="2339" w:type="dxa"/>
            <w:gridSpan w:val="2"/>
            <w:vAlign w:val="top"/>
          </w:tcPr>
          <w:p w14:paraId="49091F9B">
            <w:pPr>
              <w:spacing w:line="299" w:lineRule="auto"/>
              <w:rPr>
                <w:rFonts w:ascii="Arial"/>
                <w:sz w:val="21"/>
              </w:rPr>
            </w:pPr>
          </w:p>
          <w:p w14:paraId="095F0107">
            <w:pPr>
              <w:pStyle w:val="11"/>
              <w:spacing w:before="68" w:line="219" w:lineRule="auto"/>
              <w:ind w:left="114"/>
            </w:pPr>
            <w:r>
              <w:rPr>
                <w:spacing w:val="-2"/>
              </w:rPr>
              <w:t>投标价格</w:t>
            </w:r>
          </w:p>
        </w:tc>
        <w:tc>
          <w:tcPr>
            <w:tcW w:w="4793" w:type="dxa"/>
            <w:vAlign w:val="top"/>
          </w:tcPr>
          <w:p w14:paraId="6CC3E0C6">
            <w:pPr>
              <w:pStyle w:val="11"/>
              <w:spacing w:before="157" w:line="298" w:lineRule="auto"/>
              <w:ind w:left="114" w:right="105" w:firstLine="1"/>
            </w:pPr>
            <w:r>
              <w:rPr>
                <w:spacing w:val="7"/>
              </w:rPr>
              <w:t>投标报价（含修正后）不大于本标段最高投标限</w:t>
            </w:r>
            <w:r>
              <w:t>价</w:t>
            </w:r>
          </w:p>
        </w:tc>
      </w:tr>
      <w:tr w14:paraId="3298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46" w:type="dxa"/>
            <w:vMerge w:val="continue"/>
            <w:tcBorders>
              <w:top w:val="nil"/>
            </w:tcBorders>
            <w:vAlign w:val="top"/>
          </w:tcPr>
          <w:p w14:paraId="6110493D">
            <w:pPr>
              <w:rPr>
                <w:rFonts w:ascii="Arial"/>
                <w:sz w:val="21"/>
              </w:rPr>
            </w:pPr>
          </w:p>
        </w:tc>
        <w:tc>
          <w:tcPr>
            <w:tcW w:w="1058" w:type="dxa"/>
            <w:vMerge w:val="continue"/>
            <w:tcBorders>
              <w:top w:val="nil"/>
            </w:tcBorders>
            <w:vAlign w:val="top"/>
          </w:tcPr>
          <w:p w14:paraId="335F78D5">
            <w:pPr>
              <w:rPr>
                <w:rFonts w:ascii="Arial"/>
                <w:sz w:val="21"/>
              </w:rPr>
            </w:pPr>
          </w:p>
        </w:tc>
        <w:tc>
          <w:tcPr>
            <w:tcW w:w="2339" w:type="dxa"/>
            <w:gridSpan w:val="2"/>
            <w:vAlign w:val="top"/>
          </w:tcPr>
          <w:p w14:paraId="4FB6F857">
            <w:pPr>
              <w:spacing w:line="298" w:lineRule="auto"/>
              <w:rPr>
                <w:rFonts w:ascii="Arial"/>
                <w:sz w:val="21"/>
              </w:rPr>
            </w:pPr>
          </w:p>
          <w:p w14:paraId="2259A8AA">
            <w:pPr>
              <w:pStyle w:val="11"/>
              <w:spacing w:before="68" w:line="219" w:lineRule="auto"/>
              <w:ind w:left="134"/>
            </w:pPr>
            <w:r>
              <w:rPr>
                <w:spacing w:val="-4"/>
              </w:rPr>
              <w:t>已标价工程量清单</w:t>
            </w:r>
          </w:p>
        </w:tc>
        <w:tc>
          <w:tcPr>
            <w:tcW w:w="4793" w:type="dxa"/>
            <w:vAlign w:val="top"/>
          </w:tcPr>
          <w:p w14:paraId="6813AD08">
            <w:pPr>
              <w:pStyle w:val="11"/>
              <w:spacing w:before="158" w:line="297" w:lineRule="auto"/>
              <w:ind w:left="113" w:right="105" w:firstLine="1"/>
            </w:pPr>
            <w:r>
              <w:rPr>
                <w:spacing w:val="7"/>
              </w:rPr>
              <w:t>按照招标人提供的工程量清单及其报价要求进行</w:t>
            </w:r>
            <w:r>
              <w:rPr>
                <w:spacing w:val="-1"/>
              </w:rPr>
              <w:t>全面准确的报价</w:t>
            </w:r>
          </w:p>
        </w:tc>
      </w:tr>
      <w:tr w14:paraId="5BE2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804" w:type="dxa"/>
            <w:gridSpan w:val="2"/>
            <w:vAlign w:val="top"/>
          </w:tcPr>
          <w:p w14:paraId="26BA66EB">
            <w:pPr>
              <w:spacing w:line="274" w:lineRule="auto"/>
              <w:rPr>
                <w:rFonts w:ascii="Arial"/>
                <w:sz w:val="21"/>
              </w:rPr>
            </w:pPr>
          </w:p>
          <w:p w14:paraId="497C66AB">
            <w:pPr>
              <w:spacing w:line="275" w:lineRule="auto"/>
              <w:rPr>
                <w:rFonts w:ascii="Arial"/>
                <w:sz w:val="21"/>
              </w:rPr>
            </w:pPr>
          </w:p>
          <w:p w14:paraId="005AD7CF">
            <w:pPr>
              <w:spacing w:before="60" w:line="233"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3.1.2</w:t>
            </w:r>
          </w:p>
        </w:tc>
        <w:tc>
          <w:tcPr>
            <w:tcW w:w="7132" w:type="dxa"/>
            <w:gridSpan w:val="3"/>
            <w:vAlign w:val="top"/>
          </w:tcPr>
          <w:p w14:paraId="539A9013">
            <w:pPr>
              <w:pStyle w:val="11"/>
              <w:spacing w:before="157" w:line="221" w:lineRule="auto"/>
              <w:ind w:left="114"/>
            </w:pPr>
            <w:r>
              <w:rPr>
                <w:spacing w:val="-3"/>
              </w:rPr>
              <w:t>投标人不得存在的其他情形：</w:t>
            </w:r>
          </w:p>
          <w:p w14:paraId="0819B497">
            <w:pPr>
              <w:pStyle w:val="11"/>
              <w:spacing w:before="168" w:line="220" w:lineRule="auto"/>
              <w:ind w:left="118"/>
            </w:pPr>
            <w:r>
              <w:rPr>
                <w:spacing w:val="-2"/>
              </w:rPr>
              <w:t>（1）不按评标委员会要求澄清、说明或补正；</w:t>
            </w:r>
          </w:p>
          <w:p w14:paraId="6A89C245">
            <w:pPr>
              <w:pStyle w:val="11"/>
              <w:spacing w:before="169" w:line="220" w:lineRule="auto"/>
              <w:ind w:left="118"/>
            </w:pPr>
            <w:r>
              <w:rPr>
                <w:spacing w:val="-1"/>
              </w:rPr>
              <w:t>（2）有串通投标、弄虚作假、行贿或有其他违法</w:t>
            </w:r>
            <w:r>
              <w:rPr>
                <w:spacing w:val="-2"/>
              </w:rPr>
              <w:t>行为。</w:t>
            </w:r>
          </w:p>
        </w:tc>
      </w:tr>
      <w:tr w14:paraId="01084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1804" w:type="dxa"/>
            <w:gridSpan w:val="2"/>
            <w:vAlign w:val="top"/>
          </w:tcPr>
          <w:p w14:paraId="7B6B2A9F">
            <w:pPr>
              <w:spacing w:line="283" w:lineRule="auto"/>
              <w:rPr>
                <w:rFonts w:ascii="Arial"/>
                <w:sz w:val="21"/>
              </w:rPr>
            </w:pPr>
          </w:p>
          <w:p w14:paraId="5CCF645C">
            <w:pPr>
              <w:spacing w:line="284" w:lineRule="auto"/>
              <w:rPr>
                <w:rFonts w:ascii="Arial"/>
                <w:sz w:val="21"/>
              </w:rPr>
            </w:pPr>
          </w:p>
          <w:p w14:paraId="6DB75CC5">
            <w:pPr>
              <w:spacing w:line="284" w:lineRule="auto"/>
              <w:rPr>
                <w:rFonts w:ascii="Arial"/>
                <w:sz w:val="21"/>
              </w:rPr>
            </w:pPr>
          </w:p>
          <w:p w14:paraId="600974E1">
            <w:pPr>
              <w:spacing w:line="284" w:lineRule="auto"/>
              <w:rPr>
                <w:rFonts w:ascii="Arial"/>
                <w:sz w:val="21"/>
              </w:rPr>
            </w:pPr>
          </w:p>
          <w:p w14:paraId="09130278">
            <w:pPr>
              <w:pStyle w:val="11"/>
              <w:spacing w:before="68"/>
              <w:ind w:left="648"/>
            </w:pPr>
            <w:r>
              <w:rPr>
                <w:spacing w:val="-2"/>
              </w:rPr>
              <w:t>3.1.4</w:t>
            </w:r>
          </w:p>
        </w:tc>
        <w:tc>
          <w:tcPr>
            <w:tcW w:w="7132" w:type="dxa"/>
            <w:gridSpan w:val="3"/>
            <w:vAlign w:val="top"/>
          </w:tcPr>
          <w:p w14:paraId="0D8EFF2A">
            <w:pPr>
              <w:pStyle w:val="11"/>
              <w:spacing w:before="161" w:line="220" w:lineRule="auto"/>
              <w:ind w:left="111"/>
            </w:pPr>
            <w:r>
              <w:rPr>
                <w:spacing w:val="-5"/>
              </w:rPr>
              <w:t>低于成本评审：</w:t>
            </w:r>
          </w:p>
          <w:p w14:paraId="1D02BB04">
            <w:pPr>
              <w:pStyle w:val="11"/>
              <w:spacing w:before="171" w:line="340" w:lineRule="auto"/>
              <w:ind w:left="111" w:right="111" w:firstLine="420"/>
              <w:jc w:val="both"/>
            </w:pPr>
            <w:r>
              <w:rPr>
                <w:spacing w:val="6"/>
              </w:rPr>
              <w:t>评标委员会发现投标人的报价明显低于其他投标报价，或者在设有最高投标限价时明显低于最高投标限价，使得其投标报</w:t>
            </w:r>
            <w:r>
              <w:rPr>
                <w:spacing w:val="5"/>
              </w:rPr>
              <w:t>价可能低于其个别成</w:t>
            </w:r>
            <w:r>
              <w:rPr>
                <w:spacing w:val="6"/>
              </w:rPr>
              <w:t>本的，应当要求该投标人作出书面说明并提供相应的</w:t>
            </w:r>
            <w:r>
              <w:rPr>
                <w:spacing w:val="5"/>
              </w:rPr>
              <w:t>证明材料。投标人不</w:t>
            </w:r>
            <w:r>
              <w:rPr>
                <w:spacing w:val="4"/>
              </w:rPr>
              <w:t>能合理说明或者不能提供相应证明材料的，</w:t>
            </w:r>
            <w:r>
              <w:rPr>
                <w:spacing w:val="-50"/>
              </w:rPr>
              <w:t xml:space="preserve"> </w:t>
            </w:r>
            <w:r>
              <w:rPr>
                <w:spacing w:val="4"/>
              </w:rPr>
              <w:t>由评标委员会认定该投标人以</w:t>
            </w:r>
            <w:r>
              <w:rPr>
                <w:spacing w:val="-1"/>
              </w:rPr>
              <w:t>低于成本报价竞标，否决其投标。</w:t>
            </w:r>
          </w:p>
        </w:tc>
      </w:tr>
      <w:tr w14:paraId="03AA3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04" w:type="dxa"/>
            <w:gridSpan w:val="2"/>
            <w:vAlign w:val="top"/>
          </w:tcPr>
          <w:p w14:paraId="24D0A756">
            <w:pPr>
              <w:pStyle w:val="11"/>
              <w:spacing w:before="173" w:line="221" w:lineRule="auto"/>
              <w:ind w:left="592"/>
            </w:pPr>
            <w:r>
              <w:rPr>
                <w:b/>
                <w:bCs/>
                <w:spacing w:val="-4"/>
              </w:rPr>
              <w:t>条款号</w:t>
            </w:r>
          </w:p>
        </w:tc>
        <w:tc>
          <w:tcPr>
            <w:tcW w:w="2085" w:type="dxa"/>
            <w:vAlign w:val="top"/>
          </w:tcPr>
          <w:p w14:paraId="61CBB3AE">
            <w:pPr>
              <w:pStyle w:val="11"/>
              <w:spacing w:before="173" w:line="221" w:lineRule="auto"/>
              <w:ind w:left="627"/>
            </w:pPr>
            <w:r>
              <w:rPr>
                <w:b/>
                <w:bCs/>
                <w:spacing w:val="-4"/>
              </w:rPr>
              <w:t>条款内容</w:t>
            </w:r>
          </w:p>
        </w:tc>
        <w:tc>
          <w:tcPr>
            <w:tcW w:w="5047" w:type="dxa"/>
            <w:gridSpan w:val="2"/>
            <w:vAlign w:val="top"/>
          </w:tcPr>
          <w:p w14:paraId="35941A53">
            <w:pPr>
              <w:pStyle w:val="11"/>
              <w:spacing w:before="173" w:line="221" w:lineRule="auto"/>
              <w:ind w:left="2109"/>
            </w:pPr>
            <w:r>
              <w:rPr>
                <w:b/>
                <w:bCs/>
                <w:spacing w:val="-4"/>
              </w:rPr>
              <w:t>编列内容</w:t>
            </w:r>
          </w:p>
        </w:tc>
      </w:tr>
      <w:tr w14:paraId="0628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804" w:type="dxa"/>
            <w:gridSpan w:val="2"/>
            <w:vAlign w:val="top"/>
          </w:tcPr>
          <w:p w14:paraId="38EC68BF">
            <w:pPr>
              <w:spacing w:line="252" w:lineRule="auto"/>
              <w:rPr>
                <w:rFonts w:ascii="Arial"/>
                <w:color w:val="0000FF"/>
                <w:sz w:val="21"/>
              </w:rPr>
            </w:pPr>
          </w:p>
          <w:p w14:paraId="34D20E9A">
            <w:pPr>
              <w:spacing w:line="253" w:lineRule="auto"/>
              <w:rPr>
                <w:rFonts w:ascii="Arial"/>
                <w:color w:val="0000FF"/>
                <w:sz w:val="21"/>
              </w:rPr>
            </w:pPr>
          </w:p>
          <w:p w14:paraId="50396941">
            <w:pPr>
              <w:spacing w:line="253" w:lineRule="auto"/>
              <w:rPr>
                <w:rFonts w:ascii="Arial"/>
                <w:color w:val="0000FF"/>
                <w:sz w:val="21"/>
              </w:rPr>
            </w:pPr>
          </w:p>
          <w:p w14:paraId="6BEB8B03">
            <w:pPr>
              <w:spacing w:before="61" w:line="233" w:lineRule="auto"/>
              <w:ind w:left="692"/>
              <w:rPr>
                <w:rFonts w:ascii="Times New Roman" w:hAnsi="Times New Roman" w:eastAsia="Times New Roman" w:cs="Times New Roman"/>
                <w:color w:val="0000FF"/>
                <w:sz w:val="21"/>
                <w:szCs w:val="21"/>
              </w:rPr>
            </w:pPr>
            <w:r>
              <w:rPr>
                <w:rFonts w:ascii="Times New Roman" w:hAnsi="Times New Roman" w:eastAsia="Times New Roman" w:cs="Times New Roman"/>
                <w:color w:val="0000FF"/>
                <w:spacing w:val="-1"/>
                <w:sz w:val="21"/>
                <w:szCs w:val="21"/>
              </w:rPr>
              <w:t>2.2.1</w:t>
            </w:r>
          </w:p>
        </w:tc>
        <w:tc>
          <w:tcPr>
            <w:tcW w:w="2085" w:type="dxa"/>
            <w:vAlign w:val="top"/>
          </w:tcPr>
          <w:p w14:paraId="70F896C2">
            <w:pPr>
              <w:spacing w:line="254" w:lineRule="auto"/>
              <w:rPr>
                <w:rFonts w:ascii="Arial"/>
                <w:color w:val="0000FF"/>
                <w:sz w:val="21"/>
              </w:rPr>
            </w:pPr>
          </w:p>
          <w:p w14:paraId="4C752D6F">
            <w:pPr>
              <w:spacing w:line="254" w:lineRule="auto"/>
              <w:rPr>
                <w:rFonts w:ascii="Arial"/>
                <w:color w:val="0000FF"/>
                <w:sz w:val="21"/>
              </w:rPr>
            </w:pPr>
          </w:p>
          <w:p w14:paraId="4ED9B184">
            <w:pPr>
              <w:pStyle w:val="11"/>
              <w:spacing w:before="68" w:line="221" w:lineRule="auto"/>
              <w:ind w:left="628"/>
              <w:rPr>
                <w:color w:val="0000FF"/>
              </w:rPr>
            </w:pPr>
            <w:r>
              <w:rPr>
                <w:color w:val="0000FF"/>
                <w:spacing w:val="-2"/>
              </w:rPr>
              <w:t>分值构成</w:t>
            </w:r>
          </w:p>
          <w:p w14:paraId="6C28DA7F">
            <w:pPr>
              <w:pStyle w:val="11"/>
              <w:spacing w:before="169" w:line="221" w:lineRule="auto"/>
              <w:ind w:left="317"/>
              <w:rPr>
                <w:color w:val="0000FF"/>
              </w:rPr>
            </w:pPr>
            <w:r>
              <w:rPr>
                <w:color w:val="0000FF"/>
                <w:spacing w:val="-6"/>
              </w:rPr>
              <w:t>（总分</w:t>
            </w:r>
            <w:r>
              <w:rPr>
                <w:color w:val="0000FF"/>
                <w:spacing w:val="-28"/>
              </w:rPr>
              <w:t xml:space="preserve"> </w:t>
            </w:r>
            <w:r>
              <w:rPr>
                <w:color w:val="0000FF"/>
                <w:spacing w:val="-6"/>
              </w:rPr>
              <w:t>100</w:t>
            </w:r>
            <w:r>
              <w:rPr>
                <w:color w:val="0000FF"/>
                <w:spacing w:val="-44"/>
              </w:rPr>
              <w:t xml:space="preserve"> </w:t>
            </w:r>
            <w:r>
              <w:rPr>
                <w:color w:val="0000FF"/>
                <w:spacing w:val="-6"/>
              </w:rPr>
              <w:t>分）</w:t>
            </w:r>
          </w:p>
        </w:tc>
        <w:tc>
          <w:tcPr>
            <w:tcW w:w="5047" w:type="dxa"/>
            <w:gridSpan w:val="2"/>
            <w:vAlign w:val="top"/>
          </w:tcPr>
          <w:p w14:paraId="7581221B">
            <w:pPr>
              <w:pStyle w:val="11"/>
              <w:spacing w:before="160" w:line="221" w:lineRule="auto"/>
              <w:ind w:left="114"/>
              <w:rPr>
                <w:color w:val="0000FF"/>
              </w:rPr>
            </w:pPr>
            <w:r>
              <w:rPr>
                <w:color w:val="0000FF"/>
                <w:spacing w:val="-7"/>
              </w:rPr>
              <w:t>经济标：</w:t>
            </w:r>
            <w:r>
              <w:rPr>
                <w:color w:val="0000FF"/>
                <w:spacing w:val="12"/>
                <w:u w:val="single" w:color="auto"/>
              </w:rPr>
              <w:t xml:space="preserve">    </w:t>
            </w:r>
            <w:r>
              <w:rPr>
                <w:rFonts w:hint="eastAsia"/>
                <w:color w:val="0000FF"/>
                <w:spacing w:val="12"/>
                <w:u w:val="single" w:color="auto"/>
                <w:lang w:val="en-US" w:eastAsia="zh-CN"/>
              </w:rPr>
              <w:t>50</w:t>
            </w:r>
            <w:r>
              <w:rPr>
                <w:color w:val="0000FF"/>
                <w:spacing w:val="12"/>
                <w:u w:val="single" w:color="auto"/>
              </w:rPr>
              <w:t xml:space="preserve">    </w:t>
            </w:r>
            <w:r>
              <w:rPr>
                <w:color w:val="0000FF"/>
                <w:spacing w:val="-94"/>
              </w:rPr>
              <w:t xml:space="preserve"> </w:t>
            </w:r>
            <w:r>
              <w:rPr>
                <w:color w:val="0000FF"/>
                <w:spacing w:val="-7"/>
              </w:rPr>
              <w:t>分；</w:t>
            </w:r>
          </w:p>
          <w:p w14:paraId="1AB9784F">
            <w:pPr>
              <w:pStyle w:val="11"/>
              <w:spacing w:before="167" w:line="221" w:lineRule="auto"/>
              <w:ind w:left="114"/>
              <w:rPr>
                <w:color w:val="0000FF"/>
              </w:rPr>
            </w:pPr>
            <w:r>
              <w:rPr>
                <w:color w:val="0000FF"/>
                <w:spacing w:val="-6"/>
              </w:rPr>
              <w:t>技术标：</w:t>
            </w:r>
            <w:r>
              <w:rPr>
                <w:color w:val="0000FF"/>
                <w:spacing w:val="11"/>
                <w:u w:val="single" w:color="auto"/>
              </w:rPr>
              <w:t xml:space="preserve">    </w:t>
            </w:r>
            <w:r>
              <w:rPr>
                <w:rFonts w:hint="eastAsia"/>
                <w:color w:val="0000FF"/>
                <w:spacing w:val="11"/>
                <w:u w:val="single" w:color="auto"/>
                <w:lang w:val="en-US" w:eastAsia="zh-CN"/>
              </w:rPr>
              <w:t xml:space="preserve">32 </w:t>
            </w:r>
            <w:r>
              <w:rPr>
                <w:color w:val="0000FF"/>
                <w:spacing w:val="11"/>
                <w:u w:val="single" w:color="auto"/>
              </w:rPr>
              <w:t xml:space="preserve">    </w:t>
            </w:r>
            <w:r>
              <w:rPr>
                <w:color w:val="0000FF"/>
                <w:spacing w:val="-90"/>
              </w:rPr>
              <w:t xml:space="preserve"> </w:t>
            </w:r>
            <w:r>
              <w:rPr>
                <w:color w:val="0000FF"/>
                <w:spacing w:val="-6"/>
              </w:rPr>
              <w:t>分；</w:t>
            </w:r>
          </w:p>
          <w:p w14:paraId="698EE652">
            <w:pPr>
              <w:pStyle w:val="11"/>
              <w:spacing w:before="169" w:line="221" w:lineRule="auto"/>
              <w:ind w:left="115"/>
              <w:rPr>
                <w:color w:val="0000FF"/>
              </w:rPr>
            </w:pPr>
            <w:r>
              <w:rPr>
                <w:rFonts w:hint="eastAsia"/>
                <w:color w:val="0000FF"/>
                <w:spacing w:val="-7"/>
                <w:lang w:val="en-US" w:eastAsia="zh-CN"/>
              </w:rPr>
              <w:t>商务标</w:t>
            </w:r>
            <w:r>
              <w:rPr>
                <w:color w:val="0000FF"/>
                <w:spacing w:val="-7"/>
              </w:rPr>
              <w:t>：</w:t>
            </w:r>
            <w:r>
              <w:rPr>
                <w:color w:val="0000FF"/>
                <w:spacing w:val="11"/>
                <w:u w:val="single" w:color="auto"/>
              </w:rPr>
              <w:t xml:space="preserve">   </w:t>
            </w:r>
            <w:r>
              <w:rPr>
                <w:rFonts w:hint="eastAsia"/>
                <w:color w:val="0000FF"/>
                <w:spacing w:val="11"/>
                <w:u w:val="single" w:color="auto"/>
                <w:lang w:val="en-US" w:eastAsia="zh-CN"/>
              </w:rPr>
              <w:t xml:space="preserve"> 18</w:t>
            </w:r>
            <w:r>
              <w:rPr>
                <w:color w:val="0000FF"/>
                <w:spacing w:val="11"/>
                <w:u w:val="single" w:color="auto"/>
              </w:rPr>
              <w:t xml:space="preserve">    </w:t>
            </w:r>
            <w:r>
              <w:rPr>
                <w:color w:val="0000FF"/>
                <w:spacing w:val="-86"/>
              </w:rPr>
              <w:t xml:space="preserve"> </w:t>
            </w:r>
            <w:r>
              <w:rPr>
                <w:color w:val="0000FF"/>
                <w:spacing w:val="-7"/>
              </w:rPr>
              <w:t>分；</w:t>
            </w:r>
          </w:p>
          <w:p w14:paraId="42CD665F">
            <w:pPr>
              <w:pStyle w:val="11"/>
              <w:spacing w:before="167" w:line="221" w:lineRule="auto"/>
              <w:ind w:left="114"/>
              <w:rPr>
                <w:color w:val="0000FF"/>
              </w:rPr>
            </w:pPr>
            <w:r>
              <w:rPr>
                <w:color w:val="0000FF"/>
                <w:spacing w:val="-2"/>
              </w:rPr>
              <w:t>其他因素：</w:t>
            </w:r>
            <w:r>
              <w:rPr>
                <w:color w:val="0000FF"/>
                <w:spacing w:val="-2"/>
                <w:u w:val="single" w:color="auto"/>
              </w:rPr>
              <w:t xml:space="preserve">    </w:t>
            </w:r>
            <w:r>
              <w:rPr>
                <w:rFonts w:hint="eastAsia"/>
                <w:color w:val="0000FF"/>
                <w:spacing w:val="-2"/>
                <w:u w:val="single" w:color="auto"/>
                <w:lang w:val="en-US" w:eastAsia="zh-CN"/>
              </w:rPr>
              <w:t>0</w:t>
            </w:r>
            <w:r>
              <w:rPr>
                <w:color w:val="0000FF"/>
                <w:spacing w:val="-2"/>
                <w:u w:val="single" w:color="auto"/>
              </w:rPr>
              <w:t xml:space="preserve">     </w:t>
            </w:r>
            <w:r>
              <w:rPr>
                <w:color w:val="0000FF"/>
                <w:spacing w:val="-89"/>
              </w:rPr>
              <w:t xml:space="preserve"> </w:t>
            </w:r>
            <w:r>
              <w:rPr>
                <w:color w:val="0000FF"/>
                <w:spacing w:val="-2"/>
              </w:rPr>
              <w:t>分。</w:t>
            </w:r>
          </w:p>
        </w:tc>
      </w:tr>
    </w:tbl>
    <w:p w14:paraId="2D21A5B7">
      <w:pPr>
        <w:pStyle w:val="5"/>
      </w:pPr>
    </w:p>
    <w:p w14:paraId="188AA8DB">
      <w:pPr>
        <w:sectPr>
          <w:footerReference r:id="rId54" w:type="default"/>
          <w:pgSz w:w="11905" w:h="16843"/>
          <w:pgMar w:top="969" w:right="1355" w:bottom="1026" w:left="1480" w:header="0" w:footer="754" w:gutter="0"/>
          <w:cols w:space="0" w:num="1"/>
          <w:rtlGutter w:val="0"/>
          <w:docGrid w:linePitch="0" w:charSpace="0"/>
        </w:sectPr>
      </w:pPr>
    </w:p>
    <w:p w14:paraId="5A1AD6CE">
      <w:pPr>
        <w:spacing w:before="19"/>
      </w:pPr>
    </w:p>
    <w:p w14:paraId="0815B0BA">
      <w:pPr>
        <w:spacing w:before="19"/>
      </w:pPr>
    </w:p>
    <w:p w14:paraId="1594717D">
      <w:pPr>
        <w:spacing w:before="19"/>
      </w:pPr>
    </w:p>
    <w:p w14:paraId="4EFF3A78">
      <w:pPr>
        <w:spacing w:before="19"/>
      </w:pPr>
    </w:p>
    <w:p w14:paraId="2ABCDD8E">
      <w:pPr>
        <w:spacing w:before="18"/>
      </w:pPr>
    </w:p>
    <w:tbl>
      <w:tblPr>
        <w:tblStyle w:val="10"/>
        <w:tblW w:w="89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058"/>
        <w:gridCol w:w="2085"/>
        <w:gridCol w:w="928"/>
        <w:gridCol w:w="4119"/>
      </w:tblGrid>
      <w:tr w14:paraId="4EB0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804" w:type="dxa"/>
            <w:gridSpan w:val="2"/>
            <w:vAlign w:val="center"/>
          </w:tcPr>
          <w:p w14:paraId="0557B734">
            <w:pPr>
              <w:spacing w:before="194" w:line="233" w:lineRule="auto"/>
              <w:ind w:left="692"/>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2.2.2</w:t>
            </w:r>
          </w:p>
          <w:p w14:paraId="7953CDD3">
            <w:pPr>
              <w:pStyle w:val="11"/>
              <w:spacing w:before="150" w:line="228" w:lineRule="auto"/>
              <w:ind w:left="650"/>
              <w:jc w:val="center"/>
            </w:pPr>
            <w:r>
              <w:rPr>
                <w:spacing w:val="-5"/>
              </w:rPr>
              <w:t>（</w:t>
            </w:r>
            <w:r>
              <w:rPr>
                <w:rFonts w:ascii="Times New Roman" w:hAnsi="Times New Roman" w:eastAsia="Times New Roman" w:cs="Times New Roman"/>
                <w:spacing w:val="-5"/>
              </w:rPr>
              <w:t>1</w:t>
            </w:r>
            <w:r>
              <w:rPr>
                <w:spacing w:val="-5"/>
              </w:rPr>
              <w:t>）</w:t>
            </w:r>
          </w:p>
        </w:tc>
        <w:tc>
          <w:tcPr>
            <w:tcW w:w="2085" w:type="dxa"/>
            <w:vAlign w:val="center"/>
          </w:tcPr>
          <w:p w14:paraId="6DDD1E4A">
            <w:pPr>
              <w:spacing w:line="298" w:lineRule="auto"/>
              <w:jc w:val="center"/>
              <w:rPr>
                <w:rFonts w:ascii="Arial"/>
                <w:sz w:val="21"/>
              </w:rPr>
            </w:pPr>
          </w:p>
          <w:p w14:paraId="39321C9F">
            <w:pPr>
              <w:pStyle w:val="11"/>
              <w:spacing w:before="68" w:line="219" w:lineRule="auto"/>
              <w:ind w:left="310"/>
              <w:jc w:val="center"/>
            </w:pPr>
            <w:r>
              <w:rPr>
                <w:spacing w:val="-1"/>
              </w:rPr>
              <w:t>评标价确定方法</w:t>
            </w:r>
          </w:p>
        </w:tc>
        <w:tc>
          <w:tcPr>
            <w:tcW w:w="5047" w:type="dxa"/>
            <w:gridSpan w:val="2"/>
            <w:vAlign w:val="center"/>
          </w:tcPr>
          <w:p w14:paraId="0AC9300B">
            <w:pPr>
              <w:pStyle w:val="11"/>
              <w:spacing w:before="158" w:line="299" w:lineRule="auto"/>
              <w:ind w:left="112" w:right="218"/>
              <w:jc w:val="center"/>
            </w:pPr>
            <w:r>
              <w:rPr>
                <w:spacing w:val="4"/>
              </w:rPr>
              <w:t>评标价＝投标函大写投标报价（或经投标人书面确</w:t>
            </w:r>
            <w:r>
              <w:rPr>
                <w:spacing w:val="-8"/>
              </w:rPr>
              <w:t>认的算术错误修正后的投标总报价）。</w:t>
            </w:r>
          </w:p>
        </w:tc>
      </w:tr>
      <w:tr w14:paraId="338C8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4" w:hRule="atLeast"/>
        </w:trPr>
        <w:tc>
          <w:tcPr>
            <w:tcW w:w="1804" w:type="dxa"/>
            <w:gridSpan w:val="2"/>
            <w:vAlign w:val="center"/>
          </w:tcPr>
          <w:p w14:paraId="611BEDCC">
            <w:pPr>
              <w:spacing w:line="265" w:lineRule="auto"/>
              <w:jc w:val="left"/>
              <w:rPr>
                <w:rFonts w:ascii="Arial"/>
                <w:sz w:val="21"/>
              </w:rPr>
            </w:pPr>
          </w:p>
          <w:p w14:paraId="1530CFEA">
            <w:pPr>
              <w:spacing w:line="265" w:lineRule="auto"/>
              <w:jc w:val="left"/>
              <w:rPr>
                <w:rFonts w:ascii="Arial"/>
                <w:sz w:val="21"/>
              </w:rPr>
            </w:pPr>
          </w:p>
          <w:p w14:paraId="2C4F72B4">
            <w:pPr>
              <w:spacing w:line="265" w:lineRule="auto"/>
              <w:jc w:val="left"/>
              <w:rPr>
                <w:rFonts w:ascii="Arial"/>
                <w:sz w:val="21"/>
              </w:rPr>
            </w:pPr>
          </w:p>
          <w:p w14:paraId="5FE8F2A0">
            <w:pPr>
              <w:spacing w:line="265" w:lineRule="auto"/>
              <w:jc w:val="left"/>
              <w:rPr>
                <w:rFonts w:ascii="Arial"/>
                <w:sz w:val="21"/>
              </w:rPr>
            </w:pPr>
          </w:p>
          <w:p w14:paraId="73E99B97">
            <w:pPr>
              <w:spacing w:line="265" w:lineRule="auto"/>
              <w:jc w:val="left"/>
              <w:rPr>
                <w:rFonts w:ascii="Arial"/>
                <w:sz w:val="21"/>
              </w:rPr>
            </w:pPr>
          </w:p>
          <w:p w14:paraId="0FF703BA">
            <w:pPr>
              <w:spacing w:line="265" w:lineRule="auto"/>
              <w:jc w:val="left"/>
              <w:rPr>
                <w:rFonts w:ascii="Arial"/>
                <w:sz w:val="21"/>
              </w:rPr>
            </w:pPr>
          </w:p>
          <w:p w14:paraId="701A088F">
            <w:pPr>
              <w:spacing w:before="61" w:line="233" w:lineRule="auto"/>
              <w:ind w:left="692"/>
              <w:jc w:val="lef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2.2.2</w:t>
            </w:r>
          </w:p>
          <w:p w14:paraId="624EA39A">
            <w:pPr>
              <w:pStyle w:val="11"/>
              <w:spacing w:before="151" w:line="280" w:lineRule="exact"/>
              <w:ind w:left="650"/>
              <w:jc w:val="left"/>
            </w:pPr>
            <w:r>
              <w:rPr>
                <w:spacing w:val="-5"/>
                <w:position w:val="1"/>
              </w:rPr>
              <w:t>（</w:t>
            </w:r>
            <w:r>
              <w:rPr>
                <w:rFonts w:ascii="Times New Roman" w:hAnsi="Times New Roman" w:eastAsia="Times New Roman" w:cs="Times New Roman"/>
                <w:spacing w:val="-5"/>
                <w:position w:val="1"/>
              </w:rPr>
              <w:t>2</w:t>
            </w:r>
            <w:r>
              <w:rPr>
                <w:spacing w:val="-5"/>
                <w:position w:val="1"/>
              </w:rPr>
              <w:t>）</w:t>
            </w:r>
          </w:p>
        </w:tc>
        <w:tc>
          <w:tcPr>
            <w:tcW w:w="2085" w:type="dxa"/>
            <w:vAlign w:val="center"/>
          </w:tcPr>
          <w:p w14:paraId="6A100B3F">
            <w:pPr>
              <w:spacing w:line="258" w:lineRule="auto"/>
              <w:jc w:val="left"/>
              <w:rPr>
                <w:rFonts w:ascii="Arial"/>
                <w:color w:val="auto"/>
                <w:sz w:val="21"/>
              </w:rPr>
            </w:pPr>
          </w:p>
          <w:p w14:paraId="0547FBFE">
            <w:pPr>
              <w:spacing w:line="258" w:lineRule="auto"/>
              <w:jc w:val="left"/>
              <w:rPr>
                <w:rFonts w:ascii="Arial"/>
                <w:color w:val="auto"/>
                <w:sz w:val="21"/>
              </w:rPr>
            </w:pPr>
          </w:p>
          <w:p w14:paraId="724466DF">
            <w:pPr>
              <w:spacing w:line="258" w:lineRule="auto"/>
              <w:jc w:val="left"/>
              <w:rPr>
                <w:rFonts w:ascii="Arial"/>
                <w:color w:val="auto"/>
                <w:sz w:val="21"/>
              </w:rPr>
            </w:pPr>
          </w:p>
          <w:p w14:paraId="02DAB254">
            <w:pPr>
              <w:spacing w:line="258" w:lineRule="auto"/>
              <w:jc w:val="left"/>
              <w:rPr>
                <w:rFonts w:ascii="Arial"/>
                <w:color w:val="auto"/>
                <w:sz w:val="21"/>
              </w:rPr>
            </w:pPr>
          </w:p>
          <w:p w14:paraId="5C7BA1A3">
            <w:pPr>
              <w:spacing w:line="258" w:lineRule="auto"/>
              <w:jc w:val="left"/>
              <w:rPr>
                <w:rFonts w:ascii="Arial"/>
                <w:color w:val="auto"/>
                <w:sz w:val="21"/>
              </w:rPr>
            </w:pPr>
          </w:p>
          <w:p w14:paraId="7B5F2225">
            <w:pPr>
              <w:spacing w:line="259" w:lineRule="auto"/>
              <w:jc w:val="left"/>
              <w:rPr>
                <w:rFonts w:ascii="Arial"/>
                <w:color w:val="auto"/>
                <w:sz w:val="21"/>
              </w:rPr>
            </w:pPr>
          </w:p>
          <w:p w14:paraId="19341351">
            <w:pPr>
              <w:pStyle w:val="11"/>
              <w:spacing w:before="68" w:line="372" w:lineRule="auto"/>
              <w:ind w:left="837" w:right="303" w:hanging="527"/>
              <w:jc w:val="left"/>
              <w:rPr>
                <w:color w:val="auto"/>
              </w:rPr>
            </w:pPr>
            <w:r>
              <w:rPr>
                <w:color w:val="auto"/>
                <w:spacing w:val="-1"/>
              </w:rPr>
              <w:t>评标基准价计算</w:t>
            </w:r>
            <w:r>
              <w:rPr>
                <w:color w:val="auto"/>
                <w:spacing w:val="-2"/>
              </w:rPr>
              <w:t>方法</w:t>
            </w:r>
          </w:p>
        </w:tc>
        <w:tc>
          <w:tcPr>
            <w:tcW w:w="5047" w:type="dxa"/>
            <w:gridSpan w:val="2"/>
            <w:vAlign w:val="center"/>
          </w:tcPr>
          <w:p w14:paraId="69FD7D75">
            <w:pPr>
              <w:pStyle w:val="11"/>
              <w:spacing w:before="154" w:line="219" w:lineRule="auto"/>
              <w:ind w:left="113"/>
              <w:jc w:val="left"/>
              <w:rPr>
                <w:color w:val="auto"/>
              </w:rPr>
            </w:pPr>
            <w:r>
              <w:rPr>
                <w:color w:val="auto"/>
                <w:spacing w:val="-1"/>
              </w:rPr>
              <w:t>基准价计算方法：</w:t>
            </w:r>
          </w:p>
          <w:p w14:paraId="3168537A">
            <w:pPr>
              <w:pStyle w:val="11"/>
              <w:spacing w:before="171" w:line="332" w:lineRule="auto"/>
              <w:ind w:left="111" w:right="215" w:firstLine="443"/>
              <w:jc w:val="left"/>
              <w:rPr>
                <w:color w:val="auto"/>
              </w:rPr>
            </w:pPr>
            <w:r>
              <w:rPr>
                <w:rFonts w:hint="eastAsia"/>
                <w:color w:val="auto"/>
                <w:spacing w:val="10"/>
                <w:lang w:eastAsia="zh-CN"/>
              </w:rPr>
              <w:t>☑</w:t>
            </w:r>
            <w:r>
              <w:rPr>
                <w:color w:val="auto"/>
                <w:spacing w:val="10"/>
              </w:rPr>
              <w:t>通过初步评审的投标人超过</w:t>
            </w:r>
            <w:r>
              <w:rPr>
                <w:color w:val="auto"/>
                <w:spacing w:val="-87"/>
              </w:rPr>
              <w:t xml:space="preserve"> </w:t>
            </w:r>
            <w:r>
              <w:rPr>
                <w:color w:val="auto"/>
                <w:spacing w:val="20"/>
                <w:u w:val="single" w:color="auto"/>
              </w:rPr>
              <w:t xml:space="preserve">  </w:t>
            </w:r>
            <w:r>
              <w:rPr>
                <w:rFonts w:hint="eastAsia"/>
                <w:color w:val="auto"/>
                <w:spacing w:val="20"/>
                <w:u w:val="single" w:color="auto"/>
                <w:lang w:val="en-US" w:eastAsia="zh-CN"/>
              </w:rPr>
              <w:t>5</w:t>
            </w:r>
            <w:r>
              <w:rPr>
                <w:color w:val="auto"/>
                <w:spacing w:val="20"/>
                <w:u w:val="single" w:color="auto"/>
              </w:rPr>
              <w:t xml:space="preserve">  </w:t>
            </w:r>
            <w:r>
              <w:rPr>
                <w:color w:val="auto"/>
                <w:spacing w:val="-92"/>
              </w:rPr>
              <w:t xml:space="preserve"> </w:t>
            </w:r>
            <w:r>
              <w:rPr>
                <w:color w:val="auto"/>
                <w:spacing w:val="10"/>
              </w:rPr>
              <w:t>家（包</w:t>
            </w:r>
            <w:r>
              <w:rPr>
                <w:rFonts w:hint="eastAsia"/>
                <w:color w:val="auto"/>
                <w:spacing w:val="10"/>
                <w:lang w:val="en-US" w:eastAsia="zh-CN"/>
              </w:rPr>
              <w:t>5</w:t>
            </w:r>
            <w:r>
              <w:rPr>
                <w:color w:val="auto"/>
                <w:spacing w:val="10"/>
              </w:rPr>
              <w:t>含</w:t>
            </w:r>
            <w:r>
              <w:rPr>
                <w:color w:val="auto"/>
                <w:spacing w:val="-2"/>
              </w:rPr>
              <w:t>家</w:t>
            </w:r>
            <w:r>
              <w:rPr>
                <w:color w:val="auto"/>
                <w:spacing w:val="-45"/>
              </w:rPr>
              <w:t>），</w:t>
            </w:r>
            <w:r>
              <w:rPr>
                <w:color w:val="auto"/>
                <w:spacing w:val="-2"/>
              </w:rPr>
              <w:t>则去掉</w:t>
            </w:r>
            <w:r>
              <w:rPr>
                <w:color w:val="auto"/>
                <w:spacing w:val="-105"/>
              </w:rPr>
              <w:t xml:space="preserve"> </w:t>
            </w:r>
            <w:r>
              <w:rPr>
                <w:color w:val="auto"/>
                <w:spacing w:val="33"/>
                <w:u w:val="single" w:color="auto"/>
              </w:rPr>
              <w:t xml:space="preserve"> </w:t>
            </w:r>
            <w:r>
              <w:rPr>
                <w:rFonts w:hint="eastAsia"/>
                <w:color w:val="auto"/>
                <w:spacing w:val="33"/>
                <w:u w:val="single" w:color="auto"/>
                <w:lang w:val="en-US" w:eastAsia="zh-CN"/>
              </w:rPr>
              <w:t>1</w:t>
            </w:r>
            <w:r>
              <w:rPr>
                <w:color w:val="auto"/>
                <w:spacing w:val="33"/>
                <w:u w:val="single" w:color="auto"/>
              </w:rPr>
              <w:t xml:space="preserve">  </w:t>
            </w:r>
            <w:r>
              <w:rPr>
                <w:color w:val="auto"/>
                <w:spacing w:val="-95"/>
              </w:rPr>
              <w:t xml:space="preserve"> </w:t>
            </w:r>
            <w:r>
              <w:rPr>
                <w:color w:val="auto"/>
                <w:spacing w:val="-2"/>
              </w:rPr>
              <w:t>个最高投标报价，</w:t>
            </w:r>
            <w:r>
              <w:rPr>
                <w:color w:val="auto"/>
                <w:spacing w:val="33"/>
                <w:u w:val="single" w:color="auto"/>
              </w:rPr>
              <w:t xml:space="preserve"> </w:t>
            </w:r>
            <w:r>
              <w:rPr>
                <w:rFonts w:hint="eastAsia"/>
                <w:color w:val="auto"/>
                <w:spacing w:val="33"/>
                <w:u w:val="single" w:color="auto"/>
                <w:lang w:val="en-US" w:eastAsia="zh-CN"/>
              </w:rPr>
              <w:t>1</w:t>
            </w:r>
            <w:r>
              <w:rPr>
                <w:color w:val="auto"/>
                <w:spacing w:val="33"/>
                <w:u w:val="single" w:color="auto"/>
              </w:rPr>
              <w:t xml:space="preserve">  </w:t>
            </w:r>
            <w:r>
              <w:rPr>
                <w:color w:val="auto"/>
                <w:spacing w:val="-95"/>
              </w:rPr>
              <w:t xml:space="preserve"> </w:t>
            </w:r>
            <w:r>
              <w:rPr>
                <w:color w:val="auto"/>
                <w:spacing w:val="-2"/>
              </w:rPr>
              <w:t>个最低投标</w:t>
            </w:r>
            <w:r>
              <w:rPr>
                <w:color w:val="auto"/>
                <w:spacing w:val="1"/>
              </w:rPr>
              <w:t>报价；若小于</w:t>
            </w:r>
            <w:r>
              <w:rPr>
                <w:color w:val="auto"/>
                <w:spacing w:val="-96"/>
              </w:rPr>
              <w:t xml:space="preserve"> </w:t>
            </w:r>
            <w:r>
              <w:rPr>
                <w:color w:val="auto"/>
                <w:spacing w:val="12"/>
                <w:u w:val="single" w:color="auto"/>
              </w:rPr>
              <w:t xml:space="preserve">   </w:t>
            </w:r>
            <w:r>
              <w:rPr>
                <w:rFonts w:hint="eastAsia"/>
                <w:color w:val="auto"/>
                <w:spacing w:val="12"/>
                <w:u w:val="single" w:color="auto"/>
                <w:lang w:val="en-US" w:eastAsia="zh-CN"/>
              </w:rPr>
              <w:t>5</w:t>
            </w:r>
            <w:r>
              <w:rPr>
                <w:color w:val="auto"/>
                <w:spacing w:val="12"/>
                <w:u w:val="single" w:color="auto"/>
              </w:rPr>
              <w:t xml:space="preserve"> </w:t>
            </w:r>
            <w:r>
              <w:rPr>
                <w:color w:val="auto"/>
                <w:spacing w:val="-93"/>
              </w:rPr>
              <w:t xml:space="preserve"> </w:t>
            </w:r>
            <w:r>
              <w:rPr>
                <w:color w:val="auto"/>
                <w:spacing w:val="1"/>
              </w:rPr>
              <w:t>家，则不去；将其投标报价取平</w:t>
            </w:r>
            <w:r>
              <w:rPr>
                <w:color w:val="auto"/>
                <w:spacing w:val="-2"/>
              </w:rPr>
              <w:t>均值后下浮</w:t>
            </w:r>
            <w:r>
              <w:rPr>
                <w:color w:val="auto"/>
                <w:spacing w:val="-2"/>
                <w:u w:val="single" w:color="auto"/>
              </w:rPr>
              <w:t xml:space="preserve"> </w:t>
            </w:r>
            <w:r>
              <w:rPr>
                <w:rFonts w:hint="eastAsia"/>
                <w:color w:val="auto"/>
                <w:spacing w:val="-2"/>
                <w:u w:val="single" w:color="auto"/>
                <w:lang w:val="en-US" w:eastAsia="zh-CN"/>
              </w:rPr>
              <w:t>0</w:t>
            </w:r>
            <w:r>
              <w:rPr>
                <w:color w:val="auto"/>
                <w:spacing w:val="-2"/>
                <w:u w:val="single" w:color="auto"/>
              </w:rPr>
              <w:t xml:space="preserve">  </w:t>
            </w:r>
            <w:r>
              <w:rPr>
                <w:color w:val="auto"/>
                <w:spacing w:val="-2"/>
              </w:rPr>
              <w:t>%做为基准值。</w:t>
            </w:r>
          </w:p>
          <w:p w14:paraId="11A7C074">
            <w:pPr>
              <w:pStyle w:val="11"/>
              <w:spacing w:before="168" w:line="295" w:lineRule="auto"/>
              <w:ind w:left="113" w:right="217" w:firstLine="441"/>
              <w:jc w:val="left"/>
              <w:rPr>
                <w:color w:val="auto"/>
              </w:rPr>
            </w:pPr>
            <w:r>
              <w:rPr>
                <w:color w:val="auto"/>
                <w:spacing w:val="3"/>
              </w:rPr>
              <w:t>□通过初步评审的投标人的投标报价算术平均</w:t>
            </w:r>
            <w:r>
              <w:rPr>
                <w:color w:val="auto"/>
                <w:spacing w:val="-2"/>
              </w:rPr>
              <w:t>值下浮</w:t>
            </w:r>
            <w:r>
              <w:rPr>
                <w:color w:val="auto"/>
                <w:spacing w:val="-2"/>
                <w:u w:val="single" w:color="auto"/>
              </w:rPr>
              <w:t xml:space="preserve">   </w:t>
            </w:r>
            <w:r>
              <w:rPr>
                <w:color w:val="auto"/>
                <w:spacing w:val="-2"/>
              </w:rPr>
              <w:t>%做为基准值。</w:t>
            </w:r>
          </w:p>
          <w:p w14:paraId="658C1DA3">
            <w:pPr>
              <w:pStyle w:val="11"/>
              <w:spacing w:before="169" w:line="295" w:lineRule="auto"/>
              <w:ind w:left="113" w:right="216" w:firstLine="441"/>
              <w:jc w:val="left"/>
              <w:rPr>
                <w:color w:val="auto"/>
              </w:rPr>
            </w:pPr>
            <w:r>
              <w:rPr>
                <w:rFonts w:hint="eastAsia"/>
                <w:color w:val="auto"/>
                <w:spacing w:val="3"/>
                <w:lang w:eastAsia="zh-CN"/>
              </w:rPr>
              <w:t>□</w:t>
            </w:r>
            <w:r>
              <w:rPr>
                <w:color w:val="auto"/>
                <w:spacing w:val="3"/>
              </w:rPr>
              <w:t>通过初步评审的</w:t>
            </w:r>
            <w:r>
              <w:rPr>
                <w:color w:val="auto"/>
                <w:spacing w:val="3"/>
                <w:u w:val="single" w:color="auto"/>
              </w:rPr>
              <w:t>（最/次/第几）</w:t>
            </w:r>
            <w:r>
              <w:rPr>
                <w:color w:val="auto"/>
                <w:spacing w:val="3"/>
              </w:rPr>
              <w:t>低投标报价</w:t>
            </w:r>
            <w:r>
              <w:rPr>
                <w:color w:val="auto"/>
                <w:spacing w:val="-1"/>
              </w:rPr>
              <w:t>做为基准值。</w:t>
            </w:r>
          </w:p>
        </w:tc>
      </w:tr>
      <w:tr w14:paraId="3A047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804" w:type="dxa"/>
            <w:gridSpan w:val="2"/>
            <w:vAlign w:val="center"/>
          </w:tcPr>
          <w:p w14:paraId="101140C6">
            <w:pPr>
              <w:spacing w:line="252" w:lineRule="auto"/>
              <w:jc w:val="left"/>
              <w:rPr>
                <w:rFonts w:ascii="Arial"/>
                <w:sz w:val="21"/>
              </w:rPr>
            </w:pPr>
          </w:p>
          <w:p w14:paraId="25DF9DE5">
            <w:pPr>
              <w:spacing w:line="252" w:lineRule="auto"/>
              <w:jc w:val="left"/>
              <w:rPr>
                <w:rFonts w:ascii="Arial"/>
                <w:sz w:val="21"/>
              </w:rPr>
            </w:pPr>
          </w:p>
          <w:p w14:paraId="7E619F3F">
            <w:pPr>
              <w:spacing w:line="253" w:lineRule="auto"/>
              <w:jc w:val="left"/>
              <w:rPr>
                <w:rFonts w:ascii="Arial"/>
                <w:sz w:val="21"/>
              </w:rPr>
            </w:pPr>
          </w:p>
          <w:p w14:paraId="7EB58ABF">
            <w:pPr>
              <w:spacing w:before="60" w:line="233" w:lineRule="auto"/>
              <w:ind w:left="692"/>
              <w:jc w:val="lef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2.2.3</w:t>
            </w:r>
          </w:p>
        </w:tc>
        <w:tc>
          <w:tcPr>
            <w:tcW w:w="2085" w:type="dxa"/>
            <w:vAlign w:val="center"/>
          </w:tcPr>
          <w:p w14:paraId="3020DC0E">
            <w:pPr>
              <w:spacing w:line="252" w:lineRule="auto"/>
              <w:jc w:val="left"/>
              <w:rPr>
                <w:rFonts w:ascii="Arial"/>
                <w:sz w:val="21"/>
              </w:rPr>
            </w:pPr>
          </w:p>
          <w:p w14:paraId="63F203FC">
            <w:pPr>
              <w:spacing w:line="253" w:lineRule="auto"/>
              <w:jc w:val="left"/>
              <w:rPr>
                <w:rFonts w:ascii="Arial"/>
                <w:sz w:val="21"/>
              </w:rPr>
            </w:pPr>
          </w:p>
          <w:p w14:paraId="6345D7CC">
            <w:pPr>
              <w:pStyle w:val="11"/>
              <w:spacing w:before="68" w:line="371" w:lineRule="auto"/>
              <w:ind w:left="625" w:right="293" w:hanging="511"/>
              <w:jc w:val="left"/>
            </w:pPr>
            <w:r>
              <w:rPr>
                <w:spacing w:val="-2"/>
              </w:rPr>
              <w:t>投标报价的偏差率计算公式</w:t>
            </w:r>
          </w:p>
        </w:tc>
        <w:tc>
          <w:tcPr>
            <w:tcW w:w="5047" w:type="dxa"/>
            <w:gridSpan w:val="2"/>
            <w:vAlign w:val="center"/>
          </w:tcPr>
          <w:p w14:paraId="082F29F1">
            <w:pPr>
              <w:pStyle w:val="11"/>
              <w:spacing w:before="156" w:line="369" w:lineRule="auto"/>
              <w:ind w:left="113" w:right="106"/>
              <w:jc w:val="left"/>
            </w:pPr>
            <w:r>
              <w:rPr>
                <w:spacing w:val="2"/>
              </w:rPr>
              <w:t>偏差率=100%×（投标人评标价－评标基准价）</w:t>
            </w:r>
            <w:r>
              <w:rPr>
                <w:spacing w:val="-59"/>
              </w:rPr>
              <w:t xml:space="preserve"> </w:t>
            </w:r>
            <w:r>
              <w:rPr>
                <w:spacing w:val="2"/>
              </w:rPr>
              <w:t>÷评</w:t>
            </w:r>
            <w:r>
              <w:rPr>
                <w:spacing w:val="-2"/>
              </w:rPr>
              <w:t>标基准价</w:t>
            </w:r>
          </w:p>
          <w:p w14:paraId="7C88FA7B">
            <w:pPr>
              <w:pStyle w:val="11"/>
              <w:spacing w:line="298" w:lineRule="auto"/>
              <w:ind w:left="113" w:right="342" w:firstLine="3"/>
              <w:jc w:val="left"/>
            </w:pPr>
            <w:r>
              <w:rPr>
                <w:spacing w:val="-3"/>
              </w:rPr>
              <w:t>扣分标准：每低</w:t>
            </w:r>
            <w:r>
              <w:rPr>
                <w:spacing w:val="-29"/>
              </w:rPr>
              <w:t xml:space="preserve"> </w:t>
            </w:r>
            <w:r>
              <w:rPr>
                <w:spacing w:val="-3"/>
              </w:rPr>
              <w:t>1%扣</w:t>
            </w:r>
            <w:r>
              <w:rPr>
                <w:spacing w:val="-105"/>
              </w:rPr>
              <w:t xml:space="preserve"> </w:t>
            </w:r>
            <w:r>
              <w:rPr>
                <w:spacing w:val="34"/>
                <w:u w:val="single" w:color="auto"/>
              </w:rPr>
              <w:t xml:space="preserve"> </w:t>
            </w:r>
            <w:r>
              <w:rPr>
                <w:rFonts w:hint="eastAsia"/>
                <w:spacing w:val="34"/>
                <w:u w:val="single" w:color="auto"/>
                <w:lang w:val="en-US" w:eastAsia="zh-CN"/>
              </w:rPr>
              <w:t>0.1</w:t>
            </w:r>
            <w:r>
              <w:rPr>
                <w:spacing w:val="34"/>
                <w:u w:val="single" w:color="auto"/>
              </w:rPr>
              <w:t xml:space="preserve">  </w:t>
            </w:r>
            <w:r>
              <w:rPr>
                <w:spacing w:val="-93"/>
              </w:rPr>
              <w:t xml:space="preserve"> </w:t>
            </w:r>
            <w:r>
              <w:rPr>
                <w:spacing w:val="-3"/>
              </w:rPr>
              <w:t>分；每高</w:t>
            </w:r>
            <w:r>
              <w:rPr>
                <w:spacing w:val="-29"/>
              </w:rPr>
              <w:t xml:space="preserve"> </w:t>
            </w:r>
            <w:r>
              <w:rPr>
                <w:spacing w:val="-3"/>
              </w:rPr>
              <w:t>1%扣</w:t>
            </w:r>
            <w:r>
              <w:rPr>
                <w:spacing w:val="-3"/>
                <w:u w:val="single" w:color="auto"/>
              </w:rPr>
              <w:t xml:space="preserve">  </w:t>
            </w:r>
            <w:r>
              <w:rPr>
                <w:rFonts w:hint="eastAsia"/>
                <w:spacing w:val="-3"/>
                <w:u w:val="single" w:color="auto"/>
                <w:lang w:val="en-US" w:eastAsia="zh-CN"/>
              </w:rPr>
              <w:t>0.1</w:t>
            </w:r>
            <w:r>
              <w:rPr>
                <w:spacing w:val="-3"/>
                <w:u w:val="single" w:color="auto"/>
              </w:rPr>
              <w:t xml:space="preserve">  </w:t>
            </w:r>
            <w:r>
              <w:rPr>
                <w:spacing w:val="-94"/>
              </w:rPr>
              <w:t xml:space="preserve"> </w:t>
            </w:r>
            <w:r>
              <w:rPr>
                <w:spacing w:val="-3"/>
              </w:rPr>
              <w:t>分。</w:t>
            </w:r>
            <w:r>
              <w:rPr>
                <w:spacing w:val="-2"/>
              </w:rPr>
              <w:t>注：中间值采用插入法计算，小数点后保留两位。</w:t>
            </w:r>
          </w:p>
        </w:tc>
      </w:tr>
      <w:tr w14:paraId="35AD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804" w:type="dxa"/>
            <w:gridSpan w:val="2"/>
            <w:vAlign w:val="center"/>
          </w:tcPr>
          <w:p w14:paraId="38B42705">
            <w:pPr>
              <w:pStyle w:val="11"/>
              <w:spacing w:before="175" w:line="221" w:lineRule="auto"/>
              <w:ind w:left="592"/>
              <w:jc w:val="center"/>
            </w:pPr>
            <w:r>
              <w:rPr>
                <w:b/>
                <w:bCs/>
                <w:spacing w:val="-4"/>
              </w:rPr>
              <w:t>条款号</w:t>
            </w:r>
          </w:p>
        </w:tc>
        <w:tc>
          <w:tcPr>
            <w:tcW w:w="2085" w:type="dxa"/>
            <w:vAlign w:val="center"/>
          </w:tcPr>
          <w:p w14:paraId="348ADD4C">
            <w:pPr>
              <w:pStyle w:val="11"/>
              <w:spacing w:before="175" w:line="221" w:lineRule="auto"/>
              <w:ind w:left="625"/>
              <w:jc w:val="center"/>
            </w:pPr>
            <w:r>
              <w:rPr>
                <w:b/>
                <w:bCs/>
                <w:spacing w:val="-3"/>
              </w:rPr>
              <w:t>评分因素</w:t>
            </w:r>
          </w:p>
        </w:tc>
        <w:tc>
          <w:tcPr>
            <w:tcW w:w="928" w:type="dxa"/>
            <w:vAlign w:val="center"/>
          </w:tcPr>
          <w:p w14:paraId="7533BDFC">
            <w:pPr>
              <w:pStyle w:val="11"/>
              <w:spacing w:before="176" w:line="221" w:lineRule="auto"/>
              <w:ind w:left="152"/>
              <w:jc w:val="center"/>
            </w:pPr>
            <w:r>
              <w:rPr>
                <w:b/>
                <w:bCs/>
                <w:spacing w:val="-4"/>
              </w:rPr>
              <w:t>标准分</w:t>
            </w:r>
          </w:p>
        </w:tc>
        <w:tc>
          <w:tcPr>
            <w:tcW w:w="4119" w:type="dxa"/>
            <w:vAlign w:val="center"/>
          </w:tcPr>
          <w:p w14:paraId="4E2FB291">
            <w:pPr>
              <w:pStyle w:val="11"/>
              <w:spacing w:before="176" w:line="221" w:lineRule="auto"/>
              <w:ind w:left="1642"/>
              <w:jc w:val="center"/>
            </w:pPr>
            <w:r>
              <w:rPr>
                <w:b/>
                <w:bCs/>
                <w:spacing w:val="-3"/>
              </w:rPr>
              <w:t>评分标准</w:t>
            </w:r>
          </w:p>
        </w:tc>
      </w:tr>
      <w:tr w14:paraId="5424A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746" w:type="dxa"/>
            <w:vAlign w:val="center"/>
          </w:tcPr>
          <w:p w14:paraId="7D4D4248">
            <w:pPr>
              <w:spacing w:line="242" w:lineRule="auto"/>
              <w:jc w:val="center"/>
              <w:rPr>
                <w:rFonts w:ascii="Arial"/>
                <w:sz w:val="21"/>
              </w:rPr>
            </w:pPr>
          </w:p>
          <w:p w14:paraId="04FBEEEA">
            <w:pPr>
              <w:spacing w:line="242" w:lineRule="auto"/>
              <w:jc w:val="center"/>
              <w:rPr>
                <w:rFonts w:ascii="Arial"/>
                <w:sz w:val="21"/>
              </w:rPr>
            </w:pPr>
          </w:p>
          <w:p w14:paraId="11CF96DD">
            <w:pPr>
              <w:spacing w:line="242" w:lineRule="auto"/>
              <w:jc w:val="center"/>
              <w:rPr>
                <w:rFonts w:ascii="Arial"/>
                <w:sz w:val="21"/>
              </w:rPr>
            </w:pPr>
          </w:p>
          <w:p w14:paraId="02CA2586">
            <w:pPr>
              <w:spacing w:line="242" w:lineRule="auto"/>
              <w:jc w:val="center"/>
              <w:rPr>
                <w:rFonts w:ascii="Arial"/>
                <w:sz w:val="21"/>
              </w:rPr>
            </w:pPr>
          </w:p>
          <w:p w14:paraId="31D0762A">
            <w:pPr>
              <w:spacing w:before="61" w:line="233" w:lineRule="auto"/>
              <w:ind w:left="165"/>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2.2.4</w:t>
            </w:r>
          </w:p>
          <w:p w14:paraId="52AC1A72">
            <w:pPr>
              <w:pStyle w:val="11"/>
              <w:spacing w:before="150" w:line="281" w:lineRule="exact"/>
              <w:ind w:left="122"/>
              <w:jc w:val="center"/>
            </w:pPr>
            <w:r>
              <w:rPr>
                <w:spacing w:val="-5"/>
                <w:position w:val="1"/>
              </w:rPr>
              <w:t>（</w:t>
            </w:r>
            <w:r>
              <w:rPr>
                <w:rFonts w:ascii="Times New Roman" w:hAnsi="Times New Roman" w:eastAsia="Times New Roman" w:cs="Times New Roman"/>
                <w:spacing w:val="-5"/>
                <w:position w:val="1"/>
              </w:rPr>
              <w:t>1</w:t>
            </w:r>
            <w:r>
              <w:rPr>
                <w:spacing w:val="-5"/>
                <w:position w:val="1"/>
              </w:rPr>
              <w:t>）</w:t>
            </w:r>
          </w:p>
        </w:tc>
        <w:tc>
          <w:tcPr>
            <w:tcW w:w="1058" w:type="dxa"/>
            <w:vAlign w:val="center"/>
          </w:tcPr>
          <w:p w14:paraId="35B36545">
            <w:pPr>
              <w:spacing w:line="254" w:lineRule="auto"/>
              <w:jc w:val="center"/>
              <w:rPr>
                <w:rFonts w:ascii="Arial"/>
                <w:sz w:val="21"/>
              </w:rPr>
            </w:pPr>
          </w:p>
          <w:p w14:paraId="6F329AF6">
            <w:pPr>
              <w:spacing w:line="254" w:lineRule="auto"/>
              <w:jc w:val="center"/>
              <w:rPr>
                <w:rFonts w:ascii="Arial"/>
                <w:sz w:val="21"/>
              </w:rPr>
            </w:pPr>
          </w:p>
          <w:p w14:paraId="31722B56">
            <w:pPr>
              <w:pStyle w:val="11"/>
              <w:spacing w:before="68" w:line="219" w:lineRule="auto"/>
              <w:ind w:left="114"/>
              <w:jc w:val="center"/>
            </w:pPr>
            <w:r>
              <w:rPr>
                <w:spacing w:val="-2"/>
              </w:rPr>
              <w:t>投标报价</w:t>
            </w:r>
          </w:p>
          <w:p w14:paraId="64AED8E9">
            <w:pPr>
              <w:pStyle w:val="11"/>
              <w:spacing w:before="171" w:line="221" w:lineRule="auto"/>
              <w:ind w:left="223"/>
              <w:jc w:val="center"/>
            </w:pPr>
            <w:r>
              <w:rPr>
                <w:spacing w:val="-5"/>
              </w:rPr>
              <w:t>（经济</w:t>
            </w:r>
          </w:p>
          <w:p w14:paraId="7ACBE157">
            <w:pPr>
              <w:pStyle w:val="11"/>
              <w:spacing w:before="168" w:line="221" w:lineRule="auto"/>
              <w:ind w:left="112"/>
              <w:jc w:val="center"/>
            </w:pPr>
            <w:r>
              <w:rPr>
                <w:spacing w:val="-2"/>
              </w:rPr>
              <w:t>标）评分</w:t>
            </w:r>
          </w:p>
          <w:p w14:paraId="291E22F1">
            <w:pPr>
              <w:pStyle w:val="11"/>
              <w:spacing w:before="168" w:line="221" w:lineRule="auto"/>
              <w:ind w:left="323"/>
              <w:jc w:val="center"/>
            </w:pPr>
            <w:r>
              <w:rPr>
                <w:spacing w:val="-2"/>
              </w:rPr>
              <w:t>标准</w:t>
            </w:r>
          </w:p>
        </w:tc>
        <w:tc>
          <w:tcPr>
            <w:tcW w:w="2085" w:type="dxa"/>
            <w:tcBorders>
              <w:bottom w:val="single" w:color="auto" w:sz="4" w:space="0"/>
            </w:tcBorders>
            <w:vAlign w:val="center"/>
          </w:tcPr>
          <w:p w14:paraId="79597C92">
            <w:pPr>
              <w:pStyle w:val="11"/>
              <w:spacing w:before="68" w:line="219" w:lineRule="auto"/>
              <w:jc w:val="center"/>
            </w:pPr>
            <w:r>
              <w:rPr>
                <w:spacing w:val="-1"/>
              </w:rPr>
              <w:t>计算投标报价得分</w:t>
            </w:r>
          </w:p>
        </w:tc>
        <w:tc>
          <w:tcPr>
            <w:tcW w:w="928" w:type="dxa"/>
            <w:tcBorders>
              <w:bottom w:val="single" w:color="auto" w:sz="4" w:space="0"/>
            </w:tcBorders>
            <w:vAlign w:val="center"/>
          </w:tcPr>
          <w:p w14:paraId="0FECBAD0">
            <w:pPr>
              <w:pStyle w:val="11"/>
              <w:spacing w:before="69" w:line="221" w:lineRule="auto"/>
              <w:ind w:firstLine="210" w:firstLineChars="100"/>
              <w:jc w:val="both"/>
            </w:pPr>
            <w:r>
              <w:rPr>
                <w:rFonts w:hint="eastAsia"/>
                <w:lang w:val="en-US" w:eastAsia="zh-CN"/>
              </w:rPr>
              <w:t>50</w:t>
            </w:r>
            <w:r>
              <w:t>分</w:t>
            </w:r>
          </w:p>
        </w:tc>
        <w:tc>
          <w:tcPr>
            <w:tcW w:w="4119" w:type="dxa"/>
            <w:tcBorders>
              <w:bottom w:val="single" w:color="auto" w:sz="4" w:space="0"/>
            </w:tcBorders>
            <w:vAlign w:val="center"/>
          </w:tcPr>
          <w:p w14:paraId="73E2AF61">
            <w:pPr>
              <w:pStyle w:val="11"/>
              <w:spacing w:before="172" w:line="321" w:lineRule="auto"/>
              <w:ind w:left="114" w:right="127" w:hanging="4"/>
              <w:jc w:val="center"/>
            </w:pPr>
            <w:r>
              <w:rPr>
                <w:rFonts w:hint="eastAsia" w:ascii="宋体" w:hAnsi="宋体" w:eastAsia="宋体" w:cs="宋体"/>
                <w:b w:val="0"/>
                <w:bCs/>
                <w:i w:val="0"/>
                <w:color w:val="auto"/>
                <w:szCs w:val="21"/>
                <w:highlight w:val="none"/>
                <w:u w:val="none" w:color="auto"/>
              </w:rPr>
              <w:t>F＝</w:t>
            </w:r>
            <w:r>
              <w:rPr>
                <w:rFonts w:hint="eastAsia" w:cs="宋体"/>
                <w:b w:val="0"/>
                <w:bCs/>
                <w:i w:val="0"/>
                <w:color w:val="auto"/>
                <w:szCs w:val="21"/>
                <w:highlight w:val="none"/>
                <w:u w:val="none" w:color="auto"/>
                <w:lang w:val="en-US" w:eastAsia="zh-CN"/>
              </w:rPr>
              <w:t>50</w:t>
            </w:r>
            <w:r>
              <w:rPr>
                <w:rFonts w:hint="eastAsia" w:ascii="宋体" w:hAnsi="宋体" w:eastAsia="宋体" w:cs="宋体"/>
                <w:b w:val="0"/>
                <w:bCs/>
                <w:i w:val="0"/>
                <w:color w:val="auto"/>
                <w:szCs w:val="21"/>
                <w:highlight w:val="none"/>
                <w:u w:val="none" w:color="auto"/>
              </w:rPr>
              <w:t>-（投标人评标价-评标基准价）÷评标基准价×100×0.</w:t>
            </w:r>
            <w:r>
              <w:rPr>
                <w:rFonts w:hint="eastAsia"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w:t>
            </w:r>
            <w:r>
              <w:rPr>
                <w:rFonts w:hint="eastAsia" w:cs="宋体"/>
                <w:b w:val="0"/>
                <w:bCs/>
                <w:i w:val="0"/>
                <w:color w:val="auto"/>
                <w:szCs w:val="21"/>
                <w:highlight w:val="none"/>
                <w:u w:val="none" w:color="auto"/>
                <w:lang w:val="en-US" w:eastAsia="zh-CN"/>
              </w:rPr>
              <w:t>50</w:t>
            </w:r>
            <w:r>
              <w:rPr>
                <w:rFonts w:hint="eastAsia" w:ascii="宋体" w:hAnsi="宋体" w:eastAsia="宋体" w:cs="宋体"/>
                <w:b w:val="0"/>
                <w:bCs/>
                <w:i w:val="0"/>
                <w:color w:val="auto"/>
                <w:szCs w:val="21"/>
                <w:highlight w:val="none"/>
                <w:u w:val="none" w:color="auto"/>
              </w:rPr>
              <w:t>-（评标基准价-投标人评标价）÷评标基准价×100×0.1（评标价≤基准价时）</w:t>
            </w:r>
          </w:p>
        </w:tc>
      </w:tr>
      <w:tr w14:paraId="7DAD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restart"/>
            <w:tcBorders>
              <w:bottom w:val="nil"/>
            </w:tcBorders>
            <w:vAlign w:val="center"/>
          </w:tcPr>
          <w:p w14:paraId="1A32E5C9">
            <w:pPr>
              <w:spacing w:line="255" w:lineRule="auto"/>
              <w:jc w:val="center"/>
              <w:rPr>
                <w:rFonts w:ascii="Arial"/>
                <w:sz w:val="21"/>
              </w:rPr>
            </w:pPr>
          </w:p>
          <w:p w14:paraId="235BE826">
            <w:pPr>
              <w:spacing w:line="255" w:lineRule="auto"/>
              <w:jc w:val="center"/>
              <w:rPr>
                <w:rFonts w:ascii="Arial"/>
                <w:sz w:val="21"/>
              </w:rPr>
            </w:pPr>
          </w:p>
          <w:p w14:paraId="2112BF2E">
            <w:pPr>
              <w:spacing w:line="255" w:lineRule="auto"/>
              <w:jc w:val="center"/>
              <w:rPr>
                <w:rFonts w:ascii="Arial"/>
                <w:sz w:val="21"/>
              </w:rPr>
            </w:pPr>
          </w:p>
          <w:p w14:paraId="0A03F9E1">
            <w:pPr>
              <w:spacing w:line="255" w:lineRule="auto"/>
              <w:jc w:val="center"/>
              <w:rPr>
                <w:rFonts w:ascii="Arial"/>
                <w:sz w:val="21"/>
              </w:rPr>
            </w:pPr>
          </w:p>
          <w:p w14:paraId="5D0F45C8">
            <w:pPr>
              <w:spacing w:line="255" w:lineRule="auto"/>
              <w:jc w:val="center"/>
              <w:rPr>
                <w:rFonts w:ascii="Arial"/>
                <w:sz w:val="21"/>
              </w:rPr>
            </w:pPr>
          </w:p>
          <w:p w14:paraId="49333BFD">
            <w:pPr>
              <w:spacing w:line="255" w:lineRule="auto"/>
              <w:jc w:val="center"/>
              <w:rPr>
                <w:rFonts w:ascii="Arial"/>
                <w:sz w:val="21"/>
              </w:rPr>
            </w:pPr>
          </w:p>
          <w:p w14:paraId="467A5AE4">
            <w:pPr>
              <w:spacing w:line="255" w:lineRule="auto"/>
              <w:jc w:val="center"/>
              <w:rPr>
                <w:rFonts w:ascii="Arial"/>
                <w:sz w:val="21"/>
              </w:rPr>
            </w:pPr>
          </w:p>
          <w:p w14:paraId="10F7634F">
            <w:pPr>
              <w:spacing w:before="60" w:line="233" w:lineRule="auto"/>
              <w:ind w:left="165"/>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2.2.4</w:t>
            </w:r>
          </w:p>
          <w:p w14:paraId="3875D510">
            <w:pPr>
              <w:pStyle w:val="11"/>
              <w:spacing w:before="150" w:line="281" w:lineRule="exact"/>
              <w:ind w:left="122"/>
              <w:jc w:val="center"/>
            </w:pPr>
            <w:r>
              <w:rPr>
                <w:spacing w:val="-5"/>
                <w:position w:val="1"/>
              </w:rPr>
              <w:t>（</w:t>
            </w:r>
            <w:r>
              <w:rPr>
                <w:rFonts w:ascii="Times New Roman" w:hAnsi="Times New Roman" w:eastAsia="Times New Roman" w:cs="Times New Roman"/>
                <w:spacing w:val="-5"/>
                <w:position w:val="1"/>
              </w:rPr>
              <w:t>2</w:t>
            </w:r>
            <w:r>
              <w:rPr>
                <w:spacing w:val="-5"/>
                <w:position w:val="1"/>
              </w:rPr>
              <w:t>）</w:t>
            </w:r>
          </w:p>
        </w:tc>
        <w:tc>
          <w:tcPr>
            <w:tcW w:w="1058" w:type="dxa"/>
            <w:vMerge w:val="restart"/>
            <w:tcBorders>
              <w:bottom w:val="nil"/>
              <w:right w:val="single" w:color="auto" w:sz="4" w:space="0"/>
            </w:tcBorders>
            <w:vAlign w:val="center"/>
          </w:tcPr>
          <w:p w14:paraId="179B2E8E">
            <w:pPr>
              <w:spacing w:line="265" w:lineRule="auto"/>
              <w:jc w:val="center"/>
              <w:rPr>
                <w:rFonts w:ascii="Arial"/>
                <w:sz w:val="21"/>
              </w:rPr>
            </w:pPr>
          </w:p>
          <w:p w14:paraId="1DF6444F">
            <w:pPr>
              <w:spacing w:line="265" w:lineRule="auto"/>
              <w:jc w:val="center"/>
              <w:rPr>
                <w:rFonts w:ascii="Arial"/>
                <w:sz w:val="21"/>
              </w:rPr>
            </w:pPr>
          </w:p>
          <w:p w14:paraId="097B1D48">
            <w:pPr>
              <w:spacing w:line="265" w:lineRule="auto"/>
              <w:jc w:val="center"/>
              <w:rPr>
                <w:rFonts w:ascii="Arial"/>
                <w:sz w:val="21"/>
              </w:rPr>
            </w:pPr>
          </w:p>
          <w:p w14:paraId="127EA84C">
            <w:pPr>
              <w:spacing w:line="265" w:lineRule="auto"/>
              <w:jc w:val="center"/>
              <w:rPr>
                <w:rFonts w:ascii="Arial"/>
                <w:sz w:val="21"/>
              </w:rPr>
            </w:pPr>
          </w:p>
          <w:p w14:paraId="4B58B3FA">
            <w:pPr>
              <w:spacing w:line="265" w:lineRule="auto"/>
              <w:jc w:val="center"/>
              <w:rPr>
                <w:rFonts w:ascii="Arial"/>
                <w:sz w:val="21"/>
              </w:rPr>
            </w:pPr>
          </w:p>
          <w:p w14:paraId="188E038A">
            <w:pPr>
              <w:pStyle w:val="11"/>
              <w:spacing w:before="170" w:line="221" w:lineRule="auto"/>
              <w:ind w:left="219"/>
              <w:jc w:val="center"/>
            </w:pPr>
            <w:r>
              <w:rPr>
                <w:rFonts w:hint="eastAsia" w:ascii="宋体" w:hAnsi="宋体" w:eastAsia="宋体" w:cs="宋体"/>
                <w:b w:val="0"/>
                <w:i w:val="0"/>
                <w:color w:val="auto"/>
                <w:szCs w:val="21"/>
                <w:highlight w:val="none"/>
                <w:u w:val="none" w:color="auto"/>
              </w:rPr>
              <w:t>技术标（施工组织设计）评分标准</w:t>
            </w:r>
          </w:p>
        </w:tc>
        <w:tc>
          <w:tcPr>
            <w:tcW w:w="2085" w:type="dxa"/>
            <w:tcBorders>
              <w:top w:val="single" w:color="auto" w:sz="4" w:space="0"/>
              <w:left w:val="single" w:color="auto" w:sz="4" w:space="0"/>
              <w:bottom w:val="single" w:color="auto" w:sz="4" w:space="0"/>
              <w:right w:val="single" w:color="auto" w:sz="4" w:space="0"/>
            </w:tcBorders>
            <w:vAlign w:val="center"/>
          </w:tcPr>
          <w:p w14:paraId="2E221A73">
            <w:pPr>
              <w:pStyle w:val="11"/>
              <w:spacing w:before="68" w:line="221" w:lineRule="auto"/>
              <w:jc w:val="center"/>
            </w:pPr>
            <w:r>
              <w:rPr>
                <w:rFonts w:hint="eastAsia" w:ascii="宋体" w:hAnsi="宋体" w:eastAsia="宋体" w:cs="宋体"/>
                <w:b w:val="0"/>
                <w:i w:val="0"/>
                <w:color w:val="auto"/>
                <w:highlight w:val="none"/>
                <w:u w:val="none" w:color="auto"/>
                <w:lang w:val="en-US" w:eastAsia="zh-CN"/>
              </w:rPr>
              <w:t>工作重点难点分析</w:t>
            </w:r>
          </w:p>
        </w:tc>
        <w:tc>
          <w:tcPr>
            <w:tcW w:w="928" w:type="dxa"/>
            <w:tcBorders>
              <w:top w:val="single" w:color="auto" w:sz="4" w:space="0"/>
              <w:left w:val="single" w:color="auto" w:sz="4" w:space="0"/>
              <w:bottom w:val="single" w:color="auto" w:sz="4" w:space="0"/>
              <w:right w:val="single" w:color="auto" w:sz="4" w:space="0"/>
            </w:tcBorders>
            <w:vAlign w:val="center"/>
          </w:tcPr>
          <w:p w14:paraId="31471871">
            <w:pPr>
              <w:pStyle w:val="11"/>
              <w:spacing w:before="68" w:line="221" w:lineRule="auto"/>
              <w:ind w:firstLine="210" w:firstLineChars="100"/>
              <w:jc w:val="both"/>
            </w:pPr>
            <w:r>
              <w:rPr>
                <w:rFonts w:hint="eastAsia"/>
                <w:lang w:val="en-US" w:eastAsia="zh-CN"/>
              </w:rPr>
              <w:t>4</w:t>
            </w:r>
            <w:r>
              <w:t>分</w:t>
            </w:r>
          </w:p>
        </w:tc>
        <w:tc>
          <w:tcPr>
            <w:tcW w:w="4119" w:type="dxa"/>
            <w:tcBorders>
              <w:top w:val="single" w:color="auto" w:sz="4" w:space="0"/>
              <w:left w:val="single" w:color="auto" w:sz="4" w:space="0"/>
              <w:bottom w:val="single" w:color="auto" w:sz="4" w:space="0"/>
              <w:right w:val="single" w:color="auto" w:sz="4" w:space="0"/>
            </w:tcBorders>
            <w:vAlign w:val="center"/>
          </w:tcPr>
          <w:p w14:paraId="68622199">
            <w:pPr>
              <w:pStyle w:val="11"/>
              <w:spacing w:before="124" w:line="221" w:lineRule="auto"/>
              <w:ind w:left="113"/>
              <w:jc w:val="center"/>
            </w:pPr>
            <w:r>
              <w:rPr>
                <w:rFonts w:hint="eastAsia" w:ascii="宋体" w:hAnsi="宋体" w:eastAsia="宋体" w:cs="宋体"/>
                <w:b w:val="0"/>
                <w:bCs/>
                <w:i w:val="0"/>
                <w:color w:val="auto"/>
                <w:szCs w:val="21"/>
                <w:highlight w:val="none"/>
                <w:u w:val="none" w:color="auto"/>
                <w:lang w:val="en-US" w:eastAsia="zh-CN"/>
              </w:rPr>
              <w:t>包括：①工作重点、难点分析；②解决方案及合理化建议。完全满足以上两小项内容得4分，每缺少一项扣</w:t>
            </w:r>
            <w:r>
              <w:rPr>
                <w:rFonts w:hint="eastAsia"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lang w:val="en-US" w:eastAsia="zh-CN"/>
              </w:rPr>
              <w:t>分，所提供的每小项方案中每有一处具有缺陷的扣1分（缺陷是指：凭空编造、内容前后矛盾、前后逻辑错误、涉及的范围及标准错误、地点区域错误、内容缺失），未提供的不得分。</w:t>
            </w:r>
          </w:p>
        </w:tc>
      </w:tr>
      <w:tr w14:paraId="0FA1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46" w:type="dxa"/>
            <w:vMerge w:val="continue"/>
            <w:tcBorders>
              <w:top w:val="nil"/>
              <w:bottom w:val="nil"/>
            </w:tcBorders>
            <w:vAlign w:val="center"/>
          </w:tcPr>
          <w:p w14:paraId="02890AC7">
            <w:pPr>
              <w:jc w:val="center"/>
              <w:rPr>
                <w:rFonts w:ascii="Arial"/>
                <w:sz w:val="21"/>
              </w:rPr>
            </w:pPr>
          </w:p>
        </w:tc>
        <w:tc>
          <w:tcPr>
            <w:tcW w:w="1058" w:type="dxa"/>
            <w:vMerge w:val="continue"/>
            <w:tcBorders>
              <w:top w:val="nil"/>
              <w:bottom w:val="nil"/>
              <w:right w:val="single" w:color="auto" w:sz="4" w:space="0"/>
            </w:tcBorders>
            <w:vAlign w:val="center"/>
          </w:tcPr>
          <w:p w14:paraId="6AC250DF">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5C2888EE">
            <w:pPr>
              <w:pStyle w:val="11"/>
              <w:spacing w:before="68" w:line="221" w:lineRule="auto"/>
              <w:jc w:val="center"/>
            </w:pPr>
            <w:r>
              <w:rPr>
                <w:rFonts w:hint="eastAsia" w:ascii="宋体" w:hAnsi="宋体" w:eastAsia="宋体" w:cs="宋体"/>
                <w:b w:val="0"/>
                <w:i w:val="0"/>
                <w:color w:val="auto"/>
                <w:highlight w:val="none"/>
                <w:u w:val="none" w:color="auto"/>
                <w:lang w:val="en-US" w:eastAsia="zh-CN"/>
              </w:rPr>
              <w:t>施工方法及工艺要求</w:t>
            </w:r>
          </w:p>
        </w:tc>
        <w:tc>
          <w:tcPr>
            <w:tcW w:w="928" w:type="dxa"/>
            <w:tcBorders>
              <w:top w:val="single" w:color="auto" w:sz="4" w:space="0"/>
              <w:left w:val="single" w:color="auto" w:sz="4" w:space="0"/>
              <w:bottom w:val="single" w:color="auto" w:sz="4" w:space="0"/>
              <w:right w:val="single" w:color="auto" w:sz="4" w:space="0"/>
            </w:tcBorders>
            <w:vAlign w:val="center"/>
          </w:tcPr>
          <w:p w14:paraId="5ACF6876">
            <w:pPr>
              <w:pStyle w:val="11"/>
              <w:spacing w:before="68" w:line="221" w:lineRule="auto"/>
              <w:ind w:firstLine="210" w:firstLineChars="100"/>
              <w:jc w:val="both"/>
              <w:rPr>
                <w:highlight w:val="none"/>
              </w:rPr>
            </w:pPr>
            <w:r>
              <w:rPr>
                <w:rFonts w:hint="eastAsia"/>
                <w:highlight w:val="none"/>
                <w:lang w:val="en-US" w:eastAsia="zh-CN"/>
              </w:rPr>
              <w:t>4</w:t>
            </w:r>
            <w:r>
              <w:rPr>
                <w:highlight w:val="none"/>
              </w:rPr>
              <w:t>分</w:t>
            </w:r>
          </w:p>
        </w:tc>
        <w:tc>
          <w:tcPr>
            <w:tcW w:w="4119" w:type="dxa"/>
            <w:tcBorders>
              <w:top w:val="single" w:color="auto" w:sz="4" w:space="0"/>
              <w:left w:val="single" w:color="auto" w:sz="4" w:space="0"/>
              <w:bottom w:val="single" w:color="auto" w:sz="4" w:space="0"/>
              <w:right w:val="single" w:color="auto" w:sz="4" w:space="0"/>
            </w:tcBorders>
            <w:vAlign w:val="center"/>
          </w:tcPr>
          <w:p w14:paraId="31CBA2AF">
            <w:pPr>
              <w:pStyle w:val="11"/>
              <w:spacing w:before="124" w:line="221" w:lineRule="auto"/>
              <w:ind w:left="113"/>
              <w:jc w:val="center"/>
              <w:rPr>
                <w:highlight w:val="none"/>
              </w:rPr>
            </w:pPr>
            <w:r>
              <w:rPr>
                <w:rFonts w:hint="eastAsia" w:ascii="宋体" w:hAnsi="宋体" w:eastAsia="宋体" w:cs="宋体"/>
                <w:b w:val="0"/>
                <w:bCs/>
                <w:i w:val="0"/>
                <w:color w:val="auto"/>
                <w:szCs w:val="21"/>
                <w:highlight w:val="none"/>
                <w:u w:val="none" w:color="auto"/>
                <w:lang w:val="en-US" w:eastAsia="zh-CN"/>
              </w:rPr>
              <w:t>包括：①分部分项的施工方法；②各专业的工艺要求。完全满足以上两小项内容得</w:t>
            </w:r>
            <w:r>
              <w:rPr>
                <w:rFonts w:hint="eastAsia"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lang w:val="en-US" w:eastAsia="zh-CN"/>
              </w:rPr>
              <w:t>分，每缺少一项扣</w:t>
            </w:r>
            <w:r>
              <w:rPr>
                <w:rFonts w:hint="eastAsia"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lang w:val="en-US" w:eastAsia="zh-CN"/>
              </w:rPr>
              <w:t>分，所提供的每小项方案中每有一处具有缺陷的扣1分（缺陷是指：凭空编造、内容前后矛盾、前后逻辑错误、涉及的范围及标准错误、地点区域错误、内容缺失），未提供的不得分。</w:t>
            </w:r>
          </w:p>
        </w:tc>
      </w:tr>
      <w:tr w14:paraId="05CA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center"/>
          </w:tcPr>
          <w:p w14:paraId="1E76DBDE">
            <w:pPr>
              <w:jc w:val="center"/>
              <w:rPr>
                <w:rFonts w:ascii="Arial"/>
                <w:sz w:val="21"/>
              </w:rPr>
            </w:pPr>
          </w:p>
        </w:tc>
        <w:tc>
          <w:tcPr>
            <w:tcW w:w="1058" w:type="dxa"/>
            <w:vMerge w:val="continue"/>
            <w:tcBorders>
              <w:top w:val="nil"/>
              <w:bottom w:val="nil"/>
              <w:right w:val="single" w:color="auto" w:sz="4" w:space="0"/>
            </w:tcBorders>
            <w:vAlign w:val="center"/>
          </w:tcPr>
          <w:p w14:paraId="021A1F91">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4A3A7D9D">
            <w:pPr>
              <w:pStyle w:val="11"/>
              <w:spacing w:before="221" w:line="241" w:lineRule="auto"/>
              <w:ind w:left="735" w:right="200" w:hanging="531"/>
              <w:jc w:val="center"/>
            </w:pPr>
            <w:r>
              <w:rPr>
                <w:rFonts w:hint="eastAsia" w:ascii="宋体" w:hAnsi="宋体" w:eastAsia="宋体" w:cs="宋体"/>
                <w:b w:val="0"/>
                <w:i w:val="0"/>
                <w:color w:val="auto"/>
                <w:highlight w:val="none"/>
                <w:u w:val="none" w:color="auto"/>
              </w:rPr>
              <w:t>进度计划及措施</w:t>
            </w:r>
          </w:p>
        </w:tc>
        <w:tc>
          <w:tcPr>
            <w:tcW w:w="928" w:type="dxa"/>
            <w:tcBorders>
              <w:top w:val="single" w:color="auto" w:sz="4" w:space="0"/>
              <w:left w:val="single" w:color="auto" w:sz="4" w:space="0"/>
              <w:bottom w:val="single" w:color="auto" w:sz="4" w:space="0"/>
              <w:right w:val="single" w:color="auto" w:sz="4" w:space="0"/>
            </w:tcBorders>
            <w:vAlign w:val="center"/>
          </w:tcPr>
          <w:p w14:paraId="711FA30B">
            <w:pPr>
              <w:spacing w:line="288" w:lineRule="auto"/>
              <w:jc w:val="center"/>
            </w:pPr>
            <w:r>
              <w:rPr>
                <w:rFonts w:hint="eastAsia" w:eastAsia="宋体"/>
                <w:sz w:val="21"/>
                <w:lang w:val="en-US" w:eastAsia="zh-CN"/>
              </w:rPr>
              <w:t>4</w:t>
            </w:r>
            <w:r>
              <w:t>分</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14:paraId="79B0EAEB">
            <w:pPr>
              <w:pStyle w:val="11"/>
              <w:spacing w:before="124" w:line="221" w:lineRule="auto"/>
              <w:ind w:left="113"/>
              <w:jc w:val="center"/>
              <w:rPr>
                <w:rFonts w:hint="eastAsia" w:ascii="宋体" w:hAnsi="宋体" w:eastAsia="宋体" w:cs="宋体"/>
                <w:b w:val="0"/>
                <w:bCs/>
                <w:i w:val="0"/>
                <w:color w:val="auto"/>
                <w:szCs w:val="21"/>
                <w:highlight w:val="none"/>
                <w:u w:val="none" w:color="auto"/>
                <w:lang w:val="en-US" w:eastAsia="zh-CN"/>
              </w:rPr>
            </w:pPr>
            <w:r>
              <w:rPr>
                <w:rFonts w:hint="eastAsia" w:ascii="宋体" w:hAnsi="宋体" w:eastAsia="宋体" w:cs="宋体"/>
                <w:b w:val="0"/>
                <w:bCs/>
                <w:i w:val="0"/>
                <w:color w:val="auto"/>
                <w:szCs w:val="21"/>
                <w:highlight w:val="none"/>
                <w:u w:val="none" w:color="auto"/>
                <w:lang w:val="en-US" w:eastAsia="zh-CN"/>
              </w:rPr>
              <w:t>包括：①保障项目进度实施的计划；②进度控制目标；③进度控制流程；④ 进度控制方法。完全满足以上四小项内容得</w:t>
            </w:r>
            <w:r>
              <w:rPr>
                <w:rFonts w:hint="eastAsia"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lang w:val="en-US" w:eastAsia="zh-CN"/>
              </w:rPr>
              <w:t>分，每缺少一项扣</w:t>
            </w:r>
            <w:r>
              <w:rPr>
                <w:rFonts w:hint="eastAsia"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lang w:val="en-US" w:eastAsia="zh-CN"/>
              </w:rPr>
              <w:t>分，所提供的每小项方案中每有一处具有缺陷的扣1分（缺陷是指：凭空编造、内容前后矛盾、前后逻辑错误、涉及的范围及标准错误、地点区域错误、内</w:t>
            </w:r>
          </w:p>
          <w:p w14:paraId="11C3CF94">
            <w:pPr>
              <w:pStyle w:val="11"/>
              <w:spacing w:before="124" w:line="221" w:lineRule="auto"/>
              <w:ind w:left="113"/>
              <w:jc w:val="center"/>
              <w:rPr>
                <w:rFonts w:hint="eastAsia" w:ascii="仿宋" w:hAnsi="仿宋" w:eastAsia="仿宋" w:cs="仿宋"/>
                <w:snapToGrid w:val="0"/>
                <w:color w:val="000000"/>
                <w:kern w:val="0"/>
                <w:sz w:val="21"/>
                <w:szCs w:val="21"/>
                <w:lang w:val="zh-CN" w:eastAsia="en-US" w:bidi="ar-SA"/>
              </w:rPr>
            </w:pPr>
            <w:r>
              <w:rPr>
                <w:rFonts w:hint="eastAsia" w:ascii="宋体" w:hAnsi="宋体" w:eastAsia="宋体" w:cs="宋体"/>
                <w:b w:val="0"/>
                <w:bCs/>
                <w:i w:val="0"/>
                <w:color w:val="auto"/>
                <w:szCs w:val="21"/>
                <w:highlight w:val="none"/>
                <w:u w:val="none" w:color="auto"/>
                <w:lang w:val="en-US" w:eastAsia="zh-CN"/>
              </w:rPr>
              <w:t>容缺失），未提供的不得分。</w:t>
            </w:r>
          </w:p>
        </w:tc>
      </w:tr>
      <w:tr w14:paraId="7733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6" w:type="dxa"/>
            <w:vMerge w:val="continue"/>
            <w:tcBorders>
              <w:top w:val="nil"/>
              <w:bottom w:val="nil"/>
            </w:tcBorders>
            <w:vAlign w:val="center"/>
          </w:tcPr>
          <w:p w14:paraId="119B2019">
            <w:pPr>
              <w:jc w:val="center"/>
              <w:rPr>
                <w:rFonts w:ascii="Arial"/>
                <w:sz w:val="21"/>
              </w:rPr>
            </w:pPr>
          </w:p>
        </w:tc>
        <w:tc>
          <w:tcPr>
            <w:tcW w:w="1058" w:type="dxa"/>
            <w:vMerge w:val="continue"/>
            <w:tcBorders>
              <w:top w:val="nil"/>
              <w:bottom w:val="nil"/>
              <w:right w:val="single" w:color="auto" w:sz="4" w:space="0"/>
            </w:tcBorders>
            <w:vAlign w:val="center"/>
          </w:tcPr>
          <w:p w14:paraId="4052616E">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3F5FE02E">
            <w:pPr>
              <w:pStyle w:val="11"/>
              <w:spacing w:before="222" w:line="241" w:lineRule="auto"/>
              <w:ind w:right="200"/>
              <w:jc w:val="center"/>
              <w:rPr>
                <w:rFonts w:hint="eastAsia" w:ascii="宋体" w:hAnsi="宋体" w:eastAsia="宋体" w:cs="宋体"/>
                <w:b w:val="0"/>
                <w:i w:val="0"/>
                <w:color w:val="auto"/>
                <w:highlight w:val="none"/>
                <w:u w:val="none" w:color="auto"/>
                <w:lang w:val="en-US" w:eastAsia="zh-CN"/>
              </w:rPr>
            </w:pPr>
            <w:r>
              <w:rPr>
                <w:rFonts w:hint="eastAsia" w:ascii="宋体" w:hAnsi="宋体" w:eastAsia="宋体" w:cs="宋体"/>
                <w:b w:val="0"/>
                <w:i w:val="0"/>
                <w:color w:val="auto"/>
                <w:highlight w:val="none"/>
                <w:u w:val="none" w:color="auto"/>
                <w:lang w:val="en-US" w:eastAsia="zh-CN"/>
              </w:rPr>
              <w:t>质量保证体系</w:t>
            </w:r>
          </w:p>
          <w:p w14:paraId="5980BEE9">
            <w:pPr>
              <w:pStyle w:val="11"/>
              <w:spacing w:before="222" w:line="241" w:lineRule="auto"/>
              <w:ind w:right="200"/>
              <w:jc w:val="center"/>
            </w:pPr>
          </w:p>
        </w:tc>
        <w:tc>
          <w:tcPr>
            <w:tcW w:w="928" w:type="dxa"/>
            <w:tcBorders>
              <w:top w:val="single" w:color="auto" w:sz="4" w:space="0"/>
              <w:left w:val="single" w:color="auto" w:sz="4" w:space="0"/>
              <w:bottom w:val="single" w:color="auto" w:sz="4" w:space="0"/>
              <w:right w:val="single" w:color="auto" w:sz="4" w:space="0"/>
            </w:tcBorders>
            <w:vAlign w:val="center"/>
          </w:tcPr>
          <w:p w14:paraId="393C2C46">
            <w:pPr>
              <w:pStyle w:val="11"/>
              <w:spacing w:before="68" w:line="221" w:lineRule="auto"/>
              <w:jc w:val="center"/>
              <w:rPr>
                <w:rFonts w:hint="default" w:eastAsia="宋体"/>
                <w:lang w:val="en-US" w:eastAsia="zh-CN"/>
              </w:rPr>
            </w:pPr>
            <w:r>
              <w:rPr>
                <w:rFonts w:hint="eastAsia"/>
                <w:lang w:val="en-US" w:eastAsia="zh-CN"/>
              </w:rPr>
              <w:t>4分</w:t>
            </w:r>
          </w:p>
        </w:tc>
        <w:tc>
          <w:tcPr>
            <w:tcW w:w="4119" w:type="dxa"/>
            <w:tcBorders>
              <w:top w:val="single" w:color="auto" w:sz="4" w:space="0"/>
              <w:left w:val="single" w:color="auto" w:sz="4" w:space="0"/>
              <w:bottom w:val="single" w:color="auto" w:sz="4" w:space="0"/>
              <w:right w:val="single" w:color="auto" w:sz="4" w:space="0"/>
            </w:tcBorders>
            <w:vAlign w:val="center"/>
          </w:tcPr>
          <w:p w14:paraId="6FAA61F3">
            <w:pPr>
              <w:pStyle w:val="11"/>
              <w:spacing w:before="126" w:line="221" w:lineRule="auto"/>
              <w:ind w:left="113"/>
              <w:jc w:val="center"/>
            </w:pPr>
            <w:r>
              <w:rPr>
                <w:rFonts w:hint="eastAsia" w:ascii="宋体" w:hAnsi="宋体" w:eastAsia="宋体" w:cs="宋体"/>
                <w:b w:val="0"/>
                <w:bCs/>
                <w:i w:val="0"/>
                <w:color w:val="auto"/>
                <w:szCs w:val="21"/>
                <w:highlight w:val="none"/>
                <w:u w:val="none" w:color="auto"/>
                <w:lang w:val="en-US" w:eastAsia="zh-CN"/>
              </w:rPr>
              <w:t>包括：①质量保证体系的建立；②人员职责；③质量目标；④过程控制。完全满足以上四小项内容得</w:t>
            </w:r>
            <w:r>
              <w:rPr>
                <w:rFonts w:hint="eastAsia" w:cs="宋体"/>
                <w:b w:val="0"/>
                <w:bCs/>
                <w:i w:val="0"/>
                <w:color w:val="auto"/>
                <w:szCs w:val="21"/>
                <w:highlight w:val="none"/>
                <w:u w:val="none" w:color="auto"/>
                <w:lang w:val="en-US" w:eastAsia="zh-CN"/>
              </w:rPr>
              <w:t>4</w:t>
            </w:r>
            <w:r>
              <w:rPr>
                <w:rFonts w:hint="eastAsia" w:ascii="宋体" w:hAnsi="宋体" w:eastAsia="宋体" w:cs="宋体"/>
                <w:b w:val="0"/>
                <w:bCs/>
                <w:i w:val="0"/>
                <w:color w:val="auto"/>
                <w:szCs w:val="21"/>
                <w:highlight w:val="none"/>
                <w:u w:val="none" w:color="auto"/>
                <w:lang w:val="en-US" w:eastAsia="zh-CN"/>
              </w:rPr>
              <w:t>分，每缺少一项扣</w:t>
            </w:r>
            <w:r>
              <w:rPr>
                <w:rFonts w:hint="eastAsia"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lang w:val="en-US" w:eastAsia="zh-CN"/>
              </w:rPr>
              <w:t>分，所提供的每小项方案中每有一处具有缺陷的扣1分（缺陷是指：凭空编造、内容前后矛盾、前后逻辑错误、涉及的范围及标准错误、地点区域错误、内容缺失），未提供的不得分。</w:t>
            </w:r>
          </w:p>
        </w:tc>
      </w:tr>
      <w:tr w14:paraId="07FF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6" w:type="dxa"/>
            <w:vMerge w:val="continue"/>
            <w:tcBorders>
              <w:top w:val="nil"/>
            </w:tcBorders>
            <w:vAlign w:val="center"/>
          </w:tcPr>
          <w:p w14:paraId="693DAD17">
            <w:pPr>
              <w:jc w:val="center"/>
              <w:rPr>
                <w:rFonts w:ascii="Arial"/>
                <w:sz w:val="21"/>
              </w:rPr>
            </w:pPr>
          </w:p>
        </w:tc>
        <w:tc>
          <w:tcPr>
            <w:tcW w:w="1058" w:type="dxa"/>
            <w:vMerge w:val="continue"/>
            <w:tcBorders>
              <w:top w:val="nil"/>
              <w:right w:val="single" w:color="auto" w:sz="4" w:space="0"/>
            </w:tcBorders>
            <w:vAlign w:val="center"/>
          </w:tcPr>
          <w:p w14:paraId="5D3C9789">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7ACB1C75">
            <w:pPr>
              <w:jc w:val="center"/>
              <w:rPr>
                <w:rFonts w:ascii="Arial"/>
                <w:sz w:val="21"/>
              </w:rPr>
            </w:pPr>
            <w:r>
              <w:rPr>
                <w:rFonts w:hint="eastAsia" w:ascii="宋体" w:hAnsi="宋体" w:eastAsia="宋体" w:cs="宋体"/>
                <w:b w:val="0"/>
                <w:i w:val="0"/>
                <w:color w:val="auto"/>
                <w:highlight w:val="none"/>
                <w:u w:val="none" w:color="auto"/>
              </w:rPr>
              <w:t>安全生产、环境保护、文明施工管理</w:t>
            </w:r>
            <w:r>
              <w:rPr>
                <w:rFonts w:hint="eastAsia" w:ascii="宋体" w:hAnsi="宋体" w:eastAsia="宋体" w:cs="宋体"/>
                <w:b w:val="0"/>
                <w:i w:val="0"/>
                <w:color w:val="auto"/>
                <w:highlight w:val="none"/>
                <w:u w:val="none" w:color="auto"/>
                <w:lang w:val="en-US" w:eastAsia="zh-CN"/>
              </w:rPr>
              <w:t>等措施</w:t>
            </w:r>
          </w:p>
        </w:tc>
        <w:tc>
          <w:tcPr>
            <w:tcW w:w="928" w:type="dxa"/>
            <w:tcBorders>
              <w:top w:val="single" w:color="auto" w:sz="4" w:space="0"/>
              <w:left w:val="single" w:color="auto" w:sz="4" w:space="0"/>
              <w:bottom w:val="single" w:color="auto" w:sz="4" w:space="0"/>
              <w:right w:val="single" w:color="auto" w:sz="4" w:space="0"/>
            </w:tcBorders>
            <w:vAlign w:val="center"/>
          </w:tcPr>
          <w:p w14:paraId="38A31004">
            <w:pPr>
              <w:pStyle w:val="11"/>
              <w:spacing w:before="126" w:line="221" w:lineRule="auto"/>
              <w:jc w:val="center"/>
              <w:rPr>
                <w:rFonts w:hint="default" w:eastAsia="宋体"/>
                <w:lang w:val="en-US" w:eastAsia="zh-CN"/>
              </w:rPr>
            </w:pPr>
            <w:r>
              <w:rPr>
                <w:rFonts w:hint="eastAsia"/>
                <w:lang w:val="en-US" w:eastAsia="zh-CN"/>
              </w:rPr>
              <w:t>4分</w:t>
            </w:r>
          </w:p>
        </w:tc>
        <w:tc>
          <w:tcPr>
            <w:tcW w:w="4119" w:type="dxa"/>
            <w:tcBorders>
              <w:top w:val="single" w:color="auto" w:sz="4" w:space="0"/>
              <w:left w:val="single" w:color="auto" w:sz="4" w:space="0"/>
              <w:bottom w:val="single" w:color="auto" w:sz="4" w:space="0"/>
              <w:right w:val="single" w:color="auto" w:sz="4" w:space="0"/>
            </w:tcBorders>
            <w:vAlign w:val="center"/>
          </w:tcPr>
          <w:p w14:paraId="7F6C6709">
            <w:pPr>
              <w:pStyle w:val="11"/>
              <w:spacing w:before="125" w:line="221" w:lineRule="auto"/>
              <w:ind w:left="113"/>
              <w:jc w:val="center"/>
            </w:pPr>
            <w:r>
              <w:rPr>
                <w:rFonts w:hint="eastAsia"/>
                <w:lang w:val="en-US" w:eastAsia="zh-CN"/>
              </w:rPr>
              <w:t>包括：①安全生产措施；②环境保护措施；③文明施工管理措施；④有针对性的季节性安全施工措施。完全满足以上四小项内容得4分，所提供的每小项方案中每有一处具有缺陷的扣1分（缺陷是指：凭空编造、内容前后矛盾、前后逻辑错误、涉及的范围及标准错误、地点区域错误、内容缺失），未提供的不得分。</w:t>
            </w:r>
          </w:p>
        </w:tc>
      </w:tr>
      <w:tr w14:paraId="36B41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center"/>
          </w:tcPr>
          <w:p w14:paraId="571C014A">
            <w:pPr>
              <w:jc w:val="center"/>
              <w:rPr>
                <w:rFonts w:ascii="Arial"/>
                <w:sz w:val="21"/>
              </w:rPr>
            </w:pPr>
          </w:p>
        </w:tc>
        <w:tc>
          <w:tcPr>
            <w:tcW w:w="1058" w:type="dxa"/>
            <w:vMerge w:val="continue"/>
            <w:tcBorders>
              <w:top w:val="nil"/>
              <w:bottom w:val="nil"/>
              <w:right w:val="single" w:color="auto" w:sz="4" w:space="0"/>
            </w:tcBorders>
            <w:vAlign w:val="center"/>
          </w:tcPr>
          <w:p w14:paraId="0E8A55BA">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6269949C">
            <w:pPr>
              <w:pStyle w:val="11"/>
              <w:spacing w:before="68" w:line="221" w:lineRule="auto"/>
              <w:jc w:val="center"/>
            </w:pPr>
            <w:r>
              <w:rPr>
                <w:rFonts w:hint="eastAsia"/>
              </w:rPr>
              <w:t>人力资源配备计划及保证措施</w:t>
            </w:r>
          </w:p>
        </w:tc>
        <w:tc>
          <w:tcPr>
            <w:tcW w:w="928" w:type="dxa"/>
            <w:tcBorders>
              <w:top w:val="single" w:color="auto" w:sz="4" w:space="0"/>
              <w:left w:val="single" w:color="auto" w:sz="4" w:space="0"/>
              <w:bottom w:val="single" w:color="auto" w:sz="4" w:space="0"/>
              <w:right w:val="single" w:color="auto" w:sz="4" w:space="0"/>
            </w:tcBorders>
            <w:vAlign w:val="center"/>
          </w:tcPr>
          <w:p w14:paraId="0E89B07E">
            <w:pPr>
              <w:pStyle w:val="11"/>
              <w:spacing w:before="68" w:line="221" w:lineRule="auto"/>
              <w:jc w:val="center"/>
              <w:rPr>
                <w:rFonts w:hint="default" w:eastAsia="宋体"/>
                <w:lang w:val="en-US" w:eastAsia="zh-CN"/>
              </w:rPr>
            </w:pPr>
            <w:r>
              <w:rPr>
                <w:rFonts w:hint="eastAsia"/>
                <w:lang w:val="en-US" w:eastAsia="zh-CN"/>
              </w:rPr>
              <w:t>4分</w:t>
            </w:r>
          </w:p>
        </w:tc>
        <w:tc>
          <w:tcPr>
            <w:tcW w:w="4119" w:type="dxa"/>
            <w:tcBorders>
              <w:top w:val="single" w:color="auto" w:sz="4" w:space="0"/>
              <w:left w:val="single" w:color="auto" w:sz="4" w:space="0"/>
              <w:bottom w:val="single" w:color="auto" w:sz="4" w:space="0"/>
              <w:right w:val="single" w:color="auto" w:sz="4" w:space="0"/>
            </w:tcBorders>
            <w:vAlign w:val="center"/>
          </w:tcPr>
          <w:p w14:paraId="78C9CEF1">
            <w:pPr>
              <w:pStyle w:val="11"/>
              <w:spacing w:before="120" w:line="221" w:lineRule="auto"/>
              <w:ind w:left="113"/>
              <w:jc w:val="center"/>
            </w:pPr>
            <w:r>
              <w:rPr>
                <w:rFonts w:hint="eastAsia"/>
                <w:lang w:val="en-US" w:eastAsia="zh-CN"/>
              </w:rPr>
              <w:t>包括：①人力资源配备计划；②人力资源配备的保障措施；完全满足以上两小项内容得4分，每缺少一项扣2分，所提供的每小项方案中每有一处具有缺陷的扣1分（缺陷是指：凭空编造、内容前后矛盾、前后逻辑错误、涉及的范围及标准错误、地点区域错误、内容缺失），未提供的不得分。</w:t>
            </w:r>
          </w:p>
        </w:tc>
      </w:tr>
      <w:tr w14:paraId="3142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6" w:type="dxa"/>
            <w:vMerge w:val="continue"/>
            <w:tcBorders>
              <w:top w:val="nil"/>
              <w:bottom w:val="nil"/>
            </w:tcBorders>
            <w:vAlign w:val="center"/>
          </w:tcPr>
          <w:p w14:paraId="4D87466D">
            <w:pPr>
              <w:jc w:val="center"/>
              <w:rPr>
                <w:rFonts w:ascii="Arial"/>
                <w:sz w:val="21"/>
              </w:rPr>
            </w:pPr>
          </w:p>
        </w:tc>
        <w:tc>
          <w:tcPr>
            <w:tcW w:w="1058" w:type="dxa"/>
            <w:vMerge w:val="continue"/>
            <w:tcBorders>
              <w:top w:val="nil"/>
              <w:bottom w:val="nil"/>
              <w:right w:val="single" w:color="auto" w:sz="4" w:space="0"/>
            </w:tcBorders>
            <w:vAlign w:val="center"/>
          </w:tcPr>
          <w:p w14:paraId="620D1581">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4EC45611">
            <w:pPr>
              <w:pStyle w:val="11"/>
              <w:spacing w:before="68" w:line="221" w:lineRule="auto"/>
              <w:jc w:val="center"/>
            </w:pPr>
            <w:r>
              <w:rPr>
                <w:rFonts w:hint="eastAsia"/>
              </w:rPr>
              <w:t>现场布置及管理措施</w:t>
            </w:r>
          </w:p>
        </w:tc>
        <w:tc>
          <w:tcPr>
            <w:tcW w:w="928" w:type="dxa"/>
            <w:tcBorders>
              <w:top w:val="single" w:color="auto" w:sz="4" w:space="0"/>
              <w:left w:val="single" w:color="auto" w:sz="4" w:space="0"/>
              <w:bottom w:val="single" w:color="auto" w:sz="4" w:space="0"/>
              <w:right w:val="single" w:color="auto" w:sz="4" w:space="0"/>
            </w:tcBorders>
            <w:vAlign w:val="center"/>
          </w:tcPr>
          <w:p w14:paraId="1FB25624">
            <w:pPr>
              <w:pStyle w:val="11"/>
              <w:spacing w:before="68" w:line="221" w:lineRule="auto"/>
              <w:jc w:val="center"/>
              <w:rPr>
                <w:rFonts w:hint="default" w:eastAsia="宋体"/>
                <w:lang w:val="en-US" w:eastAsia="zh-CN"/>
              </w:rPr>
            </w:pPr>
            <w:r>
              <w:rPr>
                <w:rFonts w:hint="eastAsia"/>
                <w:lang w:val="en-US" w:eastAsia="zh-CN"/>
              </w:rPr>
              <w:t>4分</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14:paraId="1752506C">
            <w:pPr>
              <w:spacing w:line="420" w:lineRule="exact"/>
              <w:jc w:val="center"/>
              <w:rPr>
                <w:rFonts w:ascii="Arial" w:hAnsi="Arial" w:eastAsia="Arial" w:cs="Arial"/>
                <w:snapToGrid w:val="0"/>
                <w:color w:val="auto"/>
                <w:kern w:val="0"/>
                <w:sz w:val="21"/>
                <w:szCs w:val="21"/>
                <w:highlight w:val="none"/>
                <w:lang w:val="en-US" w:eastAsia="en-US" w:bidi="ar-SA"/>
              </w:rPr>
            </w:pPr>
            <w:r>
              <w:rPr>
                <w:rFonts w:hint="eastAsia" w:ascii="Arial" w:hAnsi="Arial" w:eastAsia="Arial" w:cs="Arial"/>
                <w:snapToGrid w:val="0"/>
                <w:color w:val="auto"/>
                <w:kern w:val="0"/>
                <w:sz w:val="21"/>
                <w:szCs w:val="21"/>
                <w:highlight w:val="none"/>
                <w:lang w:val="en-US" w:eastAsia="en-US" w:bidi="ar-SA"/>
              </w:rPr>
              <w:t>包括：①现场布置方案；②现场布置管理措施；完全满足以上两小项内容得4分，每缺少一项扣2分，所提供的每小项方案中每有一处具有缺陷的扣1分（缺陷是指：凭空编造、内容前后矛盾、前后逻辑错误、涉及的范围及标准错误、地点区域错误、内容缺失），未提供的不得分。</w:t>
            </w:r>
          </w:p>
        </w:tc>
      </w:tr>
      <w:tr w14:paraId="7C0B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46" w:type="dxa"/>
            <w:vMerge w:val="continue"/>
            <w:tcBorders>
              <w:top w:val="nil"/>
              <w:bottom w:val="nil"/>
            </w:tcBorders>
            <w:vAlign w:val="center"/>
          </w:tcPr>
          <w:p w14:paraId="4919A9B2">
            <w:pPr>
              <w:jc w:val="center"/>
              <w:rPr>
                <w:rFonts w:ascii="Arial"/>
                <w:sz w:val="21"/>
              </w:rPr>
            </w:pPr>
          </w:p>
        </w:tc>
        <w:tc>
          <w:tcPr>
            <w:tcW w:w="1058" w:type="dxa"/>
            <w:vMerge w:val="continue"/>
            <w:tcBorders>
              <w:top w:val="nil"/>
              <w:bottom w:val="nil"/>
              <w:right w:val="single" w:color="auto" w:sz="4" w:space="0"/>
            </w:tcBorders>
            <w:vAlign w:val="center"/>
          </w:tcPr>
          <w:p w14:paraId="6E260E2A">
            <w:pPr>
              <w:jc w:val="center"/>
              <w:rPr>
                <w:rFonts w:ascii="Arial"/>
                <w:sz w:val="21"/>
              </w:rPr>
            </w:pPr>
          </w:p>
        </w:tc>
        <w:tc>
          <w:tcPr>
            <w:tcW w:w="2085" w:type="dxa"/>
            <w:tcBorders>
              <w:top w:val="single" w:color="auto" w:sz="4" w:space="0"/>
              <w:left w:val="single" w:color="auto" w:sz="4" w:space="0"/>
              <w:bottom w:val="single" w:color="auto" w:sz="4" w:space="0"/>
              <w:right w:val="single" w:color="auto" w:sz="4" w:space="0"/>
            </w:tcBorders>
            <w:vAlign w:val="center"/>
          </w:tcPr>
          <w:p w14:paraId="662F0900">
            <w:pPr>
              <w:pStyle w:val="11"/>
              <w:spacing w:before="68" w:line="332" w:lineRule="exact"/>
              <w:jc w:val="center"/>
            </w:pPr>
            <w:r>
              <w:rPr>
                <w:rFonts w:hint="eastAsia"/>
              </w:rPr>
              <w:t>应急预案及保障措施</w:t>
            </w:r>
          </w:p>
        </w:tc>
        <w:tc>
          <w:tcPr>
            <w:tcW w:w="928" w:type="dxa"/>
            <w:tcBorders>
              <w:top w:val="single" w:color="auto" w:sz="4" w:space="0"/>
              <w:left w:val="single" w:color="auto" w:sz="4" w:space="0"/>
              <w:bottom w:val="single" w:color="auto" w:sz="4" w:space="0"/>
              <w:right w:val="single" w:color="auto" w:sz="4" w:space="0"/>
            </w:tcBorders>
            <w:vAlign w:val="center"/>
          </w:tcPr>
          <w:p w14:paraId="079FD328">
            <w:pPr>
              <w:pStyle w:val="11"/>
              <w:spacing w:before="69" w:line="221" w:lineRule="auto"/>
              <w:jc w:val="center"/>
              <w:rPr>
                <w:rFonts w:hint="default" w:eastAsia="宋体"/>
                <w:lang w:val="en-US" w:eastAsia="zh-CN"/>
              </w:rPr>
            </w:pPr>
            <w:r>
              <w:rPr>
                <w:rFonts w:hint="eastAsia"/>
                <w:lang w:val="en-US" w:eastAsia="zh-CN"/>
              </w:rPr>
              <w:t>4分</w:t>
            </w:r>
          </w:p>
        </w:tc>
        <w:tc>
          <w:tcPr>
            <w:tcW w:w="4119" w:type="dxa"/>
            <w:tcBorders>
              <w:top w:val="single" w:color="auto" w:sz="4" w:space="0"/>
              <w:left w:val="single" w:color="auto" w:sz="4" w:space="0"/>
              <w:bottom w:val="single" w:color="auto" w:sz="4" w:space="0"/>
              <w:right w:val="single" w:color="auto" w:sz="4" w:space="0"/>
            </w:tcBorders>
            <w:vAlign w:val="center"/>
          </w:tcPr>
          <w:p w14:paraId="06A60767">
            <w:pPr>
              <w:pStyle w:val="11"/>
              <w:spacing w:before="121" w:line="221" w:lineRule="auto"/>
              <w:ind w:left="113"/>
              <w:jc w:val="center"/>
            </w:pPr>
            <w:r>
              <w:rPr>
                <w:rFonts w:hint="eastAsia"/>
                <w:lang w:val="en-US" w:eastAsia="zh-CN"/>
              </w:rPr>
              <w:t>包括：①应急预案；</w:t>
            </w:r>
            <w:r>
              <w:rPr>
                <w:rFonts w:hint="default"/>
                <w:lang w:val="en-US" w:eastAsia="zh-CN"/>
              </w:rPr>
              <w:t>②</w:t>
            </w:r>
            <w:r>
              <w:rPr>
                <w:rFonts w:hint="eastAsia"/>
                <w:lang w:val="en-US" w:eastAsia="zh-CN"/>
              </w:rPr>
              <w:t>保障措施；完全满足以上两小项内容得4分，每缺少一项扣</w:t>
            </w:r>
            <w:r>
              <w:rPr>
                <w:rFonts w:hint="default"/>
                <w:lang w:val="en-US" w:eastAsia="zh-CN"/>
              </w:rPr>
              <w:t>2</w:t>
            </w:r>
            <w:r>
              <w:rPr>
                <w:rFonts w:hint="eastAsia"/>
                <w:lang w:val="en-US" w:eastAsia="zh-CN"/>
              </w:rPr>
              <w:t>分，所提供的每小项方案中每有一处具有缺陷的扣</w:t>
            </w:r>
            <w:r>
              <w:rPr>
                <w:rFonts w:hint="default"/>
                <w:lang w:val="en-US" w:eastAsia="zh-CN"/>
              </w:rPr>
              <w:t>1</w:t>
            </w:r>
            <w:r>
              <w:rPr>
                <w:rFonts w:hint="eastAsia"/>
                <w:lang w:val="en-US" w:eastAsia="zh-CN"/>
              </w:rPr>
              <w:t>分（缺陷是指：凭空编造、内容前后矛盾、前后逻辑错误、涉及的范围及标准错误、地点区域错误、内容缺失），未提供的不得分。</w:t>
            </w:r>
          </w:p>
        </w:tc>
      </w:tr>
      <w:tr w14:paraId="5A55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46" w:type="dxa"/>
            <w:vMerge w:val="restart"/>
            <w:tcBorders>
              <w:top w:val="single" w:color="auto" w:sz="4" w:space="0"/>
              <w:left w:val="single" w:color="auto" w:sz="4" w:space="0"/>
              <w:bottom w:val="single" w:color="auto" w:sz="4" w:space="0"/>
              <w:right w:val="single" w:color="auto" w:sz="4" w:space="0"/>
            </w:tcBorders>
            <w:vAlign w:val="center"/>
          </w:tcPr>
          <w:p w14:paraId="2FA1E343">
            <w:pPr>
              <w:spacing w:line="249" w:lineRule="auto"/>
              <w:jc w:val="center"/>
              <w:rPr>
                <w:rFonts w:ascii="Arial"/>
                <w:sz w:val="21"/>
              </w:rPr>
            </w:pPr>
          </w:p>
          <w:p w14:paraId="3191F27F">
            <w:pPr>
              <w:spacing w:line="249" w:lineRule="auto"/>
              <w:jc w:val="center"/>
              <w:rPr>
                <w:rFonts w:ascii="Arial"/>
                <w:sz w:val="21"/>
              </w:rPr>
            </w:pPr>
          </w:p>
          <w:p w14:paraId="7A5E12BF">
            <w:pPr>
              <w:spacing w:line="249" w:lineRule="auto"/>
              <w:jc w:val="center"/>
              <w:rPr>
                <w:rFonts w:ascii="Arial"/>
                <w:sz w:val="21"/>
              </w:rPr>
            </w:pPr>
          </w:p>
          <w:p w14:paraId="110782E4">
            <w:pPr>
              <w:spacing w:line="249" w:lineRule="auto"/>
              <w:jc w:val="center"/>
              <w:rPr>
                <w:rFonts w:ascii="Arial"/>
                <w:sz w:val="21"/>
              </w:rPr>
            </w:pPr>
          </w:p>
          <w:p w14:paraId="24C40A9F">
            <w:pPr>
              <w:spacing w:line="250" w:lineRule="auto"/>
              <w:jc w:val="center"/>
              <w:rPr>
                <w:rFonts w:ascii="Arial"/>
                <w:sz w:val="21"/>
              </w:rPr>
            </w:pPr>
          </w:p>
          <w:p w14:paraId="0FA97821">
            <w:pPr>
              <w:spacing w:line="250" w:lineRule="auto"/>
              <w:jc w:val="center"/>
              <w:rPr>
                <w:rFonts w:ascii="Arial"/>
                <w:sz w:val="21"/>
              </w:rPr>
            </w:pPr>
          </w:p>
          <w:p w14:paraId="56B8AAF3">
            <w:pPr>
              <w:spacing w:line="250" w:lineRule="auto"/>
              <w:jc w:val="center"/>
              <w:rPr>
                <w:rFonts w:ascii="Arial"/>
                <w:sz w:val="21"/>
              </w:rPr>
            </w:pPr>
          </w:p>
          <w:p w14:paraId="0BD19D9B">
            <w:pPr>
              <w:spacing w:line="250" w:lineRule="auto"/>
              <w:jc w:val="center"/>
              <w:rPr>
                <w:rFonts w:ascii="Arial"/>
                <w:sz w:val="21"/>
              </w:rPr>
            </w:pPr>
          </w:p>
          <w:p w14:paraId="2F11F31E">
            <w:pPr>
              <w:spacing w:line="250" w:lineRule="auto"/>
              <w:jc w:val="center"/>
              <w:rPr>
                <w:rFonts w:ascii="Arial"/>
                <w:sz w:val="21"/>
              </w:rPr>
            </w:pPr>
          </w:p>
          <w:p w14:paraId="6ED36167">
            <w:pPr>
              <w:spacing w:line="250" w:lineRule="auto"/>
              <w:jc w:val="center"/>
              <w:rPr>
                <w:rFonts w:ascii="Arial"/>
                <w:sz w:val="21"/>
              </w:rPr>
            </w:pPr>
          </w:p>
          <w:p w14:paraId="776217DB">
            <w:pPr>
              <w:spacing w:line="250" w:lineRule="auto"/>
              <w:jc w:val="center"/>
              <w:rPr>
                <w:rFonts w:ascii="Arial"/>
                <w:sz w:val="21"/>
              </w:rPr>
            </w:pPr>
          </w:p>
          <w:p w14:paraId="75413D22">
            <w:pPr>
              <w:spacing w:line="250" w:lineRule="auto"/>
              <w:jc w:val="center"/>
              <w:rPr>
                <w:rFonts w:ascii="Arial"/>
                <w:sz w:val="21"/>
              </w:rPr>
            </w:pPr>
          </w:p>
          <w:p w14:paraId="0D425284">
            <w:pPr>
              <w:spacing w:line="250" w:lineRule="auto"/>
              <w:jc w:val="center"/>
              <w:rPr>
                <w:rFonts w:ascii="Arial"/>
                <w:sz w:val="21"/>
              </w:rPr>
            </w:pPr>
          </w:p>
          <w:p w14:paraId="04491C01">
            <w:pPr>
              <w:spacing w:line="250" w:lineRule="auto"/>
              <w:jc w:val="center"/>
              <w:rPr>
                <w:rFonts w:ascii="Arial"/>
                <w:sz w:val="21"/>
              </w:rPr>
            </w:pPr>
          </w:p>
          <w:p w14:paraId="6E30C3D4">
            <w:pPr>
              <w:spacing w:line="250" w:lineRule="auto"/>
              <w:jc w:val="center"/>
              <w:rPr>
                <w:rFonts w:ascii="Arial"/>
                <w:sz w:val="21"/>
              </w:rPr>
            </w:pPr>
          </w:p>
          <w:p w14:paraId="355CBB97">
            <w:pPr>
              <w:spacing w:line="250" w:lineRule="auto"/>
              <w:jc w:val="center"/>
              <w:rPr>
                <w:rFonts w:ascii="Arial"/>
                <w:sz w:val="21"/>
              </w:rPr>
            </w:pPr>
          </w:p>
          <w:p w14:paraId="328C1831">
            <w:pPr>
              <w:spacing w:line="250" w:lineRule="auto"/>
              <w:jc w:val="center"/>
              <w:rPr>
                <w:rFonts w:ascii="Arial"/>
                <w:sz w:val="21"/>
              </w:rPr>
            </w:pPr>
          </w:p>
          <w:p w14:paraId="312EB561">
            <w:pPr>
              <w:spacing w:line="250" w:lineRule="auto"/>
              <w:jc w:val="center"/>
              <w:rPr>
                <w:rFonts w:ascii="Arial"/>
                <w:sz w:val="21"/>
              </w:rPr>
            </w:pPr>
          </w:p>
          <w:p w14:paraId="44982469">
            <w:pPr>
              <w:spacing w:line="250" w:lineRule="auto"/>
              <w:jc w:val="center"/>
              <w:rPr>
                <w:rFonts w:ascii="Arial"/>
                <w:sz w:val="21"/>
              </w:rPr>
            </w:pPr>
          </w:p>
          <w:p w14:paraId="45B435CF">
            <w:pPr>
              <w:spacing w:before="60" w:line="233" w:lineRule="auto"/>
              <w:ind w:left="165"/>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2.2.4</w:t>
            </w:r>
          </w:p>
          <w:p w14:paraId="4F779B14">
            <w:pPr>
              <w:pStyle w:val="11"/>
              <w:spacing w:before="150" w:line="281" w:lineRule="exact"/>
              <w:ind w:left="122"/>
              <w:jc w:val="center"/>
            </w:pPr>
            <w:r>
              <w:rPr>
                <w:spacing w:val="-5"/>
                <w:position w:val="1"/>
              </w:rPr>
              <w:t>（</w:t>
            </w:r>
            <w:r>
              <w:rPr>
                <w:rFonts w:ascii="Times New Roman" w:hAnsi="Times New Roman" w:eastAsia="Times New Roman" w:cs="Times New Roman"/>
                <w:spacing w:val="-5"/>
                <w:position w:val="1"/>
              </w:rPr>
              <w:t>3</w:t>
            </w:r>
            <w:r>
              <w:rPr>
                <w:spacing w:val="-5"/>
                <w:position w:val="1"/>
              </w:rPr>
              <w:t>）</w:t>
            </w:r>
          </w:p>
        </w:tc>
        <w:tc>
          <w:tcPr>
            <w:tcW w:w="1058" w:type="dxa"/>
            <w:vMerge w:val="restart"/>
            <w:tcBorders>
              <w:top w:val="single" w:color="auto" w:sz="4" w:space="0"/>
              <w:left w:val="single" w:color="auto" w:sz="4" w:space="0"/>
              <w:bottom w:val="single" w:color="auto" w:sz="4" w:space="0"/>
              <w:right w:val="single" w:color="auto" w:sz="4" w:space="0"/>
            </w:tcBorders>
            <w:vAlign w:val="center"/>
          </w:tcPr>
          <w:p w14:paraId="67C3B33F">
            <w:pPr>
              <w:spacing w:line="252" w:lineRule="auto"/>
              <w:jc w:val="center"/>
              <w:rPr>
                <w:rFonts w:ascii="Arial"/>
                <w:sz w:val="21"/>
              </w:rPr>
            </w:pPr>
          </w:p>
          <w:p w14:paraId="48D0EF4F">
            <w:pPr>
              <w:spacing w:line="252" w:lineRule="auto"/>
              <w:jc w:val="center"/>
              <w:rPr>
                <w:rFonts w:ascii="Arial"/>
                <w:sz w:val="21"/>
              </w:rPr>
            </w:pPr>
          </w:p>
          <w:p w14:paraId="6BDE89E2">
            <w:pPr>
              <w:spacing w:line="252" w:lineRule="auto"/>
              <w:jc w:val="center"/>
              <w:rPr>
                <w:rFonts w:ascii="Arial"/>
                <w:sz w:val="21"/>
              </w:rPr>
            </w:pPr>
          </w:p>
          <w:p w14:paraId="101206B7">
            <w:pPr>
              <w:spacing w:line="252" w:lineRule="auto"/>
              <w:jc w:val="center"/>
              <w:rPr>
                <w:rFonts w:ascii="Arial"/>
                <w:sz w:val="21"/>
              </w:rPr>
            </w:pPr>
          </w:p>
          <w:p w14:paraId="790C8463">
            <w:pPr>
              <w:spacing w:line="252" w:lineRule="auto"/>
              <w:jc w:val="center"/>
              <w:rPr>
                <w:rFonts w:ascii="Arial"/>
                <w:sz w:val="21"/>
              </w:rPr>
            </w:pPr>
          </w:p>
          <w:p w14:paraId="1F5E8ED3">
            <w:pPr>
              <w:spacing w:line="252" w:lineRule="auto"/>
              <w:jc w:val="center"/>
              <w:rPr>
                <w:rFonts w:ascii="Arial"/>
                <w:sz w:val="21"/>
              </w:rPr>
            </w:pPr>
          </w:p>
          <w:p w14:paraId="11F2C1BD">
            <w:pPr>
              <w:spacing w:line="252" w:lineRule="auto"/>
              <w:jc w:val="center"/>
              <w:rPr>
                <w:rFonts w:ascii="Arial"/>
                <w:sz w:val="21"/>
              </w:rPr>
            </w:pPr>
          </w:p>
          <w:p w14:paraId="0C1BEF9D">
            <w:pPr>
              <w:spacing w:line="252" w:lineRule="auto"/>
              <w:jc w:val="center"/>
              <w:rPr>
                <w:rFonts w:ascii="Arial"/>
                <w:sz w:val="21"/>
              </w:rPr>
            </w:pPr>
          </w:p>
          <w:p w14:paraId="6A6ACA9E">
            <w:pPr>
              <w:spacing w:line="252" w:lineRule="auto"/>
              <w:jc w:val="center"/>
              <w:rPr>
                <w:rFonts w:ascii="Arial"/>
                <w:sz w:val="21"/>
              </w:rPr>
            </w:pPr>
          </w:p>
          <w:p w14:paraId="2DC82B6E">
            <w:pPr>
              <w:spacing w:line="252" w:lineRule="auto"/>
              <w:jc w:val="center"/>
              <w:rPr>
                <w:rFonts w:ascii="Arial"/>
                <w:sz w:val="21"/>
              </w:rPr>
            </w:pPr>
          </w:p>
          <w:p w14:paraId="24034470">
            <w:pPr>
              <w:spacing w:line="252" w:lineRule="auto"/>
              <w:jc w:val="center"/>
              <w:rPr>
                <w:rFonts w:ascii="Arial"/>
                <w:sz w:val="21"/>
              </w:rPr>
            </w:pPr>
          </w:p>
          <w:p w14:paraId="53C30045">
            <w:pPr>
              <w:spacing w:line="252" w:lineRule="auto"/>
              <w:jc w:val="center"/>
              <w:rPr>
                <w:rFonts w:ascii="Arial"/>
                <w:sz w:val="21"/>
              </w:rPr>
            </w:pPr>
          </w:p>
          <w:p w14:paraId="3B6B4EC6">
            <w:pPr>
              <w:spacing w:line="252" w:lineRule="auto"/>
              <w:jc w:val="center"/>
              <w:rPr>
                <w:rFonts w:ascii="Arial"/>
                <w:sz w:val="21"/>
              </w:rPr>
            </w:pPr>
          </w:p>
          <w:p w14:paraId="0A7CAD95">
            <w:pPr>
              <w:spacing w:line="252" w:lineRule="auto"/>
              <w:jc w:val="center"/>
              <w:rPr>
                <w:rFonts w:ascii="Arial"/>
                <w:sz w:val="21"/>
              </w:rPr>
            </w:pPr>
          </w:p>
          <w:p w14:paraId="4EF76786">
            <w:pPr>
              <w:spacing w:line="252" w:lineRule="auto"/>
              <w:jc w:val="center"/>
              <w:rPr>
                <w:rFonts w:ascii="Arial"/>
                <w:sz w:val="21"/>
              </w:rPr>
            </w:pPr>
          </w:p>
          <w:p w14:paraId="471897D4">
            <w:pPr>
              <w:spacing w:line="252" w:lineRule="auto"/>
              <w:jc w:val="center"/>
              <w:rPr>
                <w:rFonts w:ascii="Arial"/>
                <w:sz w:val="21"/>
              </w:rPr>
            </w:pPr>
          </w:p>
          <w:p w14:paraId="34BEB047">
            <w:pPr>
              <w:spacing w:line="253" w:lineRule="auto"/>
              <w:jc w:val="center"/>
              <w:rPr>
                <w:rFonts w:ascii="Arial"/>
                <w:sz w:val="21"/>
              </w:rPr>
            </w:pPr>
          </w:p>
          <w:p w14:paraId="32DC6950">
            <w:pPr>
              <w:pStyle w:val="11"/>
              <w:spacing w:before="68" w:line="221" w:lineRule="auto"/>
              <w:ind w:left="120"/>
              <w:jc w:val="center"/>
            </w:pPr>
            <w:r>
              <w:rPr>
                <w:spacing w:val="-4"/>
              </w:rPr>
              <w:t>资信业绩</w:t>
            </w:r>
          </w:p>
          <w:p w14:paraId="0DC631B9">
            <w:pPr>
              <w:pStyle w:val="11"/>
              <w:spacing w:before="169" w:line="221" w:lineRule="auto"/>
              <w:ind w:left="112"/>
              <w:jc w:val="center"/>
            </w:pPr>
            <w:r>
              <w:rPr>
                <w:spacing w:val="-1"/>
              </w:rPr>
              <w:t>评</w:t>
            </w:r>
            <w:r>
              <w:rPr>
                <w:spacing w:val="-2"/>
              </w:rPr>
              <w:t>分标准</w:t>
            </w:r>
          </w:p>
        </w:tc>
        <w:tc>
          <w:tcPr>
            <w:tcW w:w="2085" w:type="dxa"/>
            <w:tcBorders>
              <w:top w:val="single" w:color="auto" w:sz="4" w:space="0"/>
              <w:left w:val="single" w:color="auto" w:sz="4" w:space="0"/>
            </w:tcBorders>
            <w:vAlign w:val="center"/>
          </w:tcPr>
          <w:p w14:paraId="3CCD92FF">
            <w:pPr>
              <w:jc w:val="center"/>
              <w:rPr>
                <w:rFonts w:ascii="Arial"/>
                <w:sz w:val="21"/>
              </w:rPr>
            </w:pPr>
          </w:p>
          <w:p w14:paraId="5353F356">
            <w:pPr>
              <w:pStyle w:val="11"/>
              <w:spacing w:before="68" w:line="221" w:lineRule="auto"/>
              <w:jc w:val="center"/>
            </w:pPr>
            <w:r>
              <w:rPr>
                <w:rFonts w:hint="eastAsia"/>
                <w:spacing w:val="-3"/>
              </w:rPr>
              <w:t>项目管理人员及劳动力配置</w:t>
            </w:r>
          </w:p>
        </w:tc>
        <w:tc>
          <w:tcPr>
            <w:tcW w:w="928" w:type="dxa"/>
            <w:tcBorders>
              <w:top w:val="single" w:color="auto" w:sz="4" w:space="0"/>
            </w:tcBorders>
            <w:vAlign w:val="center"/>
          </w:tcPr>
          <w:p w14:paraId="637E69F2">
            <w:pPr>
              <w:pStyle w:val="11"/>
              <w:spacing w:before="68" w:line="221" w:lineRule="auto"/>
              <w:jc w:val="center"/>
            </w:pPr>
            <w:r>
              <w:rPr>
                <w:rFonts w:hint="eastAsia"/>
                <w:lang w:val="en-US" w:eastAsia="zh-CN"/>
              </w:rPr>
              <w:t>7</w:t>
            </w:r>
            <w:r>
              <w:t>分</w:t>
            </w:r>
          </w:p>
        </w:tc>
        <w:tc>
          <w:tcPr>
            <w:tcW w:w="4119" w:type="dxa"/>
            <w:tcBorders>
              <w:top w:val="single" w:color="auto" w:sz="4" w:space="0"/>
            </w:tcBorders>
            <w:vAlign w:val="center"/>
          </w:tcPr>
          <w:p w14:paraId="5E1EEA58">
            <w:pPr>
              <w:pStyle w:val="11"/>
              <w:spacing w:before="19" w:line="229" w:lineRule="auto"/>
              <w:ind w:left="114" w:right="222"/>
              <w:jc w:val="center"/>
            </w:pPr>
            <w:r>
              <w:rPr>
                <w:rFonts w:hint="eastAsia" w:ascii="宋体" w:hAnsi="宋体" w:eastAsia="宋体" w:cs="宋体"/>
                <w:b w:val="0"/>
                <w:bCs/>
                <w:i w:val="0"/>
                <w:color w:val="auto"/>
                <w:szCs w:val="21"/>
                <w:highlight w:val="none"/>
                <w:u w:val="none" w:color="auto"/>
              </w:rPr>
              <w:t>项目管理班子人员</w:t>
            </w:r>
            <w:r>
              <w:rPr>
                <w:rFonts w:hint="eastAsia" w:ascii="宋体" w:hAnsi="宋体" w:eastAsia="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项目技术负责人1人</w:t>
            </w:r>
            <w:r>
              <w:rPr>
                <w:rFonts w:hint="eastAsia" w:ascii="宋体" w:hAnsi="宋体" w:eastAsia="宋体" w:cs="宋体"/>
                <w:b w:val="0"/>
                <w:bCs/>
                <w:i w:val="0"/>
                <w:color w:val="auto"/>
                <w:szCs w:val="21"/>
                <w:highlight w:val="none"/>
                <w:u w:val="none" w:color="auto"/>
                <w:lang w:val="en-US" w:eastAsia="zh-CN"/>
              </w:rPr>
              <w:t>[中级或以上]</w:t>
            </w:r>
            <w:r>
              <w:rPr>
                <w:rFonts w:hint="eastAsia" w:ascii="宋体" w:hAnsi="宋体" w:eastAsia="宋体" w:cs="宋体"/>
                <w:b w:val="0"/>
                <w:bCs/>
                <w:i w:val="0"/>
                <w:color w:val="auto"/>
                <w:szCs w:val="21"/>
                <w:highlight w:val="none"/>
                <w:u w:val="none" w:color="auto"/>
              </w:rPr>
              <w:t>、</w:t>
            </w:r>
            <w:r>
              <w:rPr>
                <w:rFonts w:hint="eastAsia" w:ascii="宋体" w:hAnsi="宋体" w:eastAsia="宋体" w:cs="宋体"/>
                <w:b w:val="0"/>
                <w:bCs/>
                <w:i w:val="0"/>
                <w:color w:val="auto"/>
                <w:szCs w:val="21"/>
                <w:highlight w:val="none"/>
                <w:u w:val="none" w:color="auto"/>
                <w:lang w:val="zh-CN"/>
              </w:rPr>
              <w:t>施工员、</w:t>
            </w:r>
            <w:r>
              <w:rPr>
                <w:rFonts w:hint="eastAsia" w:ascii="宋体" w:hAnsi="宋体" w:eastAsia="宋体" w:cs="宋体"/>
                <w:b w:val="0"/>
                <w:bCs/>
                <w:i w:val="0"/>
                <w:color w:val="auto"/>
                <w:szCs w:val="21"/>
                <w:highlight w:val="none"/>
                <w:u w:val="none" w:color="auto"/>
                <w:lang w:val="en-US" w:eastAsia="zh-CN"/>
              </w:rPr>
              <w:t>设备安装施工员</w:t>
            </w:r>
            <w:r>
              <w:rPr>
                <w:rFonts w:hint="eastAsia" w:ascii="宋体" w:hAnsi="宋体" w:eastAsia="宋体" w:cs="宋体"/>
                <w:b w:val="0"/>
                <w:bCs/>
                <w:i w:val="0"/>
                <w:color w:val="auto"/>
                <w:szCs w:val="21"/>
                <w:highlight w:val="none"/>
                <w:u w:val="none" w:color="auto"/>
                <w:lang w:val="zh-CN"/>
              </w:rPr>
              <w:t>、质检员、安全员、材料员、</w:t>
            </w:r>
            <w:r>
              <w:rPr>
                <w:rFonts w:hint="eastAsia" w:ascii="宋体" w:hAnsi="宋体" w:eastAsia="宋体" w:cs="宋体"/>
                <w:b w:val="0"/>
                <w:bCs/>
                <w:i w:val="0"/>
                <w:color w:val="auto"/>
                <w:szCs w:val="21"/>
                <w:highlight w:val="none"/>
                <w:u w:val="none" w:color="auto"/>
                <w:lang w:val="en-US" w:eastAsia="zh-CN"/>
              </w:rPr>
              <w:t>资料员</w:t>
            </w:r>
            <w:r>
              <w:rPr>
                <w:rFonts w:hint="eastAsia" w:ascii="宋体" w:hAnsi="宋体" w:eastAsia="宋体" w:cs="宋体"/>
                <w:b w:val="0"/>
                <w:bCs/>
                <w:i w:val="0"/>
                <w:color w:val="auto"/>
                <w:szCs w:val="21"/>
                <w:highlight w:val="none"/>
                <w:u w:val="none" w:color="auto"/>
              </w:rPr>
              <w:t>）</w:t>
            </w:r>
            <w:r>
              <w:rPr>
                <w:rFonts w:hint="eastAsia" w:ascii="宋体" w:hAnsi="宋体" w:eastAsia="宋体" w:cs="宋体"/>
                <w:b w:val="0"/>
                <w:bCs/>
                <w:i w:val="0"/>
                <w:color w:val="auto"/>
                <w:szCs w:val="21"/>
                <w:highlight w:val="none"/>
                <w:u w:val="none" w:color="auto"/>
                <w:lang w:val="en-US" w:eastAsia="zh-CN"/>
              </w:rPr>
              <w:t>每满足</w:t>
            </w:r>
            <w:r>
              <w:rPr>
                <w:rFonts w:hint="eastAsia" w:ascii="宋体" w:hAnsi="宋体" w:eastAsia="宋体" w:cs="宋体"/>
                <w:b w:val="0"/>
                <w:bCs/>
                <w:i w:val="0"/>
                <w:color w:val="auto"/>
                <w:szCs w:val="21"/>
                <w:highlight w:val="none"/>
                <w:u w:val="none" w:color="auto"/>
              </w:rPr>
              <w:t>一人得</w:t>
            </w:r>
            <w:r>
              <w:rPr>
                <w:rFonts w:hint="eastAsia"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分，最多得</w:t>
            </w:r>
            <w:r>
              <w:rPr>
                <w:rFonts w:hint="eastAsia" w:cs="宋体"/>
                <w:b w:val="0"/>
                <w:bCs/>
                <w:i w:val="0"/>
                <w:color w:val="auto"/>
                <w:szCs w:val="21"/>
                <w:highlight w:val="none"/>
                <w:u w:val="none" w:color="auto"/>
                <w:lang w:val="en-US" w:eastAsia="zh-CN"/>
              </w:rPr>
              <w:t>7</w:t>
            </w:r>
            <w:r>
              <w:rPr>
                <w:rFonts w:hint="eastAsia" w:ascii="宋体" w:hAnsi="宋体" w:eastAsia="宋体" w:cs="宋体"/>
                <w:b w:val="0"/>
                <w:bCs/>
                <w:i w:val="0"/>
                <w:color w:val="auto"/>
                <w:szCs w:val="21"/>
                <w:highlight w:val="none"/>
                <w:u w:val="none" w:color="auto"/>
              </w:rPr>
              <w:t>分。（须提供人员岗位证书复印件加盖单位公章，人员必须具有与本单位签署的有效期内的劳动合同或提供磋商时间前六个月内任一个月在本单位依法缴纳社会保障资金的缴款凭据复印件等相关证明材料）</w:t>
            </w:r>
          </w:p>
        </w:tc>
      </w:tr>
      <w:tr w14:paraId="5759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746" w:type="dxa"/>
            <w:vMerge w:val="continue"/>
            <w:tcBorders>
              <w:top w:val="single" w:color="auto" w:sz="4" w:space="0"/>
              <w:left w:val="single" w:color="auto" w:sz="4" w:space="0"/>
              <w:bottom w:val="single" w:color="auto" w:sz="4" w:space="0"/>
            </w:tcBorders>
            <w:vAlign w:val="center"/>
          </w:tcPr>
          <w:p w14:paraId="6BB1144C">
            <w:pPr>
              <w:jc w:val="center"/>
              <w:rPr>
                <w:rFonts w:ascii="Arial"/>
                <w:sz w:val="21"/>
              </w:rPr>
            </w:pPr>
          </w:p>
        </w:tc>
        <w:tc>
          <w:tcPr>
            <w:tcW w:w="1058" w:type="dxa"/>
            <w:vMerge w:val="continue"/>
            <w:tcBorders>
              <w:top w:val="single" w:color="auto" w:sz="4" w:space="0"/>
              <w:bottom w:val="single" w:color="auto" w:sz="4" w:space="0"/>
              <w:right w:val="single" w:color="auto" w:sz="4" w:space="0"/>
            </w:tcBorders>
            <w:vAlign w:val="center"/>
          </w:tcPr>
          <w:p w14:paraId="29D3F55B">
            <w:pPr>
              <w:jc w:val="center"/>
              <w:rPr>
                <w:rFonts w:ascii="Arial"/>
                <w:sz w:val="21"/>
              </w:rPr>
            </w:pPr>
          </w:p>
        </w:tc>
        <w:tc>
          <w:tcPr>
            <w:tcW w:w="2085" w:type="dxa"/>
            <w:tcBorders>
              <w:left w:val="single" w:color="auto" w:sz="4" w:space="0"/>
            </w:tcBorders>
            <w:vAlign w:val="center"/>
          </w:tcPr>
          <w:p w14:paraId="75B74F2C">
            <w:pPr>
              <w:pStyle w:val="11"/>
              <w:spacing w:before="68" w:line="222" w:lineRule="auto"/>
              <w:jc w:val="center"/>
            </w:pPr>
            <w:r>
              <w:rPr>
                <w:rFonts w:hint="eastAsia"/>
                <w:lang w:val="en-US" w:eastAsia="zh-CN"/>
              </w:rPr>
              <w:t>认证证书</w:t>
            </w:r>
          </w:p>
        </w:tc>
        <w:tc>
          <w:tcPr>
            <w:tcW w:w="928" w:type="dxa"/>
            <w:vAlign w:val="center"/>
          </w:tcPr>
          <w:p w14:paraId="66AD49A7">
            <w:pPr>
              <w:pStyle w:val="11"/>
              <w:spacing w:before="68" w:line="221" w:lineRule="auto"/>
              <w:jc w:val="center"/>
            </w:pPr>
            <w:r>
              <w:rPr>
                <w:rFonts w:hint="eastAsia"/>
                <w:lang w:val="en-US" w:eastAsia="zh-CN"/>
              </w:rPr>
              <w:t>6</w:t>
            </w:r>
            <w:r>
              <w:t>分</w:t>
            </w:r>
          </w:p>
        </w:tc>
        <w:tc>
          <w:tcPr>
            <w:tcW w:w="4119" w:type="dxa"/>
            <w:vAlign w:val="center"/>
          </w:tcPr>
          <w:p w14:paraId="542AD62C">
            <w:pPr>
              <w:pStyle w:val="11"/>
              <w:spacing w:before="23" w:line="223" w:lineRule="auto"/>
              <w:ind w:left="119" w:right="222" w:hanging="5"/>
              <w:jc w:val="center"/>
            </w:pPr>
            <w:r>
              <w:rPr>
                <w:rFonts w:hint="eastAsia"/>
                <w:lang w:val="en-US" w:eastAsia="zh-CN"/>
              </w:rPr>
              <w:t>投标人具有有效期内ISO9001质量体系认证证书、ISO14001环境管理体系认证证书、ISO45001职业健康安全管理体系认证证书的，需同时提供“全国认证认可信息公共服务平台（http://cx.cnca.cn）”的查询截图并加盖投标人公章，每个得2分，最高得6分，没有不得分。</w:t>
            </w:r>
          </w:p>
        </w:tc>
      </w:tr>
      <w:tr w14:paraId="7A43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746" w:type="dxa"/>
            <w:vMerge w:val="continue"/>
            <w:tcBorders>
              <w:top w:val="single" w:color="auto" w:sz="4" w:space="0"/>
              <w:left w:val="single" w:color="auto" w:sz="4" w:space="0"/>
              <w:bottom w:val="single" w:color="auto" w:sz="4" w:space="0"/>
            </w:tcBorders>
            <w:vAlign w:val="center"/>
          </w:tcPr>
          <w:p w14:paraId="1E880673">
            <w:pPr>
              <w:jc w:val="center"/>
              <w:rPr>
                <w:rFonts w:ascii="Arial"/>
                <w:sz w:val="21"/>
              </w:rPr>
            </w:pPr>
          </w:p>
        </w:tc>
        <w:tc>
          <w:tcPr>
            <w:tcW w:w="1058" w:type="dxa"/>
            <w:vMerge w:val="continue"/>
            <w:tcBorders>
              <w:top w:val="single" w:color="auto" w:sz="4" w:space="0"/>
              <w:bottom w:val="single" w:color="auto" w:sz="4" w:space="0"/>
              <w:right w:val="single" w:color="auto" w:sz="4" w:space="0"/>
            </w:tcBorders>
            <w:vAlign w:val="center"/>
          </w:tcPr>
          <w:p w14:paraId="77BFE5F0">
            <w:pPr>
              <w:jc w:val="center"/>
              <w:rPr>
                <w:rFonts w:ascii="Arial"/>
                <w:sz w:val="21"/>
              </w:rPr>
            </w:pPr>
          </w:p>
        </w:tc>
        <w:tc>
          <w:tcPr>
            <w:tcW w:w="2085" w:type="dxa"/>
            <w:tcBorders>
              <w:left w:val="single" w:color="auto" w:sz="4" w:space="0"/>
            </w:tcBorders>
            <w:vAlign w:val="center"/>
          </w:tcPr>
          <w:p w14:paraId="556DE08D">
            <w:pPr>
              <w:pStyle w:val="11"/>
              <w:spacing w:before="68" w:line="221" w:lineRule="auto"/>
              <w:jc w:val="center"/>
            </w:pPr>
            <w:r>
              <w:rPr>
                <w:rFonts w:hint="eastAsia"/>
              </w:rPr>
              <w:t>企业业绩</w:t>
            </w:r>
          </w:p>
        </w:tc>
        <w:tc>
          <w:tcPr>
            <w:tcW w:w="928" w:type="dxa"/>
            <w:vAlign w:val="center"/>
          </w:tcPr>
          <w:p w14:paraId="486E639A">
            <w:pPr>
              <w:pStyle w:val="11"/>
              <w:spacing w:before="68" w:line="221" w:lineRule="auto"/>
              <w:jc w:val="center"/>
            </w:pPr>
            <w:r>
              <w:rPr>
                <w:rFonts w:hint="eastAsia"/>
                <w:lang w:val="en-US" w:eastAsia="zh-CN"/>
              </w:rPr>
              <w:t>5</w:t>
            </w:r>
            <w:r>
              <w:t>分</w:t>
            </w:r>
          </w:p>
        </w:tc>
        <w:tc>
          <w:tcPr>
            <w:tcW w:w="4119" w:type="dxa"/>
            <w:vAlign w:val="center"/>
          </w:tcPr>
          <w:p w14:paraId="0A691ED1">
            <w:pPr>
              <w:pStyle w:val="11"/>
              <w:spacing w:before="19" w:line="223" w:lineRule="auto"/>
              <w:ind w:left="116" w:right="108" w:hanging="2"/>
              <w:jc w:val="center"/>
            </w:pPr>
            <w:r>
              <w:rPr>
                <w:rFonts w:hint="eastAsia"/>
                <w:lang w:val="zh-CN"/>
              </w:rPr>
              <w:t>企业类似项目业绩，要求202</w:t>
            </w:r>
            <w:r>
              <w:rPr>
                <w:rFonts w:hint="eastAsia"/>
              </w:rPr>
              <w:t>2</w:t>
            </w:r>
            <w:r>
              <w:rPr>
                <w:rFonts w:hint="eastAsia"/>
                <w:lang w:val="zh-CN"/>
              </w:rPr>
              <w:t>年1月1日至今签订的，每个</w:t>
            </w:r>
            <w:r>
              <w:rPr>
                <w:rFonts w:hint="eastAsia"/>
                <w:lang w:val="en-US" w:eastAsia="zh-CN"/>
              </w:rPr>
              <w:t>2.5</w:t>
            </w:r>
            <w:r>
              <w:rPr>
                <w:rFonts w:hint="eastAsia"/>
                <w:lang w:val="zh-CN"/>
              </w:rPr>
              <w:t>分，最多得</w:t>
            </w:r>
            <w:r>
              <w:rPr>
                <w:rFonts w:hint="eastAsia"/>
                <w:lang w:val="en-US" w:eastAsia="zh-CN"/>
              </w:rPr>
              <w:t>5</w:t>
            </w:r>
            <w:r>
              <w:rPr>
                <w:rFonts w:hint="eastAsia"/>
                <w:lang w:val="zh-CN"/>
              </w:rPr>
              <w:t>分。（提供</w:t>
            </w:r>
            <w:r>
              <w:rPr>
                <w:rFonts w:hint="eastAsia"/>
                <w:lang w:val="en-US" w:eastAsia="zh-CN"/>
              </w:rPr>
              <w:t>实验室相关项目的中标通知书、</w:t>
            </w:r>
            <w:r>
              <w:rPr>
                <w:rFonts w:hint="eastAsia"/>
                <w:lang w:val="zh-CN"/>
              </w:rPr>
              <w:t>合同、</w:t>
            </w:r>
            <w:r>
              <w:rPr>
                <w:rFonts w:hint="eastAsia"/>
                <w:lang w:val="en-US" w:eastAsia="zh-CN"/>
              </w:rPr>
              <w:t>竣工报告</w:t>
            </w:r>
            <w:r>
              <w:rPr>
                <w:rFonts w:hint="eastAsia"/>
                <w:lang w:val="zh-CN"/>
              </w:rPr>
              <w:t>复印件作为证明材料，不提供不得分）</w:t>
            </w:r>
          </w:p>
        </w:tc>
      </w:tr>
    </w:tbl>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7131"/>
      </w:tblGrid>
      <w:tr w14:paraId="7071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0E62C25A">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vAlign w:val="center"/>
          </w:tcPr>
          <w:p w14:paraId="5436B057">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50EE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D7BA4F6">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651EA1EC">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vAlign w:val="center"/>
          </w:tcPr>
          <w:p w14:paraId="6279DB7D">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p>
          <w:p w14:paraId="4888C2A7">
            <w:pPr>
              <w:spacing w:line="380" w:lineRule="exact"/>
              <w:ind w:firstLine="420" w:firstLineChars="200"/>
              <w:jc w:val="left"/>
              <w:rPr>
                <w:rFonts w:hint="eastAsia"/>
                <w:color w:val="auto"/>
                <w:highlight w:val="none"/>
              </w:rPr>
            </w:pPr>
            <w:r>
              <w:rPr>
                <w:rFonts w:hint="eastAsia" w:eastAsia="宋体"/>
                <w:color w:val="auto"/>
                <w:highlight w:val="none"/>
                <w:lang w:val="en-US" w:eastAsia="zh-CN"/>
              </w:rPr>
              <w:t>☑所有评标委员会成员评分的算术平均值。</w:t>
            </w:r>
          </w:p>
          <w:p w14:paraId="321C0045">
            <w:pPr>
              <w:spacing w:line="380" w:lineRule="exact"/>
              <w:ind w:firstLine="420" w:firstLineChars="200"/>
              <w:jc w:val="left"/>
              <w:rPr>
                <w:rFonts w:hint="default"/>
                <w:color w:val="auto"/>
                <w:highlight w:val="none"/>
              </w:rPr>
            </w:pPr>
            <w:r>
              <w:rPr>
                <w:rFonts w:hint="eastAsia" w:eastAsia="宋体"/>
                <w:color w:val="auto"/>
                <w:highlight w:val="none"/>
                <w:lang w:val="en-US" w:eastAsia="zh-CN"/>
              </w:rPr>
              <w:t>□所有评标委员会成员评分去掉一个最高分和一个最低分后计算平均值（分项评审成员3名（含3名）以下时，按照算术平均值进行计算）。</w:t>
            </w:r>
          </w:p>
        </w:tc>
      </w:tr>
      <w:tr w14:paraId="4A60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2C2185EE">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37DFD674">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vAlign w:val="center"/>
          </w:tcPr>
          <w:p w14:paraId="7D6CC577">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2499710A">
      <w:pPr>
        <w:spacing w:before="29" w:line="360" w:lineRule="auto"/>
        <w:ind w:left="27" w:right="27"/>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50"/>
          <w:w w:val="89"/>
          <w:sz w:val="21"/>
          <w:szCs w:val="21"/>
        </w:rPr>
        <w:t>：（</w:t>
      </w:r>
      <w:r>
        <w:rPr>
          <w:rFonts w:ascii="宋体" w:hAnsi="宋体" w:eastAsia="宋体" w:cs="宋体"/>
          <w:spacing w:val="3"/>
          <w:sz w:val="21"/>
          <w:szCs w:val="21"/>
        </w:rPr>
        <w:t>1）评标委员会在评标过程中，如要求投标人</w:t>
      </w:r>
      <w:r>
        <w:rPr>
          <w:rFonts w:ascii="宋体" w:hAnsi="宋体" w:eastAsia="宋体" w:cs="宋体"/>
          <w:spacing w:val="2"/>
          <w:sz w:val="21"/>
          <w:szCs w:val="21"/>
        </w:rPr>
        <w:t>澄清或说明的，评标委员会要求投标人在线澄</w:t>
      </w:r>
      <w:r>
        <w:rPr>
          <w:rFonts w:ascii="宋体" w:hAnsi="宋体" w:eastAsia="宋体" w:cs="宋体"/>
          <w:sz w:val="21"/>
          <w:szCs w:val="21"/>
        </w:rPr>
        <w:t>清或说明的时间距投标人收到评标委员会通知的</w:t>
      </w:r>
      <w:r>
        <w:rPr>
          <w:rFonts w:ascii="宋体" w:hAnsi="宋体" w:eastAsia="宋体" w:cs="宋体"/>
          <w:spacing w:val="-1"/>
          <w:sz w:val="21"/>
          <w:szCs w:val="21"/>
        </w:rPr>
        <w:t>时间不得少于 60</w:t>
      </w:r>
      <w:r>
        <w:rPr>
          <w:rFonts w:ascii="宋体" w:hAnsi="宋体" w:eastAsia="宋体" w:cs="宋体"/>
          <w:spacing w:val="-44"/>
          <w:sz w:val="21"/>
          <w:szCs w:val="21"/>
        </w:rPr>
        <w:t xml:space="preserve"> </w:t>
      </w:r>
      <w:r>
        <w:rPr>
          <w:rFonts w:ascii="宋体" w:hAnsi="宋体" w:eastAsia="宋体" w:cs="宋体"/>
          <w:spacing w:val="-1"/>
          <w:sz w:val="21"/>
          <w:szCs w:val="21"/>
        </w:rPr>
        <w:t>分钟。</w:t>
      </w:r>
    </w:p>
    <w:p w14:paraId="21924238">
      <w:pPr>
        <w:spacing w:before="1" w:line="359" w:lineRule="auto"/>
        <w:ind w:left="29" w:right="20" w:firstLine="416"/>
        <w:jc w:val="both"/>
        <w:rPr>
          <w:rFonts w:ascii="宋体" w:hAnsi="宋体" w:eastAsia="宋体" w:cs="宋体"/>
          <w:sz w:val="21"/>
          <w:szCs w:val="21"/>
        </w:rPr>
      </w:pPr>
      <w:r>
        <w:rPr>
          <w:rFonts w:ascii="宋体" w:hAnsi="宋体" w:eastAsia="宋体" w:cs="宋体"/>
          <w:spacing w:val="2"/>
          <w:sz w:val="21"/>
          <w:szCs w:val="21"/>
        </w:rPr>
        <w:t>评标委员会认为投标人的澄清或说明不够明确，应再次要求投标人对不</w:t>
      </w:r>
      <w:r>
        <w:rPr>
          <w:rFonts w:ascii="宋体" w:hAnsi="宋体" w:eastAsia="宋体" w:cs="宋体"/>
          <w:spacing w:val="1"/>
          <w:sz w:val="21"/>
          <w:szCs w:val="21"/>
        </w:rPr>
        <w:t>明确的内容进行澄清</w:t>
      </w:r>
      <w:r>
        <w:rPr>
          <w:rFonts w:ascii="宋体" w:hAnsi="宋体" w:eastAsia="宋体" w:cs="宋体"/>
          <w:spacing w:val="2"/>
          <w:sz w:val="21"/>
          <w:szCs w:val="21"/>
        </w:rPr>
        <w:t>或说明，评标委员会要求投标人再次在线澄清或说明的时间距投</w:t>
      </w:r>
      <w:r>
        <w:rPr>
          <w:rFonts w:ascii="宋体" w:hAnsi="宋体" w:eastAsia="宋体" w:cs="宋体"/>
          <w:spacing w:val="1"/>
          <w:sz w:val="21"/>
          <w:szCs w:val="21"/>
        </w:rPr>
        <w:t>标人收到评标委员会通知的时间</w:t>
      </w:r>
      <w:r>
        <w:rPr>
          <w:rFonts w:ascii="宋体" w:hAnsi="宋体" w:eastAsia="宋体" w:cs="宋体"/>
          <w:spacing w:val="-4"/>
          <w:sz w:val="21"/>
          <w:szCs w:val="21"/>
        </w:rPr>
        <w:t>不得少于 30</w:t>
      </w:r>
      <w:r>
        <w:rPr>
          <w:rFonts w:ascii="宋体" w:hAnsi="宋体" w:eastAsia="宋体" w:cs="宋体"/>
          <w:spacing w:val="16"/>
          <w:sz w:val="21"/>
          <w:szCs w:val="21"/>
        </w:rPr>
        <w:t xml:space="preserve"> </w:t>
      </w:r>
      <w:r>
        <w:rPr>
          <w:rFonts w:ascii="宋体" w:hAnsi="宋体" w:eastAsia="宋体" w:cs="宋体"/>
          <w:spacing w:val="-4"/>
          <w:sz w:val="21"/>
          <w:szCs w:val="21"/>
        </w:rPr>
        <w:t>分钟。</w:t>
      </w:r>
    </w:p>
    <w:p w14:paraId="4F6D734F">
      <w:pPr>
        <w:spacing w:before="2" w:line="358" w:lineRule="auto"/>
        <w:ind w:left="29" w:right="22" w:firstLine="420"/>
        <w:rPr>
          <w:rFonts w:ascii="宋体" w:hAnsi="宋体" w:eastAsia="宋体" w:cs="宋体"/>
          <w:sz w:val="21"/>
          <w:szCs w:val="21"/>
        </w:rPr>
      </w:pPr>
      <w:r>
        <w:rPr>
          <w:rFonts w:ascii="宋体" w:hAnsi="宋体" w:eastAsia="宋体" w:cs="宋体"/>
          <w:spacing w:val="2"/>
          <w:sz w:val="21"/>
          <w:szCs w:val="21"/>
        </w:rPr>
        <w:t>投标人未在规定时间内作出澄清或说明的，或者评标委员会成</w:t>
      </w:r>
      <w:r>
        <w:rPr>
          <w:rFonts w:ascii="宋体" w:hAnsi="宋体" w:eastAsia="宋体" w:cs="宋体"/>
          <w:spacing w:val="1"/>
          <w:sz w:val="21"/>
          <w:szCs w:val="21"/>
        </w:rPr>
        <w:t>员认为该投标人的两次澄清或</w:t>
      </w:r>
      <w:r>
        <w:rPr>
          <w:rFonts w:ascii="宋体" w:hAnsi="宋体" w:eastAsia="宋体" w:cs="宋体"/>
          <w:spacing w:val="-1"/>
          <w:sz w:val="21"/>
          <w:szCs w:val="21"/>
        </w:rPr>
        <w:t>说明都不符合评标委员会要求的，作否决投标处理。</w:t>
      </w:r>
    </w:p>
    <w:p w14:paraId="314149AA">
      <w:pPr>
        <w:spacing w:before="1" w:line="359" w:lineRule="auto"/>
        <w:ind w:left="27" w:right="20" w:firstLine="428"/>
        <w:jc w:val="both"/>
        <w:rPr>
          <w:rFonts w:ascii="宋体" w:hAnsi="宋体" w:eastAsia="宋体" w:cs="宋体"/>
          <w:sz w:val="21"/>
          <w:szCs w:val="21"/>
        </w:rPr>
      </w:pPr>
      <w:r>
        <w:rPr>
          <w:rFonts w:ascii="宋体" w:hAnsi="宋体" w:eastAsia="宋体" w:cs="宋体"/>
          <w:spacing w:val="4"/>
          <w:sz w:val="21"/>
          <w:szCs w:val="21"/>
        </w:rPr>
        <w:t>（2）投标人串通投标或弄虚作假或有其他违法行为，评标委员会在评标过程中发现，证据</w:t>
      </w:r>
      <w:r>
        <w:rPr>
          <w:rFonts w:ascii="宋体" w:hAnsi="宋体" w:eastAsia="宋体" w:cs="宋体"/>
          <w:spacing w:val="2"/>
          <w:sz w:val="21"/>
          <w:szCs w:val="21"/>
        </w:rPr>
        <w:t>确凿的，经评标委员会成员三分之二以上同意，其投标作否决投标处</w:t>
      </w:r>
      <w:r>
        <w:rPr>
          <w:rFonts w:ascii="宋体" w:hAnsi="宋体" w:eastAsia="宋体" w:cs="宋体"/>
          <w:spacing w:val="1"/>
          <w:sz w:val="21"/>
          <w:szCs w:val="21"/>
        </w:rPr>
        <w:t>理；证据不够确凿的，其投</w:t>
      </w:r>
      <w:r>
        <w:rPr>
          <w:rFonts w:ascii="宋体" w:hAnsi="宋体" w:eastAsia="宋体" w:cs="宋体"/>
          <w:sz w:val="21"/>
          <w:szCs w:val="21"/>
        </w:rPr>
        <w:t>标不能作否决投标处理，但评标委员会在向招标人提交书面评标报告时，应予说明。</w:t>
      </w:r>
      <w:r>
        <w:rPr>
          <w:rFonts w:ascii="宋体" w:hAnsi="宋体" w:eastAsia="宋体" w:cs="宋体"/>
          <w:spacing w:val="2"/>
          <w:sz w:val="21"/>
          <w:szCs w:val="21"/>
        </w:rPr>
        <w:t>在评标结束后发现投标人串通投标或弄虚作假或有其他违法行为，查证</w:t>
      </w:r>
      <w:r>
        <w:rPr>
          <w:rFonts w:ascii="宋体" w:hAnsi="宋体" w:eastAsia="宋体" w:cs="宋体"/>
          <w:spacing w:val="1"/>
          <w:sz w:val="21"/>
          <w:szCs w:val="21"/>
        </w:rPr>
        <w:t>属实的，取消其中标</w:t>
      </w:r>
      <w:r>
        <w:rPr>
          <w:rFonts w:ascii="宋体" w:hAnsi="宋体" w:eastAsia="宋体" w:cs="宋体"/>
          <w:spacing w:val="-10"/>
          <w:sz w:val="21"/>
          <w:szCs w:val="21"/>
        </w:rPr>
        <w:t>资格。</w:t>
      </w:r>
    </w:p>
    <w:p w14:paraId="4E794A65">
      <w:pPr>
        <w:spacing w:line="354" w:lineRule="auto"/>
        <w:rPr>
          <w:rFonts w:ascii="宋体" w:hAnsi="宋体" w:eastAsia="宋体" w:cs="宋体"/>
          <w:sz w:val="21"/>
          <w:szCs w:val="21"/>
        </w:rPr>
        <w:sectPr>
          <w:footerReference r:id="rId55" w:type="default"/>
          <w:pgSz w:w="11905" w:h="16843"/>
          <w:pgMar w:top="969" w:right="1355" w:bottom="1026" w:left="1480" w:header="0" w:footer="754" w:gutter="0"/>
          <w:cols w:space="0" w:num="1"/>
          <w:rtlGutter w:val="0"/>
          <w:docGrid w:linePitch="0" w:charSpace="0"/>
        </w:sectPr>
      </w:pPr>
    </w:p>
    <w:p w14:paraId="1F495439">
      <w:pPr>
        <w:pStyle w:val="5"/>
        <w:spacing w:line="256" w:lineRule="auto"/>
      </w:pPr>
    </w:p>
    <w:p w14:paraId="70FC0554">
      <w:pPr>
        <w:pStyle w:val="5"/>
        <w:spacing w:line="256" w:lineRule="auto"/>
      </w:pPr>
    </w:p>
    <w:p w14:paraId="4A250847">
      <w:pPr>
        <w:pStyle w:val="5"/>
        <w:spacing w:line="256" w:lineRule="auto"/>
      </w:pPr>
    </w:p>
    <w:p w14:paraId="78912458">
      <w:pPr>
        <w:pStyle w:val="5"/>
        <w:spacing w:line="256" w:lineRule="auto"/>
      </w:pPr>
    </w:p>
    <w:p w14:paraId="36B8F5F5">
      <w:pPr>
        <w:pStyle w:val="5"/>
        <w:spacing w:line="256" w:lineRule="auto"/>
      </w:pPr>
    </w:p>
    <w:p w14:paraId="546F60E4">
      <w:pPr>
        <w:spacing w:before="91" w:line="219" w:lineRule="auto"/>
        <w:ind w:left="5"/>
        <w:outlineLvl w:val="1"/>
        <w:rPr>
          <w:rFonts w:ascii="黑体" w:hAnsi="黑体" w:eastAsia="黑体" w:cs="黑体"/>
          <w:sz w:val="28"/>
          <w:szCs w:val="28"/>
        </w:rPr>
      </w:pPr>
      <w:bookmarkStart w:id="128" w:name="bookmark508"/>
      <w:bookmarkEnd w:id="128"/>
      <w:bookmarkStart w:id="129" w:name="bookmark100"/>
      <w:bookmarkEnd w:id="129"/>
      <w:r>
        <w:rPr>
          <w:rFonts w:ascii="黑体" w:hAnsi="黑体" w:eastAsia="黑体" w:cs="黑体"/>
          <w:spacing w:val="-1"/>
          <w:sz w:val="28"/>
          <w:szCs w:val="28"/>
        </w:rPr>
        <w:t>评标办法正文部分</w:t>
      </w:r>
    </w:p>
    <w:p w14:paraId="1C35E17F">
      <w:pPr>
        <w:spacing w:before="168" w:line="232" w:lineRule="auto"/>
        <w:ind w:left="28"/>
        <w:outlineLvl w:val="1"/>
        <w:rPr>
          <w:rFonts w:ascii="黑体" w:hAnsi="黑体" w:eastAsia="黑体" w:cs="黑体"/>
          <w:sz w:val="28"/>
          <w:szCs w:val="28"/>
        </w:rPr>
      </w:pPr>
      <w:bookmarkStart w:id="130" w:name="bookmark101"/>
      <w:bookmarkEnd w:id="130"/>
      <w:r>
        <w:rPr>
          <w:rFonts w:ascii="Times New Roman" w:hAnsi="Times New Roman" w:eastAsia="Times New Roman" w:cs="Times New Roman"/>
          <w:spacing w:val="-4"/>
          <w:sz w:val="28"/>
          <w:szCs w:val="28"/>
        </w:rPr>
        <w:t xml:space="preserve">1.  </w:t>
      </w:r>
      <w:r>
        <w:rPr>
          <w:rFonts w:ascii="黑体" w:hAnsi="黑体" w:eastAsia="黑体" w:cs="黑体"/>
          <w:spacing w:val="-4"/>
          <w:sz w:val="28"/>
          <w:szCs w:val="28"/>
        </w:rPr>
        <w:t>评标方法</w:t>
      </w:r>
    </w:p>
    <w:p w14:paraId="5C2FCD91">
      <w:pPr>
        <w:spacing w:before="95" w:line="333" w:lineRule="auto"/>
        <w:ind w:firstLine="424"/>
        <w:jc w:val="both"/>
        <w:rPr>
          <w:rFonts w:ascii="宋体" w:hAnsi="宋体" w:eastAsia="宋体" w:cs="宋体"/>
          <w:sz w:val="21"/>
          <w:szCs w:val="21"/>
        </w:rPr>
      </w:pPr>
      <w:r>
        <w:rPr>
          <w:rFonts w:ascii="宋体" w:hAnsi="宋体" w:eastAsia="宋体" w:cs="宋体"/>
          <w:spacing w:val="2"/>
          <w:sz w:val="21"/>
          <w:szCs w:val="21"/>
        </w:rPr>
        <w:t>本次评标采用综合评估法。评标委员会对满足招标文件实质性要求</w:t>
      </w:r>
      <w:r>
        <w:rPr>
          <w:rFonts w:ascii="宋体" w:hAnsi="宋体" w:eastAsia="宋体" w:cs="宋体"/>
          <w:spacing w:val="1"/>
          <w:sz w:val="21"/>
          <w:szCs w:val="21"/>
        </w:rPr>
        <w:t>的投标文件，按照本章第</w:t>
      </w:r>
      <w:r>
        <w:rPr>
          <w:rFonts w:ascii="Times New Roman" w:hAnsi="Times New Roman" w:eastAsia="Times New Roman" w:cs="Times New Roman"/>
          <w:sz w:val="21"/>
          <w:szCs w:val="21"/>
        </w:rPr>
        <w:t>2.2</w:t>
      </w:r>
      <w:r>
        <w:rPr>
          <w:rFonts w:ascii="Times New Roman" w:hAnsi="Times New Roman" w:eastAsia="Times New Roman" w:cs="Times New Roman"/>
          <w:spacing w:val="-15"/>
          <w:sz w:val="21"/>
          <w:szCs w:val="21"/>
        </w:rPr>
        <w:t xml:space="preserve"> </w:t>
      </w:r>
      <w:r>
        <w:rPr>
          <w:rFonts w:ascii="宋体" w:hAnsi="宋体" w:eastAsia="宋体" w:cs="宋体"/>
          <w:sz w:val="21"/>
          <w:szCs w:val="21"/>
        </w:rPr>
        <w:t>款规定的评分标准进行打分，并按得分由高到低顺序推荐中标候选人，或根</w:t>
      </w:r>
      <w:r>
        <w:rPr>
          <w:rFonts w:ascii="宋体" w:hAnsi="宋体" w:eastAsia="宋体" w:cs="宋体"/>
          <w:spacing w:val="-1"/>
          <w:sz w:val="21"/>
          <w:szCs w:val="21"/>
        </w:rPr>
        <w:t>据招标人授权直接</w:t>
      </w:r>
      <w:r>
        <w:rPr>
          <w:rFonts w:ascii="宋体" w:hAnsi="宋体" w:eastAsia="宋体" w:cs="宋体"/>
          <w:spacing w:val="2"/>
          <w:sz w:val="21"/>
          <w:szCs w:val="21"/>
        </w:rPr>
        <w:t>确定中标人，但投标报价低于其成本的除外。综合评分相等时，依次按下列因素排序</w:t>
      </w:r>
      <w:r>
        <w:rPr>
          <w:rFonts w:ascii="宋体" w:hAnsi="宋体" w:eastAsia="宋体" w:cs="宋体"/>
          <w:spacing w:val="-57"/>
          <w:sz w:val="21"/>
          <w:szCs w:val="21"/>
        </w:rPr>
        <w:t>：（</w:t>
      </w:r>
      <w:r>
        <w:rPr>
          <w:rFonts w:ascii="宋体" w:hAnsi="宋体" w:eastAsia="宋体" w:cs="宋体"/>
          <w:spacing w:val="2"/>
          <w:sz w:val="21"/>
          <w:szCs w:val="21"/>
        </w:rPr>
        <w:t>1）投标</w:t>
      </w:r>
      <w:r>
        <w:rPr>
          <w:rFonts w:ascii="宋体" w:hAnsi="宋体" w:eastAsia="宋体" w:cs="宋体"/>
          <w:spacing w:val="4"/>
          <w:sz w:val="21"/>
          <w:szCs w:val="21"/>
        </w:rPr>
        <w:t>报价由低到高（2）施工组织设计得分由高到低（3）资信业绩得分由高到低（4）其他因素得分</w:t>
      </w:r>
      <w:r>
        <w:rPr>
          <w:rFonts w:ascii="宋体" w:hAnsi="宋体" w:eastAsia="宋体" w:cs="宋体"/>
          <w:sz w:val="21"/>
          <w:szCs w:val="21"/>
        </w:rPr>
        <w:t>由高到低；上述因素仍不能排定顺序的，由招标人或者招标人</w:t>
      </w:r>
      <w:r>
        <w:rPr>
          <w:rFonts w:ascii="宋体" w:hAnsi="宋体" w:eastAsia="宋体" w:cs="宋体"/>
          <w:spacing w:val="-1"/>
          <w:sz w:val="21"/>
          <w:szCs w:val="21"/>
        </w:rPr>
        <w:t>授权的评标委员会自行确定。</w:t>
      </w:r>
    </w:p>
    <w:p w14:paraId="6D7D28EF">
      <w:pPr>
        <w:spacing w:before="58" w:line="233" w:lineRule="auto"/>
        <w:ind w:left="1"/>
        <w:outlineLvl w:val="1"/>
        <w:rPr>
          <w:rFonts w:ascii="黑体" w:hAnsi="黑体" w:eastAsia="黑体" w:cs="黑体"/>
          <w:sz w:val="28"/>
          <w:szCs w:val="28"/>
        </w:rPr>
      </w:pPr>
      <w:bookmarkStart w:id="131" w:name="bookmark102"/>
      <w:bookmarkEnd w:id="131"/>
      <w:r>
        <w:rPr>
          <w:rFonts w:ascii="Times New Roman" w:hAnsi="Times New Roman" w:eastAsia="Times New Roman" w:cs="Times New Roman"/>
          <w:spacing w:val="-1"/>
          <w:sz w:val="28"/>
          <w:szCs w:val="28"/>
        </w:rPr>
        <w:t xml:space="preserve">2.  </w:t>
      </w:r>
      <w:r>
        <w:rPr>
          <w:rFonts w:ascii="黑体" w:hAnsi="黑体" w:eastAsia="黑体" w:cs="黑体"/>
          <w:spacing w:val="-1"/>
          <w:sz w:val="28"/>
          <w:szCs w:val="28"/>
        </w:rPr>
        <w:t>评审标准</w:t>
      </w:r>
    </w:p>
    <w:p w14:paraId="453A936F">
      <w:pPr>
        <w:spacing w:before="81" w:line="233" w:lineRule="auto"/>
        <w:outlineLvl w:val="2"/>
        <w:rPr>
          <w:rFonts w:ascii="黑体" w:hAnsi="黑体" w:eastAsia="黑体" w:cs="黑体"/>
          <w:sz w:val="24"/>
          <w:szCs w:val="24"/>
        </w:rPr>
      </w:pPr>
      <w:bookmarkStart w:id="132" w:name="bookmark103"/>
      <w:bookmarkEnd w:id="132"/>
      <w:r>
        <w:rPr>
          <w:rFonts w:ascii="Times New Roman" w:hAnsi="Times New Roman" w:eastAsia="Times New Roman" w:cs="Times New Roman"/>
          <w:spacing w:val="-1"/>
          <w:sz w:val="24"/>
          <w:szCs w:val="24"/>
        </w:rPr>
        <w:t xml:space="preserve">2.1  </w:t>
      </w:r>
      <w:r>
        <w:rPr>
          <w:rFonts w:ascii="黑体" w:hAnsi="黑体" w:eastAsia="黑体" w:cs="黑体"/>
          <w:spacing w:val="-1"/>
          <w:sz w:val="24"/>
          <w:szCs w:val="24"/>
        </w:rPr>
        <w:t>初步评审标准</w:t>
      </w:r>
    </w:p>
    <w:p w14:paraId="443724F1">
      <w:pPr>
        <w:spacing w:before="106"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2.1.1  </w:t>
      </w:r>
      <w:r>
        <w:rPr>
          <w:rFonts w:ascii="宋体" w:hAnsi="宋体" w:eastAsia="宋体" w:cs="宋体"/>
          <w:spacing w:val="-1"/>
          <w:sz w:val="21"/>
          <w:szCs w:val="21"/>
        </w:rPr>
        <w:t>形式评审标准：见评标办法前附表。</w:t>
      </w:r>
    </w:p>
    <w:p w14:paraId="54365985">
      <w:pPr>
        <w:spacing w:before="116"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2.1.2  </w:t>
      </w:r>
      <w:r>
        <w:rPr>
          <w:rFonts w:ascii="宋体" w:hAnsi="宋体" w:eastAsia="宋体" w:cs="宋体"/>
          <w:spacing w:val="-1"/>
          <w:sz w:val="21"/>
          <w:szCs w:val="21"/>
        </w:rPr>
        <w:t>资格评审标准：见评标办法前附表。</w:t>
      </w:r>
    </w:p>
    <w:p w14:paraId="50204E24">
      <w:pPr>
        <w:spacing w:before="113" w:line="234" w:lineRule="auto"/>
        <w:ind w:left="420"/>
        <w:rPr>
          <w:rFonts w:ascii="宋体" w:hAnsi="宋体" w:eastAsia="宋体" w:cs="宋体"/>
          <w:sz w:val="21"/>
          <w:szCs w:val="21"/>
        </w:rPr>
      </w:pPr>
      <w:r>
        <w:rPr>
          <w:rFonts w:ascii="Times New Roman" w:hAnsi="Times New Roman" w:eastAsia="Times New Roman" w:cs="Times New Roman"/>
          <w:sz w:val="21"/>
          <w:szCs w:val="21"/>
        </w:rPr>
        <w:t xml:space="preserve">2.1.3  </w:t>
      </w:r>
      <w:r>
        <w:rPr>
          <w:rFonts w:ascii="宋体" w:hAnsi="宋体" w:eastAsia="宋体" w:cs="宋体"/>
          <w:sz w:val="21"/>
          <w:szCs w:val="21"/>
        </w:rPr>
        <w:t>响应性评审标准：见评标办法前附</w:t>
      </w:r>
      <w:r>
        <w:rPr>
          <w:rFonts w:ascii="宋体" w:hAnsi="宋体" w:eastAsia="宋体" w:cs="宋体"/>
          <w:spacing w:val="-1"/>
          <w:sz w:val="21"/>
          <w:szCs w:val="21"/>
        </w:rPr>
        <w:t>表。</w:t>
      </w:r>
    </w:p>
    <w:p w14:paraId="7BEC7423">
      <w:pPr>
        <w:spacing w:before="105" w:line="233" w:lineRule="auto"/>
        <w:outlineLvl w:val="2"/>
        <w:rPr>
          <w:rFonts w:ascii="黑体" w:hAnsi="黑体" w:eastAsia="黑体" w:cs="黑体"/>
          <w:sz w:val="24"/>
          <w:szCs w:val="24"/>
        </w:rPr>
      </w:pPr>
      <w:bookmarkStart w:id="133" w:name="bookmark104"/>
      <w:bookmarkEnd w:id="133"/>
      <w:r>
        <w:rPr>
          <w:rFonts w:ascii="Times New Roman" w:hAnsi="Times New Roman" w:eastAsia="Times New Roman" w:cs="Times New Roman"/>
          <w:spacing w:val="-1"/>
          <w:sz w:val="24"/>
          <w:szCs w:val="24"/>
        </w:rPr>
        <w:t xml:space="preserve">2.2  </w:t>
      </w:r>
      <w:r>
        <w:rPr>
          <w:rFonts w:ascii="黑体" w:hAnsi="黑体" w:eastAsia="黑体" w:cs="黑体"/>
          <w:spacing w:val="-1"/>
          <w:sz w:val="24"/>
          <w:szCs w:val="24"/>
        </w:rPr>
        <w:t>分值构成与评分标准</w:t>
      </w:r>
    </w:p>
    <w:p w14:paraId="3F71D02D">
      <w:pPr>
        <w:spacing w:before="123" w:line="234" w:lineRule="auto"/>
        <w:ind w:left="420"/>
        <w:rPr>
          <w:rFonts w:ascii="黑体" w:hAnsi="黑体" w:eastAsia="黑体" w:cs="黑体"/>
          <w:sz w:val="21"/>
          <w:szCs w:val="21"/>
        </w:rPr>
      </w:pPr>
      <w:r>
        <w:rPr>
          <w:rFonts w:ascii="Times New Roman" w:hAnsi="Times New Roman" w:eastAsia="Times New Roman" w:cs="Times New Roman"/>
          <w:spacing w:val="-2"/>
          <w:sz w:val="21"/>
          <w:szCs w:val="21"/>
        </w:rPr>
        <w:t>2.2.1</w:t>
      </w:r>
      <w:r>
        <w:rPr>
          <w:rFonts w:ascii="Times New Roman" w:hAnsi="Times New Roman" w:eastAsia="Times New Roman" w:cs="Times New Roman"/>
          <w:spacing w:val="7"/>
          <w:sz w:val="21"/>
          <w:szCs w:val="21"/>
        </w:rPr>
        <w:t xml:space="preserve">  </w:t>
      </w:r>
      <w:r>
        <w:rPr>
          <w:rFonts w:ascii="黑体" w:hAnsi="黑体" w:eastAsia="黑体" w:cs="黑体"/>
          <w:spacing w:val="-2"/>
          <w:sz w:val="21"/>
          <w:szCs w:val="21"/>
        </w:rPr>
        <w:t>分值构成</w:t>
      </w:r>
    </w:p>
    <w:p w14:paraId="507AED6C">
      <w:pPr>
        <w:spacing w:before="118" w:line="233" w:lineRule="auto"/>
        <w:ind w:left="727"/>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）投标报价（经济标</w:t>
      </w:r>
      <w:r>
        <w:rPr>
          <w:rFonts w:ascii="宋体" w:hAnsi="宋体" w:eastAsia="宋体" w:cs="宋体"/>
          <w:spacing w:val="-8"/>
          <w:sz w:val="21"/>
          <w:szCs w:val="21"/>
        </w:rPr>
        <w:t>）：</w:t>
      </w:r>
      <w:r>
        <w:rPr>
          <w:rFonts w:ascii="宋体" w:hAnsi="宋体" w:eastAsia="宋体" w:cs="宋体"/>
          <w:spacing w:val="-5"/>
          <w:sz w:val="21"/>
          <w:szCs w:val="21"/>
        </w:rPr>
        <w:t>见评标办法前附表；</w:t>
      </w:r>
    </w:p>
    <w:p w14:paraId="7782FF1A">
      <w:pPr>
        <w:spacing w:before="114" w:line="234" w:lineRule="auto"/>
        <w:ind w:left="7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）施工组织设计（技术标</w:t>
      </w:r>
      <w:r>
        <w:rPr>
          <w:rFonts w:ascii="宋体" w:hAnsi="宋体" w:eastAsia="宋体" w:cs="宋体"/>
          <w:spacing w:val="-15"/>
          <w:sz w:val="21"/>
          <w:szCs w:val="21"/>
        </w:rPr>
        <w:t>）：</w:t>
      </w:r>
      <w:r>
        <w:rPr>
          <w:rFonts w:ascii="宋体" w:hAnsi="宋体" w:eastAsia="宋体" w:cs="宋体"/>
          <w:spacing w:val="-4"/>
          <w:sz w:val="21"/>
          <w:szCs w:val="21"/>
        </w:rPr>
        <w:t>见评标办法前附表；</w:t>
      </w:r>
    </w:p>
    <w:p w14:paraId="4F70F4F1">
      <w:pPr>
        <w:spacing w:before="113" w:line="234"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）综合标：见评标办法前附表；</w:t>
      </w:r>
    </w:p>
    <w:p w14:paraId="3FFB76C9">
      <w:pPr>
        <w:spacing w:before="116" w:line="234" w:lineRule="auto"/>
        <w:ind w:left="7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）其他因素：见评标办法前附表。</w:t>
      </w:r>
    </w:p>
    <w:p w14:paraId="6C78E5E1">
      <w:pPr>
        <w:spacing w:before="129" w:line="234" w:lineRule="auto"/>
        <w:ind w:left="420"/>
        <w:rPr>
          <w:rFonts w:ascii="黑体" w:hAnsi="黑体" w:eastAsia="黑体" w:cs="黑体"/>
          <w:sz w:val="21"/>
          <w:szCs w:val="21"/>
        </w:rPr>
      </w:pPr>
      <w:r>
        <w:rPr>
          <w:rFonts w:ascii="Times New Roman" w:hAnsi="Times New Roman" w:eastAsia="Times New Roman" w:cs="Times New Roman"/>
          <w:spacing w:val="-1"/>
          <w:sz w:val="21"/>
          <w:szCs w:val="21"/>
        </w:rPr>
        <w:t xml:space="preserve">2.2.2  </w:t>
      </w:r>
      <w:r>
        <w:rPr>
          <w:rFonts w:ascii="黑体" w:hAnsi="黑体" w:eastAsia="黑体" w:cs="黑体"/>
          <w:spacing w:val="-1"/>
          <w:sz w:val="21"/>
          <w:szCs w:val="21"/>
        </w:rPr>
        <w:t>评标基准价计算</w:t>
      </w:r>
    </w:p>
    <w:p w14:paraId="1BACA808">
      <w:pPr>
        <w:spacing w:before="118" w:line="233"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）评标价确定方法：见评标办法前附表；</w:t>
      </w:r>
    </w:p>
    <w:p w14:paraId="3A7922FD">
      <w:pPr>
        <w:spacing w:before="115" w:line="233"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）评标基准价计算方法：见评标办法前附表。</w:t>
      </w:r>
    </w:p>
    <w:p w14:paraId="2E68692A">
      <w:pPr>
        <w:spacing w:before="130" w:line="234" w:lineRule="auto"/>
        <w:ind w:left="420"/>
        <w:rPr>
          <w:rFonts w:ascii="黑体" w:hAnsi="黑体" w:eastAsia="黑体" w:cs="黑体"/>
          <w:sz w:val="21"/>
          <w:szCs w:val="21"/>
        </w:rPr>
      </w:pPr>
      <w:r>
        <w:rPr>
          <w:rFonts w:ascii="Times New Roman" w:hAnsi="Times New Roman" w:eastAsia="Times New Roman" w:cs="Times New Roman"/>
          <w:spacing w:val="-1"/>
          <w:sz w:val="21"/>
          <w:szCs w:val="21"/>
        </w:rPr>
        <w:t xml:space="preserve">2.2.3  </w:t>
      </w:r>
      <w:r>
        <w:rPr>
          <w:rFonts w:ascii="黑体" w:hAnsi="黑体" w:eastAsia="黑体" w:cs="黑体"/>
          <w:spacing w:val="-1"/>
          <w:sz w:val="21"/>
          <w:szCs w:val="21"/>
        </w:rPr>
        <w:t>投标报价的偏差率计算</w:t>
      </w:r>
    </w:p>
    <w:p w14:paraId="3302A266">
      <w:pPr>
        <w:spacing w:before="119" w:line="219" w:lineRule="auto"/>
        <w:ind w:left="723"/>
        <w:rPr>
          <w:rFonts w:ascii="宋体" w:hAnsi="宋体" w:eastAsia="宋体" w:cs="宋体"/>
          <w:sz w:val="21"/>
          <w:szCs w:val="21"/>
        </w:rPr>
      </w:pPr>
      <w:r>
        <w:rPr>
          <w:rFonts w:ascii="宋体" w:hAnsi="宋体" w:eastAsia="宋体" w:cs="宋体"/>
          <w:spacing w:val="-1"/>
          <w:sz w:val="21"/>
          <w:szCs w:val="21"/>
        </w:rPr>
        <w:t>投标报价的偏差率计算公式：见评标办法前附表。</w:t>
      </w:r>
    </w:p>
    <w:p w14:paraId="59C230D4">
      <w:pPr>
        <w:spacing w:before="147" w:line="234" w:lineRule="auto"/>
        <w:ind w:left="420"/>
        <w:rPr>
          <w:rFonts w:ascii="黑体" w:hAnsi="黑体" w:eastAsia="黑体" w:cs="黑体"/>
          <w:sz w:val="21"/>
          <w:szCs w:val="21"/>
        </w:rPr>
      </w:pPr>
      <w:r>
        <w:rPr>
          <w:rFonts w:ascii="Times New Roman" w:hAnsi="Times New Roman" w:eastAsia="Times New Roman" w:cs="Times New Roman"/>
          <w:spacing w:val="-1"/>
          <w:sz w:val="21"/>
          <w:szCs w:val="21"/>
        </w:rPr>
        <w:t xml:space="preserve">2.2.4  </w:t>
      </w:r>
      <w:r>
        <w:rPr>
          <w:rFonts w:ascii="黑体" w:hAnsi="黑体" w:eastAsia="黑体" w:cs="黑体"/>
          <w:spacing w:val="-1"/>
          <w:sz w:val="21"/>
          <w:szCs w:val="21"/>
        </w:rPr>
        <w:t>评分标准</w:t>
      </w:r>
    </w:p>
    <w:p w14:paraId="05CA4112">
      <w:pPr>
        <w:spacing w:before="117" w:line="234"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）经济标评分标准：见评标办法前附表；</w:t>
      </w:r>
    </w:p>
    <w:p w14:paraId="7E9BCEFD">
      <w:pPr>
        <w:spacing w:before="113" w:line="234"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）技术标评分标准：见评标办法前附表；</w:t>
      </w:r>
    </w:p>
    <w:p w14:paraId="6820D93B">
      <w:pPr>
        <w:spacing w:before="116" w:line="234" w:lineRule="auto"/>
        <w:ind w:left="7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）综合标评分标准：见评标办法前附表；</w:t>
      </w:r>
    </w:p>
    <w:p w14:paraId="4F3CD591">
      <w:pPr>
        <w:spacing w:before="113" w:line="234" w:lineRule="auto"/>
        <w:ind w:left="7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）其他因素评分标准：见评标办法前附表。</w:t>
      </w:r>
    </w:p>
    <w:p w14:paraId="14CDC2BA">
      <w:pPr>
        <w:spacing w:before="169" w:line="233" w:lineRule="auto"/>
        <w:ind w:left="7"/>
        <w:outlineLvl w:val="1"/>
        <w:rPr>
          <w:rFonts w:ascii="黑体" w:hAnsi="黑体" w:eastAsia="黑体" w:cs="黑体"/>
          <w:sz w:val="28"/>
          <w:szCs w:val="28"/>
        </w:rPr>
      </w:pPr>
      <w:bookmarkStart w:id="134" w:name="bookmark105"/>
      <w:bookmarkEnd w:id="134"/>
      <w:r>
        <w:rPr>
          <w:rFonts w:ascii="Times New Roman" w:hAnsi="Times New Roman" w:eastAsia="Times New Roman" w:cs="Times New Roman"/>
          <w:spacing w:val="-1"/>
          <w:sz w:val="28"/>
          <w:szCs w:val="28"/>
        </w:rPr>
        <w:t xml:space="preserve">3.  </w:t>
      </w:r>
      <w:r>
        <w:rPr>
          <w:rFonts w:ascii="黑体" w:hAnsi="黑体" w:eastAsia="黑体" w:cs="黑体"/>
          <w:spacing w:val="-1"/>
          <w:sz w:val="28"/>
          <w:szCs w:val="28"/>
        </w:rPr>
        <w:t>评标程序</w:t>
      </w:r>
    </w:p>
    <w:p w14:paraId="1565A9DC">
      <w:pPr>
        <w:spacing w:before="82" w:line="233" w:lineRule="auto"/>
        <w:ind w:left="5"/>
        <w:outlineLvl w:val="2"/>
        <w:rPr>
          <w:rFonts w:ascii="黑体" w:hAnsi="黑体" w:eastAsia="黑体" w:cs="黑体"/>
          <w:sz w:val="24"/>
          <w:szCs w:val="24"/>
        </w:rPr>
      </w:pPr>
      <w:bookmarkStart w:id="135" w:name="bookmark106"/>
      <w:bookmarkEnd w:id="135"/>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初步评审</w:t>
      </w:r>
    </w:p>
    <w:p w14:paraId="5275A7AB">
      <w:pPr>
        <w:spacing w:before="106" w:line="278" w:lineRule="auto"/>
        <w:ind w:left="4" w:firstLine="419"/>
        <w:rPr>
          <w:rFonts w:ascii="宋体" w:hAnsi="宋体" w:eastAsia="宋体" w:cs="宋体"/>
          <w:sz w:val="21"/>
          <w:szCs w:val="21"/>
        </w:rPr>
      </w:pPr>
      <w:r>
        <w:rPr>
          <w:rFonts w:ascii="Times New Roman" w:hAnsi="Times New Roman" w:eastAsia="Times New Roman" w:cs="Times New Roman"/>
          <w:sz w:val="21"/>
          <w:szCs w:val="21"/>
        </w:rPr>
        <w:t>3.1.1</w:t>
      </w:r>
      <w:r>
        <w:rPr>
          <w:rFonts w:ascii="Times New Roman" w:hAnsi="Times New Roman" w:eastAsia="Times New Roman" w:cs="Times New Roman"/>
          <w:spacing w:val="34"/>
          <w:sz w:val="21"/>
          <w:szCs w:val="21"/>
        </w:rPr>
        <w:t xml:space="preserve"> </w:t>
      </w:r>
      <w:r>
        <w:rPr>
          <w:rFonts w:ascii="宋体" w:hAnsi="宋体" w:eastAsia="宋体" w:cs="宋体"/>
          <w:sz w:val="21"/>
          <w:szCs w:val="21"/>
        </w:rPr>
        <w:t>评标委员会依据本章第</w:t>
      </w:r>
      <w:r>
        <w:rPr>
          <w:rFonts w:ascii="宋体" w:hAnsi="宋体" w:eastAsia="宋体" w:cs="宋体"/>
          <w:spacing w:val="-22"/>
          <w:sz w:val="21"/>
          <w:szCs w:val="21"/>
        </w:rPr>
        <w:t xml:space="preserve"> </w:t>
      </w:r>
      <w:r>
        <w:rPr>
          <w:rFonts w:ascii="Times New Roman" w:hAnsi="Times New Roman" w:eastAsia="Times New Roman" w:cs="Times New Roman"/>
          <w:sz w:val="21"/>
          <w:szCs w:val="21"/>
        </w:rPr>
        <w:t>2.1</w:t>
      </w:r>
      <w:r>
        <w:rPr>
          <w:rFonts w:ascii="Times New Roman" w:hAnsi="Times New Roman" w:eastAsia="Times New Roman" w:cs="Times New Roman"/>
          <w:spacing w:val="36"/>
          <w:w w:val="101"/>
          <w:sz w:val="21"/>
          <w:szCs w:val="21"/>
        </w:rPr>
        <w:t xml:space="preserve"> </w:t>
      </w:r>
      <w:r>
        <w:rPr>
          <w:rFonts w:ascii="宋体" w:hAnsi="宋体" w:eastAsia="宋体" w:cs="宋体"/>
          <w:sz w:val="21"/>
          <w:szCs w:val="21"/>
        </w:rPr>
        <w:t>款规定</w:t>
      </w:r>
      <w:r>
        <w:rPr>
          <w:rFonts w:ascii="宋体" w:hAnsi="宋体" w:eastAsia="宋体" w:cs="宋体"/>
          <w:spacing w:val="-1"/>
          <w:sz w:val="21"/>
          <w:szCs w:val="21"/>
        </w:rPr>
        <w:t>的标准对投标文件进行初步评审。有一项不符合评审标准的，评标委员会应当否决其投标。</w:t>
      </w:r>
    </w:p>
    <w:p w14:paraId="2D1226A9">
      <w:pPr>
        <w:spacing w:before="128" w:line="234"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3.1.2  </w:t>
      </w:r>
      <w:r>
        <w:rPr>
          <w:rFonts w:ascii="宋体" w:hAnsi="宋体" w:eastAsia="宋体" w:cs="宋体"/>
          <w:spacing w:val="-1"/>
          <w:sz w:val="21"/>
          <w:szCs w:val="21"/>
        </w:rPr>
        <w:t>投标人有以下情形之一的，评标委员会应当否决其投标：</w:t>
      </w:r>
    </w:p>
    <w:p w14:paraId="4D4793B1">
      <w:pPr>
        <w:spacing w:before="113" w:line="234" w:lineRule="auto"/>
        <w:ind w:left="430"/>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）不按评标委员会要求澄清、说明或补正。</w:t>
      </w:r>
    </w:p>
    <w:p w14:paraId="284D5E4F">
      <w:pPr>
        <w:pStyle w:val="5"/>
        <w:spacing w:line="269" w:lineRule="auto"/>
      </w:pPr>
    </w:p>
    <w:p w14:paraId="5AE2BF6A">
      <w:pPr>
        <w:spacing w:before="68"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）有串通投标、弄虚作假、行贿或有其他违法行为；</w:t>
      </w:r>
    </w:p>
    <w:p w14:paraId="7ABD14AE">
      <w:pPr>
        <w:spacing w:before="130" w:line="235" w:lineRule="auto"/>
        <w:ind w:left="751"/>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）有下列情形之一的，视为投标人相互串通投标：</w:t>
      </w:r>
    </w:p>
    <w:p w14:paraId="2A25B2B8">
      <w:pPr>
        <w:spacing w:before="131" w:line="218" w:lineRule="auto"/>
        <w:ind w:left="1003"/>
        <w:rPr>
          <w:rFonts w:ascii="宋体" w:hAnsi="宋体" w:eastAsia="宋体" w:cs="宋体"/>
          <w:sz w:val="21"/>
          <w:szCs w:val="21"/>
        </w:rPr>
      </w:pPr>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07EAD92D">
      <w:pPr>
        <w:spacing w:before="152" w:line="218" w:lineRule="auto"/>
        <w:ind w:left="1002"/>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52B6C0D3">
      <w:pPr>
        <w:spacing w:before="153" w:line="285" w:lineRule="auto"/>
        <w:ind w:right="137" w:firstLine="1002"/>
        <w:rPr>
          <w:rFonts w:ascii="宋体" w:hAnsi="宋体" w:eastAsia="宋体" w:cs="宋体"/>
          <w:sz w:val="21"/>
          <w:szCs w:val="21"/>
        </w:rPr>
      </w:pPr>
      <w:r>
        <w:rPr>
          <w:rFonts w:ascii="宋体" w:hAnsi="宋体" w:eastAsia="宋体" w:cs="宋体"/>
          <w:sz w:val="21"/>
          <w:szCs w:val="21"/>
        </w:rPr>
        <w:t>③ 不同投标人使用同一电脑等电子设备办理投标事宜（</w:t>
      </w:r>
      <w:r>
        <w:rPr>
          <w:rFonts w:ascii="宋体" w:hAnsi="宋体" w:eastAsia="宋体" w:cs="宋体"/>
          <w:spacing w:val="-1"/>
          <w:sz w:val="21"/>
          <w:szCs w:val="21"/>
        </w:rPr>
        <w:t>下载招标文件、上传投标文件、</w:t>
      </w:r>
      <w:r>
        <w:rPr>
          <w:rFonts w:ascii="宋体" w:hAnsi="宋体" w:eastAsia="宋体" w:cs="宋体"/>
          <w:spacing w:val="-4"/>
          <w:sz w:val="21"/>
          <w:szCs w:val="21"/>
        </w:rPr>
        <w:t>授权委托人或项目经理实名认证等关键环节</w:t>
      </w:r>
      <w:r>
        <w:rPr>
          <w:rFonts w:ascii="宋体" w:hAnsi="宋体" w:eastAsia="宋体" w:cs="宋体"/>
          <w:spacing w:val="-24"/>
          <w:sz w:val="21"/>
          <w:szCs w:val="21"/>
        </w:rPr>
        <w:t>）；</w:t>
      </w:r>
    </w:p>
    <w:p w14:paraId="18B42B48">
      <w:pPr>
        <w:spacing w:before="150" w:line="218" w:lineRule="auto"/>
        <w:ind w:left="1002"/>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60B19D7A">
      <w:pPr>
        <w:spacing w:before="154" w:line="218" w:lineRule="auto"/>
        <w:ind w:left="1002"/>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1C0F0791">
      <w:pPr>
        <w:spacing w:before="150" w:line="218" w:lineRule="auto"/>
        <w:ind w:left="1002"/>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1FBFB9AB">
      <w:pPr>
        <w:spacing w:before="153" w:line="218" w:lineRule="auto"/>
        <w:ind w:left="1002"/>
        <w:rPr>
          <w:rFonts w:ascii="宋体" w:hAnsi="宋体" w:eastAsia="宋体" w:cs="宋体"/>
          <w:sz w:val="21"/>
          <w:szCs w:val="21"/>
        </w:rPr>
      </w:pPr>
      <w:r>
        <w:rPr>
          <w:rFonts w:ascii="宋体" w:hAnsi="宋体" w:eastAsia="宋体" w:cs="宋体"/>
          <w:spacing w:val="-1"/>
          <w:sz w:val="21"/>
          <w:szCs w:val="21"/>
        </w:rPr>
        <w:t>⑦ 不同投标人的投标保证金或保函（保险）财务费用从同一单位或者个人的账户转出；</w:t>
      </w:r>
    </w:p>
    <w:p w14:paraId="4455C393">
      <w:pPr>
        <w:spacing w:before="153" w:line="285" w:lineRule="auto"/>
        <w:ind w:left="2" w:firstLine="999"/>
        <w:rPr>
          <w:rFonts w:ascii="宋体" w:hAnsi="宋体" w:eastAsia="宋体" w:cs="宋体"/>
          <w:sz w:val="21"/>
          <w:szCs w:val="21"/>
        </w:rPr>
      </w:pPr>
      <w:r>
        <w:rPr>
          <w:rFonts w:ascii="宋体" w:hAnsi="宋体" w:eastAsia="宋体" w:cs="宋体"/>
          <w:spacing w:val="-6"/>
          <w:sz w:val="21"/>
          <w:szCs w:val="21"/>
        </w:rPr>
        <w:t>⑧ 不同投标人的投标文件存在“</w:t>
      </w:r>
      <w:r>
        <w:rPr>
          <w:rFonts w:ascii="Times New Roman" w:hAnsi="Times New Roman" w:eastAsia="Times New Roman" w:cs="Times New Roman"/>
          <w:spacing w:val="-6"/>
          <w:sz w:val="21"/>
          <w:szCs w:val="21"/>
        </w:rPr>
        <w:t xml:space="preserve">MAC  </w:t>
      </w:r>
      <w:r>
        <w:rPr>
          <w:rFonts w:ascii="宋体" w:hAnsi="宋体" w:eastAsia="宋体" w:cs="宋体"/>
          <w:spacing w:val="-6"/>
          <w:sz w:val="21"/>
          <w:szCs w:val="21"/>
        </w:rPr>
        <w:t>地址</w:t>
      </w:r>
      <w:r>
        <w:rPr>
          <w:rFonts w:ascii="宋体" w:hAnsi="宋体" w:eastAsia="宋体" w:cs="宋体"/>
          <w:spacing w:val="-77"/>
          <w:sz w:val="21"/>
          <w:szCs w:val="21"/>
        </w:rPr>
        <w:t xml:space="preserve"> </w:t>
      </w:r>
      <w:r>
        <w:rPr>
          <w:rFonts w:ascii="宋体" w:hAnsi="宋体" w:eastAsia="宋体" w:cs="宋体"/>
          <w:spacing w:val="-6"/>
          <w:sz w:val="21"/>
          <w:szCs w:val="21"/>
        </w:rPr>
        <w:t>”</w:t>
      </w:r>
      <w:r>
        <w:rPr>
          <w:rFonts w:ascii="宋体" w:hAnsi="宋体" w:eastAsia="宋体" w:cs="宋体"/>
          <w:spacing w:val="-7"/>
          <w:sz w:val="21"/>
          <w:szCs w:val="21"/>
        </w:rPr>
        <w:t>、“文件创建标识码”、“文件制作机器码”</w:t>
      </w:r>
      <w:r>
        <w:rPr>
          <w:rFonts w:ascii="宋体" w:hAnsi="宋体" w:eastAsia="宋体" w:cs="宋体"/>
          <w:spacing w:val="-1"/>
          <w:sz w:val="21"/>
          <w:szCs w:val="21"/>
        </w:rPr>
        <w:t>等唯一性标识一致等情形。</w:t>
      </w:r>
    </w:p>
    <w:p w14:paraId="1FBA7448">
      <w:pPr>
        <w:spacing w:before="133" w:line="234" w:lineRule="auto"/>
        <w:ind w:left="733"/>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）有下列情形之一的，属于弄虚作假行为：</w:t>
      </w:r>
    </w:p>
    <w:p w14:paraId="7E656BDC">
      <w:pPr>
        <w:spacing w:before="131" w:line="218" w:lineRule="auto"/>
        <w:ind w:left="1003"/>
        <w:rPr>
          <w:rFonts w:ascii="宋体" w:hAnsi="宋体" w:eastAsia="宋体" w:cs="宋体"/>
          <w:sz w:val="21"/>
          <w:szCs w:val="21"/>
        </w:rPr>
      </w:pPr>
      <w:r>
        <w:rPr>
          <w:rFonts w:ascii="宋体" w:hAnsi="宋体" w:eastAsia="宋体" w:cs="宋体"/>
          <w:sz w:val="21"/>
          <w:szCs w:val="21"/>
        </w:rPr>
        <w:t>① 使用通过受让或者租借等方式获取的资格、资质证书投标的，即</w:t>
      </w:r>
      <w:r>
        <w:rPr>
          <w:rFonts w:ascii="宋体" w:hAnsi="宋体" w:eastAsia="宋体" w:cs="宋体"/>
          <w:spacing w:val="-1"/>
          <w:sz w:val="21"/>
          <w:szCs w:val="21"/>
        </w:rPr>
        <w:t>以他人名义投标的。</w:t>
      </w:r>
    </w:p>
    <w:p w14:paraId="01AEE59E">
      <w:pPr>
        <w:spacing w:before="153" w:line="218" w:lineRule="auto"/>
        <w:ind w:left="1002"/>
        <w:rPr>
          <w:rFonts w:ascii="宋体" w:hAnsi="宋体" w:eastAsia="宋体" w:cs="宋体"/>
          <w:sz w:val="21"/>
          <w:szCs w:val="21"/>
        </w:rPr>
      </w:pPr>
      <w:r>
        <w:rPr>
          <w:rFonts w:ascii="宋体" w:hAnsi="宋体" w:eastAsia="宋体" w:cs="宋体"/>
          <w:spacing w:val="-3"/>
          <w:sz w:val="21"/>
          <w:szCs w:val="21"/>
        </w:rPr>
        <w:t>② 使用伪造、变造的许可证件；</w:t>
      </w:r>
    </w:p>
    <w:p w14:paraId="137B7416">
      <w:pPr>
        <w:spacing w:before="153" w:line="218" w:lineRule="auto"/>
        <w:ind w:left="1002"/>
        <w:rPr>
          <w:rFonts w:ascii="宋体" w:hAnsi="宋体" w:eastAsia="宋体" w:cs="宋体"/>
          <w:sz w:val="21"/>
          <w:szCs w:val="21"/>
        </w:rPr>
      </w:pPr>
      <w:r>
        <w:rPr>
          <w:rFonts w:ascii="宋体" w:hAnsi="宋体" w:eastAsia="宋体" w:cs="宋体"/>
          <w:spacing w:val="-1"/>
          <w:sz w:val="21"/>
          <w:szCs w:val="21"/>
        </w:rPr>
        <w:t>③ 提供虚假的财务状况或者业绩；</w:t>
      </w:r>
    </w:p>
    <w:p w14:paraId="61528442">
      <w:pPr>
        <w:spacing w:before="150" w:line="218" w:lineRule="auto"/>
        <w:ind w:left="1002"/>
        <w:rPr>
          <w:rFonts w:ascii="宋体" w:hAnsi="宋体" w:eastAsia="宋体" w:cs="宋体"/>
          <w:sz w:val="21"/>
          <w:szCs w:val="21"/>
        </w:rPr>
      </w:pPr>
      <w:r>
        <w:rPr>
          <w:rFonts w:ascii="宋体" w:hAnsi="宋体" w:eastAsia="宋体" w:cs="宋体"/>
          <w:spacing w:val="-1"/>
          <w:sz w:val="21"/>
          <w:szCs w:val="21"/>
        </w:rPr>
        <w:t>④ 提供虚假的项目负责人或者主要技术人员简历、社会保险证明；</w:t>
      </w:r>
    </w:p>
    <w:p w14:paraId="72212232">
      <w:pPr>
        <w:spacing w:before="153" w:line="218" w:lineRule="auto"/>
        <w:ind w:left="1002"/>
        <w:rPr>
          <w:rFonts w:ascii="宋体" w:hAnsi="宋体" w:eastAsia="宋体" w:cs="宋体"/>
          <w:sz w:val="21"/>
          <w:szCs w:val="21"/>
        </w:rPr>
      </w:pPr>
      <w:r>
        <w:rPr>
          <w:rFonts w:ascii="宋体" w:hAnsi="宋体" w:eastAsia="宋体" w:cs="宋体"/>
          <w:spacing w:val="-1"/>
          <w:sz w:val="21"/>
          <w:szCs w:val="21"/>
        </w:rPr>
        <w:t>⑤ 提供虚假的信用状况；</w:t>
      </w:r>
    </w:p>
    <w:p w14:paraId="1BAB8FC3">
      <w:pPr>
        <w:spacing w:before="153" w:line="218" w:lineRule="auto"/>
        <w:ind w:left="997"/>
        <w:rPr>
          <w:rFonts w:ascii="宋体" w:hAnsi="宋体" w:eastAsia="宋体" w:cs="宋体"/>
          <w:sz w:val="21"/>
          <w:szCs w:val="21"/>
        </w:rPr>
      </w:pPr>
      <w:r>
        <w:rPr>
          <w:rFonts w:ascii="宋体" w:hAnsi="宋体" w:eastAsia="宋体" w:cs="宋体"/>
          <w:spacing w:val="-1"/>
          <w:sz w:val="21"/>
          <w:szCs w:val="21"/>
        </w:rPr>
        <w:t>⑥ 其他弄虚作假的行为。</w:t>
      </w:r>
    </w:p>
    <w:p w14:paraId="5F4F4D4D">
      <w:pPr>
        <w:spacing w:before="137" w:line="331" w:lineRule="auto"/>
        <w:ind w:left="1" w:right="311" w:firstLine="419"/>
        <w:jc w:val="both"/>
        <w:rPr>
          <w:rFonts w:ascii="宋体" w:hAnsi="宋体" w:eastAsia="宋体" w:cs="宋体"/>
          <w:sz w:val="21"/>
          <w:szCs w:val="21"/>
        </w:rPr>
      </w:pPr>
      <w:r>
        <w:rPr>
          <w:rFonts w:ascii="Times New Roman" w:hAnsi="Times New Roman" w:eastAsia="Times New Roman" w:cs="Times New Roman"/>
          <w:sz w:val="21"/>
          <w:szCs w:val="21"/>
        </w:rPr>
        <w:t>3.1.3</w:t>
      </w:r>
      <w:r>
        <w:rPr>
          <w:rFonts w:ascii="Times New Roman" w:hAnsi="Times New Roman" w:eastAsia="Times New Roman" w:cs="Times New Roman"/>
          <w:spacing w:val="40"/>
          <w:w w:val="101"/>
          <w:sz w:val="21"/>
          <w:szCs w:val="21"/>
        </w:rPr>
        <w:t xml:space="preserve"> </w:t>
      </w:r>
      <w:r>
        <w:rPr>
          <w:rFonts w:ascii="宋体" w:hAnsi="宋体" w:eastAsia="宋体" w:cs="宋体"/>
          <w:sz w:val="21"/>
          <w:szCs w:val="21"/>
        </w:rPr>
        <w:t>投标报价有算术错误的及其他错误的，评标委员会按</w:t>
      </w:r>
      <w:r>
        <w:rPr>
          <w:rFonts w:ascii="宋体" w:hAnsi="宋体" w:eastAsia="宋体" w:cs="宋体"/>
          <w:spacing w:val="-1"/>
          <w:sz w:val="21"/>
          <w:szCs w:val="21"/>
        </w:rPr>
        <w:t>以下原则对投标报价进行修正，修</w:t>
      </w:r>
      <w:r>
        <w:rPr>
          <w:rFonts w:ascii="宋体" w:hAnsi="宋体" w:eastAsia="宋体" w:cs="宋体"/>
          <w:spacing w:val="2"/>
          <w:sz w:val="21"/>
          <w:szCs w:val="21"/>
        </w:rPr>
        <w:t>正的价格经投标人书面确认后具有约束力。投标人不接受修正价格</w:t>
      </w:r>
      <w:r>
        <w:rPr>
          <w:rFonts w:ascii="宋体" w:hAnsi="宋体" w:eastAsia="宋体" w:cs="宋体"/>
          <w:spacing w:val="1"/>
          <w:sz w:val="21"/>
          <w:szCs w:val="21"/>
        </w:rPr>
        <w:t>的，或者修正后的投标报价超</w:t>
      </w:r>
      <w:r>
        <w:rPr>
          <w:rFonts w:ascii="宋体" w:hAnsi="宋体" w:eastAsia="宋体" w:cs="宋体"/>
          <w:spacing w:val="-4"/>
          <w:sz w:val="21"/>
          <w:szCs w:val="21"/>
        </w:rPr>
        <w:t>过招标控制价的（如有</w:t>
      </w:r>
      <w:r>
        <w:rPr>
          <w:rFonts w:ascii="宋体" w:hAnsi="宋体" w:eastAsia="宋体" w:cs="宋体"/>
          <w:spacing w:val="-18"/>
          <w:sz w:val="21"/>
          <w:szCs w:val="21"/>
        </w:rPr>
        <w:t>），</w:t>
      </w:r>
      <w:r>
        <w:rPr>
          <w:rFonts w:ascii="宋体" w:hAnsi="宋体" w:eastAsia="宋体" w:cs="宋体"/>
          <w:spacing w:val="-4"/>
          <w:sz w:val="21"/>
          <w:szCs w:val="21"/>
        </w:rPr>
        <w:t>评标委员会应当否决其投标。</w:t>
      </w:r>
    </w:p>
    <w:p w14:paraId="09D85CD9">
      <w:pPr>
        <w:spacing w:before="9"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）投标文件中的大写金额与小写金额不一</w:t>
      </w:r>
      <w:r>
        <w:rPr>
          <w:rFonts w:ascii="宋体" w:hAnsi="宋体" w:eastAsia="宋体" w:cs="宋体"/>
          <w:spacing w:val="-1"/>
          <w:sz w:val="21"/>
          <w:szCs w:val="21"/>
        </w:rPr>
        <w:t>致的，以大写金额为准；</w:t>
      </w:r>
    </w:p>
    <w:p w14:paraId="794639BD">
      <w:pPr>
        <w:spacing w:before="114" w:line="277" w:lineRule="auto"/>
        <w:ind w:left="5" w:right="321" w:firstLine="422"/>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2</w:t>
      </w:r>
      <w:r>
        <w:rPr>
          <w:rFonts w:ascii="宋体" w:hAnsi="宋体" w:eastAsia="宋体" w:cs="宋体"/>
          <w:spacing w:val="4"/>
          <w:sz w:val="21"/>
          <w:szCs w:val="21"/>
        </w:rPr>
        <w:t>）总价金额与单价金额不一致的，以单价金额为准，但单价金额小数点有明显错误的除</w:t>
      </w:r>
      <w:r>
        <w:rPr>
          <w:rFonts w:ascii="宋体" w:hAnsi="宋体" w:eastAsia="宋体" w:cs="宋体"/>
          <w:spacing w:val="-11"/>
          <w:sz w:val="21"/>
          <w:szCs w:val="21"/>
        </w:rPr>
        <w:t>外。</w:t>
      </w:r>
    </w:p>
    <w:p w14:paraId="4C69A80B">
      <w:pPr>
        <w:spacing w:before="132" w:line="305" w:lineRule="auto"/>
        <w:ind w:left="4" w:right="317" w:firstLine="417"/>
        <w:rPr>
          <w:rFonts w:ascii="宋体" w:hAnsi="宋体" w:eastAsia="宋体" w:cs="宋体"/>
          <w:sz w:val="21"/>
          <w:szCs w:val="21"/>
        </w:rPr>
      </w:pPr>
      <w:r>
        <w:rPr>
          <w:rFonts w:ascii="Times New Roman" w:hAnsi="Times New Roman" w:eastAsia="Times New Roman" w:cs="Times New Roman"/>
          <w:spacing w:val="4"/>
          <w:sz w:val="21"/>
          <w:szCs w:val="21"/>
        </w:rPr>
        <w:t xml:space="preserve">3.1.4  </w:t>
      </w:r>
      <w:r>
        <w:rPr>
          <w:rFonts w:ascii="宋体" w:hAnsi="宋体" w:eastAsia="宋体" w:cs="宋体"/>
          <w:spacing w:val="4"/>
          <w:sz w:val="21"/>
          <w:szCs w:val="21"/>
        </w:rPr>
        <w:t>评标委员会发现投标人的报价明显低于其他投标报价，或者在设有最高投</w:t>
      </w:r>
      <w:r>
        <w:rPr>
          <w:rFonts w:ascii="宋体" w:hAnsi="宋体" w:eastAsia="宋体" w:cs="宋体"/>
          <w:spacing w:val="3"/>
          <w:sz w:val="21"/>
          <w:szCs w:val="21"/>
        </w:rPr>
        <w:t>标限价时明</w:t>
      </w:r>
      <w:r>
        <w:rPr>
          <w:rFonts w:ascii="宋体" w:hAnsi="宋体" w:eastAsia="宋体" w:cs="宋体"/>
          <w:spacing w:val="2"/>
          <w:sz w:val="21"/>
          <w:szCs w:val="21"/>
        </w:rPr>
        <w:t>显低于最高投标限价，使得其投标报价可能低于其个别成本的</w:t>
      </w:r>
      <w:r>
        <w:rPr>
          <w:rFonts w:ascii="宋体" w:hAnsi="宋体" w:eastAsia="宋体" w:cs="宋体"/>
          <w:spacing w:val="1"/>
          <w:sz w:val="21"/>
          <w:szCs w:val="21"/>
        </w:rPr>
        <w:t>，应当要求该投标人作出书面说明</w:t>
      </w:r>
      <w:r>
        <w:rPr>
          <w:rFonts w:ascii="宋体" w:hAnsi="宋体" w:eastAsia="宋体" w:cs="宋体"/>
          <w:spacing w:val="2"/>
          <w:sz w:val="21"/>
          <w:szCs w:val="21"/>
        </w:rPr>
        <w:t>并提供相应的证明材料。投标人不能合理说明或者不能提供相</w:t>
      </w:r>
      <w:r>
        <w:rPr>
          <w:rFonts w:ascii="宋体" w:hAnsi="宋体" w:eastAsia="宋体" w:cs="宋体"/>
          <w:spacing w:val="1"/>
          <w:sz w:val="21"/>
          <w:szCs w:val="21"/>
        </w:rPr>
        <w:t>应证明材料的，由评标委员会认定</w:t>
      </w:r>
      <w:r>
        <w:rPr>
          <w:rFonts w:ascii="宋体" w:hAnsi="宋体" w:eastAsia="宋体" w:cs="宋体"/>
          <w:spacing w:val="-2"/>
          <w:sz w:val="21"/>
          <w:szCs w:val="21"/>
        </w:rPr>
        <w:t>该投标人以低于成本报价竞标，否决其投标。</w:t>
      </w:r>
    </w:p>
    <w:p w14:paraId="3536B60F">
      <w:pPr>
        <w:spacing w:before="129" w:line="277" w:lineRule="auto"/>
        <w:ind w:right="322" w:firstLine="421"/>
        <w:rPr>
          <w:rFonts w:ascii="宋体" w:hAnsi="宋体" w:eastAsia="宋体" w:cs="宋体"/>
          <w:sz w:val="21"/>
          <w:szCs w:val="21"/>
        </w:rPr>
      </w:pPr>
      <w:r>
        <w:rPr>
          <w:rFonts w:ascii="Times New Roman" w:hAnsi="Times New Roman" w:eastAsia="Times New Roman" w:cs="Times New Roman"/>
          <w:spacing w:val="4"/>
          <w:sz w:val="21"/>
          <w:szCs w:val="21"/>
        </w:rPr>
        <w:t xml:space="preserve">3.1.5  </w:t>
      </w:r>
      <w:r>
        <w:rPr>
          <w:rFonts w:ascii="宋体" w:hAnsi="宋体" w:eastAsia="宋体" w:cs="宋体"/>
          <w:spacing w:val="4"/>
          <w:sz w:val="21"/>
          <w:szCs w:val="21"/>
        </w:rPr>
        <w:t>评标委员会否决不合格投标后，因有效投标不足三个使得投标明显缺乏竞</w:t>
      </w:r>
      <w:r>
        <w:rPr>
          <w:rFonts w:ascii="宋体" w:hAnsi="宋体" w:eastAsia="宋体" w:cs="宋体"/>
          <w:spacing w:val="3"/>
          <w:sz w:val="21"/>
          <w:szCs w:val="21"/>
        </w:rPr>
        <w:t>争的，评标</w:t>
      </w:r>
      <w:r>
        <w:rPr>
          <w:rFonts w:ascii="宋体" w:hAnsi="宋体" w:eastAsia="宋体" w:cs="宋体"/>
          <w:spacing w:val="-1"/>
          <w:sz w:val="21"/>
          <w:szCs w:val="21"/>
        </w:rPr>
        <w:t>委员会可以否决全部投标。</w:t>
      </w:r>
    </w:p>
    <w:p w14:paraId="6674F1C8">
      <w:pPr>
        <w:spacing w:before="121" w:line="233" w:lineRule="auto"/>
        <w:ind w:left="2"/>
        <w:outlineLvl w:val="2"/>
        <w:rPr>
          <w:rFonts w:ascii="黑体" w:hAnsi="黑体" w:eastAsia="黑体" w:cs="黑体"/>
          <w:sz w:val="24"/>
          <w:szCs w:val="24"/>
        </w:rPr>
      </w:pPr>
      <w:bookmarkStart w:id="136" w:name="bookmark107"/>
      <w:bookmarkEnd w:id="136"/>
      <w:r>
        <w:rPr>
          <w:rFonts w:ascii="Times New Roman" w:hAnsi="Times New Roman" w:eastAsia="Times New Roman" w:cs="Times New Roman"/>
          <w:spacing w:val="-1"/>
          <w:sz w:val="24"/>
          <w:szCs w:val="24"/>
        </w:rPr>
        <w:t xml:space="preserve">3.2  </w:t>
      </w:r>
      <w:r>
        <w:rPr>
          <w:rFonts w:ascii="黑体" w:hAnsi="黑体" w:eastAsia="黑体" w:cs="黑体"/>
          <w:spacing w:val="-1"/>
          <w:sz w:val="24"/>
          <w:szCs w:val="24"/>
        </w:rPr>
        <w:t>详细评审</w:t>
      </w:r>
    </w:p>
    <w:p w14:paraId="1E158576">
      <w:pPr>
        <w:spacing w:before="106"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3.2.1  </w:t>
      </w:r>
      <w:r>
        <w:rPr>
          <w:rFonts w:ascii="宋体" w:hAnsi="宋体" w:eastAsia="宋体" w:cs="宋体"/>
          <w:spacing w:val="-1"/>
          <w:sz w:val="21"/>
          <w:szCs w:val="21"/>
        </w:rPr>
        <w:t>评标委员会对通过了初步评审的投标文件进行详细评审。</w:t>
      </w:r>
    </w:p>
    <w:p w14:paraId="23B5176F">
      <w:pPr>
        <w:spacing w:before="116" w:line="233" w:lineRule="auto"/>
        <w:ind w:left="421"/>
        <w:rPr>
          <w:rFonts w:ascii="宋体" w:hAnsi="宋体" w:eastAsia="宋体" w:cs="宋体"/>
          <w:sz w:val="21"/>
          <w:szCs w:val="21"/>
        </w:rPr>
      </w:pPr>
      <w:r>
        <w:rPr>
          <w:rFonts w:ascii="Times New Roman" w:hAnsi="Times New Roman" w:eastAsia="Times New Roman" w:cs="Times New Roman"/>
          <w:sz w:val="21"/>
          <w:szCs w:val="21"/>
        </w:rPr>
        <w:t xml:space="preserve">3.2.2  </w:t>
      </w:r>
      <w:r>
        <w:rPr>
          <w:rFonts w:ascii="宋体" w:hAnsi="宋体" w:eastAsia="宋体" w:cs="宋体"/>
          <w:sz w:val="21"/>
          <w:szCs w:val="21"/>
        </w:rPr>
        <w:t>评标委员会按本章第</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2.2 </w:t>
      </w:r>
      <w:r>
        <w:rPr>
          <w:rFonts w:ascii="宋体" w:hAnsi="宋体" w:eastAsia="宋体" w:cs="宋体"/>
          <w:sz w:val="21"/>
          <w:szCs w:val="21"/>
        </w:rPr>
        <w:t>款规定的量化因素和分值进行打分，并计算</w:t>
      </w:r>
      <w:r>
        <w:rPr>
          <w:rFonts w:ascii="宋体" w:hAnsi="宋体" w:eastAsia="宋体" w:cs="宋体"/>
          <w:spacing w:val="-1"/>
          <w:sz w:val="21"/>
          <w:szCs w:val="21"/>
        </w:rPr>
        <w:t>出综合评估得分。</w:t>
      </w:r>
    </w:p>
    <w:p w14:paraId="6471EE5E">
      <w:pPr>
        <w:spacing w:line="233" w:lineRule="auto"/>
        <w:rPr>
          <w:rFonts w:ascii="宋体" w:hAnsi="宋体" w:eastAsia="宋体" w:cs="宋体"/>
          <w:sz w:val="21"/>
          <w:szCs w:val="21"/>
        </w:rPr>
        <w:sectPr>
          <w:footerReference r:id="rId56" w:type="default"/>
          <w:pgSz w:w="11905" w:h="16843"/>
          <w:pgMar w:top="969" w:right="1355" w:bottom="1026" w:left="1480" w:header="0" w:footer="754" w:gutter="0"/>
          <w:cols w:space="0" w:num="1"/>
          <w:rtlGutter w:val="0"/>
          <w:docGrid w:linePitch="0" w:charSpace="0"/>
        </w:sectPr>
      </w:pPr>
    </w:p>
    <w:p w14:paraId="204BCDE1">
      <w:pPr>
        <w:pStyle w:val="5"/>
        <w:spacing w:line="272" w:lineRule="auto"/>
      </w:pPr>
    </w:p>
    <w:p w14:paraId="2CDD5654">
      <w:pPr>
        <w:pStyle w:val="5"/>
        <w:spacing w:line="272" w:lineRule="auto"/>
      </w:pPr>
    </w:p>
    <w:p w14:paraId="3504196E">
      <w:pPr>
        <w:pStyle w:val="5"/>
        <w:spacing w:line="272" w:lineRule="auto"/>
      </w:pPr>
    </w:p>
    <w:p w14:paraId="324FB87D">
      <w:pPr>
        <w:pStyle w:val="5"/>
        <w:spacing w:line="273" w:lineRule="auto"/>
      </w:pPr>
    </w:p>
    <w:p w14:paraId="7C7E58A3">
      <w:pPr>
        <w:pStyle w:val="5"/>
        <w:spacing w:line="273" w:lineRule="auto"/>
      </w:pPr>
    </w:p>
    <w:p w14:paraId="212AB0DF">
      <w:pPr>
        <w:spacing w:before="69" w:line="234" w:lineRule="auto"/>
        <w:ind w:left="723"/>
        <w:rPr>
          <w:rFonts w:ascii="宋体" w:hAnsi="宋体" w:eastAsia="宋体" w:cs="宋体"/>
          <w:sz w:val="21"/>
          <w:szCs w:val="21"/>
        </w:rPr>
      </w:pPr>
      <w:bookmarkStart w:id="137" w:name="bookmark509"/>
      <w:bookmarkEnd w:id="137"/>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）按本章第</w:t>
      </w:r>
      <w:r>
        <w:rPr>
          <w:rFonts w:ascii="宋体" w:hAnsi="宋体" w:eastAsia="宋体" w:cs="宋体"/>
          <w:spacing w:val="-39"/>
          <w:sz w:val="21"/>
          <w:szCs w:val="21"/>
        </w:rPr>
        <w:t xml:space="preserve"> </w:t>
      </w:r>
      <w:r>
        <w:rPr>
          <w:rFonts w:ascii="Times New Roman" w:hAnsi="Times New Roman" w:eastAsia="Times New Roman" w:cs="Times New Roman"/>
          <w:spacing w:val="-2"/>
          <w:sz w:val="21"/>
          <w:szCs w:val="21"/>
        </w:rPr>
        <w:t>2.2.4</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w:t>
      </w:r>
      <w:r>
        <w:rPr>
          <w:rFonts w:ascii="宋体" w:hAnsi="宋体" w:eastAsia="宋体" w:cs="宋体"/>
          <w:spacing w:val="-59"/>
          <w:sz w:val="21"/>
          <w:szCs w:val="21"/>
        </w:rPr>
        <w:t xml:space="preserve"> </w:t>
      </w:r>
      <w:r>
        <w:rPr>
          <w:rFonts w:ascii="宋体" w:hAnsi="宋体" w:eastAsia="宋体" w:cs="宋体"/>
          <w:spacing w:val="-2"/>
          <w:sz w:val="21"/>
          <w:szCs w:val="21"/>
        </w:rPr>
        <w:t>目规定的评审因素和分值对经济标计算出得分</w:t>
      </w:r>
      <w:r>
        <w:rPr>
          <w:rFonts w:ascii="宋体" w:hAnsi="宋体" w:eastAsia="宋体" w:cs="宋体"/>
          <w:spacing w:val="-50"/>
          <w:sz w:val="21"/>
          <w:szCs w:val="21"/>
        </w:rPr>
        <w:t xml:space="preserve"> </w:t>
      </w:r>
      <w:r>
        <w:rPr>
          <w:rFonts w:ascii="Times New Roman" w:hAnsi="Times New Roman" w:eastAsia="Times New Roman" w:cs="Times New Roman"/>
          <w:spacing w:val="-2"/>
          <w:sz w:val="21"/>
          <w:szCs w:val="21"/>
        </w:rPr>
        <w:t>A</w:t>
      </w:r>
      <w:r>
        <w:rPr>
          <w:rFonts w:ascii="宋体" w:hAnsi="宋体" w:eastAsia="宋体" w:cs="宋体"/>
          <w:spacing w:val="-2"/>
          <w:sz w:val="21"/>
          <w:szCs w:val="21"/>
        </w:rPr>
        <w:t>；</w:t>
      </w:r>
    </w:p>
    <w:p w14:paraId="111E26C8">
      <w:pPr>
        <w:spacing w:before="134" w:line="234" w:lineRule="auto"/>
        <w:ind w:left="723"/>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）按本章第</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2.2.4</w:t>
      </w: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w:t>
      </w:r>
      <w:r>
        <w:rPr>
          <w:rFonts w:ascii="宋体" w:hAnsi="宋体" w:eastAsia="宋体" w:cs="宋体"/>
          <w:spacing w:val="-58"/>
          <w:sz w:val="21"/>
          <w:szCs w:val="21"/>
        </w:rPr>
        <w:t xml:space="preserve"> </w:t>
      </w:r>
      <w:r>
        <w:rPr>
          <w:rFonts w:ascii="宋体" w:hAnsi="宋体" w:eastAsia="宋体" w:cs="宋体"/>
          <w:spacing w:val="-2"/>
          <w:sz w:val="21"/>
          <w:szCs w:val="21"/>
        </w:rPr>
        <w:t>目规定的评审因素和分值对技术标计算出得分</w:t>
      </w:r>
      <w:r>
        <w:rPr>
          <w:rFonts w:ascii="宋体" w:hAnsi="宋体" w:eastAsia="宋体" w:cs="宋体"/>
          <w:spacing w:val="-49"/>
          <w:sz w:val="21"/>
          <w:szCs w:val="21"/>
        </w:rPr>
        <w:t xml:space="preserve"> </w:t>
      </w:r>
      <w:r>
        <w:rPr>
          <w:rFonts w:ascii="Times New Roman" w:hAnsi="Times New Roman" w:eastAsia="Times New Roman" w:cs="Times New Roman"/>
          <w:spacing w:val="-2"/>
          <w:sz w:val="21"/>
          <w:szCs w:val="21"/>
        </w:rPr>
        <w:t>B</w:t>
      </w:r>
      <w:r>
        <w:rPr>
          <w:rFonts w:ascii="宋体" w:hAnsi="宋体" w:eastAsia="宋体" w:cs="宋体"/>
          <w:spacing w:val="-2"/>
          <w:sz w:val="21"/>
          <w:szCs w:val="21"/>
        </w:rPr>
        <w:t>；</w:t>
      </w:r>
    </w:p>
    <w:p w14:paraId="5DFD2D3E">
      <w:pPr>
        <w:spacing w:before="134" w:line="234" w:lineRule="auto"/>
        <w:ind w:left="723"/>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）按本章第</w:t>
      </w:r>
      <w:r>
        <w:rPr>
          <w:rFonts w:ascii="宋体" w:hAnsi="宋体" w:eastAsia="宋体" w:cs="宋体"/>
          <w:spacing w:val="-45"/>
          <w:sz w:val="21"/>
          <w:szCs w:val="21"/>
        </w:rPr>
        <w:t xml:space="preserve"> </w:t>
      </w:r>
      <w:r>
        <w:rPr>
          <w:rFonts w:ascii="Times New Roman" w:hAnsi="Times New Roman" w:eastAsia="Times New Roman" w:cs="Times New Roman"/>
          <w:spacing w:val="-2"/>
          <w:sz w:val="21"/>
          <w:szCs w:val="21"/>
        </w:rPr>
        <w:t>2.2.4</w:t>
      </w: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w:t>
      </w:r>
      <w:r>
        <w:rPr>
          <w:rFonts w:ascii="宋体" w:hAnsi="宋体" w:eastAsia="宋体" w:cs="宋体"/>
          <w:spacing w:val="-58"/>
          <w:sz w:val="21"/>
          <w:szCs w:val="21"/>
        </w:rPr>
        <w:t xml:space="preserve"> </w:t>
      </w:r>
      <w:r>
        <w:rPr>
          <w:rFonts w:ascii="宋体" w:hAnsi="宋体" w:eastAsia="宋体" w:cs="宋体"/>
          <w:spacing w:val="-2"/>
          <w:sz w:val="21"/>
          <w:szCs w:val="21"/>
        </w:rPr>
        <w:t>目规定的评审因素和分值对综合标计算出得分</w:t>
      </w:r>
      <w:r>
        <w:rPr>
          <w:rFonts w:ascii="宋体" w:hAnsi="宋体" w:eastAsia="宋体" w:cs="宋体"/>
          <w:spacing w:val="-45"/>
          <w:sz w:val="21"/>
          <w:szCs w:val="21"/>
        </w:rPr>
        <w:t xml:space="preserve"> </w:t>
      </w:r>
      <w:r>
        <w:rPr>
          <w:rFonts w:ascii="Times New Roman" w:hAnsi="Times New Roman" w:eastAsia="Times New Roman" w:cs="Times New Roman"/>
          <w:spacing w:val="-2"/>
          <w:sz w:val="21"/>
          <w:szCs w:val="21"/>
        </w:rPr>
        <w:t>C</w:t>
      </w:r>
      <w:r>
        <w:rPr>
          <w:rFonts w:ascii="宋体" w:hAnsi="宋体" w:eastAsia="宋体" w:cs="宋体"/>
          <w:spacing w:val="-2"/>
          <w:sz w:val="21"/>
          <w:szCs w:val="21"/>
        </w:rPr>
        <w:t>；</w:t>
      </w:r>
    </w:p>
    <w:p w14:paraId="06BC6F39">
      <w:pPr>
        <w:spacing w:before="132" w:line="234" w:lineRule="auto"/>
        <w:ind w:left="723"/>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）按本章第</w:t>
      </w:r>
      <w:r>
        <w:rPr>
          <w:rFonts w:ascii="宋体" w:hAnsi="宋体" w:eastAsia="宋体" w:cs="宋体"/>
          <w:spacing w:val="-38"/>
          <w:sz w:val="21"/>
          <w:szCs w:val="21"/>
        </w:rPr>
        <w:t xml:space="preserve"> </w:t>
      </w:r>
      <w:r>
        <w:rPr>
          <w:rFonts w:ascii="Times New Roman" w:hAnsi="Times New Roman" w:eastAsia="Times New Roman" w:cs="Times New Roman"/>
          <w:spacing w:val="-2"/>
          <w:sz w:val="21"/>
          <w:szCs w:val="21"/>
        </w:rPr>
        <w:t>2.2.4</w:t>
      </w: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w:t>
      </w:r>
      <w:r>
        <w:rPr>
          <w:rFonts w:ascii="宋体" w:hAnsi="宋体" w:eastAsia="宋体" w:cs="宋体"/>
          <w:spacing w:val="-58"/>
          <w:sz w:val="21"/>
          <w:szCs w:val="21"/>
        </w:rPr>
        <w:t xml:space="preserve"> </w:t>
      </w:r>
      <w:r>
        <w:rPr>
          <w:rFonts w:ascii="宋体" w:hAnsi="宋体" w:eastAsia="宋体" w:cs="宋体"/>
          <w:spacing w:val="-2"/>
          <w:sz w:val="21"/>
          <w:szCs w:val="21"/>
        </w:rPr>
        <w:t>目规定的评审因素和分值对其他因素计算出得分</w:t>
      </w:r>
      <w:r>
        <w:rPr>
          <w:rFonts w:ascii="宋体" w:hAnsi="宋体" w:eastAsia="宋体" w:cs="宋体"/>
          <w:spacing w:val="-51"/>
          <w:sz w:val="21"/>
          <w:szCs w:val="21"/>
        </w:rPr>
        <w:t xml:space="preserve"> </w:t>
      </w:r>
      <w:r>
        <w:rPr>
          <w:rFonts w:ascii="Times New Roman" w:hAnsi="Times New Roman" w:eastAsia="Times New Roman" w:cs="Times New Roman"/>
          <w:spacing w:val="-2"/>
          <w:sz w:val="21"/>
          <w:szCs w:val="21"/>
        </w:rPr>
        <w:t>D</w:t>
      </w:r>
      <w:r>
        <w:rPr>
          <w:rFonts w:ascii="宋体" w:hAnsi="宋体" w:eastAsia="宋体" w:cs="宋体"/>
          <w:spacing w:val="-2"/>
          <w:sz w:val="21"/>
          <w:szCs w:val="21"/>
        </w:rPr>
        <w:t>。</w:t>
      </w:r>
    </w:p>
    <w:p w14:paraId="3100A5CD">
      <w:pPr>
        <w:spacing w:before="118" w:line="234" w:lineRule="auto"/>
        <w:ind w:left="420"/>
        <w:rPr>
          <w:rFonts w:ascii="宋体" w:hAnsi="宋体" w:eastAsia="宋体" w:cs="宋体"/>
          <w:sz w:val="21"/>
          <w:szCs w:val="21"/>
        </w:rPr>
      </w:pPr>
      <w:r>
        <w:rPr>
          <w:rFonts w:ascii="Times New Roman" w:hAnsi="Times New Roman" w:eastAsia="Times New Roman" w:cs="Times New Roman"/>
          <w:sz w:val="21"/>
          <w:szCs w:val="21"/>
        </w:rPr>
        <w:t xml:space="preserve">3.2.3  </w:t>
      </w:r>
      <w:r>
        <w:rPr>
          <w:rFonts w:ascii="宋体" w:hAnsi="宋体" w:eastAsia="宋体" w:cs="宋体"/>
          <w:sz w:val="21"/>
          <w:szCs w:val="21"/>
        </w:rPr>
        <w:t>评分分值计算保留小数点后两位，小数点后第三位“</w:t>
      </w:r>
      <w:r>
        <w:rPr>
          <w:rFonts w:ascii="宋体" w:hAnsi="宋体" w:eastAsia="宋体" w:cs="宋体"/>
          <w:spacing w:val="-1"/>
          <w:sz w:val="21"/>
          <w:szCs w:val="21"/>
        </w:rPr>
        <w:t>四舍五入”。</w:t>
      </w:r>
    </w:p>
    <w:p w14:paraId="64D6AC67">
      <w:pPr>
        <w:spacing w:before="115"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3.2.4  </w:t>
      </w:r>
      <w:r>
        <w:rPr>
          <w:rFonts w:ascii="宋体" w:hAnsi="宋体" w:eastAsia="宋体" w:cs="宋体"/>
          <w:spacing w:val="-1"/>
          <w:sz w:val="21"/>
          <w:szCs w:val="21"/>
        </w:rPr>
        <w:t>投标人得分</w:t>
      </w:r>
      <w:r>
        <w:rPr>
          <w:rFonts w:ascii="Times New Roman" w:hAnsi="Times New Roman" w:eastAsia="Times New Roman" w:cs="Times New Roman"/>
          <w:spacing w:val="-1"/>
          <w:sz w:val="21"/>
          <w:szCs w:val="21"/>
        </w:rPr>
        <w:t>=A+B+C+D</w:t>
      </w:r>
      <w:r>
        <w:rPr>
          <w:rFonts w:ascii="宋体" w:hAnsi="宋体" w:eastAsia="宋体" w:cs="宋体"/>
          <w:spacing w:val="-1"/>
          <w:sz w:val="21"/>
          <w:szCs w:val="21"/>
        </w:rPr>
        <w:t>。</w:t>
      </w:r>
    </w:p>
    <w:p w14:paraId="773C0C4D">
      <w:pPr>
        <w:spacing w:before="112" w:line="234" w:lineRule="auto"/>
        <w:ind w:left="420"/>
        <w:rPr>
          <w:rFonts w:ascii="宋体" w:hAnsi="宋体" w:eastAsia="宋体" w:cs="宋体"/>
          <w:sz w:val="21"/>
          <w:szCs w:val="21"/>
        </w:rPr>
      </w:pPr>
      <w:r>
        <w:rPr>
          <w:rFonts w:ascii="Times New Roman" w:hAnsi="Times New Roman" w:eastAsia="Times New Roman" w:cs="Times New Roman"/>
          <w:sz w:val="21"/>
          <w:szCs w:val="21"/>
        </w:rPr>
        <w:t xml:space="preserve">3.2.5  </w:t>
      </w:r>
      <w:r>
        <w:rPr>
          <w:rFonts w:ascii="宋体" w:hAnsi="宋体" w:eastAsia="宋体" w:cs="宋体"/>
          <w:sz w:val="21"/>
          <w:szCs w:val="21"/>
        </w:rPr>
        <w:t>各投标人最终得分的确定办法为：所有评标委员会成员的综合评分的算</w:t>
      </w:r>
      <w:r>
        <w:rPr>
          <w:rFonts w:ascii="宋体" w:hAnsi="宋体" w:eastAsia="宋体" w:cs="宋体"/>
          <w:spacing w:val="-1"/>
          <w:sz w:val="21"/>
          <w:szCs w:val="21"/>
        </w:rPr>
        <w:t>术平均值。</w:t>
      </w:r>
    </w:p>
    <w:p w14:paraId="00EF6200">
      <w:pPr>
        <w:spacing w:before="106" w:line="233" w:lineRule="auto"/>
        <w:ind w:left="1"/>
        <w:outlineLvl w:val="2"/>
        <w:rPr>
          <w:rFonts w:ascii="黑体" w:hAnsi="黑体" w:eastAsia="黑体" w:cs="黑体"/>
          <w:sz w:val="24"/>
          <w:szCs w:val="24"/>
        </w:rPr>
      </w:pPr>
      <w:bookmarkStart w:id="138" w:name="bookmark108"/>
      <w:bookmarkEnd w:id="138"/>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投标文件的澄清和补正</w:t>
      </w:r>
    </w:p>
    <w:p w14:paraId="7366956B">
      <w:pPr>
        <w:spacing w:before="107" w:line="296" w:lineRule="auto"/>
        <w:ind w:left="4" w:right="168" w:firstLine="416"/>
        <w:rPr>
          <w:rFonts w:ascii="宋体" w:hAnsi="宋体" w:eastAsia="宋体" w:cs="宋体"/>
          <w:sz w:val="21"/>
          <w:szCs w:val="21"/>
        </w:rPr>
      </w:pPr>
      <w:r>
        <w:rPr>
          <w:rFonts w:ascii="Times New Roman" w:hAnsi="Times New Roman" w:eastAsia="Times New Roman" w:cs="Times New Roman"/>
          <w:sz w:val="21"/>
          <w:szCs w:val="21"/>
        </w:rPr>
        <w:t>3.3.1</w:t>
      </w:r>
      <w:r>
        <w:rPr>
          <w:rFonts w:ascii="Times New Roman" w:hAnsi="Times New Roman" w:eastAsia="Times New Roman" w:cs="Times New Roman"/>
          <w:spacing w:val="36"/>
          <w:w w:val="101"/>
          <w:sz w:val="21"/>
          <w:szCs w:val="21"/>
        </w:rPr>
        <w:t xml:space="preserve"> </w:t>
      </w:r>
      <w:r>
        <w:rPr>
          <w:rFonts w:ascii="宋体" w:hAnsi="宋体" w:eastAsia="宋体" w:cs="宋体"/>
          <w:sz w:val="21"/>
          <w:szCs w:val="21"/>
        </w:rPr>
        <w:t>在评标过程中，评标委员会可以书面形式要求投标人对投标文</w:t>
      </w:r>
      <w:r>
        <w:rPr>
          <w:rFonts w:ascii="宋体" w:hAnsi="宋体" w:eastAsia="宋体" w:cs="宋体"/>
          <w:spacing w:val="-1"/>
          <w:sz w:val="21"/>
          <w:szCs w:val="21"/>
        </w:rPr>
        <w:t>件中含义不明确、对同类</w:t>
      </w:r>
      <w:r>
        <w:rPr>
          <w:rFonts w:ascii="宋体" w:hAnsi="宋体" w:eastAsia="宋体" w:cs="宋体"/>
          <w:spacing w:val="2"/>
          <w:sz w:val="21"/>
          <w:szCs w:val="21"/>
        </w:rPr>
        <w:t>问题表述不一致或者有明显文字和计算错误的内容作必要的</w:t>
      </w:r>
      <w:r>
        <w:rPr>
          <w:rFonts w:ascii="宋体" w:hAnsi="宋体" w:eastAsia="宋体" w:cs="宋体"/>
          <w:spacing w:val="1"/>
          <w:sz w:val="21"/>
          <w:szCs w:val="21"/>
        </w:rPr>
        <w:t>澄清、说明或补正。澄清、说明或补</w:t>
      </w:r>
      <w:r>
        <w:rPr>
          <w:rFonts w:ascii="宋体" w:hAnsi="宋体" w:eastAsia="宋体" w:cs="宋体"/>
          <w:spacing w:val="-1"/>
          <w:sz w:val="21"/>
          <w:szCs w:val="21"/>
        </w:rPr>
        <w:t>正应以书面方式进行。评标委员会不接受投标人主动提出的澄清、说明或补正。</w:t>
      </w:r>
    </w:p>
    <w:p w14:paraId="38CB58C5">
      <w:pPr>
        <w:spacing w:before="128" w:line="277" w:lineRule="auto"/>
        <w:ind w:right="179" w:firstLine="420"/>
        <w:rPr>
          <w:rFonts w:ascii="宋体" w:hAnsi="宋体" w:eastAsia="宋体" w:cs="宋体"/>
          <w:sz w:val="21"/>
          <w:szCs w:val="21"/>
        </w:rPr>
      </w:pPr>
      <w:r>
        <w:rPr>
          <w:rFonts w:ascii="Times New Roman" w:hAnsi="Times New Roman" w:eastAsia="Times New Roman" w:cs="Times New Roman"/>
          <w:spacing w:val="4"/>
          <w:sz w:val="21"/>
          <w:szCs w:val="21"/>
        </w:rPr>
        <w:t xml:space="preserve">3.3.2  </w:t>
      </w:r>
      <w:r>
        <w:rPr>
          <w:rFonts w:ascii="宋体" w:hAnsi="宋体" w:eastAsia="宋体" w:cs="宋体"/>
          <w:spacing w:val="4"/>
          <w:sz w:val="21"/>
          <w:szCs w:val="21"/>
        </w:rPr>
        <w:t>澄清、说明和补正不得超出投标文件的范围且不得改变投标文件的实质性</w:t>
      </w:r>
      <w:r>
        <w:rPr>
          <w:rFonts w:ascii="宋体" w:hAnsi="宋体" w:eastAsia="宋体" w:cs="宋体"/>
          <w:spacing w:val="3"/>
          <w:sz w:val="21"/>
          <w:szCs w:val="21"/>
        </w:rPr>
        <w:t>内容（算术</w:t>
      </w:r>
      <w:r>
        <w:rPr>
          <w:rFonts w:ascii="宋体" w:hAnsi="宋体" w:eastAsia="宋体" w:cs="宋体"/>
          <w:spacing w:val="-3"/>
          <w:sz w:val="21"/>
          <w:szCs w:val="21"/>
        </w:rPr>
        <w:t>错误修正的除外）。投标人的书面澄清、说明和补正属于投标文件的组</w:t>
      </w:r>
      <w:r>
        <w:rPr>
          <w:rFonts w:ascii="宋体" w:hAnsi="宋体" w:eastAsia="宋体" w:cs="宋体"/>
          <w:spacing w:val="-4"/>
          <w:sz w:val="21"/>
          <w:szCs w:val="21"/>
        </w:rPr>
        <w:t>成部分。</w:t>
      </w:r>
    </w:p>
    <w:p w14:paraId="3B9FDB05">
      <w:pPr>
        <w:spacing w:before="131" w:line="277" w:lineRule="auto"/>
        <w:ind w:left="2" w:firstLine="417"/>
        <w:rPr>
          <w:rFonts w:ascii="宋体" w:hAnsi="宋体" w:eastAsia="宋体" w:cs="宋体"/>
          <w:sz w:val="21"/>
          <w:szCs w:val="21"/>
        </w:rPr>
      </w:pPr>
      <w:r>
        <w:rPr>
          <w:rFonts w:ascii="Times New Roman" w:hAnsi="Times New Roman" w:eastAsia="Times New Roman" w:cs="Times New Roman"/>
          <w:spacing w:val="3"/>
          <w:sz w:val="21"/>
          <w:szCs w:val="21"/>
        </w:rPr>
        <w:t xml:space="preserve">3.3.3  </w:t>
      </w:r>
      <w:r>
        <w:rPr>
          <w:rFonts w:ascii="宋体" w:hAnsi="宋体" w:eastAsia="宋体" w:cs="宋体"/>
          <w:spacing w:val="3"/>
          <w:sz w:val="21"/>
          <w:szCs w:val="21"/>
        </w:rPr>
        <w:t>评标委员会对投标人提交的澄清、说明或补正有疑问的，可以要求投标人进一步澄清、</w:t>
      </w:r>
      <w:r>
        <w:rPr>
          <w:rFonts w:ascii="宋体" w:hAnsi="宋体" w:eastAsia="宋体" w:cs="宋体"/>
          <w:spacing w:val="-1"/>
          <w:sz w:val="21"/>
          <w:szCs w:val="21"/>
        </w:rPr>
        <w:t>说明或补正，直至满足评标委员会的要求。</w:t>
      </w:r>
    </w:p>
    <w:p w14:paraId="4DF3CB2F">
      <w:pPr>
        <w:spacing w:before="121" w:line="233" w:lineRule="auto"/>
        <w:ind w:left="1"/>
        <w:outlineLvl w:val="2"/>
        <w:rPr>
          <w:rFonts w:ascii="黑体" w:hAnsi="黑体" w:eastAsia="黑体" w:cs="黑体"/>
          <w:sz w:val="24"/>
          <w:szCs w:val="24"/>
        </w:rPr>
      </w:pPr>
      <w:bookmarkStart w:id="139" w:name="bookmark109"/>
      <w:bookmarkEnd w:id="139"/>
      <w:r>
        <w:rPr>
          <w:rFonts w:ascii="Times New Roman" w:hAnsi="Times New Roman" w:eastAsia="Times New Roman" w:cs="Times New Roman"/>
          <w:spacing w:val="-1"/>
          <w:sz w:val="24"/>
          <w:szCs w:val="24"/>
        </w:rPr>
        <w:t xml:space="preserve">3.4  </w:t>
      </w:r>
      <w:r>
        <w:rPr>
          <w:rFonts w:ascii="黑体" w:hAnsi="黑体" w:eastAsia="黑体" w:cs="黑体"/>
          <w:spacing w:val="-1"/>
          <w:sz w:val="24"/>
          <w:szCs w:val="24"/>
        </w:rPr>
        <w:t>评标结果</w:t>
      </w:r>
    </w:p>
    <w:p w14:paraId="1B2C8421">
      <w:pPr>
        <w:spacing w:before="107" w:line="276" w:lineRule="auto"/>
        <w:ind w:left="17" w:right="168" w:firstLine="403"/>
        <w:rPr>
          <w:rFonts w:ascii="宋体" w:hAnsi="宋体" w:eastAsia="宋体" w:cs="宋体"/>
          <w:sz w:val="21"/>
          <w:szCs w:val="21"/>
        </w:rPr>
      </w:pPr>
      <w:r>
        <w:rPr>
          <w:rFonts w:ascii="Times New Roman" w:hAnsi="Times New Roman" w:eastAsia="Times New Roman" w:cs="Times New Roman"/>
          <w:spacing w:val="-1"/>
          <w:sz w:val="21"/>
          <w:szCs w:val="21"/>
        </w:rPr>
        <w:t>3.4.1</w:t>
      </w:r>
      <w:r>
        <w:rPr>
          <w:rFonts w:ascii="Times New Roman" w:hAnsi="Times New Roman" w:eastAsia="Times New Roman" w:cs="Times New Roman"/>
          <w:spacing w:val="68"/>
          <w:w w:val="101"/>
          <w:sz w:val="21"/>
          <w:szCs w:val="21"/>
        </w:rPr>
        <w:t xml:space="preserve"> </w:t>
      </w:r>
      <w:r>
        <w:rPr>
          <w:rFonts w:ascii="宋体" w:hAnsi="宋体" w:eastAsia="宋体" w:cs="宋体"/>
          <w:spacing w:val="-1"/>
          <w:sz w:val="21"/>
          <w:szCs w:val="21"/>
        </w:rPr>
        <w:t>除第二章“投标人须知”前附表授权直接确定中标人外，评标委员会按照得分由高到低的顺序或按照有效评标价由低到高的顺序推荐中标候选人。</w:t>
      </w:r>
    </w:p>
    <w:p w14:paraId="6FF0AA6D">
      <w:pPr>
        <w:spacing w:before="132" w:line="233" w:lineRule="auto"/>
        <w:ind w:left="420"/>
        <w:rPr>
          <w:rFonts w:ascii="宋体" w:hAnsi="宋体" w:eastAsia="宋体" w:cs="宋体"/>
          <w:sz w:val="21"/>
          <w:szCs w:val="21"/>
        </w:rPr>
      </w:pPr>
      <w:r>
        <w:rPr>
          <w:rFonts w:ascii="Times New Roman" w:hAnsi="Times New Roman" w:eastAsia="Times New Roman" w:cs="Times New Roman"/>
          <w:sz w:val="21"/>
          <w:szCs w:val="21"/>
        </w:rPr>
        <w:t xml:space="preserve">3.4.2 </w:t>
      </w:r>
      <w:r>
        <w:rPr>
          <w:rFonts w:ascii="宋体" w:hAnsi="宋体" w:eastAsia="宋体" w:cs="宋体"/>
          <w:sz w:val="21"/>
          <w:szCs w:val="21"/>
        </w:rPr>
        <w:t>评标委员会完成评标后，应当向招标人提交书面</w:t>
      </w:r>
      <w:r>
        <w:rPr>
          <w:rFonts w:ascii="宋体" w:hAnsi="宋体" w:eastAsia="宋体" w:cs="宋体"/>
          <w:spacing w:val="-1"/>
          <w:sz w:val="21"/>
          <w:szCs w:val="21"/>
        </w:rPr>
        <w:t>评标报告。</w:t>
      </w:r>
    </w:p>
    <w:p w14:paraId="5D6E1CFA">
      <w:pPr>
        <w:spacing w:line="233" w:lineRule="auto"/>
        <w:rPr>
          <w:rFonts w:ascii="宋体" w:hAnsi="宋体" w:eastAsia="宋体" w:cs="宋体"/>
          <w:sz w:val="21"/>
          <w:szCs w:val="21"/>
        </w:rPr>
        <w:sectPr>
          <w:footerReference r:id="rId57" w:type="default"/>
          <w:pgSz w:w="11905" w:h="16843"/>
          <w:pgMar w:top="969" w:right="1355" w:bottom="1026" w:left="1480" w:header="0" w:footer="754" w:gutter="0"/>
          <w:cols w:space="0" w:num="1"/>
          <w:rtlGutter w:val="0"/>
          <w:docGrid w:linePitch="0" w:charSpace="0"/>
        </w:sectPr>
      </w:pPr>
    </w:p>
    <w:p w14:paraId="14A5F7A3">
      <w:pPr>
        <w:pStyle w:val="5"/>
        <w:spacing w:line="248" w:lineRule="auto"/>
      </w:pPr>
    </w:p>
    <w:p w14:paraId="21EF9D80">
      <w:pPr>
        <w:pStyle w:val="5"/>
        <w:spacing w:line="248" w:lineRule="auto"/>
      </w:pPr>
    </w:p>
    <w:p w14:paraId="10058F8D">
      <w:pPr>
        <w:pStyle w:val="5"/>
        <w:spacing w:line="249" w:lineRule="auto"/>
      </w:pPr>
    </w:p>
    <w:p w14:paraId="4CE70543">
      <w:pPr>
        <w:pStyle w:val="5"/>
        <w:spacing w:line="249" w:lineRule="auto"/>
      </w:pPr>
    </w:p>
    <w:p w14:paraId="05E397AC">
      <w:pPr>
        <w:pStyle w:val="5"/>
        <w:spacing w:line="249" w:lineRule="auto"/>
      </w:pPr>
    </w:p>
    <w:p w14:paraId="633DDA3A">
      <w:pPr>
        <w:spacing w:before="91" w:line="220" w:lineRule="auto"/>
        <w:ind w:left="40"/>
        <w:outlineLvl w:val="1"/>
        <w:rPr>
          <w:rFonts w:ascii="黑体" w:hAnsi="黑体" w:eastAsia="黑体" w:cs="黑体"/>
          <w:sz w:val="28"/>
          <w:szCs w:val="28"/>
        </w:rPr>
      </w:pPr>
      <w:bookmarkStart w:id="140" w:name="bookmark110"/>
      <w:bookmarkEnd w:id="140"/>
      <w:r>
        <w:rPr>
          <w:rFonts w:ascii="黑体" w:hAnsi="黑体" w:eastAsia="黑体" w:cs="黑体"/>
          <w:spacing w:val="-4"/>
          <w:sz w:val="28"/>
          <w:szCs w:val="28"/>
        </w:rPr>
        <w:t>附件</w:t>
      </w:r>
      <w:r>
        <w:rPr>
          <w:rFonts w:ascii="黑体" w:hAnsi="黑体" w:eastAsia="黑体" w:cs="黑体"/>
          <w:spacing w:val="-58"/>
          <w:sz w:val="28"/>
          <w:szCs w:val="28"/>
        </w:rPr>
        <w:t xml:space="preserve"> </w:t>
      </w:r>
      <w:r>
        <w:rPr>
          <w:rFonts w:ascii="黑体" w:hAnsi="黑体" w:eastAsia="黑体" w:cs="黑体"/>
          <w:spacing w:val="-4"/>
          <w:sz w:val="28"/>
          <w:szCs w:val="28"/>
        </w:rPr>
        <w:t>A：否决投标的条件</w:t>
      </w:r>
    </w:p>
    <w:p w14:paraId="5A5F7F39">
      <w:pPr>
        <w:pStyle w:val="5"/>
        <w:spacing w:line="460" w:lineRule="auto"/>
      </w:pPr>
    </w:p>
    <w:p w14:paraId="0B55869C">
      <w:pPr>
        <w:spacing w:before="91" w:line="220" w:lineRule="auto"/>
        <w:ind w:left="3193"/>
        <w:rPr>
          <w:rFonts w:ascii="黑体" w:hAnsi="黑体" w:eastAsia="黑体" w:cs="黑体"/>
          <w:sz w:val="28"/>
          <w:szCs w:val="28"/>
        </w:rPr>
      </w:pPr>
      <w:bookmarkStart w:id="141" w:name="bookmark510"/>
      <w:bookmarkEnd w:id="141"/>
      <w:r>
        <w:rPr>
          <w:rFonts w:ascii="黑体" w:hAnsi="黑体" w:eastAsia="黑体" w:cs="黑体"/>
          <w:b/>
          <w:bCs/>
          <w:spacing w:val="-4"/>
          <w:sz w:val="28"/>
          <w:szCs w:val="28"/>
        </w:rPr>
        <w:t>否决投标的条件</w:t>
      </w:r>
    </w:p>
    <w:p w14:paraId="0C45BD0F">
      <w:pPr>
        <w:spacing w:before="104" w:line="233" w:lineRule="auto"/>
        <w:ind w:left="42"/>
        <w:outlineLvl w:val="2"/>
        <w:rPr>
          <w:rFonts w:ascii="黑体" w:hAnsi="黑体" w:eastAsia="黑体" w:cs="黑体"/>
          <w:sz w:val="24"/>
          <w:szCs w:val="24"/>
        </w:rPr>
      </w:pPr>
      <w:bookmarkStart w:id="142" w:name="bookmark111"/>
      <w:bookmarkEnd w:id="142"/>
      <w:r>
        <w:rPr>
          <w:rFonts w:ascii="Times New Roman" w:hAnsi="Times New Roman" w:eastAsia="Times New Roman" w:cs="Times New Roman"/>
          <w:spacing w:val="-8"/>
          <w:sz w:val="24"/>
          <w:szCs w:val="24"/>
        </w:rPr>
        <w:t>1.</w:t>
      </w:r>
      <w:r>
        <w:rPr>
          <w:rFonts w:ascii="黑体" w:hAnsi="黑体" w:eastAsia="黑体" w:cs="黑体"/>
          <w:spacing w:val="-8"/>
          <w:sz w:val="24"/>
          <w:szCs w:val="24"/>
        </w:rPr>
        <w:t>总</w:t>
      </w:r>
      <w:r>
        <w:rPr>
          <w:rFonts w:ascii="黑体" w:hAnsi="黑体" w:eastAsia="黑体" w:cs="黑体"/>
          <w:spacing w:val="5"/>
          <w:sz w:val="24"/>
          <w:szCs w:val="24"/>
        </w:rPr>
        <w:t xml:space="preserve">  </w:t>
      </w:r>
      <w:r>
        <w:rPr>
          <w:rFonts w:ascii="黑体" w:hAnsi="黑体" w:eastAsia="黑体" w:cs="黑体"/>
          <w:spacing w:val="-8"/>
          <w:sz w:val="24"/>
          <w:szCs w:val="24"/>
        </w:rPr>
        <w:t>则</w:t>
      </w:r>
    </w:p>
    <w:p w14:paraId="5A8E1CB4">
      <w:pPr>
        <w:spacing w:before="145" w:line="364" w:lineRule="auto"/>
        <w:ind w:left="8" w:right="319" w:firstLine="434"/>
        <w:jc w:val="both"/>
        <w:rPr>
          <w:rFonts w:ascii="宋体" w:hAnsi="宋体" w:eastAsia="宋体" w:cs="宋体"/>
          <w:sz w:val="21"/>
          <w:szCs w:val="21"/>
        </w:rPr>
      </w:pPr>
      <w:r>
        <w:rPr>
          <w:rFonts w:ascii="宋体" w:hAnsi="宋体" w:eastAsia="宋体" w:cs="宋体"/>
          <w:spacing w:val="3"/>
          <w:sz w:val="21"/>
          <w:szCs w:val="21"/>
        </w:rPr>
        <w:t>本附件所集中列示的否决投标的条件，是本章“评标办法”的组成部分，</w:t>
      </w:r>
      <w:r>
        <w:rPr>
          <w:rFonts w:ascii="宋体" w:hAnsi="宋体" w:eastAsia="宋体" w:cs="宋体"/>
          <w:spacing w:val="2"/>
          <w:sz w:val="21"/>
          <w:szCs w:val="21"/>
        </w:rPr>
        <w:t>是对第二章</w:t>
      </w:r>
      <w:r>
        <w:rPr>
          <w:rFonts w:ascii="宋体" w:hAnsi="宋体" w:eastAsia="宋体" w:cs="宋体"/>
          <w:spacing w:val="3"/>
          <w:sz w:val="21"/>
          <w:szCs w:val="21"/>
        </w:rPr>
        <w:t>“投标人须知”和本章正文部分所规定的否决投标的条件的总结和补充，如果出现不一致</w:t>
      </w:r>
      <w:r>
        <w:rPr>
          <w:rFonts w:ascii="宋体" w:hAnsi="宋体" w:eastAsia="宋体" w:cs="宋体"/>
          <w:sz w:val="21"/>
          <w:szCs w:val="21"/>
        </w:rPr>
        <w:t>的情况，以本章前附表和正文部分的规定为准。</w:t>
      </w:r>
    </w:p>
    <w:p w14:paraId="07BF67C0">
      <w:pPr>
        <w:spacing w:line="233" w:lineRule="auto"/>
        <w:ind w:left="19"/>
        <w:outlineLvl w:val="2"/>
        <w:rPr>
          <w:rFonts w:ascii="黑体" w:hAnsi="黑体" w:eastAsia="黑体" w:cs="黑体"/>
          <w:sz w:val="24"/>
          <w:szCs w:val="24"/>
        </w:rPr>
      </w:pPr>
      <w:bookmarkStart w:id="143" w:name="bookmark112"/>
      <w:bookmarkEnd w:id="143"/>
      <w:r>
        <w:rPr>
          <w:rFonts w:ascii="Times New Roman" w:hAnsi="Times New Roman" w:eastAsia="Times New Roman" w:cs="Times New Roman"/>
          <w:spacing w:val="-1"/>
          <w:sz w:val="24"/>
          <w:szCs w:val="24"/>
        </w:rPr>
        <w:t>2.</w:t>
      </w:r>
      <w:r>
        <w:rPr>
          <w:rFonts w:ascii="黑体" w:hAnsi="黑体" w:eastAsia="黑体" w:cs="黑体"/>
          <w:spacing w:val="-1"/>
          <w:sz w:val="24"/>
          <w:szCs w:val="24"/>
        </w:rPr>
        <w:t>否决投标的条件</w:t>
      </w:r>
    </w:p>
    <w:p w14:paraId="74918B4A">
      <w:pPr>
        <w:spacing w:before="143" w:line="220" w:lineRule="auto"/>
        <w:ind w:left="445"/>
        <w:rPr>
          <w:rFonts w:ascii="宋体" w:hAnsi="宋体" w:eastAsia="宋体" w:cs="宋体"/>
          <w:sz w:val="21"/>
          <w:szCs w:val="21"/>
        </w:rPr>
      </w:pPr>
      <w:r>
        <w:rPr>
          <w:rFonts w:ascii="宋体" w:hAnsi="宋体" w:eastAsia="宋体" w:cs="宋体"/>
          <w:sz w:val="21"/>
          <w:szCs w:val="21"/>
        </w:rPr>
        <w:t>投标人或其投标文件有下列情形之一的，评标委员会应当</w:t>
      </w:r>
      <w:r>
        <w:rPr>
          <w:rFonts w:ascii="宋体" w:hAnsi="宋体" w:eastAsia="宋体" w:cs="宋体"/>
          <w:spacing w:val="-1"/>
          <w:sz w:val="21"/>
          <w:szCs w:val="21"/>
        </w:rPr>
        <w:t>否决其投标：</w:t>
      </w:r>
    </w:p>
    <w:p w14:paraId="393F52DD">
      <w:pPr>
        <w:spacing w:before="180" w:line="368" w:lineRule="auto"/>
        <w:ind w:left="21" w:right="313" w:firstLine="416"/>
        <w:rPr>
          <w:rFonts w:ascii="宋体" w:hAnsi="宋体" w:eastAsia="宋体" w:cs="宋体"/>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pacing w:val="17"/>
          <w:w w:val="101"/>
          <w:sz w:val="21"/>
          <w:szCs w:val="21"/>
        </w:rPr>
        <w:t xml:space="preserve"> </w:t>
      </w:r>
      <w:r>
        <w:rPr>
          <w:rFonts w:ascii="宋体" w:hAnsi="宋体" w:eastAsia="宋体" w:cs="宋体"/>
          <w:sz w:val="21"/>
          <w:szCs w:val="21"/>
        </w:rPr>
        <w:t>在形式评审、资格评审、响应性评审中，评标委员会认定投标人的投</w:t>
      </w:r>
      <w:r>
        <w:rPr>
          <w:rFonts w:ascii="宋体" w:hAnsi="宋体" w:eastAsia="宋体" w:cs="宋体"/>
          <w:spacing w:val="-1"/>
          <w:sz w:val="21"/>
          <w:szCs w:val="21"/>
        </w:rPr>
        <w:t>标文件不符合</w:t>
      </w:r>
      <w:r>
        <w:rPr>
          <w:rFonts w:ascii="宋体" w:hAnsi="宋体" w:eastAsia="宋体" w:cs="宋体"/>
          <w:sz w:val="21"/>
          <w:szCs w:val="21"/>
        </w:rPr>
        <w:t>评标办法前附表中规定的任何一项评审标准的。主要包括以下内</w:t>
      </w:r>
      <w:r>
        <w:rPr>
          <w:rFonts w:ascii="宋体" w:hAnsi="宋体" w:eastAsia="宋体" w:cs="宋体"/>
          <w:spacing w:val="-1"/>
          <w:sz w:val="21"/>
          <w:szCs w:val="21"/>
        </w:rPr>
        <w:t>容：</w:t>
      </w:r>
    </w:p>
    <w:p w14:paraId="4A1CDA13">
      <w:pPr>
        <w:spacing w:before="23" w:line="299" w:lineRule="auto"/>
        <w:ind w:left="29" w:right="316" w:firstLine="839"/>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）投标人名称与营业执照、资质证书、安全生产许可证不一致；或提供无效的</w:t>
      </w:r>
      <w:r>
        <w:rPr>
          <w:rFonts w:ascii="宋体" w:hAnsi="宋体" w:eastAsia="宋体" w:cs="宋体"/>
          <w:spacing w:val="-1"/>
          <w:sz w:val="21"/>
          <w:szCs w:val="21"/>
        </w:rPr>
        <w:t>营业执照、资质证书、安全生产许可证的；</w:t>
      </w:r>
    </w:p>
    <w:p w14:paraId="7795F480">
      <w:pPr>
        <w:spacing w:before="179" w:line="299" w:lineRule="auto"/>
        <w:ind w:left="40" w:firstLine="82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）未按照第二章“投标人须知”第 </w:t>
      </w:r>
      <w:r>
        <w:rPr>
          <w:rFonts w:ascii="Times New Roman" w:hAnsi="Times New Roman" w:eastAsia="Times New Roman" w:cs="Times New Roman"/>
          <w:spacing w:val="1"/>
          <w:sz w:val="21"/>
          <w:szCs w:val="21"/>
        </w:rPr>
        <w:t>3.7.3</w:t>
      </w: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w:t>
      </w:r>
      <w:r>
        <w:rPr>
          <w:rFonts w:ascii="宋体" w:hAnsi="宋体" w:eastAsia="宋体" w:cs="宋体"/>
          <w:spacing w:val="-41"/>
          <w:sz w:val="21"/>
          <w:szCs w:val="21"/>
        </w:rPr>
        <w:t xml:space="preserve"> </w:t>
      </w:r>
      <w:r>
        <w:rPr>
          <w:rFonts w:ascii="宋体" w:hAnsi="宋体" w:eastAsia="宋体" w:cs="宋体"/>
          <w:spacing w:val="1"/>
          <w:sz w:val="21"/>
          <w:szCs w:val="21"/>
        </w:rPr>
        <w:t>目规定和第八章“投标文件格式”</w:t>
      </w:r>
      <w:r>
        <w:rPr>
          <w:rFonts w:ascii="宋体" w:hAnsi="宋体" w:eastAsia="宋体" w:cs="宋体"/>
          <w:spacing w:val="-5"/>
          <w:sz w:val="21"/>
          <w:szCs w:val="21"/>
        </w:rPr>
        <w:t>的要求进行电子签章的；</w:t>
      </w:r>
    </w:p>
    <w:p w14:paraId="23B771B5">
      <w:pPr>
        <w:spacing w:before="180" w:line="326" w:lineRule="auto"/>
        <w:ind w:left="22" w:right="324" w:firstLine="846"/>
        <w:rPr>
          <w:rFonts w:ascii="宋体" w:hAnsi="宋体" w:eastAsia="宋体" w:cs="宋体"/>
          <w:sz w:val="21"/>
          <w:szCs w:val="21"/>
        </w:rPr>
      </w:pPr>
      <w:r>
        <w:rPr>
          <w:rFonts w:ascii="宋体" w:hAnsi="宋体" w:eastAsia="宋体" w:cs="宋体"/>
          <w:sz w:val="21"/>
          <w:szCs w:val="21"/>
        </w:rPr>
        <w:t>（3）联合体投标没有提交共同投标协议或共同投标协议未按</w:t>
      </w:r>
      <w:r>
        <w:rPr>
          <w:rFonts w:ascii="宋体" w:hAnsi="宋体" w:eastAsia="宋体" w:cs="宋体"/>
          <w:spacing w:val="-1"/>
          <w:sz w:val="21"/>
          <w:szCs w:val="21"/>
        </w:rPr>
        <w:t>招标文件提供的格式</w:t>
      </w:r>
      <w:r>
        <w:rPr>
          <w:rFonts w:ascii="宋体" w:hAnsi="宋体" w:eastAsia="宋体" w:cs="宋体"/>
          <w:spacing w:val="3"/>
          <w:sz w:val="21"/>
          <w:szCs w:val="21"/>
        </w:rPr>
        <w:t>签署、提交，未明确联合体牵头人和各方权利与义务，未</w:t>
      </w:r>
      <w:r>
        <w:rPr>
          <w:rFonts w:ascii="宋体" w:hAnsi="宋体" w:eastAsia="宋体" w:cs="宋体"/>
          <w:spacing w:val="2"/>
          <w:sz w:val="21"/>
          <w:szCs w:val="21"/>
        </w:rPr>
        <w:t>承诺就中标项目向招标人承担连</w:t>
      </w:r>
      <w:r>
        <w:rPr>
          <w:rFonts w:ascii="宋体" w:hAnsi="宋体" w:eastAsia="宋体" w:cs="宋体"/>
          <w:spacing w:val="-1"/>
          <w:sz w:val="21"/>
          <w:szCs w:val="21"/>
        </w:rPr>
        <w:t>带责任的（如有</w:t>
      </w:r>
      <w:r>
        <w:rPr>
          <w:rFonts w:ascii="宋体" w:hAnsi="宋体" w:eastAsia="宋体" w:cs="宋体"/>
          <w:spacing w:val="-54"/>
          <w:w w:val="97"/>
          <w:sz w:val="21"/>
          <w:szCs w:val="21"/>
        </w:rPr>
        <w:t>）；</w:t>
      </w:r>
    </w:p>
    <w:p w14:paraId="4C7F235C">
      <w:pPr>
        <w:spacing w:before="179" w:line="299" w:lineRule="auto"/>
        <w:ind w:left="23" w:right="316" w:firstLine="845"/>
        <w:rPr>
          <w:rFonts w:ascii="宋体" w:hAnsi="宋体" w:eastAsia="宋体" w:cs="宋体"/>
          <w:sz w:val="21"/>
          <w:szCs w:val="21"/>
        </w:rPr>
      </w:pPr>
      <w:r>
        <w:rPr>
          <w:rFonts w:ascii="宋体" w:hAnsi="宋体" w:eastAsia="宋体" w:cs="宋体"/>
          <w:sz w:val="21"/>
          <w:szCs w:val="21"/>
        </w:rPr>
        <w:t>（4）同一投标人提交两个以上不同的投标文件或者投标报价的（但招标文件要求</w:t>
      </w:r>
      <w:r>
        <w:rPr>
          <w:rFonts w:ascii="宋体" w:hAnsi="宋体" w:eastAsia="宋体" w:cs="宋体"/>
          <w:spacing w:val="-1"/>
          <w:sz w:val="21"/>
          <w:szCs w:val="21"/>
        </w:rPr>
        <w:t>提交备选投标的除外</w:t>
      </w:r>
      <w:r>
        <w:rPr>
          <w:rFonts w:ascii="宋体" w:hAnsi="宋体" w:eastAsia="宋体" w:cs="宋体"/>
          <w:spacing w:val="-54"/>
          <w:w w:val="97"/>
          <w:sz w:val="21"/>
          <w:szCs w:val="21"/>
        </w:rPr>
        <w:t>）；</w:t>
      </w:r>
    </w:p>
    <w:p w14:paraId="49D461CD">
      <w:pPr>
        <w:spacing w:before="179" w:line="219" w:lineRule="auto"/>
        <w:ind w:left="868"/>
        <w:rPr>
          <w:rFonts w:ascii="宋体" w:hAnsi="宋体" w:eastAsia="宋体" w:cs="宋体"/>
          <w:sz w:val="21"/>
          <w:szCs w:val="21"/>
        </w:rPr>
      </w:pPr>
      <w:r>
        <w:rPr>
          <w:rFonts w:ascii="宋体" w:hAnsi="宋体" w:eastAsia="宋体" w:cs="宋体"/>
          <w:spacing w:val="-2"/>
          <w:sz w:val="21"/>
          <w:szCs w:val="21"/>
        </w:rPr>
        <w:t>（5）未按照招标文件的要求报送应有的投标报价表格的；</w:t>
      </w:r>
    </w:p>
    <w:p w14:paraId="266CBACE">
      <w:pPr>
        <w:spacing w:before="181" w:line="221" w:lineRule="auto"/>
        <w:ind w:left="868"/>
        <w:rPr>
          <w:rFonts w:ascii="宋体" w:hAnsi="宋体" w:eastAsia="宋体" w:cs="宋体"/>
          <w:sz w:val="21"/>
          <w:szCs w:val="21"/>
        </w:rPr>
      </w:pPr>
      <w:r>
        <w:rPr>
          <w:rFonts w:ascii="宋体" w:hAnsi="宋体" w:eastAsia="宋体" w:cs="宋体"/>
          <w:spacing w:val="-1"/>
          <w:sz w:val="21"/>
          <w:szCs w:val="21"/>
        </w:rPr>
        <w:t>（6）项目经理实名认证未通过的；</w:t>
      </w:r>
    </w:p>
    <w:p w14:paraId="0475B356">
      <w:pPr>
        <w:spacing w:before="178" w:line="221" w:lineRule="auto"/>
        <w:ind w:left="868"/>
        <w:rPr>
          <w:rFonts w:ascii="宋体" w:hAnsi="宋体" w:eastAsia="宋体" w:cs="宋体"/>
          <w:sz w:val="21"/>
          <w:szCs w:val="21"/>
        </w:rPr>
      </w:pPr>
      <w:r>
        <w:rPr>
          <w:rFonts w:ascii="宋体" w:hAnsi="宋体" w:eastAsia="宋体" w:cs="宋体"/>
          <w:spacing w:val="-2"/>
          <w:sz w:val="21"/>
          <w:szCs w:val="21"/>
        </w:rPr>
        <w:t>（7）法定代表人或授权委托人未完成实名认证的；</w:t>
      </w:r>
    </w:p>
    <w:p w14:paraId="72722CF1">
      <w:pPr>
        <w:spacing w:before="180" w:line="221" w:lineRule="auto"/>
        <w:ind w:left="868"/>
        <w:rPr>
          <w:rFonts w:ascii="宋体" w:hAnsi="宋体" w:eastAsia="宋体" w:cs="宋体"/>
          <w:sz w:val="21"/>
          <w:szCs w:val="21"/>
        </w:rPr>
      </w:pPr>
      <w:r>
        <w:rPr>
          <w:rFonts w:ascii="宋体" w:hAnsi="宋体" w:eastAsia="宋体" w:cs="宋体"/>
          <w:spacing w:val="-2"/>
          <w:sz w:val="21"/>
          <w:szCs w:val="21"/>
        </w:rPr>
        <w:t>（8）未按招标文件要求编制技术标（暗标）投标文件的；</w:t>
      </w:r>
    </w:p>
    <w:p w14:paraId="283BDAF7">
      <w:pPr>
        <w:spacing w:before="178" w:line="221" w:lineRule="auto"/>
        <w:ind w:left="868"/>
        <w:rPr>
          <w:rFonts w:ascii="宋体" w:hAnsi="宋体" w:eastAsia="宋体" w:cs="宋体"/>
          <w:sz w:val="21"/>
          <w:szCs w:val="21"/>
        </w:rPr>
      </w:pPr>
      <w:r>
        <w:rPr>
          <w:rFonts w:ascii="宋体" w:hAnsi="宋体" w:eastAsia="宋体" w:cs="宋体"/>
          <w:spacing w:val="-2"/>
          <w:sz w:val="21"/>
          <w:szCs w:val="21"/>
        </w:rPr>
        <w:t>（9）投标人资质条件不符合国家规定和招标文件要求的；</w:t>
      </w:r>
    </w:p>
    <w:p w14:paraId="4A65EDBC">
      <w:pPr>
        <w:spacing w:before="179" w:line="299" w:lineRule="auto"/>
        <w:ind w:left="21" w:right="331" w:firstLine="847"/>
        <w:rPr>
          <w:rFonts w:ascii="宋体" w:hAnsi="宋体" w:eastAsia="宋体" w:cs="宋体"/>
          <w:sz w:val="21"/>
          <w:szCs w:val="21"/>
        </w:rPr>
      </w:pPr>
      <w:r>
        <w:rPr>
          <w:rFonts w:ascii="宋体" w:hAnsi="宋体" w:eastAsia="宋体" w:cs="宋体"/>
          <w:spacing w:val="2"/>
          <w:sz w:val="21"/>
          <w:szCs w:val="21"/>
        </w:rPr>
        <w:t>（10）项目负责人资格不符合招标文件规定的专业等级要求，或已在其他在建工</w:t>
      </w:r>
      <w:r>
        <w:rPr>
          <w:rFonts w:ascii="宋体" w:hAnsi="宋体" w:eastAsia="宋体" w:cs="宋体"/>
          <w:sz w:val="21"/>
          <w:szCs w:val="21"/>
        </w:rPr>
        <w:t>程担任项目经理（同一工程相邻分段发包或者分期施工的</w:t>
      </w:r>
      <w:r>
        <w:rPr>
          <w:rFonts w:ascii="宋体" w:hAnsi="宋体" w:eastAsia="宋体" w:cs="宋体"/>
          <w:spacing w:val="-1"/>
          <w:sz w:val="21"/>
          <w:szCs w:val="21"/>
        </w:rPr>
        <w:t>除外</w:t>
      </w:r>
      <w:r>
        <w:rPr>
          <w:rFonts w:ascii="宋体" w:hAnsi="宋体" w:eastAsia="宋体" w:cs="宋体"/>
          <w:spacing w:val="-54"/>
          <w:w w:val="97"/>
          <w:sz w:val="21"/>
          <w:szCs w:val="21"/>
        </w:rPr>
        <w:t>）；</w:t>
      </w:r>
    </w:p>
    <w:p w14:paraId="366F5EAA">
      <w:pPr>
        <w:spacing w:before="180" w:line="234" w:lineRule="auto"/>
        <w:ind w:left="868"/>
        <w:rPr>
          <w:rFonts w:ascii="宋体" w:hAnsi="宋体" w:eastAsia="宋体" w:cs="宋体"/>
          <w:sz w:val="21"/>
          <w:szCs w:val="21"/>
        </w:rPr>
      </w:pPr>
      <w:r>
        <w:rPr>
          <w:rFonts w:ascii="宋体" w:hAnsi="宋体" w:eastAsia="宋体" w:cs="宋体"/>
          <w:spacing w:val="-2"/>
          <w:sz w:val="21"/>
          <w:szCs w:val="21"/>
        </w:rPr>
        <w:t>（11）不具有投标人须知第</w:t>
      </w:r>
      <w:r>
        <w:rPr>
          <w:rFonts w:ascii="宋体" w:hAnsi="宋体" w:eastAsia="宋体" w:cs="宋体"/>
          <w:spacing w:val="-19"/>
          <w:sz w:val="21"/>
          <w:szCs w:val="21"/>
        </w:rPr>
        <w:t xml:space="preserve"> </w:t>
      </w:r>
      <w:r>
        <w:rPr>
          <w:rFonts w:ascii="Times New Roman" w:hAnsi="Times New Roman" w:eastAsia="Times New Roman" w:cs="Times New Roman"/>
          <w:spacing w:val="-2"/>
          <w:sz w:val="21"/>
          <w:szCs w:val="21"/>
        </w:rPr>
        <w:t>1.4.3</w:t>
      </w: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）至（</w:t>
      </w:r>
      <w:r>
        <w:rPr>
          <w:rFonts w:ascii="Times New Roman" w:hAnsi="Times New Roman" w:eastAsia="Times New Roman" w:cs="Times New Roman"/>
          <w:spacing w:val="-2"/>
          <w:sz w:val="21"/>
          <w:szCs w:val="21"/>
        </w:rPr>
        <w:t>16</w:t>
      </w:r>
      <w:r>
        <w:rPr>
          <w:rFonts w:ascii="宋体" w:hAnsi="宋体" w:eastAsia="宋体" w:cs="宋体"/>
          <w:spacing w:val="-2"/>
          <w:sz w:val="21"/>
          <w:szCs w:val="21"/>
        </w:rPr>
        <w:t>）条目规定的情形；</w:t>
      </w:r>
    </w:p>
    <w:p w14:paraId="18FDA053">
      <w:pPr>
        <w:spacing w:before="162" w:line="221" w:lineRule="auto"/>
        <w:ind w:left="868"/>
        <w:rPr>
          <w:rFonts w:ascii="宋体" w:hAnsi="宋体" w:eastAsia="宋体" w:cs="宋体"/>
          <w:sz w:val="21"/>
          <w:szCs w:val="21"/>
        </w:rPr>
      </w:pPr>
      <w:r>
        <w:rPr>
          <w:rFonts w:ascii="宋体" w:hAnsi="宋体" w:eastAsia="宋体" w:cs="宋体"/>
          <w:spacing w:val="-2"/>
          <w:sz w:val="21"/>
          <w:szCs w:val="21"/>
        </w:rPr>
        <w:t>（12）未按招标文件要求提交投标保证金的；</w:t>
      </w:r>
    </w:p>
    <w:p w14:paraId="4A39BDA3">
      <w:pPr>
        <w:spacing w:before="182" w:line="299" w:lineRule="auto"/>
        <w:ind w:left="24" w:right="327" w:firstLine="844"/>
        <w:rPr>
          <w:rFonts w:ascii="宋体" w:hAnsi="宋体" w:eastAsia="宋体" w:cs="宋体"/>
          <w:sz w:val="21"/>
          <w:szCs w:val="21"/>
        </w:rPr>
      </w:pPr>
      <w:r>
        <w:rPr>
          <w:rFonts w:ascii="宋体" w:hAnsi="宋体" w:eastAsia="宋体" w:cs="宋体"/>
          <w:spacing w:val="3"/>
          <w:sz w:val="21"/>
          <w:szCs w:val="21"/>
        </w:rPr>
        <w:t>（13）投标人填写的清单编码、清单名称、</w:t>
      </w:r>
      <w:r>
        <w:rPr>
          <w:rFonts w:ascii="宋体" w:hAnsi="宋体" w:eastAsia="宋体" w:cs="宋体"/>
          <w:spacing w:val="2"/>
          <w:sz w:val="21"/>
          <w:szCs w:val="21"/>
        </w:rPr>
        <w:t>项目特征、计量单位、工程量与招标</w:t>
      </w:r>
      <w:r>
        <w:rPr>
          <w:rFonts w:ascii="宋体" w:hAnsi="宋体" w:eastAsia="宋体" w:cs="宋体"/>
          <w:spacing w:val="-1"/>
          <w:sz w:val="21"/>
          <w:szCs w:val="21"/>
        </w:rPr>
        <w:t>文件给定的工程量清单不一致的；</w:t>
      </w:r>
    </w:p>
    <w:p w14:paraId="77BA9E2A">
      <w:pPr>
        <w:spacing w:before="179" w:line="219" w:lineRule="auto"/>
        <w:ind w:left="868"/>
        <w:rPr>
          <w:rFonts w:ascii="宋体" w:hAnsi="宋体" w:eastAsia="宋体" w:cs="宋体"/>
          <w:sz w:val="21"/>
          <w:szCs w:val="21"/>
        </w:rPr>
      </w:pPr>
      <w:r>
        <w:rPr>
          <w:rFonts w:ascii="宋体" w:hAnsi="宋体" w:eastAsia="宋体" w:cs="宋体"/>
          <w:spacing w:val="3"/>
          <w:sz w:val="21"/>
          <w:szCs w:val="21"/>
        </w:rPr>
        <w:t>（14）投标人修改招标文件给定的工程量清单</w:t>
      </w:r>
      <w:r>
        <w:rPr>
          <w:rFonts w:ascii="宋体" w:hAnsi="宋体" w:eastAsia="宋体" w:cs="宋体"/>
          <w:spacing w:val="2"/>
          <w:sz w:val="21"/>
          <w:szCs w:val="21"/>
        </w:rPr>
        <w:t>中所列价格（包括暂列金额、材料</w:t>
      </w:r>
    </w:p>
    <w:p w14:paraId="5394CC87">
      <w:pPr>
        <w:spacing w:line="219" w:lineRule="auto"/>
        <w:rPr>
          <w:rFonts w:ascii="宋体" w:hAnsi="宋体" w:eastAsia="宋体" w:cs="宋体"/>
          <w:sz w:val="21"/>
          <w:szCs w:val="21"/>
        </w:rPr>
        <w:sectPr>
          <w:footerReference r:id="rId58" w:type="default"/>
          <w:pgSz w:w="11905" w:h="16843"/>
          <w:pgMar w:top="969" w:right="1355" w:bottom="1026" w:left="1480" w:header="0" w:footer="754" w:gutter="0"/>
          <w:cols w:space="0" w:num="1"/>
          <w:rtlGutter w:val="0"/>
          <w:docGrid w:linePitch="0" w:charSpace="0"/>
        </w:sectPr>
      </w:pPr>
    </w:p>
    <w:p w14:paraId="6869DCC0">
      <w:pPr>
        <w:pStyle w:val="5"/>
        <w:spacing w:line="281" w:lineRule="auto"/>
      </w:pPr>
    </w:p>
    <w:p w14:paraId="2C977C30">
      <w:pPr>
        <w:pStyle w:val="5"/>
        <w:spacing w:line="282" w:lineRule="auto"/>
      </w:pPr>
    </w:p>
    <w:p w14:paraId="351523C6">
      <w:pPr>
        <w:pStyle w:val="5"/>
        <w:spacing w:line="282" w:lineRule="auto"/>
      </w:pPr>
    </w:p>
    <w:p w14:paraId="7469A749">
      <w:pPr>
        <w:pStyle w:val="5"/>
        <w:spacing w:line="282" w:lineRule="auto"/>
      </w:pPr>
    </w:p>
    <w:p w14:paraId="5B8DE56E">
      <w:pPr>
        <w:spacing w:before="68" w:line="219" w:lineRule="auto"/>
        <w:ind w:left="29"/>
        <w:rPr>
          <w:rFonts w:ascii="宋体" w:hAnsi="宋体" w:eastAsia="宋体" w:cs="宋体"/>
          <w:sz w:val="21"/>
          <w:szCs w:val="21"/>
        </w:rPr>
      </w:pPr>
      <w:bookmarkStart w:id="144" w:name="bookmark511"/>
      <w:bookmarkEnd w:id="144"/>
      <w:r>
        <w:rPr>
          <w:rFonts w:ascii="宋体" w:hAnsi="宋体" w:eastAsia="宋体" w:cs="宋体"/>
          <w:spacing w:val="-1"/>
          <w:sz w:val="21"/>
          <w:szCs w:val="21"/>
        </w:rPr>
        <w:t>暂估价、专业工程暂估价、招标人供应材料价等）的；</w:t>
      </w:r>
    </w:p>
    <w:p w14:paraId="56E9687A">
      <w:pPr>
        <w:spacing w:before="179" w:line="221" w:lineRule="auto"/>
        <w:ind w:left="868"/>
        <w:rPr>
          <w:rFonts w:ascii="宋体" w:hAnsi="宋体" w:eastAsia="宋体" w:cs="宋体"/>
          <w:sz w:val="21"/>
          <w:szCs w:val="21"/>
        </w:rPr>
      </w:pPr>
      <w:r>
        <w:rPr>
          <w:rFonts w:ascii="宋体" w:hAnsi="宋体" w:eastAsia="宋体" w:cs="宋体"/>
          <w:spacing w:val="-3"/>
          <w:sz w:val="21"/>
          <w:szCs w:val="21"/>
        </w:rPr>
        <w:t>（15）工期未响应招标文件规定的；</w:t>
      </w:r>
    </w:p>
    <w:p w14:paraId="4F93F612">
      <w:pPr>
        <w:spacing w:before="178" w:line="219" w:lineRule="auto"/>
        <w:ind w:left="868"/>
        <w:rPr>
          <w:rFonts w:ascii="宋体" w:hAnsi="宋体" w:eastAsia="宋体" w:cs="宋体"/>
          <w:sz w:val="21"/>
          <w:szCs w:val="21"/>
        </w:rPr>
      </w:pPr>
      <w:r>
        <w:rPr>
          <w:rFonts w:ascii="宋体" w:hAnsi="宋体" w:eastAsia="宋体" w:cs="宋体"/>
          <w:spacing w:val="-2"/>
          <w:sz w:val="21"/>
          <w:szCs w:val="21"/>
        </w:rPr>
        <w:t>（16）投标人不接受算术错误修正后的报价；</w:t>
      </w:r>
    </w:p>
    <w:p w14:paraId="5F54B9DE">
      <w:pPr>
        <w:spacing w:before="182" w:line="219" w:lineRule="auto"/>
        <w:ind w:left="868"/>
        <w:rPr>
          <w:rFonts w:ascii="宋体" w:hAnsi="宋体" w:eastAsia="宋体" w:cs="宋体"/>
          <w:sz w:val="21"/>
          <w:szCs w:val="21"/>
        </w:rPr>
      </w:pPr>
      <w:r>
        <w:rPr>
          <w:rFonts w:ascii="宋体" w:hAnsi="宋体" w:eastAsia="宋体" w:cs="宋体"/>
          <w:spacing w:val="-1"/>
          <w:sz w:val="21"/>
          <w:szCs w:val="21"/>
        </w:rPr>
        <w:t>（17）投标报价（含修正后）高于招标文件设定的最高投</w:t>
      </w:r>
      <w:r>
        <w:rPr>
          <w:rFonts w:ascii="宋体" w:hAnsi="宋体" w:eastAsia="宋体" w:cs="宋体"/>
          <w:spacing w:val="-2"/>
          <w:sz w:val="21"/>
          <w:szCs w:val="21"/>
        </w:rPr>
        <w:t>标价的；</w:t>
      </w:r>
    </w:p>
    <w:p w14:paraId="09FDDBCF">
      <w:pPr>
        <w:spacing w:before="180" w:line="221" w:lineRule="auto"/>
        <w:ind w:left="868"/>
        <w:rPr>
          <w:rFonts w:ascii="宋体" w:hAnsi="宋体" w:eastAsia="宋体" w:cs="宋体"/>
          <w:sz w:val="21"/>
          <w:szCs w:val="21"/>
        </w:rPr>
      </w:pPr>
      <w:r>
        <w:rPr>
          <w:rFonts w:ascii="宋体" w:hAnsi="宋体" w:eastAsia="宋体" w:cs="宋体"/>
          <w:spacing w:val="-2"/>
          <w:sz w:val="21"/>
          <w:szCs w:val="21"/>
        </w:rPr>
        <w:t>（18）质量标准不满足招标文件规定的；</w:t>
      </w:r>
    </w:p>
    <w:p w14:paraId="643A9736">
      <w:pPr>
        <w:spacing w:before="179" w:line="221" w:lineRule="auto"/>
        <w:ind w:left="868"/>
        <w:rPr>
          <w:rFonts w:ascii="宋体" w:hAnsi="宋体" w:eastAsia="宋体" w:cs="宋体"/>
          <w:sz w:val="21"/>
          <w:szCs w:val="21"/>
        </w:rPr>
      </w:pPr>
      <w:r>
        <w:rPr>
          <w:rFonts w:ascii="宋体" w:hAnsi="宋体" w:eastAsia="宋体" w:cs="宋体"/>
          <w:spacing w:val="-1"/>
          <w:sz w:val="21"/>
          <w:szCs w:val="21"/>
        </w:rPr>
        <w:t>（19）投标有效期不符合招标文件规定的；</w:t>
      </w:r>
    </w:p>
    <w:p w14:paraId="502A2217">
      <w:pPr>
        <w:spacing w:before="178" w:line="221" w:lineRule="auto"/>
        <w:ind w:left="868"/>
        <w:rPr>
          <w:rFonts w:ascii="宋体" w:hAnsi="宋体" w:eastAsia="宋体" w:cs="宋体"/>
          <w:sz w:val="21"/>
          <w:szCs w:val="21"/>
        </w:rPr>
      </w:pPr>
      <w:r>
        <w:rPr>
          <w:rFonts w:ascii="宋体" w:hAnsi="宋体" w:eastAsia="宋体" w:cs="宋体"/>
          <w:spacing w:val="-1"/>
          <w:sz w:val="21"/>
          <w:szCs w:val="21"/>
        </w:rPr>
        <w:t>（20）权利义务承诺不符合或低于招标文件规定的；</w:t>
      </w:r>
    </w:p>
    <w:p w14:paraId="40A0352A">
      <w:pPr>
        <w:spacing w:before="178" w:line="221" w:lineRule="auto"/>
        <w:ind w:left="868"/>
        <w:rPr>
          <w:rFonts w:ascii="宋体" w:hAnsi="宋体" w:eastAsia="宋体" w:cs="宋体"/>
          <w:sz w:val="21"/>
          <w:szCs w:val="21"/>
        </w:rPr>
      </w:pPr>
      <w:r>
        <w:rPr>
          <w:rFonts w:ascii="宋体" w:hAnsi="宋体" w:eastAsia="宋体" w:cs="宋体"/>
          <w:spacing w:val="-1"/>
          <w:sz w:val="21"/>
          <w:szCs w:val="21"/>
        </w:rPr>
        <w:t>（21）技术标准和要求不符合招标文件规定的；</w:t>
      </w:r>
    </w:p>
    <w:p w14:paraId="1A1D1CC2">
      <w:pPr>
        <w:spacing w:before="179" w:line="221" w:lineRule="auto"/>
        <w:ind w:left="868"/>
        <w:rPr>
          <w:rFonts w:ascii="宋体" w:hAnsi="宋体" w:eastAsia="宋体" w:cs="宋体"/>
          <w:sz w:val="21"/>
          <w:szCs w:val="21"/>
        </w:rPr>
      </w:pPr>
      <w:r>
        <w:rPr>
          <w:rFonts w:ascii="宋体" w:hAnsi="宋体" w:eastAsia="宋体" w:cs="宋体"/>
          <w:spacing w:val="-2"/>
          <w:sz w:val="21"/>
          <w:szCs w:val="21"/>
        </w:rPr>
        <w:t>（22）分包计划不符合招标文件规定的。</w:t>
      </w:r>
    </w:p>
    <w:p w14:paraId="70937AF1">
      <w:pPr>
        <w:spacing w:before="181" w:line="234"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不按评标委员会要求澄清、说明或补正的。</w:t>
      </w:r>
    </w:p>
    <w:p w14:paraId="77B655D7">
      <w:pPr>
        <w:spacing w:before="163" w:line="234" w:lineRule="auto"/>
        <w:ind w:left="438"/>
        <w:rPr>
          <w:rFonts w:ascii="宋体" w:hAnsi="宋体" w:eastAsia="宋体" w:cs="宋体"/>
          <w:sz w:val="21"/>
          <w:szCs w:val="21"/>
        </w:rPr>
      </w:pPr>
      <w:r>
        <w:rPr>
          <w:rFonts w:ascii="Times New Roman" w:hAnsi="Times New Roman" w:eastAsia="Times New Roman" w:cs="Times New Roman"/>
          <w:sz w:val="21"/>
          <w:szCs w:val="21"/>
        </w:rPr>
        <w:t xml:space="preserve">2.3 </w:t>
      </w:r>
      <w:r>
        <w:rPr>
          <w:rFonts w:ascii="宋体" w:hAnsi="宋体" w:eastAsia="宋体" w:cs="宋体"/>
          <w:sz w:val="21"/>
          <w:szCs w:val="21"/>
        </w:rPr>
        <w:t>有串通投标、弄虚作假或有其他违法行为的。包括以下内容：</w:t>
      </w:r>
    </w:p>
    <w:p w14:paraId="615D6A7A">
      <w:pPr>
        <w:spacing w:before="164" w:line="235" w:lineRule="auto"/>
        <w:ind w:left="86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）有下列情形之一的，视为投标人相互串通投标：</w:t>
      </w:r>
    </w:p>
    <w:p w14:paraId="11EC3063">
      <w:pPr>
        <w:spacing w:before="141" w:line="218" w:lineRule="auto"/>
        <w:ind w:left="1073"/>
        <w:rPr>
          <w:rFonts w:ascii="宋体" w:hAnsi="宋体" w:eastAsia="宋体" w:cs="宋体"/>
          <w:sz w:val="21"/>
          <w:szCs w:val="21"/>
        </w:rPr>
      </w:pPr>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5D3BA62A">
      <w:pPr>
        <w:spacing w:before="150" w:line="218" w:lineRule="auto"/>
        <w:ind w:left="1072"/>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429EF419">
      <w:pPr>
        <w:spacing w:before="152" w:line="287" w:lineRule="auto"/>
        <w:ind w:left="23" w:right="10" w:firstLine="1048"/>
        <w:rPr>
          <w:rFonts w:ascii="宋体" w:hAnsi="宋体" w:eastAsia="宋体" w:cs="宋体"/>
          <w:sz w:val="21"/>
          <w:szCs w:val="21"/>
        </w:rPr>
      </w:pPr>
      <w:r>
        <w:rPr>
          <w:rFonts w:ascii="宋体" w:hAnsi="宋体" w:eastAsia="宋体" w:cs="宋体"/>
          <w:sz w:val="21"/>
          <w:szCs w:val="21"/>
        </w:rPr>
        <w:t>③ 不同投标人使用同一电脑等电子设备办理投标事宜（下载招标文件、上传投</w:t>
      </w:r>
      <w:r>
        <w:rPr>
          <w:rFonts w:ascii="宋体" w:hAnsi="宋体" w:eastAsia="宋体" w:cs="宋体"/>
          <w:spacing w:val="-3"/>
          <w:sz w:val="21"/>
          <w:szCs w:val="21"/>
        </w:rPr>
        <w:t>标文件、授权委托人或项目经理实名认证等关键环节</w:t>
      </w:r>
      <w:r>
        <w:rPr>
          <w:rFonts w:ascii="宋体" w:hAnsi="宋体" w:eastAsia="宋体" w:cs="宋体"/>
          <w:spacing w:val="-28"/>
          <w:sz w:val="21"/>
          <w:szCs w:val="21"/>
        </w:rPr>
        <w:t>）；</w:t>
      </w:r>
    </w:p>
    <w:p w14:paraId="48EE31F4">
      <w:pPr>
        <w:spacing w:before="148" w:line="218" w:lineRule="auto"/>
        <w:ind w:left="1072"/>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664E3612">
      <w:pPr>
        <w:spacing w:before="153" w:line="218" w:lineRule="auto"/>
        <w:ind w:left="1072"/>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7E88F053">
      <w:pPr>
        <w:spacing w:before="152" w:line="218" w:lineRule="auto"/>
        <w:ind w:left="1072"/>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6C816896">
      <w:pPr>
        <w:spacing w:before="150" w:line="287" w:lineRule="auto"/>
        <w:ind w:left="23" w:right="10" w:firstLine="1048"/>
        <w:rPr>
          <w:rFonts w:ascii="宋体" w:hAnsi="宋体" w:eastAsia="宋体" w:cs="宋体"/>
          <w:sz w:val="21"/>
          <w:szCs w:val="21"/>
        </w:rPr>
      </w:pPr>
      <w:r>
        <w:rPr>
          <w:rFonts w:ascii="宋体" w:hAnsi="宋体" w:eastAsia="宋体" w:cs="宋体"/>
          <w:sz w:val="21"/>
          <w:szCs w:val="21"/>
        </w:rPr>
        <w:t>⑦ 不同投标人的投标保证金或保函（保险）财务费用从同一单位或者个人的账</w:t>
      </w:r>
      <w:r>
        <w:rPr>
          <w:rFonts w:ascii="宋体" w:hAnsi="宋体" w:eastAsia="宋体" w:cs="宋体"/>
          <w:spacing w:val="-2"/>
          <w:sz w:val="21"/>
          <w:szCs w:val="21"/>
        </w:rPr>
        <w:t>户转出；</w:t>
      </w:r>
    </w:p>
    <w:p w14:paraId="7F95990D">
      <w:pPr>
        <w:spacing w:before="149" w:line="285" w:lineRule="auto"/>
        <w:ind w:left="21" w:right="11" w:firstLine="1050"/>
        <w:rPr>
          <w:rFonts w:ascii="宋体" w:hAnsi="宋体" w:eastAsia="宋体" w:cs="宋体"/>
          <w:sz w:val="21"/>
          <w:szCs w:val="21"/>
        </w:rPr>
      </w:pPr>
      <w:r>
        <w:rPr>
          <w:rFonts w:ascii="宋体" w:hAnsi="宋体" w:eastAsia="宋体" w:cs="宋体"/>
          <w:spacing w:val="-10"/>
          <w:sz w:val="21"/>
          <w:szCs w:val="21"/>
        </w:rPr>
        <w:t>⑧ 不同投标人的投标文件存在“</w:t>
      </w:r>
      <w:r>
        <w:rPr>
          <w:rFonts w:ascii="Times New Roman" w:hAnsi="Times New Roman" w:eastAsia="Times New Roman" w:cs="Times New Roman"/>
          <w:spacing w:val="-10"/>
          <w:sz w:val="21"/>
          <w:szCs w:val="21"/>
        </w:rPr>
        <w:t xml:space="preserve">MAC  </w:t>
      </w:r>
      <w:r>
        <w:rPr>
          <w:rFonts w:ascii="宋体" w:hAnsi="宋体" w:eastAsia="宋体" w:cs="宋体"/>
          <w:spacing w:val="-10"/>
          <w:sz w:val="21"/>
          <w:szCs w:val="21"/>
        </w:rPr>
        <w:t>地址</w:t>
      </w:r>
      <w:r>
        <w:rPr>
          <w:rFonts w:ascii="宋体" w:hAnsi="宋体" w:eastAsia="宋体" w:cs="宋体"/>
          <w:spacing w:val="-75"/>
          <w:sz w:val="21"/>
          <w:szCs w:val="21"/>
        </w:rPr>
        <w:t xml:space="preserve"> </w:t>
      </w:r>
      <w:r>
        <w:rPr>
          <w:rFonts w:ascii="宋体" w:hAnsi="宋体" w:eastAsia="宋体" w:cs="宋体"/>
          <w:spacing w:val="-10"/>
          <w:sz w:val="21"/>
          <w:szCs w:val="21"/>
        </w:rPr>
        <w:t>”、“文件创建标</w:t>
      </w:r>
      <w:r>
        <w:rPr>
          <w:rFonts w:ascii="宋体" w:hAnsi="宋体" w:eastAsia="宋体" w:cs="宋体"/>
          <w:spacing w:val="-11"/>
          <w:sz w:val="21"/>
          <w:szCs w:val="21"/>
        </w:rPr>
        <w:t>识码”、“文件制作</w:t>
      </w:r>
      <w:r>
        <w:rPr>
          <w:rFonts w:ascii="宋体" w:hAnsi="宋体" w:eastAsia="宋体" w:cs="宋体"/>
          <w:spacing w:val="-2"/>
          <w:sz w:val="21"/>
          <w:szCs w:val="21"/>
        </w:rPr>
        <w:t>机器码”等唯一性标识一致等情形。</w:t>
      </w:r>
    </w:p>
    <w:p w14:paraId="30816B65">
      <w:pPr>
        <w:spacing w:before="173" w:line="234" w:lineRule="auto"/>
        <w:ind w:left="86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）有下列情形之一的，属于弄虚作假行为：</w:t>
      </w:r>
    </w:p>
    <w:p w14:paraId="191042D2">
      <w:pPr>
        <w:spacing w:before="142" w:line="287" w:lineRule="auto"/>
        <w:ind w:left="25" w:right="10" w:firstLine="1047"/>
        <w:rPr>
          <w:rFonts w:ascii="宋体" w:hAnsi="宋体" w:eastAsia="宋体" w:cs="宋体"/>
          <w:sz w:val="21"/>
          <w:szCs w:val="21"/>
        </w:rPr>
      </w:pPr>
      <w:r>
        <w:rPr>
          <w:rFonts w:ascii="宋体" w:hAnsi="宋体" w:eastAsia="宋体" w:cs="宋体"/>
          <w:sz w:val="21"/>
          <w:szCs w:val="21"/>
        </w:rPr>
        <w:t>① 使用通过受让或者租借等方式获取的资格、资质证书投标的，即以他人名义</w:t>
      </w:r>
      <w:r>
        <w:rPr>
          <w:rFonts w:ascii="宋体" w:hAnsi="宋体" w:eastAsia="宋体" w:cs="宋体"/>
          <w:spacing w:val="-2"/>
          <w:sz w:val="21"/>
          <w:szCs w:val="21"/>
        </w:rPr>
        <w:t>投标的。</w:t>
      </w:r>
    </w:p>
    <w:p w14:paraId="05794198">
      <w:pPr>
        <w:spacing w:before="149" w:line="218" w:lineRule="auto"/>
        <w:ind w:left="1072"/>
        <w:rPr>
          <w:rFonts w:ascii="宋体" w:hAnsi="宋体" w:eastAsia="宋体" w:cs="宋体"/>
          <w:sz w:val="21"/>
          <w:szCs w:val="21"/>
        </w:rPr>
      </w:pPr>
      <w:r>
        <w:rPr>
          <w:rFonts w:ascii="宋体" w:hAnsi="宋体" w:eastAsia="宋体" w:cs="宋体"/>
          <w:spacing w:val="-3"/>
          <w:sz w:val="21"/>
          <w:szCs w:val="21"/>
        </w:rPr>
        <w:t>② 使用伪造、变造的许可证件；</w:t>
      </w:r>
    </w:p>
    <w:p w14:paraId="0F283423">
      <w:pPr>
        <w:spacing w:before="150" w:line="218" w:lineRule="auto"/>
        <w:ind w:left="1072"/>
        <w:rPr>
          <w:rFonts w:ascii="宋体" w:hAnsi="宋体" w:eastAsia="宋体" w:cs="宋体"/>
          <w:sz w:val="21"/>
          <w:szCs w:val="21"/>
        </w:rPr>
      </w:pPr>
      <w:r>
        <w:rPr>
          <w:rFonts w:ascii="宋体" w:hAnsi="宋体" w:eastAsia="宋体" w:cs="宋体"/>
          <w:spacing w:val="-1"/>
          <w:sz w:val="21"/>
          <w:szCs w:val="21"/>
        </w:rPr>
        <w:t>③ 提供虚假的财务状况或者业绩；</w:t>
      </w:r>
    </w:p>
    <w:p w14:paraId="1466231D">
      <w:pPr>
        <w:spacing w:before="153" w:line="218" w:lineRule="auto"/>
        <w:ind w:left="1072"/>
        <w:rPr>
          <w:rFonts w:ascii="宋体" w:hAnsi="宋体" w:eastAsia="宋体" w:cs="宋体"/>
          <w:sz w:val="21"/>
          <w:szCs w:val="21"/>
        </w:rPr>
      </w:pPr>
      <w:r>
        <w:rPr>
          <w:rFonts w:ascii="宋体" w:hAnsi="宋体" w:eastAsia="宋体" w:cs="宋体"/>
          <w:spacing w:val="-1"/>
          <w:sz w:val="21"/>
          <w:szCs w:val="21"/>
        </w:rPr>
        <w:t>④ 提供虚假的项目负责人或者主要技术人员简历、社会保险证明；</w:t>
      </w:r>
    </w:p>
    <w:p w14:paraId="4A189C02">
      <w:pPr>
        <w:spacing w:before="153" w:line="218" w:lineRule="auto"/>
        <w:ind w:left="1072"/>
        <w:rPr>
          <w:rFonts w:ascii="宋体" w:hAnsi="宋体" w:eastAsia="宋体" w:cs="宋体"/>
          <w:sz w:val="21"/>
          <w:szCs w:val="21"/>
        </w:rPr>
      </w:pPr>
      <w:r>
        <w:rPr>
          <w:rFonts w:ascii="宋体" w:hAnsi="宋体" w:eastAsia="宋体" w:cs="宋体"/>
          <w:spacing w:val="-1"/>
          <w:sz w:val="21"/>
          <w:szCs w:val="21"/>
        </w:rPr>
        <w:t>⑤ 提供虚假的信用状况；</w:t>
      </w:r>
    </w:p>
    <w:p w14:paraId="67C4DE94">
      <w:pPr>
        <w:spacing w:before="151" w:line="218" w:lineRule="auto"/>
        <w:ind w:left="1072"/>
        <w:rPr>
          <w:rFonts w:ascii="宋体" w:hAnsi="宋体" w:eastAsia="宋体" w:cs="宋体"/>
          <w:sz w:val="21"/>
          <w:szCs w:val="21"/>
        </w:rPr>
      </w:pPr>
      <w:r>
        <w:rPr>
          <w:rFonts w:ascii="宋体" w:hAnsi="宋体" w:eastAsia="宋体" w:cs="宋体"/>
          <w:spacing w:val="-1"/>
          <w:sz w:val="21"/>
          <w:szCs w:val="21"/>
        </w:rPr>
        <w:t>⑥ 其他弄虚作假的行为。</w:t>
      </w:r>
    </w:p>
    <w:p w14:paraId="3AC4DBA5">
      <w:pPr>
        <w:spacing w:before="173" w:line="234"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有第二章“投标人须知”第</w:t>
      </w:r>
      <w:r>
        <w:rPr>
          <w:rFonts w:ascii="宋体" w:hAnsi="宋体" w:eastAsia="宋体" w:cs="宋体"/>
          <w:spacing w:val="-24"/>
          <w:sz w:val="21"/>
          <w:szCs w:val="21"/>
        </w:rPr>
        <w:t xml:space="preserve"> </w:t>
      </w:r>
      <w:r>
        <w:rPr>
          <w:rFonts w:ascii="宋体" w:hAnsi="宋体" w:eastAsia="宋体" w:cs="宋体"/>
          <w:spacing w:val="-1"/>
          <w:sz w:val="21"/>
          <w:szCs w:val="21"/>
        </w:rPr>
        <w:t>1.4.3</w:t>
      </w:r>
      <w:r>
        <w:rPr>
          <w:rFonts w:ascii="宋体" w:hAnsi="宋体" w:eastAsia="宋体" w:cs="宋体"/>
          <w:spacing w:val="-43"/>
          <w:sz w:val="21"/>
          <w:szCs w:val="21"/>
        </w:rPr>
        <w:t xml:space="preserve"> </w:t>
      </w:r>
      <w:r>
        <w:rPr>
          <w:rFonts w:ascii="宋体" w:hAnsi="宋体" w:eastAsia="宋体" w:cs="宋体"/>
          <w:spacing w:val="-1"/>
          <w:sz w:val="21"/>
          <w:szCs w:val="21"/>
        </w:rPr>
        <w:t>项规定的任何一种情形。包括以下内容：</w:t>
      </w:r>
    </w:p>
    <w:p w14:paraId="02965FE3">
      <w:pPr>
        <w:spacing w:before="143" w:line="234" w:lineRule="auto"/>
        <w:ind w:left="343"/>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）为招标人不具有独立法人资格的附属</w:t>
      </w:r>
      <w:r>
        <w:rPr>
          <w:rFonts w:ascii="宋体" w:hAnsi="宋体" w:eastAsia="宋体" w:cs="宋体"/>
          <w:spacing w:val="-4"/>
          <w:sz w:val="21"/>
          <w:szCs w:val="21"/>
        </w:rPr>
        <w:t>机构（单位</w:t>
      </w:r>
      <w:r>
        <w:rPr>
          <w:rFonts w:ascii="宋体" w:hAnsi="宋体" w:eastAsia="宋体" w:cs="宋体"/>
          <w:spacing w:val="-28"/>
          <w:sz w:val="21"/>
          <w:szCs w:val="21"/>
        </w:rPr>
        <w:t>）；</w:t>
      </w:r>
    </w:p>
    <w:p w14:paraId="6370E2B9">
      <w:pPr>
        <w:spacing w:line="234" w:lineRule="auto"/>
        <w:rPr>
          <w:rFonts w:ascii="宋体" w:hAnsi="宋体" w:eastAsia="宋体" w:cs="宋体"/>
          <w:sz w:val="21"/>
          <w:szCs w:val="21"/>
        </w:rPr>
        <w:sectPr>
          <w:footerReference r:id="rId59" w:type="default"/>
          <w:pgSz w:w="11905" w:h="16843"/>
          <w:pgMar w:top="969" w:right="1355" w:bottom="1026" w:left="1480" w:header="0" w:footer="754" w:gutter="0"/>
          <w:cols w:space="0" w:num="1"/>
          <w:rtlGutter w:val="0"/>
          <w:docGrid w:linePitch="0" w:charSpace="0"/>
        </w:sectPr>
      </w:pPr>
    </w:p>
    <w:p w14:paraId="11CDD5F9">
      <w:pPr>
        <w:pStyle w:val="5"/>
        <w:spacing w:line="276" w:lineRule="auto"/>
      </w:pPr>
    </w:p>
    <w:p w14:paraId="789CCC11">
      <w:pPr>
        <w:pStyle w:val="5"/>
        <w:spacing w:line="276" w:lineRule="auto"/>
      </w:pPr>
    </w:p>
    <w:p w14:paraId="167518D9">
      <w:pPr>
        <w:pStyle w:val="5"/>
        <w:spacing w:line="276" w:lineRule="auto"/>
      </w:pPr>
    </w:p>
    <w:p w14:paraId="01E7C908">
      <w:pPr>
        <w:pStyle w:val="5"/>
        <w:spacing w:line="277" w:lineRule="auto"/>
      </w:pPr>
    </w:p>
    <w:p w14:paraId="480E2F26">
      <w:pPr>
        <w:spacing w:before="68" w:line="234" w:lineRule="auto"/>
        <w:ind w:left="343"/>
        <w:rPr>
          <w:rFonts w:ascii="宋体" w:hAnsi="宋体" w:eastAsia="宋体" w:cs="宋体"/>
          <w:sz w:val="21"/>
          <w:szCs w:val="21"/>
        </w:rPr>
      </w:pPr>
      <w:bookmarkStart w:id="145" w:name="bookmark512"/>
      <w:bookmarkEnd w:id="145"/>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）为本标段前期准备提供设计或咨询服务的，但设计施工总承包的除</w:t>
      </w:r>
      <w:r>
        <w:rPr>
          <w:rFonts w:ascii="宋体" w:hAnsi="宋体" w:eastAsia="宋体" w:cs="宋体"/>
          <w:spacing w:val="-2"/>
          <w:sz w:val="21"/>
          <w:szCs w:val="21"/>
        </w:rPr>
        <w:t>外；</w:t>
      </w:r>
    </w:p>
    <w:p w14:paraId="3C5B8A2E">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）为本标段的监理人；</w:t>
      </w:r>
    </w:p>
    <w:p w14:paraId="7E87EC36">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）为本标段的代建人；</w:t>
      </w:r>
    </w:p>
    <w:p w14:paraId="49B8ABAA">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）为本标段提供招标代理服务；</w:t>
      </w:r>
    </w:p>
    <w:p w14:paraId="40071BED">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）与本标段的监理人或代建人或招标代理机构同为一个法定</w:t>
      </w:r>
      <w:r>
        <w:rPr>
          <w:rFonts w:ascii="宋体" w:hAnsi="宋体" w:eastAsia="宋体" w:cs="宋体"/>
          <w:spacing w:val="-2"/>
          <w:sz w:val="21"/>
          <w:szCs w:val="21"/>
        </w:rPr>
        <w:t>代表人；</w:t>
      </w:r>
    </w:p>
    <w:p w14:paraId="5E44F6E4">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控股或参股；</w:t>
      </w:r>
    </w:p>
    <w:p w14:paraId="4D479356">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任职或工作；</w:t>
      </w:r>
    </w:p>
    <w:p w14:paraId="0DA9E99C">
      <w:pPr>
        <w:spacing w:before="132" w:line="287" w:lineRule="auto"/>
        <w:ind w:left="46" w:right="121" w:firstLine="29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）被依法暂停或取消投标资格（指被本招标项目所在地县级及以上农业农村主管部</w:t>
      </w:r>
      <w:r>
        <w:rPr>
          <w:rFonts w:ascii="宋体" w:hAnsi="宋体" w:eastAsia="宋体" w:cs="宋体"/>
          <w:spacing w:val="-1"/>
          <w:sz w:val="21"/>
          <w:szCs w:val="21"/>
        </w:rPr>
        <w:t>门暂停或取消投标资格或禁止进入该区域市场且处于有效期内</w:t>
      </w:r>
      <w:r>
        <w:rPr>
          <w:rFonts w:ascii="宋体" w:hAnsi="宋体" w:eastAsia="宋体" w:cs="宋体"/>
          <w:spacing w:val="-54"/>
          <w:w w:val="97"/>
          <w:sz w:val="21"/>
          <w:szCs w:val="21"/>
        </w:rPr>
        <w:t>）；</w:t>
      </w:r>
    </w:p>
    <w:p w14:paraId="433D53C6">
      <w:pPr>
        <w:spacing w:before="149" w:line="234" w:lineRule="auto"/>
        <w:ind w:left="34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298BD41D">
      <w:pPr>
        <w:spacing w:before="132" w:line="288" w:lineRule="auto"/>
        <w:ind w:left="25" w:right="100"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11</w:t>
      </w:r>
      <w:r>
        <w:rPr>
          <w:rFonts w:ascii="宋体" w:hAnsi="宋体" w:eastAsia="宋体" w:cs="宋体"/>
          <w:sz w:val="21"/>
          <w:szCs w:val="21"/>
        </w:rPr>
        <w:t>）财产被接管或冻结的；进入清算程序，或被宣告破产，或其他丧失履约能力的情</w:t>
      </w:r>
      <w:r>
        <w:rPr>
          <w:rFonts w:ascii="宋体" w:hAnsi="宋体" w:eastAsia="宋体" w:cs="宋体"/>
          <w:spacing w:val="-15"/>
          <w:sz w:val="21"/>
          <w:szCs w:val="21"/>
        </w:rPr>
        <w:t>形；</w:t>
      </w:r>
    </w:p>
    <w:p w14:paraId="14AC9DD9">
      <w:pPr>
        <w:spacing w:before="147" w:line="285" w:lineRule="auto"/>
        <w:ind w:left="25" w:right="100"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）在最近三年内有骗取中标或严重违约或重大工程质量问题的 （以相关行业主 管部门的行政处罚决定或司法机关出具的有关</w:t>
      </w:r>
      <w:r>
        <w:rPr>
          <w:rFonts w:ascii="宋体" w:hAnsi="宋体" w:eastAsia="宋体" w:cs="宋体"/>
          <w:spacing w:val="-1"/>
          <w:sz w:val="21"/>
          <w:szCs w:val="21"/>
        </w:rPr>
        <w:t>法律文书为准</w:t>
      </w:r>
      <w:r>
        <w:rPr>
          <w:rFonts w:ascii="宋体" w:hAnsi="宋体" w:eastAsia="宋体" w:cs="宋体"/>
          <w:spacing w:val="-54"/>
          <w:w w:val="97"/>
          <w:sz w:val="21"/>
          <w:szCs w:val="21"/>
        </w:rPr>
        <w:t>）；</w:t>
      </w:r>
    </w:p>
    <w:p w14:paraId="398AD600">
      <w:pPr>
        <w:spacing w:before="151" w:line="287" w:lineRule="auto"/>
        <w:ind w:left="21" w:right="102" w:firstLine="321"/>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13</w:t>
      </w:r>
      <w:r>
        <w:rPr>
          <w:rFonts w:ascii="宋体" w:hAnsi="宋体" w:eastAsia="宋体" w:cs="宋体"/>
          <w:spacing w:val="-3"/>
          <w:sz w:val="21"/>
          <w:szCs w:val="21"/>
        </w:rPr>
        <w:t>）在“国家企业信用信息公示系统”（</w:t>
      </w:r>
      <w:r>
        <w:fldChar w:fldCharType="begin"/>
      </w:r>
      <w:r>
        <w:instrText xml:space="preserve"> HYPERLINK "https://www.gsxt.gov.cn" </w:instrText>
      </w:r>
      <w:r>
        <w:fldChar w:fldCharType="separate"/>
      </w:r>
      <w:r>
        <w:rPr>
          <w:rFonts w:ascii="Times New Roman" w:hAnsi="Times New Roman" w:eastAsia="Times New Roman" w:cs="Times New Roman"/>
          <w:spacing w:val="-3"/>
          <w:sz w:val="21"/>
          <w:szCs w:val="21"/>
        </w:rPr>
        <w:t>www.gsxt.gov.cn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22"/>
          <w:sz w:val="21"/>
          <w:szCs w:val="21"/>
        </w:rPr>
        <w:t xml:space="preserve"> </w:t>
      </w:r>
      <w:r>
        <w:rPr>
          <w:rFonts w:ascii="宋体" w:hAnsi="宋体" w:eastAsia="宋体" w:cs="宋体"/>
          <w:spacing w:val="-3"/>
          <w:sz w:val="21"/>
          <w:szCs w:val="21"/>
        </w:rPr>
        <w:t>）中被列入严重违法失 信企</w:t>
      </w:r>
      <w:r>
        <w:rPr>
          <w:rFonts w:ascii="宋体" w:hAnsi="宋体" w:eastAsia="宋体" w:cs="宋体"/>
          <w:spacing w:val="-1"/>
          <w:sz w:val="21"/>
          <w:szCs w:val="21"/>
        </w:rPr>
        <w:t>业名单；</w:t>
      </w:r>
    </w:p>
    <w:p w14:paraId="4C2101EC">
      <w:pPr>
        <w:spacing w:before="147" w:line="283" w:lineRule="auto"/>
        <w:ind w:left="29" w:firstLine="314"/>
        <w:rPr>
          <w:rFonts w:ascii="宋体" w:hAnsi="宋体" w:eastAsia="宋体" w:cs="宋体"/>
          <w:sz w:val="21"/>
          <w:szCs w:val="21"/>
        </w:rPr>
      </w:pPr>
      <w:r>
        <w:rPr>
          <w:rFonts w:ascii="宋体" w:hAnsi="宋体" w:eastAsia="宋体" w:cs="宋体"/>
          <w:spacing w:val="15"/>
          <w:sz w:val="21"/>
          <w:szCs w:val="21"/>
        </w:rPr>
        <w:t>（</w:t>
      </w:r>
      <w:r>
        <w:rPr>
          <w:rFonts w:ascii="Times New Roman" w:hAnsi="Times New Roman" w:eastAsia="Times New Roman" w:cs="Times New Roman"/>
          <w:spacing w:val="15"/>
          <w:sz w:val="21"/>
          <w:szCs w:val="21"/>
        </w:rPr>
        <w:t>14</w:t>
      </w:r>
      <w:r>
        <w:rPr>
          <w:rFonts w:ascii="宋体" w:hAnsi="宋体" w:eastAsia="宋体" w:cs="宋体"/>
          <w:spacing w:val="15"/>
          <w:sz w:val="21"/>
          <w:szCs w:val="21"/>
        </w:rPr>
        <w:t>）</w:t>
      </w:r>
      <w:r>
        <w:rPr>
          <w:rFonts w:ascii="宋体" w:hAnsi="宋体" w:eastAsia="宋体" w:cs="宋体"/>
          <w:spacing w:val="-43"/>
          <w:sz w:val="21"/>
          <w:szCs w:val="21"/>
        </w:rPr>
        <w:t xml:space="preserve"> </w:t>
      </w:r>
      <w:r>
        <w:rPr>
          <w:rFonts w:ascii="宋体" w:hAnsi="宋体" w:eastAsia="宋体" w:cs="宋体"/>
          <w:spacing w:val="15"/>
          <w:sz w:val="21"/>
          <w:szCs w:val="21"/>
        </w:rPr>
        <w:t>在“信用中国”网站（</w:t>
      </w:r>
      <w:r>
        <w:fldChar w:fldCharType="begin"/>
      </w:r>
      <w:r>
        <w:instrText xml:space="preserve"> HYPERLINK "http://www.creditchina.gov.cn/" </w:instrText>
      </w:r>
      <w:r>
        <w:fldChar w:fldCharType="separate"/>
      </w:r>
      <w:r>
        <w:rPr>
          <w:rFonts w:ascii="Times New Roman" w:hAnsi="Times New Roman" w:eastAsia="Times New Roman" w:cs="Times New Roman"/>
          <w:sz w:val="21"/>
          <w:szCs w:val="21"/>
        </w:rPr>
        <w:t>www</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creditchina</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gov</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rPr>
        <w:fldChar w:fldCharType="end"/>
      </w:r>
      <w:r>
        <w:rPr>
          <w:rFonts w:ascii="宋体" w:hAnsi="宋体" w:eastAsia="宋体" w:cs="宋体"/>
          <w:spacing w:val="15"/>
          <w:sz w:val="21"/>
          <w:szCs w:val="21"/>
        </w:rPr>
        <w:t>）</w:t>
      </w:r>
      <w:r>
        <w:rPr>
          <w:rFonts w:ascii="宋体" w:hAnsi="宋体" w:eastAsia="宋体" w:cs="宋体"/>
          <w:spacing w:val="-55"/>
          <w:sz w:val="21"/>
          <w:szCs w:val="21"/>
        </w:rPr>
        <w:t xml:space="preserve"> </w:t>
      </w:r>
      <w:r>
        <w:rPr>
          <w:rFonts w:ascii="宋体" w:hAnsi="宋体" w:eastAsia="宋体" w:cs="宋体"/>
          <w:spacing w:val="15"/>
          <w:sz w:val="21"/>
          <w:szCs w:val="21"/>
        </w:rPr>
        <w:t>或“中国执行信息公开网”</w:t>
      </w:r>
      <w:r>
        <w:rPr>
          <w:rFonts w:ascii="宋体" w:hAnsi="宋体" w:eastAsia="宋体" w:cs="宋体"/>
          <w:sz w:val="21"/>
          <w:szCs w:val="21"/>
        </w:rPr>
        <w:t xml:space="preserve"> （</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w:t>
      </w:r>
      <w:r>
        <w:rPr>
          <w:rFonts w:ascii="Times New Roman" w:hAnsi="Times New Roman" w:eastAsia="Times New Roman" w:cs="Times New Roman"/>
          <w:spacing w:val="-1"/>
          <w:sz w:val="21"/>
          <w:szCs w:val="21"/>
        </w:rPr>
        <w:t>.cn/shixin/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 被列入失信被执行人名单；</w:t>
      </w:r>
    </w:p>
    <w:p w14:paraId="35B72C3C">
      <w:pPr>
        <w:spacing w:before="157"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15</w:t>
      </w:r>
      <w:r>
        <w:rPr>
          <w:rFonts w:ascii="宋体" w:hAnsi="宋体" w:eastAsia="宋体" w:cs="宋体"/>
          <w:spacing w:val="-1"/>
          <w:sz w:val="21"/>
          <w:szCs w:val="21"/>
        </w:rPr>
        <w:t>）在辽宁省农业农村工程招标投标监管平台被列入不良行为记录且在公布期内的；</w:t>
      </w:r>
    </w:p>
    <w:p w14:paraId="1DF54B2C">
      <w:pPr>
        <w:spacing w:before="133"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）法律法规规定的其他情形。</w:t>
      </w:r>
    </w:p>
    <w:p w14:paraId="6ECE34DA">
      <w:pPr>
        <w:spacing w:before="156" w:line="300" w:lineRule="auto"/>
        <w:ind w:left="24" w:right="98" w:firstLine="414"/>
        <w:rPr>
          <w:rFonts w:ascii="宋体" w:hAnsi="宋体" w:eastAsia="宋体" w:cs="宋体"/>
          <w:sz w:val="21"/>
          <w:szCs w:val="21"/>
        </w:rPr>
      </w:pPr>
      <w:r>
        <w:rPr>
          <w:rFonts w:ascii="Times New Roman" w:hAnsi="Times New Roman" w:eastAsia="Times New Roman" w:cs="Times New Roman"/>
          <w:sz w:val="21"/>
          <w:szCs w:val="21"/>
        </w:rPr>
        <w:t>2.5</w:t>
      </w:r>
      <w:r>
        <w:rPr>
          <w:rFonts w:ascii="Times New Roman" w:hAnsi="Times New Roman" w:eastAsia="Times New Roman" w:cs="Times New Roman"/>
          <w:spacing w:val="21"/>
          <w:w w:val="101"/>
          <w:sz w:val="21"/>
          <w:szCs w:val="21"/>
        </w:rPr>
        <w:t xml:space="preserve"> </w:t>
      </w:r>
      <w:r>
        <w:rPr>
          <w:rFonts w:ascii="宋体" w:hAnsi="宋体" w:eastAsia="宋体" w:cs="宋体"/>
          <w:sz w:val="21"/>
          <w:szCs w:val="21"/>
        </w:rPr>
        <w:t>未按招标文件要求进行实名身份认证的或同一标段实名身份</w:t>
      </w:r>
      <w:r>
        <w:rPr>
          <w:rFonts w:ascii="宋体" w:hAnsi="宋体" w:eastAsia="宋体" w:cs="宋体"/>
          <w:spacing w:val="-1"/>
          <w:sz w:val="21"/>
          <w:szCs w:val="21"/>
        </w:rPr>
        <w:t>认证中存在不同投标人</w:t>
      </w:r>
      <w:r>
        <w:rPr>
          <w:rFonts w:ascii="宋体" w:hAnsi="宋体" w:eastAsia="宋体" w:cs="宋体"/>
          <w:spacing w:val="-2"/>
          <w:sz w:val="21"/>
          <w:szCs w:val="21"/>
        </w:rPr>
        <w:t>之间身份证识别器码一致的。</w:t>
      </w:r>
    </w:p>
    <w:p w14:paraId="45A32FF7">
      <w:pPr>
        <w:spacing w:before="179" w:line="233" w:lineRule="auto"/>
        <w:ind w:left="438"/>
        <w:rPr>
          <w:rFonts w:ascii="宋体" w:hAnsi="宋体" w:eastAsia="宋体" w:cs="宋体"/>
          <w:sz w:val="21"/>
          <w:szCs w:val="21"/>
        </w:rPr>
      </w:pPr>
      <w:r>
        <w:rPr>
          <w:rFonts w:ascii="Times New Roman" w:hAnsi="Times New Roman" w:eastAsia="Times New Roman" w:cs="Times New Roman"/>
          <w:sz w:val="21"/>
          <w:szCs w:val="21"/>
        </w:rPr>
        <w:t xml:space="preserve">2.6 </w:t>
      </w:r>
      <w:r>
        <w:rPr>
          <w:rFonts w:ascii="宋体" w:hAnsi="宋体" w:eastAsia="宋体" w:cs="宋体"/>
          <w:sz w:val="21"/>
          <w:szCs w:val="21"/>
        </w:rPr>
        <w:t>投标报价明显低于企业成本可能影响履约</w:t>
      </w:r>
      <w:r>
        <w:rPr>
          <w:rFonts w:ascii="宋体" w:hAnsi="宋体" w:eastAsia="宋体" w:cs="宋体"/>
          <w:spacing w:val="-1"/>
          <w:sz w:val="21"/>
          <w:szCs w:val="21"/>
        </w:rPr>
        <w:t>的。</w:t>
      </w:r>
    </w:p>
    <w:p w14:paraId="2786B318">
      <w:pPr>
        <w:spacing w:before="298" w:line="148" w:lineRule="exact"/>
        <w:ind w:left="469"/>
        <w:rPr>
          <w:rFonts w:ascii="仿宋" w:hAnsi="仿宋" w:eastAsia="仿宋" w:cs="仿宋"/>
          <w:sz w:val="21"/>
          <w:szCs w:val="21"/>
        </w:rPr>
      </w:pPr>
      <w:r>
        <w:rPr>
          <w:rFonts w:ascii="仿宋" w:hAnsi="仿宋" w:eastAsia="仿宋" w:cs="仿宋"/>
          <w:spacing w:val="-9"/>
          <w:position w:val="-9"/>
          <w:sz w:val="21"/>
          <w:szCs w:val="21"/>
        </w:rPr>
        <w:t>……</w:t>
      </w:r>
    </w:p>
    <w:p w14:paraId="27BC03FD">
      <w:pPr>
        <w:spacing w:line="148" w:lineRule="exact"/>
        <w:rPr>
          <w:rFonts w:ascii="仿宋" w:hAnsi="仿宋" w:eastAsia="仿宋" w:cs="仿宋"/>
          <w:sz w:val="21"/>
          <w:szCs w:val="21"/>
        </w:rPr>
        <w:sectPr>
          <w:footerReference r:id="rId60" w:type="default"/>
          <w:pgSz w:w="11905" w:h="16843"/>
          <w:pgMar w:top="969" w:right="1355" w:bottom="1026" w:left="1480" w:header="0" w:footer="754" w:gutter="0"/>
          <w:cols w:space="0" w:num="1"/>
          <w:rtlGutter w:val="0"/>
          <w:docGrid w:linePitch="0" w:charSpace="0"/>
        </w:sectPr>
      </w:pPr>
    </w:p>
    <w:p w14:paraId="241B6CA1">
      <w:pPr>
        <w:pStyle w:val="5"/>
        <w:spacing w:line="255" w:lineRule="auto"/>
      </w:pPr>
    </w:p>
    <w:p w14:paraId="63EB148B">
      <w:pPr>
        <w:spacing w:before="91" w:line="220" w:lineRule="auto"/>
        <w:ind w:left="40"/>
        <w:outlineLvl w:val="1"/>
        <w:rPr>
          <w:rFonts w:ascii="黑体" w:hAnsi="黑体" w:eastAsia="黑体" w:cs="黑体"/>
          <w:sz w:val="28"/>
          <w:szCs w:val="28"/>
        </w:rPr>
      </w:pPr>
      <w:bookmarkStart w:id="146" w:name="bookmark123"/>
      <w:bookmarkEnd w:id="146"/>
      <w:bookmarkStart w:id="147" w:name="bookmark113"/>
      <w:bookmarkEnd w:id="147"/>
      <w:bookmarkStart w:id="148" w:name="bookmark513"/>
      <w:bookmarkEnd w:id="148"/>
      <w:r>
        <w:rPr>
          <w:rFonts w:ascii="黑体" w:hAnsi="黑体" w:eastAsia="黑体" w:cs="黑体"/>
          <w:spacing w:val="-4"/>
          <w:sz w:val="28"/>
          <w:szCs w:val="28"/>
        </w:rPr>
        <w:t>附件</w:t>
      </w:r>
      <w:r>
        <w:rPr>
          <w:rFonts w:ascii="黑体" w:hAnsi="黑体" w:eastAsia="黑体" w:cs="黑体"/>
          <w:spacing w:val="-58"/>
          <w:sz w:val="28"/>
          <w:szCs w:val="28"/>
        </w:rPr>
        <w:t xml:space="preserve"> </w:t>
      </w:r>
      <w:r>
        <w:rPr>
          <w:rFonts w:ascii="黑体" w:hAnsi="黑体" w:eastAsia="黑体" w:cs="黑体"/>
          <w:spacing w:val="-4"/>
          <w:sz w:val="28"/>
          <w:szCs w:val="28"/>
        </w:rPr>
        <w:t>A：否决投标的条件</w:t>
      </w:r>
    </w:p>
    <w:p w14:paraId="4CF10223">
      <w:pPr>
        <w:pStyle w:val="5"/>
        <w:spacing w:line="460" w:lineRule="auto"/>
      </w:pPr>
    </w:p>
    <w:p w14:paraId="5CF238BA">
      <w:pPr>
        <w:spacing w:before="91" w:line="220" w:lineRule="auto"/>
        <w:ind w:left="3193"/>
        <w:rPr>
          <w:rFonts w:ascii="黑体" w:hAnsi="黑体" w:eastAsia="黑体" w:cs="黑体"/>
          <w:sz w:val="28"/>
          <w:szCs w:val="28"/>
        </w:rPr>
      </w:pPr>
      <w:bookmarkStart w:id="149" w:name="bookmark518"/>
      <w:bookmarkEnd w:id="149"/>
      <w:r>
        <w:rPr>
          <w:rFonts w:ascii="黑体" w:hAnsi="黑体" w:eastAsia="黑体" w:cs="黑体"/>
          <w:b/>
          <w:bCs/>
          <w:spacing w:val="-4"/>
          <w:sz w:val="28"/>
          <w:szCs w:val="28"/>
        </w:rPr>
        <w:t>否决投标的条件</w:t>
      </w:r>
    </w:p>
    <w:p w14:paraId="1F625B43">
      <w:pPr>
        <w:spacing w:before="104" w:line="233" w:lineRule="auto"/>
        <w:ind w:left="42"/>
        <w:outlineLvl w:val="2"/>
        <w:rPr>
          <w:rFonts w:ascii="黑体" w:hAnsi="黑体" w:eastAsia="黑体" w:cs="黑体"/>
          <w:sz w:val="24"/>
          <w:szCs w:val="24"/>
        </w:rPr>
      </w:pPr>
      <w:bookmarkStart w:id="150" w:name="bookmark124"/>
      <w:bookmarkEnd w:id="150"/>
      <w:r>
        <w:rPr>
          <w:rFonts w:ascii="Times New Roman" w:hAnsi="Times New Roman" w:eastAsia="Times New Roman" w:cs="Times New Roman"/>
          <w:spacing w:val="-8"/>
          <w:sz w:val="24"/>
          <w:szCs w:val="24"/>
        </w:rPr>
        <w:t>1.</w:t>
      </w:r>
      <w:r>
        <w:rPr>
          <w:rFonts w:ascii="黑体" w:hAnsi="黑体" w:eastAsia="黑体" w:cs="黑体"/>
          <w:spacing w:val="-8"/>
          <w:sz w:val="24"/>
          <w:szCs w:val="24"/>
        </w:rPr>
        <w:t>总</w:t>
      </w:r>
      <w:r>
        <w:rPr>
          <w:rFonts w:ascii="黑体" w:hAnsi="黑体" w:eastAsia="黑体" w:cs="黑体"/>
          <w:spacing w:val="5"/>
          <w:sz w:val="24"/>
          <w:szCs w:val="24"/>
        </w:rPr>
        <w:t xml:space="preserve">  </w:t>
      </w:r>
      <w:r>
        <w:rPr>
          <w:rFonts w:ascii="黑体" w:hAnsi="黑体" w:eastAsia="黑体" w:cs="黑体"/>
          <w:spacing w:val="-8"/>
          <w:sz w:val="24"/>
          <w:szCs w:val="24"/>
        </w:rPr>
        <w:t>则</w:t>
      </w:r>
    </w:p>
    <w:p w14:paraId="7830CDB5">
      <w:pPr>
        <w:spacing w:before="145" w:line="364" w:lineRule="auto"/>
        <w:ind w:left="8" w:right="319" w:firstLine="434"/>
        <w:jc w:val="both"/>
        <w:rPr>
          <w:rFonts w:ascii="宋体" w:hAnsi="宋体" w:eastAsia="宋体" w:cs="宋体"/>
          <w:sz w:val="21"/>
          <w:szCs w:val="21"/>
        </w:rPr>
      </w:pPr>
      <w:r>
        <w:rPr>
          <w:rFonts w:ascii="宋体" w:hAnsi="宋体" w:eastAsia="宋体" w:cs="宋体"/>
          <w:spacing w:val="3"/>
          <w:sz w:val="21"/>
          <w:szCs w:val="21"/>
        </w:rPr>
        <w:t>本附件所集中列示的否决投标的条件，是本章“评标办法”的组成部分，</w:t>
      </w:r>
      <w:r>
        <w:rPr>
          <w:rFonts w:ascii="宋体" w:hAnsi="宋体" w:eastAsia="宋体" w:cs="宋体"/>
          <w:spacing w:val="2"/>
          <w:sz w:val="21"/>
          <w:szCs w:val="21"/>
        </w:rPr>
        <w:t>是对第二章</w:t>
      </w:r>
      <w:r>
        <w:rPr>
          <w:rFonts w:ascii="宋体" w:hAnsi="宋体" w:eastAsia="宋体" w:cs="宋体"/>
          <w:spacing w:val="3"/>
          <w:sz w:val="21"/>
          <w:szCs w:val="21"/>
        </w:rPr>
        <w:t>“投标人须知”和本章正文部分所规定的否决投标的条件的总结和补充，如果出现不一致</w:t>
      </w:r>
      <w:r>
        <w:rPr>
          <w:rFonts w:ascii="宋体" w:hAnsi="宋体" w:eastAsia="宋体" w:cs="宋体"/>
          <w:sz w:val="21"/>
          <w:szCs w:val="21"/>
        </w:rPr>
        <w:t>的情况，以本章前附表和正文部分的规定为准。</w:t>
      </w:r>
    </w:p>
    <w:p w14:paraId="6D15AA9E">
      <w:pPr>
        <w:spacing w:line="233" w:lineRule="auto"/>
        <w:ind w:left="19"/>
        <w:outlineLvl w:val="2"/>
        <w:rPr>
          <w:rFonts w:ascii="黑体" w:hAnsi="黑体" w:eastAsia="黑体" w:cs="黑体"/>
          <w:sz w:val="24"/>
          <w:szCs w:val="24"/>
        </w:rPr>
      </w:pPr>
      <w:bookmarkStart w:id="151" w:name="bookmark125"/>
      <w:bookmarkEnd w:id="151"/>
      <w:r>
        <w:rPr>
          <w:rFonts w:ascii="Times New Roman" w:hAnsi="Times New Roman" w:eastAsia="Times New Roman" w:cs="Times New Roman"/>
          <w:spacing w:val="-1"/>
          <w:sz w:val="24"/>
          <w:szCs w:val="24"/>
        </w:rPr>
        <w:t>2.</w:t>
      </w:r>
      <w:r>
        <w:rPr>
          <w:rFonts w:ascii="黑体" w:hAnsi="黑体" w:eastAsia="黑体" w:cs="黑体"/>
          <w:spacing w:val="-1"/>
          <w:sz w:val="24"/>
          <w:szCs w:val="24"/>
        </w:rPr>
        <w:t>否决投标的条件</w:t>
      </w:r>
    </w:p>
    <w:p w14:paraId="51AF0680">
      <w:pPr>
        <w:spacing w:before="144" w:line="220" w:lineRule="auto"/>
        <w:ind w:left="445"/>
        <w:rPr>
          <w:rFonts w:ascii="宋体" w:hAnsi="宋体" w:eastAsia="宋体" w:cs="宋体"/>
          <w:sz w:val="21"/>
          <w:szCs w:val="21"/>
        </w:rPr>
      </w:pPr>
      <w:r>
        <w:rPr>
          <w:rFonts w:ascii="宋体" w:hAnsi="宋体" w:eastAsia="宋体" w:cs="宋体"/>
          <w:sz w:val="21"/>
          <w:szCs w:val="21"/>
        </w:rPr>
        <w:t>投标人或其投标文件有下列情形之一的，评标委员会应当</w:t>
      </w:r>
      <w:r>
        <w:rPr>
          <w:rFonts w:ascii="宋体" w:hAnsi="宋体" w:eastAsia="宋体" w:cs="宋体"/>
          <w:spacing w:val="-1"/>
          <w:sz w:val="21"/>
          <w:szCs w:val="21"/>
        </w:rPr>
        <w:t>否决其投标：</w:t>
      </w:r>
    </w:p>
    <w:p w14:paraId="5077C611">
      <w:pPr>
        <w:spacing w:before="180" w:line="368" w:lineRule="auto"/>
        <w:ind w:left="21" w:right="313" w:firstLine="416"/>
        <w:rPr>
          <w:rFonts w:ascii="宋体" w:hAnsi="宋体" w:eastAsia="宋体" w:cs="宋体"/>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pacing w:val="17"/>
          <w:w w:val="101"/>
          <w:sz w:val="21"/>
          <w:szCs w:val="21"/>
        </w:rPr>
        <w:t xml:space="preserve"> </w:t>
      </w:r>
      <w:r>
        <w:rPr>
          <w:rFonts w:ascii="宋体" w:hAnsi="宋体" w:eastAsia="宋体" w:cs="宋体"/>
          <w:sz w:val="21"/>
          <w:szCs w:val="21"/>
        </w:rPr>
        <w:t>在形式评审、资格评审、响应性评审中，评标委员会认定投标人的投</w:t>
      </w:r>
      <w:r>
        <w:rPr>
          <w:rFonts w:ascii="宋体" w:hAnsi="宋体" w:eastAsia="宋体" w:cs="宋体"/>
          <w:spacing w:val="-1"/>
          <w:sz w:val="21"/>
          <w:szCs w:val="21"/>
        </w:rPr>
        <w:t>标文件不符合</w:t>
      </w:r>
      <w:r>
        <w:rPr>
          <w:rFonts w:ascii="宋体" w:hAnsi="宋体" w:eastAsia="宋体" w:cs="宋体"/>
          <w:sz w:val="21"/>
          <w:szCs w:val="21"/>
        </w:rPr>
        <w:t>评标办法前附表中规定的任何一项评审标准的。主要包括以下内</w:t>
      </w:r>
      <w:r>
        <w:rPr>
          <w:rFonts w:ascii="宋体" w:hAnsi="宋体" w:eastAsia="宋体" w:cs="宋体"/>
          <w:spacing w:val="-1"/>
          <w:sz w:val="21"/>
          <w:szCs w:val="21"/>
        </w:rPr>
        <w:t>容：</w:t>
      </w:r>
    </w:p>
    <w:p w14:paraId="20D30AE5">
      <w:pPr>
        <w:spacing w:before="20" w:line="299" w:lineRule="auto"/>
        <w:ind w:left="29" w:right="316" w:firstLine="839"/>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）投标人名称与营业执照、资质证书、安全生产许可证不一致；或提供无效的</w:t>
      </w:r>
      <w:r>
        <w:rPr>
          <w:rFonts w:ascii="宋体" w:hAnsi="宋体" w:eastAsia="宋体" w:cs="宋体"/>
          <w:spacing w:val="-1"/>
          <w:sz w:val="21"/>
          <w:szCs w:val="21"/>
        </w:rPr>
        <w:t>营业执照、资质证书、安全生产许可证的；</w:t>
      </w:r>
    </w:p>
    <w:p w14:paraId="19490483">
      <w:pPr>
        <w:spacing w:before="181" w:line="299" w:lineRule="auto"/>
        <w:ind w:left="40" w:firstLine="82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）未按照第二章“投标人须知”第 </w:t>
      </w:r>
      <w:r>
        <w:rPr>
          <w:rFonts w:ascii="Times New Roman" w:hAnsi="Times New Roman" w:eastAsia="Times New Roman" w:cs="Times New Roman"/>
          <w:spacing w:val="1"/>
          <w:sz w:val="21"/>
          <w:szCs w:val="21"/>
        </w:rPr>
        <w:t>3.7.3</w:t>
      </w: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w:t>
      </w:r>
      <w:r>
        <w:rPr>
          <w:rFonts w:ascii="宋体" w:hAnsi="宋体" w:eastAsia="宋体" w:cs="宋体"/>
          <w:spacing w:val="-41"/>
          <w:sz w:val="21"/>
          <w:szCs w:val="21"/>
        </w:rPr>
        <w:t xml:space="preserve"> </w:t>
      </w:r>
      <w:r>
        <w:rPr>
          <w:rFonts w:ascii="宋体" w:hAnsi="宋体" w:eastAsia="宋体" w:cs="宋体"/>
          <w:spacing w:val="1"/>
          <w:sz w:val="21"/>
          <w:szCs w:val="21"/>
        </w:rPr>
        <w:t>目规定和第八章“投标文件格式”</w:t>
      </w:r>
      <w:r>
        <w:rPr>
          <w:rFonts w:ascii="宋体" w:hAnsi="宋体" w:eastAsia="宋体" w:cs="宋体"/>
          <w:spacing w:val="-5"/>
          <w:sz w:val="21"/>
          <w:szCs w:val="21"/>
        </w:rPr>
        <w:t>的要求进行电子签章的；</w:t>
      </w:r>
    </w:p>
    <w:p w14:paraId="7B3A53B6">
      <w:pPr>
        <w:spacing w:before="181" w:line="325" w:lineRule="auto"/>
        <w:ind w:left="22" w:right="324" w:firstLine="846"/>
        <w:rPr>
          <w:rFonts w:ascii="宋体" w:hAnsi="宋体" w:eastAsia="宋体" w:cs="宋体"/>
          <w:sz w:val="21"/>
          <w:szCs w:val="21"/>
        </w:rPr>
      </w:pPr>
      <w:r>
        <w:rPr>
          <w:rFonts w:ascii="宋体" w:hAnsi="宋体" w:eastAsia="宋体" w:cs="宋体"/>
          <w:sz w:val="21"/>
          <w:szCs w:val="21"/>
        </w:rPr>
        <w:t>（3）联合体投标没有提交共同投标协议或共同投标协议未按</w:t>
      </w:r>
      <w:r>
        <w:rPr>
          <w:rFonts w:ascii="宋体" w:hAnsi="宋体" w:eastAsia="宋体" w:cs="宋体"/>
          <w:spacing w:val="-1"/>
          <w:sz w:val="21"/>
          <w:szCs w:val="21"/>
        </w:rPr>
        <w:t>招标文件提供的格式</w:t>
      </w:r>
      <w:r>
        <w:rPr>
          <w:rFonts w:ascii="宋体" w:hAnsi="宋体" w:eastAsia="宋体" w:cs="宋体"/>
          <w:spacing w:val="3"/>
          <w:sz w:val="21"/>
          <w:szCs w:val="21"/>
        </w:rPr>
        <w:t>签署、提交，未明确联合体牵头人和各方权利与义务，未</w:t>
      </w:r>
      <w:r>
        <w:rPr>
          <w:rFonts w:ascii="宋体" w:hAnsi="宋体" w:eastAsia="宋体" w:cs="宋体"/>
          <w:spacing w:val="2"/>
          <w:sz w:val="21"/>
          <w:szCs w:val="21"/>
        </w:rPr>
        <w:t>承诺就中标项目向招标人承担连</w:t>
      </w:r>
      <w:r>
        <w:rPr>
          <w:rFonts w:ascii="宋体" w:hAnsi="宋体" w:eastAsia="宋体" w:cs="宋体"/>
          <w:spacing w:val="-1"/>
          <w:sz w:val="21"/>
          <w:szCs w:val="21"/>
        </w:rPr>
        <w:t>带责任的（如有</w:t>
      </w:r>
      <w:r>
        <w:rPr>
          <w:rFonts w:ascii="宋体" w:hAnsi="宋体" w:eastAsia="宋体" w:cs="宋体"/>
          <w:spacing w:val="-54"/>
          <w:w w:val="97"/>
          <w:sz w:val="21"/>
          <w:szCs w:val="21"/>
        </w:rPr>
        <w:t>）；</w:t>
      </w:r>
    </w:p>
    <w:p w14:paraId="1158F08A">
      <w:pPr>
        <w:spacing w:before="180" w:line="300" w:lineRule="auto"/>
        <w:ind w:left="23" w:right="316" w:firstLine="845"/>
        <w:rPr>
          <w:rFonts w:ascii="宋体" w:hAnsi="宋体" w:eastAsia="宋体" w:cs="宋体"/>
          <w:sz w:val="21"/>
          <w:szCs w:val="21"/>
        </w:rPr>
      </w:pPr>
      <w:r>
        <w:rPr>
          <w:rFonts w:ascii="宋体" w:hAnsi="宋体" w:eastAsia="宋体" w:cs="宋体"/>
          <w:sz w:val="21"/>
          <w:szCs w:val="21"/>
        </w:rPr>
        <w:t>（4）同一投标人提交两个以上不同的投标文件或者投标报价的（但招标文件要求</w:t>
      </w:r>
      <w:r>
        <w:rPr>
          <w:rFonts w:ascii="宋体" w:hAnsi="宋体" w:eastAsia="宋体" w:cs="宋体"/>
          <w:spacing w:val="-1"/>
          <w:sz w:val="21"/>
          <w:szCs w:val="21"/>
        </w:rPr>
        <w:t>提交备选投标的除外</w:t>
      </w:r>
      <w:r>
        <w:rPr>
          <w:rFonts w:ascii="宋体" w:hAnsi="宋体" w:eastAsia="宋体" w:cs="宋体"/>
          <w:spacing w:val="-54"/>
          <w:w w:val="97"/>
          <w:sz w:val="21"/>
          <w:szCs w:val="21"/>
        </w:rPr>
        <w:t>）；</w:t>
      </w:r>
    </w:p>
    <w:p w14:paraId="5611537A">
      <w:pPr>
        <w:spacing w:before="178" w:line="219" w:lineRule="auto"/>
        <w:ind w:left="868"/>
        <w:rPr>
          <w:rFonts w:ascii="宋体" w:hAnsi="宋体" w:eastAsia="宋体" w:cs="宋体"/>
          <w:sz w:val="21"/>
          <w:szCs w:val="21"/>
        </w:rPr>
      </w:pPr>
      <w:r>
        <w:rPr>
          <w:rFonts w:ascii="宋体" w:hAnsi="宋体" w:eastAsia="宋体" w:cs="宋体"/>
          <w:spacing w:val="-2"/>
          <w:sz w:val="21"/>
          <w:szCs w:val="21"/>
        </w:rPr>
        <w:t>（5）未按照招标文件的要求报送应有的投标报价表格的；</w:t>
      </w:r>
    </w:p>
    <w:p w14:paraId="6F53023E">
      <w:pPr>
        <w:spacing w:before="181" w:line="221" w:lineRule="auto"/>
        <w:ind w:left="868"/>
        <w:rPr>
          <w:rFonts w:ascii="宋体" w:hAnsi="宋体" w:eastAsia="宋体" w:cs="宋体"/>
          <w:sz w:val="21"/>
          <w:szCs w:val="21"/>
        </w:rPr>
      </w:pPr>
      <w:r>
        <w:rPr>
          <w:rFonts w:ascii="宋体" w:hAnsi="宋体" w:eastAsia="宋体" w:cs="宋体"/>
          <w:spacing w:val="-1"/>
          <w:sz w:val="21"/>
          <w:szCs w:val="21"/>
        </w:rPr>
        <w:t>（6）项目经理实名认证未通过的；</w:t>
      </w:r>
    </w:p>
    <w:p w14:paraId="070CB683">
      <w:pPr>
        <w:spacing w:before="177" w:line="221" w:lineRule="auto"/>
        <w:ind w:left="868"/>
        <w:rPr>
          <w:rFonts w:ascii="宋体" w:hAnsi="宋体" w:eastAsia="宋体" w:cs="宋体"/>
          <w:sz w:val="21"/>
          <w:szCs w:val="21"/>
        </w:rPr>
      </w:pPr>
      <w:r>
        <w:rPr>
          <w:rFonts w:ascii="宋体" w:hAnsi="宋体" w:eastAsia="宋体" w:cs="宋体"/>
          <w:spacing w:val="-2"/>
          <w:sz w:val="21"/>
          <w:szCs w:val="21"/>
        </w:rPr>
        <w:t>（7）法定代表人或授权委托人未完成实名认证的；</w:t>
      </w:r>
    </w:p>
    <w:p w14:paraId="61E23625">
      <w:pPr>
        <w:spacing w:before="179" w:line="221" w:lineRule="auto"/>
        <w:ind w:left="868"/>
        <w:rPr>
          <w:rFonts w:ascii="宋体" w:hAnsi="宋体" w:eastAsia="宋体" w:cs="宋体"/>
          <w:sz w:val="21"/>
          <w:szCs w:val="21"/>
        </w:rPr>
      </w:pPr>
      <w:r>
        <w:rPr>
          <w:rFonts w:ascii="宋体" w:hAnsi="宋体" w:eastAsia="宋体" w:cs="宋体"/>
          <w:spacing w:val="-2"/>
          <w:sz w:val="21"/>
          <w:szCs w:val="21"/>
        </w:rPr>
        <w:t>（8）未按招标文件要求编制技术标（暗标）投标文件的；</w:t>
      </w:r>
    </w:p>
    <w:p w14:paraId="482F0612">
      <w:pPr>
        <w:spacing w:before="178" w:line="221" w:lineRule="auto"/>
        <w:ind w:left="868"/>
        <w:rPr>
          <w:rFonts w:ascii="宋体" w:hAnsi="宋体" w:eastAsia="宋体" w:cs="宋体"/>
          <w:sz w:val="21"/>
          <w:szCs w:val="21"/>
        </w:rPr>
      </w:pPr>
      <w:r>
        <w:rPr>
          <w:rFonts w:ascii="宋体" w:hAnsi="宋体" w:eastAsia="宋体" w:cs="宋体"/>
          <w:spacing w:val="-2"/>
          <w:sz w:val="21"/>
          <w:szCs w:val="21"/>
        </w:rPr>
        <w:t>（9）投标人资质条件不符合国家规定和招标文件要求的；</w:t>
      </w:r>
    </w:p>
    <w:p w14:paraId="220A2857">
      <w:pPr>
        <w:spacing w:before="182" w:line="299" w:lineRule="auto"/>
        <w:ind w:left="21" w:right="331" w:firstLine="847"/>
        <w:rPr>
          <w:rFonts w:ascii="宋体" w:hAnsi="宋体" w:eastAsia="宋体" w:cs="宋体"/>
          <w:sz w:val="21"/>
          <w:szCs w:val="21"/>
        </w:rPr>
      </w:pPr>
      <w:r>
        <w:rPr>
          <w:rFonts w:ascii="宋体" w:hAnsi="宋体" w:eastAsia="宋体" w:cs="宋体"/>
          <w:spacing w:val="2"/>
          <w:sz w:val="21"/>
          <w:szCs w:val="21"/>
        </w:rPr>
        <w:t>（10）项目负责人资格不符合招标文件规定的专业等级要求，或已在其他在建工</w:t>
      </w:r>
      <w:r>
        <w:rPr>
          <w:rFonts w:ascii="宋体" w:hAnsi="宋体" w:eastAsia="宋体" w:cs="宋体"/>
          <w:sz w:val="21"/>
          <w:szCs w:val="21"/>
        </w:rPr>
        <w:t>程担任项目经理（同一工程相邻分段发包或者分期施工的</w:t>
      </w:r>
      <w:r>
        <w:rPr>
          <w:rFonts w:ascii="宋体" w:hAnsi="宋体" w:eastAsia="宋体" w:cs="宋体"/>
          <w:spacing w:val="-1"/>
          <w:sz w:val="21"/>
          <w:szCs w:val="21"/>
        </w:rPr>
        <w:t>除外</w:t>
      </w:r>
      <w:r>
        <w:rPr>
          <w:rFonts w:ascii="宋体" w:hAnsi="宋体" w:eastAsia="宋体" w:cs="宋体"/>
          <w:spacing w:val="-54"/>
          <w:w w:val="97"/>
          <w:sz w:val="21"/>
          <w:szCs w:val="21"/>
        </w:rPr>
        <w:t>）；</w:t>
      </w:r>
    </w:p>
    <w:p w14:paraId="6E7862C7">
      <w:pPr>
        <w:spacing w:before="179" w:line="234" w:lineRule="auto"/>
        <w:ind w:left="868"/>
        <w:rPr>
          <w:rFonts w:ascii="宋体" w:hAnsi="宋体" w:eastAsia="宋体" w:cs="宋体"/>
          <w:sz w:val="21"/>
          <w:szCs w:val="21"/>
        </w:rPr>
      </w:pPr>
      <w:r>
        <w:rPr>
          <w:rFonts w:ascii="宋体" w:hAnsi="宋体" w:eastAsia="宋体" w:cs="宋体"/>
          <w:spacing w:val="-2"/>
          <w:sz w:val="21"/>
          <w:szCs w:val="21"/>
        </w:rPr>
        <w:t>（11）不具有投标人须知第</w:t>
      </w:r>
      <w:r>
        <w:rPr>
          <w:rFonts w:ascii="宋体" w:hAnsi="宋体" w:eastAsia="宋体" w:cs="宋体"/>
          <w:spacing w:val="-19"/>
          <w:sz w:val="21"/>
          <w:szCs w:val="21"/>
        </w:rPr>
        <w:t xml:space="preserve"> </w:t>
      </w:r>
      <w:r>
        <w:rPr>
          <w:rFonts w:ascii="Times New Roman" w:hAnsi="Times New Roman" w:eastAsia="Times New Roman" w:cs="Times New Roman"/>
          <w:spacing w:val="-2"/>
          <w:sz w:val="21"/>
          <w:szCs w:val="21"/>
        </w:rPr>
        <w:t>1.4.3</w:t>
      </w: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）至（</w:t>
      </w:r>
      <w:r>
        <w:rPr>
          <w:rFonts w:ascii="Times New Roman" w:hAnsi="Times New Roman" w:eastAsia="Times New Roman" w:cs="Times New Roman"/>
          <w:spacing w:val="-2"/>
          <w:sz w:val="21"/>
          <w:szCs w:val="21"/>
        </w:rPr>
        <w:t>16</w:t>
      </w:r>
      <w:r>
        <w:rPr>
          <w:rFonts w:ascii="宋体" w:hAnsi="宋体" w:eastAsia="宋体" w:cs="宋体"/>
          <w:spacing w:val="-2"/>
          <w:sz w:val="21"/>
          <w:szCs w:val="21"/>
        </w:rPr>
        <w:t>）条目规定的情形；</w:t>
      </w:r>
    </w:p>
    <w:p w14:paraId="14B030DA">
      <w:pPr>
        <w:spacing w:before="162" w:line="221" w:lineRule="auto"/>
        <w:ind w:left="868"/>
        <w:rPr>
          <w:rFonts w:ascii="宋体" w:hAnsi="宋体" w:eastAsia="宋体" w:cs="宋体"/>
          <w:sz w:val="21"/>
          <w:szCs w:val="21"/>
        </w:rPr>
      </w:pPr>
      <w:r>
        <w:rPr>
          <w:rFonts w:ascii="宋体" w:hAnsi="宋体" w:eastAsia="宋体" w:cs="宋体"/>
          <w:spacing w:val="-2"/>
          <w:sz w:val="21"/>
          <w:szCs w:val="21"/>
        </w:rPr>
        <w:t>（12）未按招标文件要求提交投标保证金的；</w:t>
      </w:r>
    </w:p>
    <w:p w14:paraId="1105E8C6">
      <w:pPr>
        <w:spacing w:before="179" w:line="299" w:lineRule="auto"/>
        <w:ind w:left="24" w:right="327" w:firstLine="844"/>
        <w:rPr>
          <w:rFonts w:ascii="宋体" w:hAnsi="宋体" w:eastAsia="宋体" w:cs="宋体"/>
          <w:sz w:val="21"/>
          <w:szCs w:val="21"/>
        </w:rPr>
      </w:pPr>
      <w:r>
        <w:rPr>
          <w:rFonts w:ascii="宋体" w:hAnsi="宋体" w:eastAsia="宋体" w:cs="宋体"/>
          <w:spacing w:val="3"/>
          <w:sz w:val="21"/>
          <w:szCs w:val="21"/>
        </w:rPr>
        <w:t>（13）投标人填写的清单编码、清单名称、</w:t>
      </w:r>
      <w:r>
        <w:rPr>
          <w:rFonts w:ascii="宋体" w:hAnsi="宋体" w:eastAsia="宋体" w:cs="宋体"/>
          <w:spacing w:val="2"/>
          <w:sz w:val="21"/>
          <w:szCs w:val="21"/>
        </w:rPr>
        <w:t>项目特征、计量单位、工程量与招标</w:t>
      </w:r>
      <w:r>
        <w:rPr>
          <w:rFonts w:ascii="宋体" w:hAnsi="宋体" w:eastAsia="宋体" w:cs="宋体"/>
          <w:spacing w:val="-1"/>
          <w:sz w:val="21"/>
          <w:szCs w:val="21"/>
        </w:rPr>
        <w:t>文件给定的工程量清单不一致的；</w:t>
      </w:r>
    </w:p>
    <w:p w14:paraId="443A9F23">
      <w:pPr>
        <w:spacing w:before="182" w:line="219" w:lineRule="auto"/>
        <w:ind w:left="868"/>
        <w:rPr>
          <w:rFonts w:ascii="宋体" w:hAnsi="宋体" w:eastAsia="宋体" w:cs="宋体"/>
          <w:sz w:val="21"/>
          <w:szCs w:val="21"/>
        </w:rPr>
      </w:pPr>
      <w:r>
        <w:rPr>
          <w:rFonts w:ascii="宋体" w:hAnsi="宋体" w:eastAsia="宋体" w:cs="宋体"/>
          <w:spacing w:val="3"/>
          <w:sz w:val="21"/>
          <w:szCs w:val="21"/>
        </w:rPr>
        <w:t>（14）投标人修改招标文件给定的工程量清单</w:t>
      </w:r>
      <w:r>
        <w:rPr>
          <w:rFonts w:ascii="宋体" w:hAnsi="宋体" w:eastAsia="宋体" w:cs="宋体"/>
          <w:spacing w:val="2"/>
          <w:sz w:val="21"/>
          <w:szCs w:val="21"/>
        </w:rPr>
        <w:t>中所列价格（包括暂列金额、材料</w:t>
      </w:r>
    </w:p>
    <w:p w14:paraId="0F822200">
      <w:pPr>
        <w:spacing w:line="219" w:lineRule="auto"/>
        <w:rPr>
          <w:rFonts w:ascii="宋体" w:hAnsi="宋体" w:eastAsia="宋体" w:cs="宋体"/>
          <w:sz w:val="21"/>
          <w:szCs w:val="21"/>
        </w:rPr>
        <w:sectPr>
          <w:footerReference r:id="rId61" w:type="default"/>
          <w:pgSz w:w="11905" w:h="16843"/>
          <w:pgMar w:top="969" w:right="1355" w:bottom="1026" w:left="1480" w:header="0" w:footer="754" w:gutter="0"/>
          <w:cols w:space="0" w:num="1"/>
          <w:rtlGutter w:val="0"/>
          <w:docGrid w:linePitch="0" w:charSpace="0"/>
        </w:sectPr>
      </w:pPr>
    </w:p>
    <w:p w14:paraId="6374EBA7">
      <w:pPr>
        <w:pStyle w:val="5"/>
        <w:spacing w:line="281" w:lineRule="auto"/>
      </w:pPr>
    </w:p>
    <w:p w14:paraId="79C3CC5F">
      <w:pPr>
        <w:pStyle w:val="5"/>
        <w:spacing w:line="282" w:lineRule="auto"/>
      </w:pPr>
    </w:p>
    <w:p w14:paraId="35A5D122">
      <w:pPr>
        <w:pStyle w:val="5"/>
        <w:spacing w:line="282" w:lineRule="auto"/>
      </w:pPr>
    </w:p>
    <w:p w14:paraId="6F17C7FA">
      <w:pPr>
        <w:pStyle w:val="5"/>
        <w:spacing w:line="282" w:lineRule="auto"/>
      </w:pPr>
    </w:p>
    <w:p w14:paraId="0A9659AE">
      <w:pPr>
        <w:spacing w:before="68" w:line="219" w:lineRule="auto"/>
        <w:ind w:left="29"/>
        <w:rPr>
          <w:rFonts w:ascii="宋体" w:hAnsi="宋体" w:eastAsia="宋体" w:cs="宋体"/>
          <w:sz w:val="21"/>
          <w:szCs w:val="21"/>
        </w:rPr>
      </w:pPr>
      <w:bookmarkStart w:id="152" w:name="bookmark519"/>
      <w:bookmarkEnd w:id="152"/>
      <w:r>
        <w:rPr>
          <w:rFonts w:ascii="宋体" w:hAnsi="宋体" w:eastAsia="宋体" w:cs="宋体"/>
          <w:spacing w:val="-1"/>
          <w:sz w:val="21"/>
          <w:szCs w:val="21"/>
        </w:rPr>
        <w:t>暂估价、专业工程暂估价、招标人供应材料价等）的；</w:t>
      </w:r>
    </w:p>
    <w:p w14:paraId="77FC7272">
      <w:pPr>
        <w:spacing w:before="179" w:line="221" w:lineRule="auto"/>
        <w:ind w:left="868"/>
        <w:rPr>
          <w:rFonts w:ascii="宋体" w:hAnsi="宋体" w:eastAsia="宋体" w:cs="宋体"/>
          <w:sz w:val="21"/>
          <w:szCs w:val="21"/>
        </w:rPr>
      </w:pPr>
      <w:r>
        <w:rPr>
          <w:rFonts w:ascii="宋体" w:hAnsi="宋体" w:eastAsia="宋体" w:cs="宋体"/>
          <w:spacing w:val="-3"/>
          <w:sz w:val="21"/>
          <w:szCs w:val="21"/>
        </w:rPr>
        <w:t>（15）工期未响应招标文件规定的；</w:t>
      </w:r>
    </w:p>
    <w:p w14:paraId="23CB60E2">
      <w:pPr>
        <w:spacing w:before="178" w:line="219" w:lineRule="auto"/>
        <w:ind w:left="868"/>
        <w:rPr>
          <w:rFonts w:ascii="宋体" w:hAnsi="宋体" w:eastAsia="宋体" w:cs="宋体"/>
          <w:sz w:val="21"/>
          <w:szCs w:val="21"/>
        </w:rPr>
      </w:pPr>
      <w:r>
        <w:rPr>
          <w:rFonts w:ascii="宋体" w:hAnsi="宋体" w:eastAsia="宋体" w:cs="宋体"/>
          <w:spacing w:val="-2"/>
          <w:sz w:val="21"/>
          <w:szCs w:val="21"/>
        </w:rPr>
        <w:t>（16）投标人不接受算术错误修正后的报价；</w:t>
      </w:r>
    </w:p>
    <w:p w14:paraId="760912BF">
      <w:pPr>
        <w:spacing w:before="182" w:line="219" w:lineRule="auto"/>
        <w:ind w:left="868"/>
        <w:rPr>
          <w:rFonts w:ascii="宋体" w:hAnsi="宋体" w:eastAsia="宋体" w:cs="宋体"/>
          <w:sz w:val="21"/>
          <w:szCs w:val="21"/>
        </w:rPr>
      </w:pPr>
      <w:r>
        <w:rPr>
          <w:rFonts w:ascii="宋体" w:hAnsi="宋体" w:eastAsia="宋体" w:cs="宋体"/>
          <w:spacing w:val="-1"/>
          <w:sz w:val="21"/>
          <w:szCs w:val="21"/>
        </w:rPr>
        <w:t>（17）投标报价（含修正后）高于招标文件设定的最高投</w:t>
      </w:r>
      <w:r>
        <w:rPr>
          <w:rFonts w:ascii="宋体" w:hAnsi="宋体" w:eastAsia="宋体" w:cs="宋体"/>
          <w:spacing w:val="-2"/>
          <w:sz w:val="21"/>
          <w:szCs w:val="21"/>
        </w:rPr>
        <w:t>标价的；</w:t>
      </w:r>
    </w:p>
    <w:p w14:paraId="2C788114">
      <w:pPr>
        <w:spacing w:before="180" w:line="221" w:lineRule="auto"/>
        <w:ind w:left="868"/>
        <w:rPr>
          <w:rFonts w:ascii="宋体" w:hAnsi="宋体" w:eastAsia="宋体" w:cs="宋体"/>
          <w:sz w:val="21"/>
          <w:szCs w:val="21"/>
        </w:rPr>
      </w:pPr>
      <w:r>
        <w:rPr>
          <w:rFonts w:ascii="宋体" w:hAnsi="宋体" w:eastAsia="宋体" w:cs="宋体"/>
          <w:spacing w:val="-2"/>
          <w:sz w:val="21"/>
          <w:szCs w:val="21"/>
        </w:rPr>
        <w:t>（18）质量标准不满足招标文件规定的；</w:t>
      </w:r>
    </w:p>
    <w:p w14:paraId="452D6396">
      <w:pPr>
        <w:spacing w:before="179" w:line="221" w:lineRule="auto"/>
        <w:ind w:left="868"/>
        <w:rPr>
          <w:rFonts w:ascii="宋体" w:hAnsi="宋体" w:eastAsia="宋体" w:cs="宋体"/>
          <w:sz w:val="21"/>
          <w:szCs w:val="21"/>
        </w:rPr>
      </w:pPr>
      <w:r>
        <w:rPr>
          <w:rFonts w:ascii="宋体" w:hAnsi="宋体" w:eastAsia="宋体" w:cs="宋体"/>
          <w:spacing w:val="-1"/>
          <w:sz w:val="21"/>
          <w:szCs w:val="21"/>
        </w:rPr>
        <w:t>（19）投标有效期不符合招标文件规定的；</w:t>
      </w:r>
    </w:p>
    <w:p w14:paraId="5CDE1D2B">
      <w:pPr>
        <w:spacing w:before="178" w:line="221" w:lineRule="auto"/>
        <w:ind w:left="868"/>
        <w:rPr>
          <w:rFonts w:ascii="宋体" w:hAnsi="宋体" w:eastAsia="宋体" w:cs="宋体"/>
          <w:sz w:val="21"/>
          <w:szCs w:val="21"/>
        </w:rPr>
      </w:pPr>
      <w:r>
        <w:rPr>
          <w:rFonts w:ascii="宋体" w:hAnsi="宋体" w:eastAsia="宋体" w:cs="宋体"/>
          <w:spacing w:val="-1"/>
          <w:sz w:val="21"/>
          <w:szCs w:val="21"/>
        </w:rPr>
        <w:t>（20）权利义务承诺不符合或低于招标文件规定的；</w:t>
      </w:r>
    </w:p>
    <w:p w14:paraId="66A4337E">
      <w:pPr>
        <w:spacing w:before="178" w:line="221" w:lineRule="auto"/>
        <w:ind w:left="868"/>
        <w:rPr>
          <w:rFonts w:ascii="宋体" w:hAnsi="宋体" w:eastAsia="宋体" w:cs="宋体"/>
          <w:sz w:val="21"/>
          <w:szCs w:val="21"/>
        </w:rPr>
      </w:pPr>
      <w:r>
        <w:rPr>
          <w:rFonts w:ascii="宋体" w:hAnsi="宋体" w:eastAsia="宋体" w:cs="宋体"/>
          <w:spacing w:val="-1"/>
          <w:sz w:val="21"/>
          <w:szCs w:val="21"/>
        </w:rPr>
        <w:t>（21）技术标准和要求不符合招标文件规定的；</w:t>
      </w:r>
    </w:p>
    <w:p w14:paraId="35ADC713">
      <w:pPr>
        <w:spacing w:before="179" w:line="221" w:lineRule="auto"/>
        <w:ind w:left="868"/>
        <w:rPr>
          <w:rFonts w:ascii="宋体" w:hAnsi="宋体" w:eastAsia="宋体" w:cs="宋体"/>
          <w:sz w:val="21"/>
          <w:szCs w:val="21"/>
        </w:rPr>
      </w:pPr>
      <w:r>
        <w:rPr>
          <w:rFonts w:ascii="宋体" w:hAnsi="宋体" w:eastAsia="宋体" w:cs="宋体"/>
          <w:spacing w:val="-2"/>
          <w:sz w:val="21"/>
          <w:szCs w:val="21"/>
        </w:rPr>
        <w:t>（22）分包计划不符合招标文件规定的。</w:t>
      </w:r>
    </w:p>
    <w:p w14:paraId="6ECE77C5">
      <w:pPr>
        <w:spacing w:before="181" w:line="234"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2.2 </w:t>
      </w:r>
      <w:r>
        <w:rPr>
          <w:rFonts w:ascii="宋体" w:hAnsi="宋体" w:eastAsia="宋体" w:cs="宋体"/>
          <w:spacing w:val="-1"/>
          <w:sz w:val="21"/>
          <w:szCs w:val="21"/>
        </w:rPr>
        <w:t>不按评标委员会要求澄清、说明或补正的。</w:t>
      </w:r>
    </w:p>
    <w:p w14:paraId="11E919EE">
      <w:pPr>
        <w:spacing w:before="163" w:line="234" w:lineRule="auto"/>
        <w:ind w:left="438"/>
        <w:rPr>
          <w:rFonts w:ascii="宋体" w:hAnsi="宋体" w:eastAsia="宋体" w:cs="宋体"/>
          <w:sz w:val="21"/>
          <w:szCs w:val="21"/>
        </w:rPr>
      </w:pPr>
      <w:r>
        <w:rPr>
          <w:rFonts w:ascii="Times New Roman" w:hAnsi="Times New Roman" w:eastAsia="Times New Roman" w:cs="Times New Roman"/>
          <w:sz w:val="21"/>
          <w:szCs w:val="21"/>
        </w:rPr>
        <w:t xml:space="preserve">2.3 </w:t>
      </w:r>
      <w:r>
        <w:rPr>
          <w:rFonts w:ascii="宋体" w:hAnsi="宋体" w:eastAsia="宋体" w:cs="宋体"/>
          <w:sz w:val="21"/>
          <w:szCs w:val="21"/>
        </w:rPr>
        <w:t>有串通投标、弄虚作假或有其他违法行为的。包括以下内容：</w:t>
      </w:r>
    </w:p>
    <w:p w14:paraId="1B8AF797">
      <w:pPr>
        <w:spacing w:before="164" w:line="235" w:lineRule="auto"/>
        <w:ind w:left="86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）有下列情形之一的，视为投标人相互串通投标：</w:t>
      </w:r>
    </w:p>
    <w:p w14:paraId="24135D7E">
      <w:pPr>
        <w:spacing w:before="141" w:line="218" w:lineRule="auto"/>
        <w:ind w:left="1073"/>
        <w:rPr>
          <w:rFonts w:ascii="宋体" w:hAnsi="宋体" w:eastAsia="宋体" w:cs="宋体"/>
          <w:sz w:val="21"/>
          <w:szCs w:val="21"/>
        </w:rPr>
      </w:pPr>
      <w:r>
        <w:rPr>
          <w:rFonts w:ascii="宋体" w:hAnsi="宋体" w:eastAsia="宋体" w:cs="宋体"/>
          <w:sz w:val="21"/>
          <w:szCs w:val="21"/>
        </w:rPr>
        <w:t>① 不同投标人的投标文件由同一单位或者</w:t>
      </w:r>
      <w:r>
        <w:rPr>
          <w:rFonts w:ascii="宋体" w:hAnsi="宋体" w:eastAsia="宋体" w:cs="宋体"/>
          <w:spacing w:val="-1"/>
          <w:sz w:val="21"/>
          <w:szCs w:val="21"/>
        </w:rPr>
        <w:t>个人编制；</w:t>
      </w:r>
    </w:p>
    <w:p w14:paraId="41CE1E43">
      <w:pPr>
        <w:spacing w:before="150" w:line="218" w:lineRule="auto"/>
        <w:ind w:left="1072"/>
        <w:rPr>
          <w:rFonts w:ascii="宋体" w:hAnsi="宋体" w:eastAsia="宋体" w:cs="宋体"/>
          <w:sz w:val="21"/>
          <w:szCs w:val="21"/>
        </w:rPr>
      </w:pPr>
      <w:r>
        <w:rPr>
          <w:rFonts w:ascii="宋体" w:hAnsi="宋体" w:eastAsia="宋体" w:cs="宋体"/>
          <w:sz w:val="21"/>
          <w:szCs w:val="21"/>
        </w:rPr>
        <w:t>② 不同投标人委托同一单位或者个人办理投</w:t>
      </w:r>
      <w:r>
        <w:rPr>
          <w:rFonts w:ascii="宋体" w:hAnsi="宋体" w:eastAsia="宋体" w:cs="宋体"/>
          <w:spacing w:val="-1"/>
          <w:sz w:val="21"/>
          <w:szCs w:val="21"/>
        </w:rPr>
        <w:t>标事宜；</w:t>
      </w:r>
    </w:p>
    <w:p w14:paraId="3DE0523D">
      <w:pPr>
        <w:spacing w:before="152" w:line="287" w:lineRule="auto"/>
        <w:ind w:left="23" w:right="10" w:firstLine="1048"/>
        <w:rPr>
          <w:rFonts w:ascii="宋体" w:hAnsi="宋体" w:eastAsia="宋体" w:cs="宋体"/>
          <w:sz w:val="21"/>
          <w:szCs w:val="21"/>
        </w:rPr>
      </w:pPr>
      <w:r>
        <w:rPr>
          <w:rFonts w:ascii="宋体" w:hAnsi="宋体" w:eastAsia="宋体" w:cs="宋体"/>
          <w:sz w:val="21"/>
          <w:szCs w:val="21"/>
        </w:rPr>
        <w:t>③ 不同投标人使用同一电脑等电子设备办理投标事宜（下载招标文件、上传投</w:t>
      </w:r>
      <w:r>
        <w:rPr>
          <w:rFonts w:ascii="宋体" w:hAnsi="宋体" w:eastAsia="宋体" w:cs="宋体"/>
          <w:spacing w:val="-3"/>
          <w:sz w:val="21"/>
          <w:szCs w:val="21"/>
        </w:rPr>
        <w:t>标文件、授权委托人或项目经理实名认证等关键环节</w:t>
      </w:r>
      <w:r>
        <w:rPr>
          <w:rFonts w:ascii="宋体" w:hAnsi="宋体" w:eastAsia="宋体" w:cs="宋体"/>
          <w:spacing w:val="-28"/>
          <w:sz w:val="21"/>
          <w:szCs w:val="21"/>
        </w:rPr>
        <w:t>）；</w:t>
      </w:r>
    </w:p>
    <w:p w14:paraId="566EFEE6">
      <w:pPr>
        <w:spacing w:before="148" w:line="218" w:lineRule="auto"/>
        <w:ind w:left="1072"/>
        <w:rPr>
          <w:rFonts w:ascii="宋体" w:hAnsi="宋体" w:eastAsia="宋体" w:cs="宋体"/>
          <w:sz w:val="21"/>
          <w:szCs w:val="21"/>
        </w:rPr>
      </w:pPr>
      <w:r>
        <w:rPr>
          <w:rFonts w:ascii="宋体" w:hAnsi="宋体" w:eastAsia="宋体" w:cs="宋体"/>
          <w:spacing w:val="-1"/>
          <w:sz w:val="21"/>
          <w:szCs w:val="21"/>
        </w:rPr>
        <w:t>④ 不同投标人的投标文件载明的项目管理成员为同</w:t>
      </w:r>
      <w:r>
        <w:rPr>
          <w:rFonts w:ascii="宋体" w:hAnsi="宋体" w:eastAsia="宋体" w:cs="宋体"/>
          <w:spacing w:val="-2"/>
          <w:sz w:val="21"/>
          <w:szCs w:val="21"/>
        </w:rPr>
        <w:t>一人；</w:t>
      </w:r>
    </w:p>
    <w:p w14:paraId="6E1B43C9">
      <w:pPr>
        <w:spacing w:before="153" w:line="218" w:lineRule="auto"/>
        <w:ind w:left="1072"/>
        <w:rPr>
          <w:rFonts w:ascii="宋体" w:hAnsi="宋体" w:eastAsia="宋体" w:cs="宋体"/>
          <w:sz w:val="21"/>
          <w:szCs w:val="21"/>
        </w:rPr>
      </w:pPr>
      <w:r>
        <w:rPr>
          <w:rFonts w:ascii="宋体" w:hAnsi="宋体" w:eastAsia="宋体" w:cs="宋体"/>
          <w:spacing w:val="-1"/>
          <w:sz w:val="21"/>
          <w:szCs w:val="21"/>
        </w:rPr>
        <w:t>⑤ 不同投标人的投标文件非典型一致或者投标报价呈规律性差异；</w:t>
      </w:r>
    </w:p>
    <w:p w14:paraId="48A7DCEC">
      <w:pPr>
        <w:spacing w:before="152" w:line="218" w:lineRule="auto"/>
        <w:ind w:left="1072"/>
        <w:rPr>
          <w:rFonts w:ascii="宋体" w:hAnsi="宋体" w:eastAsia="宋体" w:cs="宋体"/>
          <w:sz w:val="21"/>
          <w:szCs w:val="21"/>
        </w:rPr>
      </w:pPr>
      <w:r>
        <w:rPr>
          <w:rFonts w:ascii="宋体" w:hAnsi="宋体" w:eastAsia="宋体" w:cs="宋体"/>
          <w:spacing w:val="-2"/>
          <w:sz w:val="21"/>
          <w:szCs w:val="21"/>
        </w:rPr>
        <w:t>⑥ 不同投标人的投标文件相互混装；</w:t>
      </w:r>
    </w:p>
    <w:p w14:paraId="23A86C23">
      <w:pPr>
        <w:spacing w:before="150" w:line="287" w:lineRule="auto"/>
        <w:ind w:left="23" w:right="10" w:firstLine="1048"/>
        <w:rPr>
          <w:rFonts w:ascii="宋体" w:hAnsi="宋体" w:eastAsia="宋体" w:cs="宋体"/>
          <w:sz w:val="21"/>
          <w:szCs w:val="21"/>
        </w:rPr>
      </w:pPr>
      <w:r>
        <w:rPr>
          <w:rFonts w:ascii="宋体" w:hAnsi="宋体" w:eastAsia="宋体" w:cs="宋体"/>
          <w:sz w:val="21"/>
          <w:szCs w:val="21"/>
        </w:rPr>
        <w:t>⑦ 不同投标人的投标保证金或保函（保险）财务费用从同一单位或者个人的账</w:t>
      </w:r>
      <w:r>
        <w:rPr>
          <w:rFonts w:ascii="宋体" w:hAnsi="宋体" w:eastAsia="宋体" w:cs="宋体"/>
          <w:spacing w:val="-2"/>
          <w:sz w:val="21"/>
          <w:szCs w:val="21"/>
        </w:rPr>
        <w:t>户转出；</w:t>
      </w:r>
    </w:p>
    <w:p w14:paraId="2EB83BDE">
      <w:pPr>
        <w:spacing w:before="149" w:line="285" w:lineRule="auto"/>
        <w:ind w:left="21" w:right="11" w:firstLine="1050"/>
        <w:rPr>
          <w:rFonts w:ascii="宋体" w:hAnsi="宋体" w:eastAsia="宋体" w:cs="宋体"/>
          <w:sz w:val="21"/>
          <w:szCs w:val="21"/>
        </w:rPr>
      </w:pPr>
      <w:r>
        <w:rPr>
          <w:rFonts w:ascii="宋体" w:hAnsi="宋体" w:eastAsia="宋体" w:cs="宋体"/>
          <w:spacing w:val="-10"/>
          <w:sz w:val="21"/>
          <w:szCs w:val="21"/>
        </w:rPr>
        <w:t>⑧ 不同投标人的投标文件存在“</w:t>
      </w:r>
      <w:r>
        <w:rPr>
          <w:rFonts w:ascii="Times New Roman" w:hAnsi="Times New Roman" w:eastAsia="Times New Roman" w:cs="Times New Roman"/>
          <w:spacing w:val="-10"/>
          <w:sz w:val="21"/>
          <w:szCs w:val="21"/>
        </w:rPr>
        <w:t xml:space="preserve">MAC  </w:t>
      </w:r>
      <w:r>
        <w:rPr>
          <w:rFonts w:ascii="宋体" w:hAnsi="宋体" w:eastAsia="宋体" w:cs="宋体"/>
          <w:spacing w:val="-10"/>
          <w:sz w:val="21"/>
          <w:szCs w:val="21"/>
        </w:rPr>
        <w:t>地址</w:t>
      </w:r>
      <w:r>
        <w:rPr>
          <w:rFonts w:ascii="宋体" w:hAnsi="宋体" w:eastAsia="宋体" w:cs="宋体"/>
          <w:spacing w:val="-75"/>
          <w:sz w:val="21"/>
          <w:szCs w:val="21"/>
        </w:rPr>
        <w:t xml:space="preserve"> </w:t>
      </w:r>
      <w:r>
        <w:rPr>
          <w:rFonts w:ascii="宋体" w:hAnsi="宋体" w:eastAsia="宋体" w:cs="宋体"/>
          <w:spacing w:val="-10"/>
          <w:sz w:val="21"/>
          <w:szCs w:val="21"/>
        </w:rPr>
        <w:t>”、“文件创建标</w:t>
      </w:r>
      <w:r>
        <w:rPr>
          <w:rFonts w:ascii="宋体" w:hAnsi="宋体" w:eastAsia="宋体" w:cs="宋体"/>
          <w:spacing w:val="-11"/>
          <w:sz w:val="21"/>
          <w:szCs w:val="21"/>
        </w:rPr>
        <w:t>识码”、“文件制作</w:t>
      </w:r>
      <w:r>
        <w:rPr>
          <w:rFonts w:ascii="宋体" w:hAnsi="宋体" w:eastAsia="宋体" w:cs="宋体"/>
          <w:spacing w:val="-2"/>
          <w:sz w:val="21"/>
          <w:szCs w:val="21"/>
        </w:rPr>
        <w:t>机器码”等唯一性标识一致等情形。</w:t>
      </w:r>
    </w:p>
    <w:p w14:paraId="49363455">
      <w:pPr>
        <w:spacing w:before="173" w:line="234" w:lineRule="auto"/>
        <w:ind w:left="86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）有下列情形之一的，属于弄虚作假行为：</w:t>
      </w:r>
    </w:p>
    <w:p w14:paraId="33A58700">
      <w:pPr>
        <w:spacing w:before="142" w:line="287" w:lineRule="auto"/>
        <w:ind w:left="25" w:right="10" w:firstLine="1047"/>
        <w:rPr>
          <w:rFonts w:ascii="宋体" w:hAnsi="宋体" w:eastAsia="宋体" w:cs="宋体"/>
          <w:sz w:val="21"/>
          <w:szCs w:val="21"/>
        </w:rPr>
      </w:pPr>
      <w:r>
        <w:rPr>
          <w:rFonts w:ascii="宋体" w:hAnsi="宋体" w:eastAsia="宋体" w:cs="宋体"/>
          <w:sz w:val="21"/>
          <w:szCs w:val="21"/>
        </w:rPr>
        <w:t>① 使用通过受让或者租借等方式获取的资格、资质证书投标的，即以他人名义</w:t>
      </w:r>
      <w:r>
        <w:rPr>
          <w:rFonts w:ascii="宋体" w:hAnsi="宋体" w:eastAsia="宋体" w:cs="宋体"/>
          <w:spacing w:val="-2"/>
          <w:sz w:val="21"/>
          <w:szCs w:val="21"/>
        </w:rPr>
        <w:t>投标的。</w:t>
      </w:r>
    </w:p>
    <w:p w14:paraId="1BB84606">
      <w:pPr>
        <w:spacing w:before="149" w:line="218" w:lineRule="auto"/>
        <w:ind w:left="1072"/>
        <w:rPr>
          <w:rFonts w:ascii="宋体" w:hAnsi="宋体" w:eastAsia="宋体" w:cs="宋体"/>
          <w:sz w:val="21"/>
          <w:szCs w:val="21"/>
        </w:rPr>
      </w:pPr>
      <w:r>
        <w:rPr>
          <w:rFonts w:ascii="宋体" w:hAnsi="宋体" w:eastAsia="宋体" w:cs="宋体"/>
          <w:spacing w:val="-3"/>
          <w:sz w:val="21"/>
          <w:szCs w:val="21"/>
        </w:rPr>
        <w:t>② 使用伪造、变造的许可证件；</w:t>
      </w:r>
    </w:p>
    <w:p w14:paraId="7059853F">
      <w:pPr>
        <w:spacing w:before="150" w:line="218" w:lineRule="auto"/>
        <w:ind w:left="1072"/>
        <w:rPr>
          <w:rFonts w:ascii="宋体" w:hAnsi="宋体" w:eastAsia="宋体" w:cs="宋体"/>
          <w:sz w:val="21"/>
          <w:szCs w:val="21"/>
        </w:rPr>
      </w:pPr>
      <w:r>
        <w:rPr>
          <w:rFonts w:ascii="宋体" w:hAnsi="宋体" w:eastAsia="宋体" w:cs="宋体"/>
          <w:spacing w:val="-1"/>
          <w:sz w:val="21"/>
          <w:szCs w:val="21"/>
        </w:rPr>
        <w:t>③ 提供虚假的财务状况或者业绩；</w:t>
      </w:r>
    </w:p>
    <w:p w14:paraId="0D97BE4A">
      <w:pPr>
        <w:spacing w:before="153" w:line="218" w:lineRule="auto"/>
        <w:ind w:left="1072"/>
        <w:rPr>
          <w:rFonts w:ascii="宋体" w:hAnsi="宋体" w:eastAsia="宋体" w:cs="宋体"/>
          <w:sz w:val="21"/>
          <w:szCs w:val="21"/>
        </w:rPr>
      </w:pPr>
      <w:r>
        <w:rPr>
          <w:rFonts w:ascii="宋体" w:hAnsi="宋体" w:eastAsia="宋体" w:cs="宋体"/>
          <w:spacing w:val="-1"/>
          <w:sz w:val="21"/>
          <w:szCs w:val="21"/>
        </w:rPr>
        <w:t>④ 提供虚假的项目负责人或者主要技术人员简历、社会保险证明；</w:t>
      </w:r>
    </w:p>
    <w:p w14:paraId="19397F4A">
      <w:pPr>
        <w:spacing w:before="153" w:line="218" w:lineRule="auto"/>
        <w:ind w:left="1072"/>
        <w:rPr>
          <w:rFonts w:ascii="宋体" w:hAnsi="宋体" w:eastAsia="宋体" w:cs="宋体"/>
          <w:sz w:val="21"/>
          <w:szCs w:val="21"/>
        </w:rPr>
      </w:pPr>
      <w:r>
        <w:rPr>
          <w:rFonts w:ascii="宋体" w:hAnsi="宋体" w:eastAsia="宋体" w:cs="宋体"/>
          <w:spacing w:val="-1"/>
          <w:sz w:val="21"/>
          <w:szCs w:val="21"/>
        </w:rPr>
        <w:t>⑤ 提供虚假的信用状况；</w:t>
      </w:r>
    </w:p>
    <w:p w14:paraId="4F0D9D21">
      <w:pPr>
        <w:spacing w:before="151" w:line="218" w:lineRule="auto"/>
        <w:ind w:left="1072"/>
        <w:rPr>
          <w:rFonts w:ascii="宋体" w:hAnsi="宋体" w:eastAsia="宋体" w:cs="宋体"/>
          <w:sz w:val="21"/>
          <w:szCs w:val="21"/>
        </w:rPr>
      </w:pPr>
      <w:r>
        <w:rPr>
          <w:rFonts w:ascii="宋体" w:hAnsi="宋体" w:eastAsia="宋体" w:cs="宋体"/>
          <w:spacing w:val="-1"/>
          <w:sz w:val="21"/>
          <w:szCs w:val="21"/>
        </w:rPr>
        <w:t>⑥ 其他弄虚作假的行为。</w:t>
      </w:r>
    </w:p>
    <w:p w14:paraId="7E01079E">
      <w:pPr>
        <w:spacing w:before="173" w:line="220" w:lineRule="auto"/>
        <w:ind w:left="445"/>
        <w:rPr>
          <w:rFonts w:ascii="宋体" w:hAnsi="宋体" w:eastAsia="宋体" w:cs="宋体"/>
          <w:sz w:val="21"/>
          <w:szCs w:val="21"/>
        </w:rPr>
      </w:pPr>
      <w:r>
        <w:rPr>
          <w:rFonts w:ascii="宋体" w:hAnsi="宋体" w:eastAsia="宋体" w:cs="宋体"/>
          <w:spacing w:val="-2"/>
          <w:sz w:val="21"/>
          <w:szCs w:val="21"/>
        </w:rPr>
        <w:t>2.4</w:t>
      </w:r>
      <w:r>
        <w:rPr>
          <w:rFonts w:ascii="宋体" w:hAnsi="宋体" w:eastAsia="宋体" w:cs="宋体"/>
          <w:spacing w:val="-43"/>
          <w:sz w:val="21"/>
          <w:szCs w:val="21"/>
        </w:rPr>
        <w:t xml:space="preserve"> </w:t>
      </w:r>
      <w:r>
        <w:rPr>
          <w:rFonts w:ascii="宋体" w:hAnsi="宋体" w:eastAsia="宋体" w:cs="宋体"/>
          <w:spacing w:val="-2"/>
          <w:sz w:val="21"/>
          <w:szCs w:val="21"/>
        </w:rPr>
        <w:t>有第二章“投标人须知”第</w:t>
      </w:r>
      <w:r>
        <w:rPr>
          <w:rFonts w:ascii="宋体" w:hAnsi="宋体" w:eastAsia="宋体" w:cs="宋体"/>
          <w:spacing w:val="-28"/>
          <w:sz w:val="21"/>
          <w:szCs w:val="21"/>
        </w:rPr>
        <w:t xml:space="preserve"> </w:t>
      </w:r>
      <w:r>
        <w:rPr>
          <w:rFonts w:ascii="宋体" w:hAnsi="宋体" w:eastAsia="宋体" w:cs="宋体"/>
          <w:spacing w:val="-2"/>
          <w:sz w:val="21"/>
          <w:szCs w:val="21"/>
        </w:rPr>
        <w:t>1.4.3</w:t>
      </w:r>
      <w:r>
        <w:rPr>
          <w:rFonts w:ascii="宋体" w:hAnsi="宋体" w:eastAsia="宋体" w:cs="宋体"/>
          <w:spacing w:val="-40"/>
          <w:sz w:val="21"/>
          <w:szCs w:val="21"/>
        </w:rPr>
        <w:t xml:space="preserve"> </w:t>
      </w:r>
      <w:r>
        <w:rPr>
          <w:rFonts w:ascii="宋体" w:hAnsi="宋体" w:eastAsia="宋体" w:cs="宋体"/>
          <w:spacing w:val="-2"/>
          <w:sz w:val="21"/>
          <w:szCs w:val="21"/>
        </w:rPr>
        <w:t>项规定的任何一种情形。包括以下内容：</w:t>
      </w:r>
    </w:p>
    <w:p w14:paraId="79771C28">
      <w:pPr>
        <w:spacing w:before="158" w:line="234" w:lineRule="auto"/>
        <w:ind w:left="343"/>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）为招标人不具有独立法人资格的附属</w:t>
      </w:r>
      <w:r>
        <w:rPr>
          <w:rFonts w:ascii="宋体" w:hAnsi="宋体" w:eastAsia="宋体" w:cs="宋体"/>
          <w:spacing w:val="-4"/>
          <w:sz w:val="21"/>
          <w:szCs w:val="21"/>
        </w:rPr>
        <w:t>机构（单位</w:t>
      </w:r>
      <w:r>
        <w:rPr>
          <w:rFonts w:ascii="宋体" w:hAnsi="宋体" w:eastAsia="宋体" w:cs="宋体"/>
          <w:spacing w:val="-28"/>
          <w:sz w:val="21"/>
          <w:szCs w:val="21"/>
        </w:rPr>
        <w:t>）；</w:t>
      </w:r>
    </w:p>
    <w:p w14:paraId="51316C91">
      <w:pPr>
        <w:spacing w:line="234" w:lineRule="auto"/>
        <w:rPr>
          <w:rFonts w:ascii="宋体" w:hAnsi="宋体" w:eastAsia="宋体" w:cs="宋体"/>
          <w:sz w:val="21"/>
          <w:szCs w:val="21"/>
        </w:rPr>
        <w:sectPr>
          <w:footerReference r:id="rId62" w:type="default"/>
          <w:pgSz w:w="11905" w:h="16843"/>
          <w:pgMar w:top="969" w:right="1355" w:bottom="1026" w:left="1480" w:header="0" w:footer="754" w:gutter="0"/>
          <w:cols w:space="0" w:num="1"/>
          <w:rtlGutter w:val="0"/>
          <w:docGrid w:linePitch="0" w:charSpace="0"/>
        </w:sectPr>
      </w:pPr>
    </w:p>
    <w:p w14:paraId="6BEFCC54">
      <w:pPr>
        <w:pStyle w:val="5"/>
        <w:spacing w:line="276" w:lineRule="auto"/>
      </w:pPr>
    </w:p>
    <w:p w14:paraId="0A6C9B8B">
      <w:pPr>
        <w:pStyle w:val="5"/>
        <w:spacing w:line="276" w:lineRule="auto"/>
      </w:pPr>
    </w:p>
    <w:p w14:paraId="4236720F">
      <w:pPr>
        <w:pStyle w:val="5"/>
        <w:spacing w:line="276" w:lineRule="auto"/>
      </w:pPr>
    </w:p>
    <w:p w14:paraId="124F3370">
      <w:pPr>
        <w:pStyle w:val="5"/>
        <w:spacing w:line="277" w:lineRule="auto"/>
      </w:pPr>
    </w:p>
    <w:p w14:paraId="50598E2F">
      <w:pPr>
        <w:spacing w:before="68" w:line="234" w:lineRule="auto"/>
        <w:ind w:left="343"/>
        <w:rPr>
          <w:rFonts w:ascii="宋体" w:hAnsi="宋体" w:eastAsia="宋体" w:cs="宋体"/>
          <w:sz w:val="21"/>
          <w:szCs w:val="21"/>
        </w:rPr>
      </w:pPr>
      <w:bookmarkStart w:id="153" w:name="bookmark520"/>
      <w:bookmarkEnd w:id="153"/>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）为本标段前期准备提供设计或咨询服务的，但设计施工总承包的除</w:t>
      </w:r>
      <w:r>
        <w:rPr>
          <w:rFonts w:ascii="宋体" w:hAnsi="宋体" w:eastAsia="宋体" w:cs="宋体"/>
          <w:spacing w:val="-2"/>
          <w:sz w:val="21"/>
          <w:szCs w:val="21"/>
        </w:rPr>
        <w:t>外；</w:t>
      </w:r>
    </w:p>
    <w:p w14:paraId="1A92D46E">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）为本标段的监理人；</w:t>
      </w:r>
    </w:p>
    <w:p w14:paraId="7C23620F">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）为本标段的代建人；</w:t>
      </w:r>
    </w:p>
    <w:p w14:paraId="0A347273">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）为本标段提供招标代理服务；</w:t>
      </w:r>
    </w:p>
    <w:p w14:paraId="3CE8703F">
      <w:pPr>
        <w:spacing w:before="132"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）与本标段的监理人或代建人或招标代理机构同为一个法定</w:t>
      </w:r>
      <w:r>
        <w:rPr>
          <w:rFonts w:ascii="宋体" w:hAnsi="宋体" w:eastAsia="宋体" w:cs="宋体"/>
          <w:spacing w:val="-2"/>
          <w:sz w:val="21"/>
          <w:szCs w:val="21"/>
        </w:rPr>
        <w:t>代表人；</w:t>
      </w:r>
    </w:p>
    <w:p w14:paraId="679701C1">
      <w:pPr>
        <w:spacing w:before="134"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控股或参股；</w:t>
      </w:r>
    </w:p>
    <w:p w14:paraId="3D975D70">
      <w:pPr>
        <w:spacing w:before="135"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）与本标段的监理人或代建人或招标代理机构相互</w:t>
      </w:r>
      <w:r>
        <w:rPr>
          <w:rFonts w:ascii="宋体" w:hAnsi="宋体" w:eastAsia="宋体" w:cs="宋体"/>
          <w:spacing w:val="-2"/>
          <w:sz w:val="21"/>
          <w:szCs w:val="21"/>
        </w:rPr>
        <w:t>任职或工作；</w:t>
      </w:r>
    </w:p>
    <w:p w14:paraId="3ED192D0">
      <w:pPr>
        <w:spacing w:before="132" w:line="287" w:lineRule="auto"/>
        <w:ind w:left="46" w:right="121" w:firstLine="29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）被依法暂停或取消投标资格（指被本招标项目所在地县级及以上农业农村主管部</w:t>
      </w:r>
      <w:r>
        <w:rPr>
          <w:rFonts w:ascii="宋体" w:hAnsi="宋体" w:eastAsia="宋体" w:cs="宋体"/>
          <w:spacing w:val="-1"/>
          <w:sz w:val="21"/>
          <w:szCs w:val="21"/>
        </w:rPr>
        <w:t>门暂停或取消投标资格或禁止进入该区域市场且处于有效期内</w:t>
      </w:r>
      <w:r>
        <w:rPr>
          <w:rFonts w:ascii="宋体" w:hAnsi="宋体" w:eastAsia="宋体" w:cs="宋体"/>
          <w:spacing w:val="-54"/>
          <w:w w:val="97"/>
          <w:sz w:val="21"/>
          <w:szCs w:val="21"/>
        </w:rPr>
        <w:t>）；</w:t>
      </w:r>
    </w:p>
    <w:p w14:paraId="43CA8BDB">
      <w:pPr>
        <w:spacing w:before="149" w:line="234" w:lineRule="auto"/>
        <w:ind w:left="34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10</w:t>
      </w:r>
      <w:r>
        <w:rPr>
          <w:rFonts w:ascii="宋体" w:hAnsi="宋体" w:eastAsia="宋体" w:cs="宋体"/>
          <w:sz w:val="21"/>
          <w:szCs w:val="21"/>
        </w:rPr>
        <w:t>）被责令停产停业、暂扣或者吊销许可证、</w:t>
      </w:r>
      <w:r>
        <w:rPr>
          <w:rFonts w:ascii="宋体" w:hAnsi="宋体" w:eastAsia="宋体" w:cs="宋体"/>
          <w:spacing w:val="-1"/>
          <w:sz w:val="21"/>
          <w:szCs w:val="21"/>
        </w:rPr>
        <w:t>暂扣或者吊销执照；</w:t>
      </w:r>
    </w:p>
    <w:p w14:paraId="0DEA72CC">
      <w:pPr>
        <w:spacing w:before="132" w:line="288" w:lineRule="auto"/>
        <w:ind w:left="25" w:right="100"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11</w:t>
      </w:r>
      <w:r>
        <w:rPr>
          <w:rFonts w:ascii="宋体" w:hAnsi="宋体" w:eastAsia="宋体" w:cs="宋体"/>
          <w:sz w:val="21"/>
          <w:szCs w:val="21"/>
        </w:rPr>
        <w:t>）财产被接管或冻结的；进入清算程序，或被宣告破产，或其他丧失履约能力的情</w:t>
      </w:r>
      <w:r>
        <w:rPr>
          <w:rFonts w:ascii="宋体" w:hAnsi="宋体" w:eastAsia="宋体" w:cs="宋体"/>
          <w:spacing w:val="-15"/>
          <w:sz w:val="21"/>
          <w:szCs w:val="21"/>
        </w:rPr>
        <w:t>形；</w:t>
      </w:r>
    </w:p>
    <w:p w14:paraId="7E4E6361">
      <w:pPr>
        <w:spacing w:before="147" w:line="285" w:lineRule="auto"/>
        <w:ind w:left="25" w:right="100" w:firstLine="318"/>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12</w:t>
      </w:r>
      <w:r>
        <w:rPr>
          <w:rFonts w:ascii="宋体" w:hAnsi="宋体" w:eastAsia="宋体" w:cs="宋体"/>
          <w:sz w:val="21"/>
          <w:szCs w:val="21"/>
        </w:rPr>
        <w:t>）在最近三年内有骗取中标或严重违约或重大工程质量问题的 （以相关行业主 管部门的行政处罚决定或司法机关出具的有关</w:t>
      </w:r>
      <w:r>
        <w:rPr>
          <w:rFonts w:ascii="宋体" w:hAnsi="宋体" w:eastAsia="宋体" w:cs="宋体"/>
          <w:spacing w:val="-1"/>
          <w:sz w:val="21"/>
          <w:szCs w:val="21"/>
        </w:rPr>
        <w:t>法律文书为准</w:t>
      </w:r>
      <w:r>
        <w:rPr>
          <w:rFonts w:ascii="宋体" w:hAnsi="宋体" w:eastAsia="宋体" w:cs="宋体"/>
          <w:spacing w:val="-54"/>
          <w:w w:val="97"/>
          <w:sz w:val="21"/>
          <w:szCs w:val="21"/>
        </w:rPr>
        <w:t>）；</w:t>
      </w:r>
    </w:p>
    <w:p w14:paraId="3F88E021">
      <w:pPr>
        <w:spacing w:before="151" w:line="287" w:lineRule="auto"/>
        <w:ind w:left="21" w:right="102" w:firstLine="321"/>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13</w:t>
      </w:r>
      <w:r>
        <w:rPr>
          <w:rFonts w:ascii="宋体" w:hAnsi="宋体" w:eastAsia="宋体" w:cs="宋体"/>
          <w:spacing w:val="-3"/>
          <w:sz w:val="21"/>
          <w:szCs w:val="21"/>
        </w:rPr>
        <w:t>）在“国家企业信用信息公示系统”（</w:t>
      </w:r>
      <w:r>
        <w:fldChar w:fldCharType="begin"/>
      </w:r>
      <w:r>
        <w:instrText xml:space="preserve"> HYPERLINK "https://www.gsxt.gov.cn" </w:instrText>
      </w:r>
      <w:r>
        <w:fldChar w:fldCharType="separate"/>
      </w:r>
      <w:r>
        <w:rPr>
          <w:rFonts w:ascii="Times New Roman" w:hAnsi="Times New Roman" w:eastAsia="Times New Roman" w:cs="Times New Roman"/>
          <w:spacing w:val="-3"/>
          <w:sz w:val="21"/>
          <w:szCs w:val="21"/>
        </w:rPr>
        <w:t>www.gsxt.gov.cn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22"/>
          <w:sz w:val="21"/>
          <w:szCs w:val="21"/>
        </w:rPr>
        <w:t xml:space="preserve"> </w:t>
      </w:r>
      <w:r>
        <w:rPr>
          <w:rFonts w:ascii="宋体" w:hAnsi="宋体" w:eastAsia="宋体" w:cs="宋体"/>
          <w:spacing w:val="-3"/>
          <w:sz w:val="21"/>
          <w:szCs w:val="21"/>
        </w:rPr>
        <w:t>）中被列入严重违法失 信企</w:t>
      </w:r>
      <w:r>
        <w:rPr>
          <w:rFonts w:ascii="宋体" w:hAnsi="宋体" w:eastAsia="宋体" w:cs="宋体"/>
          <w:spacing w:val="-1"/>
          <w:sz w:val="21"/>
          <w:szCs w:val="21"/>
        </w:rPr>
        <w:t>业名单；</w:t>
      </w:r>
    </w:p>
    <w:p w14:paraId="0319ABF1">
      <w:pPr>
        <w:spacing w:before="147" w:line="283" w:lineRule="auto"/>
        <w:ind w:left="29" w:firstLine="314"/>
        <w:rPr>
          <w:rFonts w:ascii="宋体" w:hAnsi="宋体" w:eastAsia="宋体" w:cs="宋体"/>
          <w:sz w:val="21"/>
          <w:szCs w:val="21"/>
        </w:rPr>
      </w:pPr>
      <w:r>
        <w:rPr>
          <w:rFonts w:ascii="宋体" w:hAnsi="宋体" w:eastAsia="宋体" w:cs="宋体"/>
          <w:spacing w:val="15"/>
          <w:sz w:val="21"/>
          <w:szCs w:val="21"/>
        </w:rPr>
        <w:t>（</w:t>
      </w:r>
      <w:r>
        <w:rPr>
          <w:rFonts w:ascii="Times New Roman" w:hAnsi="Times New Roman" w:eastAsia="Times New Roman" w:cs="Times New Roman"/>
          <w:spacing w:val="15"/>
          <w:sz w:val="21"/>
          <w:szCs w:val="21"/>
        </w:rPr>
        <w:t>14</w:t>
      </w:r>
      <w:r>
        <w:rPr>
          <w:rFonts w:ascii="宋体" w:hAnsi="宋体" w:eastAsia="宋体" w:cs="宋体"/>
          <w:spacing w:val="15"/>
          <w:sz w:val="21"/>
          <w:szCs w:val="21"/>
        </w:rPr>
        <w:t>）</w:t>
      </w:r>
      <w:r>
        <w:rPr>
          <w:rFonts w:ascii="宋体" w:hAnsi="宋体" w:eastAsia="宋体" w:cs="宋体"/>
          <w:spacing w:val="-43"/>
          <w:sz w:val="21"/>
          <w:szCs w:val="21"/>
        </w:rPr>
        <w:t xml:space="preserve"> </w:t>
      </w:r>
      <w:r>
        <w:rPr>
          <w:rFonts w:ascii="宋体" w:hAnsi="宋体" w:eastAsia="宋体" w:cs="宋体"/>
          <w:spacing w:val="15"/>
          <w:sz w:val="21"/>
          <w:szCs w:val="21"/>
        </w:rPr>
        <w:t>在“信用中国”网站（</w:t>
      </w:r>
      <w:r>
        <w:fldChar w:fldCharType="begin"/>
      </w:r>
      <w:r>
        <w:instrText xml:space="preserve"> HYPERLINK "http://www.creditchina.gov.cn/" </w:instrText>
      </w:r>
      <w:r>
        <w:fldChar w:fldCharType="separate"/>
      </w:r>
      <w:r>
        <w:rPr>
          <w:rFonts w:ascii="Times New Roman" w:hAnsi="Times New Roman" w:eastAsia="Times New Roman" w:cs="Times New Roman"/>
          <w:sz w:val="21"/>
          <w:szCs w:val="21"/>
        </w:rPr>
        <w:t>www</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creditchina</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gov</w:t>
      </w:r>
      <w:r>
        <w:rPr>
          <w:rFonts w:ascii="Times New Roman" w:hAnsi="Times New Roman" w:eastAsia="Times New Roman" w:cs="Times New Roman"/>
          <w:spacing w:val="15"/>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rPr>
        <w:fldChar w:fldCharType="end"/>
      </w:r>
      <w:r>
        <w:rPr>
          <w:rFonts w:ascii="宋体" w:hAnsi="宋体" w:eastAsia="宋体" w:cs="宋体"/>
          <w:spacing w:val="15"/>
          <w:sz w:val="21"/>
          <w:szCs w:val="21"/>
        </w:rPr>
        <w:t>）</w:t>
      </w:r>
      <w:r>
        <w:rPr>
          <w:rFonts w:ascii="宋体" w:hAnsi="宋体" w:eastAsia="宋体" w:cs="宋体"/>
          <w:spacing w:val="-55"/>
          <w:sz w:val="21"/>
          <w:szCs w:val="21"/>
        </w:rPr>
        <w:t xml:space="preserve"> </w:t>
      </w:r>
      <w:r>
        <w:rPr>
          <w:rFonts w:ascii="宋体" w:hAnsi="宋体" w:eastAsia="宋体" w:cs="宋体"/>
          <w:spacing w:val="15"/>
          <w:sz w:val="21"/>
          <w:szCs w:val="21"/>
        </w:rPr>
        <w:t>或“中国执行信息公开网”</w:t>
      </w:r>
      <w:r>
        <w:rPr>
          <w:rFonts w:ascii="宋体" w:hAnsi="宋体" w:eastAsia="宋体" w:cs="宋体"/>
          <w:sz w:val="21"/>
          <w:szCs w:val="21"/>
        </w:rPr>
        <w:t xml:space="preserve"> （</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http://zxgk.court.gov</w:t>
      </w:r>
      <w:r>
        <w:rPr>
          <w:rFonts w:ascii="Times New Roman" w:hAnsi="Times New Roman" w:eastAsia="Times New Roman" w:cs="Times New Roman"/>
          <w:spacing w:val="-1"/>
          <w:sz w:val="21"/>
          <w:szCs w:val="21"/>
        </w:rPr>
        <w:t>.cn/shixin/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 被列入失信被执行人名单；</w:t>
      </w:r>
    </w:p>
    <w:p w14:paraId="163B9A1C">
      <w:pPr>
        <w:spacing w:before="157"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15</w:t>
      </w:r>
      <w:r>
        <w:rPr>
          <w:rFonts w:ascii="宋体" w:hAnsi="宋体" w:eastAsia="宋体" w:cs="宋体"/>
          <w:spacing w:val="-1"/>
          <w:sz w:val="21"/>
          <w:szCs w:val="21"/>
        </w:rPr>
        <w:t>）在辽宁省农业农村工程招标投标监管平台被列入不良行为记录且在公布期内的；</w:t>
      </w:r>
    </w:p>
    <w:p w14:paraId="59F46A20">
      <w:pPr>
        <w:spacing w:before="133" w:line="234" w:lineRule="auto"/>
        <w:ind w:left="34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）法律法规规定的其他情形。</w:t>
      </w:r>
    </w:p>
    <w:p w14:paraId="2BF141DF">
      <w:pPr>
        <w:spacing w:before="156" w:line="300" w:lineRule="auto"/>
        <w:ind w:left="24" w:right="98" w:firstLine="414"/>
        <w:rPr>
          <w:rFonts w:ascii="宋体" w:hAnsi="宋体" w:eastAsia="宋体" w:cs="宋体"/>
          <w:sz w:val="21"/>
          <w:szCs w:val="21"/>
        </w:rPr>
      </w:pPr>
      <w:r>
        <w:rPr>
          <w:rFonts w:ascii="Times New Roman" w:hAnsi="Times New Roman" w:eastAsia="Times New Roman" w:cs="Times New Roman"/>
          <w:sz w:val="21"/>
          <w:szCs w:val="21"/>
        </w:rPr>
        <w:t>2.5</w:t>
      </w:r>
      <w:r>
        <w:rPr>
          <w:rFonts w:ascii="Times New Roman" w:hAnsi="Times New Roman" w:eastAsia="Times New Roman" w:cs="Times New Roman"/>
          <w:spacing w:val="21"/>
          <w:w w:val="101"/>
          <w:sz w:val="21"/>
          <w:szCs w:val="21"/>
        </w:rPr>
        <w:t xml:space="preserve"> </w:t>
      </w:r>
      <w:r>
        <w:rPr>
          <w:rFonts w:ascii="宋体" w:hAnsi="宋体" w:eastAsia="宋体" w:cs="宋体"/>
          <w:sz w:val="21"/>
          <w:szCs w:val="21"/>
        </w:rPr>
        <w:t>未按招标文件要求进行实名身份认证的或同一标段实名身份</w:t>
      </w:r>
      <w:r>
        <w:rPr>
          <w:rFonts w:ascii="宋体" w:hAnsi="宋体" w:eastAsia="宋体" w:cs="宋体"/>
          <w:spacing w:val="-1"/>
          <w:sz w:val="21"/>
          <w:szCs w:val="21"/>
        </w:rPr>
        <w:t>认证中存在不同投标人</w:t>
      </w:r>
      <w:r>
        <w:rPr>
          <w:rFonts w:ascii="宋体" w:hAnsi="宋体" w:eastAsia="宋体" w:cs="宋体"/>
          <w:spacing w:val="-2"/>
          <w:sz w:val="21"/>
          <w:szCs w:val="21"/>
        </w:rPr>
        <w:t>之间身份证识别器码一致的。</w:t>
      </w:r>
    </w:p>
    <w:p w14:paraId="19D3FEF7">
      <w:pPr>
        <w:spacing w:before="179" w:line="233" w:lineRule="auto"/>
        <w:ind w:left="438"/>
        <w:rPr>
          <w:rFonts w:ascii="宋体" w:hAnsi="宋体" w:eastAsia="宋体" w:cs="宋体"/>
          <w:sz w:val="21"/>
          <w:szCs w:val="21"/>
        </w:rPr>
      </w:pPr>
      <w:r>
        <w:rPr>
          <w:rFonts w:ascii="Times New Roman" w:hAnsi="Times New Roman" w:eastAsia="Times New Roman" w:cs="Times New Roman"/>
          <w:sz w:val="21"/>
          <w:szCs w:val="21"/>
        </w:rPr>
        <w:t xml:space="preserve">2.6 </w:t>
      </w:r>
      <w:r>
        <w:rPr>
          <w:rFonts w:ascii="宋体" w:hAnsi="宋体" w:eastAsia="宋体" w:cs="宋体"/>
          <w:sz w:val="21"/>
          <w:szCs w:val="21"/>
        </w:rPr>
        <w:t>投标报价明显低于企业成本可能影响履约</w:t>
      </w:r>
      <w:r>
        <w:rPr>
          <w:rFonts w:ascii="宋体" w:hAnsi="宋体" w:eastAsia="宋体" w:cs="宋体"/>
          <w:spacing w:val="-1"/>
          <w:sz w:val="21"/>
          <w:szCs w:val="21"/>
        </w:rPr>
        <w:t>的。</w:t>
      </w:r>
    </w:p>
    <w:p w14:paraId="6416FA20">
      <w:pPr>
        <w:spacing w:before="298" w:line="148" w:lineRule="exact"/>
        <w:ind w:left="469"/>
        <w:rPr>
          <w:rFonts w:ascii="仿宋" w:hAnsi="仿宋" w:eastAsia="仿宋" w:cs="仿宋"/>
          <w:sz w:val="21"/>
          <w:szCs w:val="21"/>
        </w:rPr>
      </w:pPr>
      <w:r>
        <w:rPr>
          <w:rFonts w:ascii="仿宋" w:hAnsi="仿宋" w:eastAsia="仿宋" w:cs="仿宋"/>
          <w:spacing w:val="-9"/>
          <w:position w:val="-9"/>
          <w:sz w:val="21"/>
          <w:szCs w:val="21"/>
        </w:rPr>
        <w:t>……</w:t>
      </w:r>
    </w:p>
    <w:p w14:paraId="1B13987D">
      <w:pPr>
        <w:spacing w:line="148" w:lineRule="exact"/>
        <w:rPr>
          <w:rFonts w:ascii="仿宋" w:hAnsi="仿宋" w:eastAsia="仿宋" w:cs="仿宋"/>
          <w:sz w:val="21"/>
          <w:szCs w:val="21"/>
        </w:rPr>
        <w:sectPr>
          <w:footerReference r:id="rId63" w:type="default"/>
          <w:pgSz w:w="11905" w:h="16843"/>
          <w:pgMar w:top="969" w:right="1355" w:bottom="1026" w:left="1480" w:header="0" w:footer="754" w:gutter="0"/>
          <w:cols w:space="0" w:num="1"/>
          <w:rtlGutter w:val="0"/>
          <w:docGrid w:linePitch="0" w:charSpace="0"/>
        </w:sectPr>
      </w:pPr>
    </w:p>
    <w:p w14:paraId="0A321FEE">
      <w:pPr>
        <w:pStyle w:val="5"/>
        <w:spacing w:line="259" w:lineRule="auto"/>
      </w:pPr>
    </w:p>
    <w:p w14:paraId="2779A197">
      <w:pPr>
        <w:pStyle w:val="5"/>
        <w:spacing w:line="259" w:lineRule="auto"/>
      </w:pPr>
    </w:p>
    <w:p w14:paraId="18D1DDFA">
      <w:pPr>
        <w:pStyle w:val="5"/>
        <w:spacing w:line="259" w:lineRule="auto"/>
      </w:pPr>
    </w:p>
    <w:p w14:paraId="41103C4C">
      <w:pPr>
        <w:pStyle w:val="5"/>
        <w:spacing w:line="260" w:lineRule="auto"/>
      </w:pPr>
    </w:p>
    <w:p w14:paraId="6FB5E69B">
      <w:pPr>
        <w:pStyle w:val="5"/>
        <w:spacing w:line="260" w:lineRule="auto"/>
      </w:pPr>
    </w:p>
    <w:p w14:paraId="5593CACB">
      <w:pPr>
        <w:pStyle w:val="5"/>
        <w:spacing w:line="260" w:lineRule="auto"/>
      </w:pPr>
    </w:p>
    <w:p w14:paraId="02105A5B">
      <w:pPr>
        <w:spacing w:before="78" w:line="232" w:lineRule="auto"/>
        <w:ind w:left="27"/>
        <w:outlineLvl w:val="2"/>
        <w:rPr>
          <w:rFonts w:ascii="黑体" w:hAnsi="黑体" w:eastAsia="黑体" w:cs="黑体"/>
          <w:sz w:val="24"/>
          <w:szCs w:val="24"/>
        </w:rPr>
      </w:pPr>
      <w:bookmarkStart w:id="154" w:name="bookmark126"/>
      <w:bookmarkEnd w:id="154"/>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A-1</w:t>
      </w:r>
      <w:r>
        <w:rPr>
          <w:rFonts w:ascii="黑体" w:hAnsi="黑体" w:eastAsia="黑体" w:cs="黑体"/>
          <w:spacing w:val="-3"/>
          <w:sz w:val="24"/>
          <w:szCs w:val="24"/>
        </w:rPr>
        <w:t>：评标委员会签到表</w:t>
      </w:r>
    </w:p>
    <w:p w14:paraId="4FA9ADD1">
      <w:pPr>
        <w:spacing w:before="267" w:line="218" w:lineRule="auto"/>
        <w:ind w:left="5235"/>
        <w:rPr>
          <w:rFonts w:ascii="黑体" w:hAnsi="黑体" w:eastAsia="黑体" w:cs="黑体"/>
          <w:sz w:val="36"/>
          <w:szCs w:val="36"/>
        </w:rPr>
      </w:pPr>
      <w:bookmarkStart w:id="155" w:name="bookmark521"/>
      <w:bookmarkEnd w:id="155"/>
      <w:r>
        <w:rPr>
          <w:rFonts w:ascii="黑体" w:hAnsi="黑体" w:eastAsia="黑体" w:cs="黑体"/>
          <w:spacing w:val="-2"/>
          <w:sz w:val="36"/>
          <w:szCs w:val="36"/>
        </w:rPr>
        <w:t>评标委员会签到表</w:t>
      </w:r>
    </w:p>
    <w:p w14:paraId="3714BC64">
      <w:pPr>
        <w:spacing w:before="242" w:line="221" w:lineRule="auto"/>
        <w:ind w:left="107"/>
        <w:rPr>
          <w:rFonts w:ascii="宋体" w:hAnsi="宋体" w:eastAsia="宋体" w:cs="宋体"/>
          <w:sz w:val="21"/>
          <w:szCs w:val="21"/>
        </w:rPr>
      </w:pPr>
      <w:r>
        <w:rPr>
          <w:rFonts w:ascii="宋体" w:hAnsi="宋体" w:eastAsia="宋体" w:cs="宋体"/>
          <w:spacing w:val="-7"/>
          <w:sz w:val="21"/>
          <w:szCs w:val="21"/>
        </w:rPr>
        <w:t>标段名称：</w:t>
      </w:r>
    </w:p>
    <w:p w14:paraId="52F248FC">
      <w:pPr>
        <w:spacing w:before="20" w:line="214" w:lineRule="auto"/>
        <w:ind w:left="107"/>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评标时间：         年</w:t>
      </w:r>
      <w:r>
        <w:rPr>
          <w:rFonts w:ascii="宋体" w:hAnsi="宋体" w:eastAsia="宋体" w:cs="宋体"/>
          <w:spacing w:val="2"/>
          <w:sz w:val="21"/>
          <w:szCs w:val="21"/>
        </w:rPr>
        <w:t xml:space="preserve">    </w:t>
      </w:r>
      <w:r>
        <w:rPr>
          <w:rFonts w:ascii="宋体" w:hAnsi="宋体" w:eastAsia="宋体" w:cs="宋体"/>
          <w:spacing w:val="-1"/>
          <w:sz w:val="21"/>
          <w:szCs w:val="21"/>
        </w:rPr>
        <w:t>月     日</w:t>
      </w:r>
    </w:p>
    <w:tbl>
      <w:tblPr>
        <w:tblStyle w:val="10"/>
        <w:tblW w:w="13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934"/>
        <w:gridCol w:w="1699"/>
        <w:gridCol w:w="1984"/>
        <w:gridCol w:w="1842"/>
        <w:gridCol w:w="1469"/>
        <w:gridCol w:w="1557"/>
        <w:gridCol w:w="1757"/>
      </w:tblGrid>
      <w:tr w14:paraId="045A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76" w:type="dxa"/>
            <w:vAlign w:val="top"/>
          </w:tcPr>
          <w:p w14:paraId="495A41FC">
            <w:pPr>
              <w:pStyle w:val="11"/>
              <w:spacing w:before="252" w:line="221" w:lineRule="auto"/>
              <w:ind w:left="432"/>
            </w:pPr>
            <w:r>
              <w:rPr>
                <w:spacing w:val="-2"/>
              </w:rPr>
              <w:t>姓名</w:t>
            </w:r>
          </w:p>
        </w:tc>
        <w:tc>
          <w:tcPr>
            <w:tcW w:w="1934" w:type="dxa"/>
            <w:vAlign w:val="top"/>
          </w:tcPr>
          <w:p w14:paraId="29786ADE">
            <w:pPr>
              <w:pStyle w:val="11"/>
              <w:spacing w:before="253" w:line="221" w:lineRule="auto"/>
              <w:ind w:left="548"/>
            </w:pPr>
            <w:r>
              <w:rPr>
                <w:spacing w:val="-2"/>
              </w:rPr>
              <w:t>所在单位</w:t>
            </w:r>
          </w:p>
        </w:tc>
        <w:tc>
          <w:tcPr>
            <w:tcW w:w="1699" w:type="dxa"/>
            <w:vAlign w:val="top"/>
          </w:tcPr>
          <w:p w14:paraId="20B7EAD5">
            <w:pPr>
              <w:pStyle w:val="11"/>
              <w:spacing w:before="253" w:line="221" w:lineRule="auto"/>
              <w:ind w:left="431"/>
            </w:pPr>
            <w:r>
              <w:rPr>
                <w:spacing w:val="-1"/>
              </w:rPr>
              <w:t>评标专业</w:t>
            </w:r>
          </w:p>
        </w:tc>
        <w:tc>
          <w:tcPr>
            <w:tcW w:w="1984" w:type="dxa"/>
            <w:vAlign w:val="top"/>
          </w:tcPr>
          <w:p w14:paraId="682FC267">
            <w:pPr>
              <w:pStyle w:val="11"/>
              <w:spacing w:before="252" w:line="221" w:lineRule="auto"/>
              <w:ind w:left="582"/>
            </w:pPr>
            <w:r>
              <w:rPr>
                <w:spacing w:val="-3"/>
              </w:rPr>
              <w:t>身份证号</w:t>
            </w:r>
          </w:p>
        </w:tc>
        <w:tc>
          <w:tcPr>
            <w:tcW w:w="1842" w:type="dxa"/>
            <w:vAlign w:val="top"/>
          </w:tcPr>
          <w:p w14:paraId="276CEA6F">
            <w:pPr>
              <w:pStyle w:val="11"/>
              <w:spacing w:before="252" w:line="222" w:lineRule="auto"/>
              <w:ind w:left="508"/>
            </w:pPr>
            <w:r>
              <w:rPr>
                <w:spacing w:val="-2"/>
              </w:rPr>
              <w:t>联系方式</w:t>
            </w:r>
          </w:p>
        </w:tc>
        <w:tc>
          <w:tcPr>
            <w:tcW w:w="1469" w:type="dxa"/>
            <w:vAlign w:val="top"/>
          </w:tcPr>
          <w:p w14:paraId="23423AD5">
            <w:pPr>
              <w:pStyle w:val="11"/>
              <w:spacing w:before="252" w:line="221" w:lineRule="auto"/>
              <w:ind w:left="319"/>
            </w:pPr>
            <w:r>
              <w:rPr>
                <w:spacing w:val="-1"/>
              </w:rPr>
              <w:t>评审内容</w:t>
            </w:r>
          </w:p>
        </w:tc>
        <w:tc>
          <w:tcPr>
            <w:tcW w:w="1557" w:type="dxa"/>
            <w:vAlign w:val="top"/>
          </w:tcPr>
          <w:p w14:paraId="0FD5133E">
            <w:pPr>
              <w:pStyle w:val="11"/>
              <w:spacing w:before="252" w:line="220" w:lineRule="auto"/>
              <w:ind w:left="364"/>
            </w:pPr>
            <w:r>
              <w:rPr>
                <w:spacing w:val="-1"/>
              </w:rPr>
              <w:t>评审角色</w:t>
            </w:r>
          </w:p>
        </w:tc>
        <w:tc>
          <w:tcPr>
            <w:tcW w:w="1757" w:type="dxa"/>
            <w:vAlign w:val="top"/>
          </w:tcPr>
          <w:p w14:paraId="13B3A261">
            <w:pPr>
              <w:pStyle w:val="11"/>
              <w:spacing w:before="253" w:line="221" w:lineRule="auto"/>
              <w:ind w:left="252"/>
            </w:pPr>
            <w:r>
              <w:rPr>
                <w:spacing w:val="-1"/>
              </w:rPr>
              <w:t>评标专家签名</w:t>
            </w:r>
          </w:p>
        </w:tc>
      </w:tr>
      <w:tr w14:paraId="2637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7369B88E">
            <w:pPr>
              <w:rPr>
                <w:rFonts w:ascii="Arial"/>
                <w:sz w:val="21"/>
              </w:rPr>
            </w:pPr>
          </w:p>
        </w:tc>
        <w:tc>
          <w:tcPr>
            <w:tcW w:w="1934" w:type="dxa"/>
            <w:vAlign w:val="top"/>
          </w:tcPr>
          <w:p w14:paraId="49F95646">
            <w:pPr>
              <w:rPr>
                <w:rFonts w:ascii="Arial"/>
                <w:sz w:val="21"/>
              </w:rPr>
            </w:pPr>
          </w:p>
        </w:tc>
        <w:tc>
          <w:tcPr>
            <w:tcW w:w="1699" w:type="dxa"/>
            <w:vAlign w:val="top"/>
          </w:tcPr>
          <w:p w14:paraId="57BC31B7">
            <w:pPr>
              <w:rPr>
                <w:rFonts w:ascii="Arial"/>
                <w:sz w:val="21"/>
              </w:rPr>
            </w:pPr>
          </w:p>
        </w:tc>
        <w:tc>
          <w:tcPr>
            <w:tcW w:w="1984" w:type="dxa"/>
            <w:vAlign w:val="top"/>
          </w:tcPr>
          <w:p w14:paraId="3329C8BE">
            <w:pPr>
              <w:rPr>
                <w:rFonts w:ascii="Arial"/>
                <w:sz w:val="21"/>
              </w:rPr>
            </w:pPr>
          </w:p>
        </w:tc>
        <w:tc>
          <w:tcPr>
            <w:tcW w:w="1842" w:type="dxa"/>
            <w:vAlign w:val="top"/>
          </w:tcPr>
          <w:p w14:paraId="202CE099">
            <w:pPr>
              <w:rPr>
                <w:rFonts w:ascii="Arial"/>
                <w:sz w:val="21"/>
              </w:rPr>
            </w:pPr>
          </w:p>
        </w:tc>
        <w:tc>
          <w:tcPr>
            <w:tcW w:w="1469" w:type="dxa"/>
            <w:vAlign w:val="top"/>
          </w:tcPr>
          <w:p w14:paraId="52654328">
            <w:pPr>
              <w:rPr>
                <w:rFonts w:ascii="Arial"/>
                <w:sz w:val="21"/>
              </w:rPr>
            </w:pPr>
          </w:p>
        </w:tc>
        <w:tc>
          <w:tcPr>
            <w:tcW w:w="1557" w:type="dxa"/>
            <w:vAlign w:val="top"/>
          </w:tcPr>
          <w:p w14:paraId="3F0EA2FD">
            <w:pPr>
              <w:rPr>
                <w:rFonts w:ascii="Arial"/>
                <w:sz w:val="21"/>
              </w:rPr>
            </w:pPr>
          </w:p>
        </w:tc>
        <w:tc>
          <w:tcPr>
            <w:tcW w:w="1757" w:type="dxa"/>
            <w:vAlign w:val="top"/>
          </w:tcPr>
          <w:p w14:paraId="07BA5C47">
            <w:pPr>
              <w:rPr>
                <w:rFonts w:ascii="Arial"/>
                <w:sz w:val="21"/>
              </w:rPr>
            </w:pPr>
          </w:p>
        </w:tc>
      </w:tr>
      <w:tr w14:paraId="5D73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0582C5B6">
            <w:pPr>
              <w:rPr>
                <w:rFonts w:ascii="Arial"/>
                <w:sz w:val="21"/>
              </w:rPr>
            </w:pPr>
          </w:p>
        </w:tc>
        <w:tc>
          <w:tcPr>
            <w:tcW w:w="1934" w:type="dxa"/>
            <w:vAlign w:val="top"/>
          </w:tcPr>
          <w:p w14:paraId="3F998776">
            <w:pPr>
              <w:rPr>
                <w:rFonts w:ascii="Arial"/>
                <w:sz w:val="21"/>
              </w:rPr>
            </w:pPr>
          </w:p>
        </w:tc>
        <w:tc>
          <w:tcPr>
            <w:tcW w:w="1699" w:type="dxa"/>
            <w:vAlign w:val="top"/>
          </w:tcPr>
          <w:p w14:paraId="03D2F714">
            <w:pPr>
              <w:rPr>
                <w:rFonts w:ascii="Arial"/>
                <w:sz w:val="21"/>
              </w:rPr>
            </w:pPr>
          </w:p>
        </w:tc>
        <w:tc>
          <w:tcPr>
            <w:tcW w:w="1984" w:type="dxa"/>
            <w:vAlign w:val="top"/>
          </w:tcPr>
          <w:p w14:paraId="2F2ABA5B">
            <w:pPr>
              <w:rPr>
                <w:rFonts w:ascii="Arial"/>
                <w:sz w:val="21"/>
              </w:rPr>
            </w:pPr>
          </w:p>
        </w:tc>
        <w:tc>
          <w:tcPr>
            <w:tcW w:w="1842" w:type="dxa"/>
            <w:vAlign w:val="top"/>
          </w:tcPr>
          <w:p w14:paraId="56216EA0">
            <w:pPr>
              <w:rPr>
                <w:rFonts w:ascii="Arial"/>
                <w:sz w:val="21"/>
              </w:rPr>
            </w:pPr>
          </w:p>
        </w:tc>
        <w:tc>
          <w:tcPr>
            <w:tcW w:w="1469" w:type="dxa"/>
            <w:vAlign w:val="top"/>
          </w:tcPr>
          <w:p w14:paraId="4949BDFF">
            <w:pPr>
              <w:rPr>
                <w:rFonts w:ascii="Arial"/>
                <w:sz w:val="21"/>
              </w:rPr>
            </w:pPr>
          </w:p>
        </w:tc>
        <w:tc>
          <w:tcPr>
            <w:tcW w:w="1557" w:type="dxa"/>
            <w:vAlign w:val="top"/>
          </w:tcPr>
          <w:p w14:paraId="35FDB905">
            <w:pPr>
              <w:rPr>
                <w:rFonts w:ascii="Arial"/>
                <w:sz w:val="21"/>
              </w:rPr>
            </w:pPr>
          </w:p>
        </w:tc>
        <w:tc>
          <w:tcPr>
            <w:tcW w:w="1757" w:type="dxa"/>
            <w:vAlign w:val="top"/>
          </w:tcPr>
          <w:p w14:paraId="2CEA3BC1">
            <w:pPr>
              <w:rPr>
                <w:rFonts w:ascii="Arial"/>
                <w:sz w:val="21"/>
              </w:rPr>
            </w:pPr>
          </w:p>
        </w:tc>
      </w:tr>
      <w:tr w14:paraId="647A2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288760DE">
            <w:pPr>
              <w:rPr>
                <w:rFonts w:ascii="Arial"/>
                <w:sz w:val="21"/>
              </w:rPr>
            </w:pPr>
          </w:p>
        </w:tc>
        <w:tc>
          <w:tcPr>
            <w:tcW w:w="1934" w:type="dxa"/>
            <w:vAlign w:val="top"/>
          </w:tcPr>
          <w:p w14:paraId="64D850C1">
            <w:pPr>
              <w:rPr>
                <w:rFonts w:ascii="Arial"/>
                <w:sz w:val="21"/>
              </w:rPr>
            </w:pPr>
          </w:p>
        </w:tc>
        <w:tc>
          <w:tcPr>
            <w:tcW w:w="1699" w:type="dxa"/>
            <w:vAlign w:val="top"/>
          </w:tcPr>
          <w:p w14:paraId="77813129">
            <w:pPr>
              <w:rPr>
                <w:rFonts w:ascii="Arial"/>
                <w:sz w:val="21"/>
              </w:rPr>
            </w:pPr>
          </w:p>
        </w:tc>
        <w:tc>
          <w:tcPr>
            <w:tcW w:w="1984" w:type="dxa"/>
            <w:vAlign w:val="top"/>
          </w:tcPr>
          <w:p w14:paraId="16BEF794">
            <w:pPr>
              <w:rPr>
                <w:rFonts w:ascii="Arial"/>
                <w:sz w:val="21"/>
              </w:rPr>
            </w:pPr>
          </w:p>
        </w:tc>
        <w:tc>
          <w:tcPr>
            <w:tcW w:w="1842" w:type="dxa"/>
            <w:vAlign w:val="top"/>
          </w:tcPr>
          <w:p w14:paraId="5D61D375">
            <w:pPr>
              <w:rPr>
                <w:rFonts w:ascii="Arial"/>
                <w:sz w:val="21"/>
              </w:rPr>
            </w:pPr>
          </w:p>
        </w:tc>
        <w:tc>
          <w:tcPr>
            <w:tcW w:w="1469" w:type="dxa"/>
            <w:vAlign w:val="top"/>
          </w:tcPr>
          <w:p w14:paraId="2216BA2C">
            <w:pPr>
              <w:rPr>
                <w:rFonts w:ascii="Arial"/>
                <w:sz w:val="21"/>
              </w:rPr>
            </w:pPr>
          </w:p>
        </w:tc>
        <w:tc>
          <w:tcPr>
            <w:tcW w:w="1557" w:type="dxa"/>
            <w:vAlign w:val="top"/>
          </w:tcPr>
          <w:p w14:paraId="116D48D2">
            <w:pPr>
              <w:rPr>
                <w:rFonts w:ascii="Arial"/>
                <w:sz w:val="21"/>
              </w:rPr>
            </w:pPr>
          </w:p>
        </w:tc>
        <w:tc>
          <w:tcPr>
            <w:tcW w:w="1757" w:type="dxa"/>
            <w:vAlign w:val="top"/>
          </w:tcPr>
          <w:p w14:paraId="1BE4D1F1">
            <w:pPr>
              <w:rPr>
                <w:rFonts w:ascii="Arial"/>
                <w:sz w:val="21"/>
              </w:rPr>
            </w:pPr>
          </w:p>
        </w:tc>
      </w:tr>
      <w:tr w14:paraId="6B9A9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76" w:type="dxa"/>
            <w:vAlign w:val="top"/>
          </w:tcPr>
          <w:p w14:paraId="0AFC0D76">
            <w:pPr>
              <w:rPr>
                <w:rFonts w:ascii="Arial"/>
                <w:sz w:val="21"/>
              </w:rPr>
            </w:pPr>
          </w:p>
        </w:tc>
        <w:tc>
          <w:tcPr>
            <w:tcW w:w="1934" w:type="dxa"/>
            <w:vAlign w:val="top"/>
          </w:tcPr>
          <w:p w14:paraId="67C29621">
            <w:pPr>
              <w:rPr>
                <w:rFonts w:ascii="Arial"/>
                <w:sz w:val="21"/>
              </w:rPr>
            </w:pPr>
          </w:p>
        </w:tc>
        <w:tc>
          <w:tcPr>
            <w:tcW w:w="1699" w:type="dxa"/>
            <w:vAlign w:val="top"/>
          </w:tcPr>
          <w:p w14:paraId="62F6C54A">
            <w:pPr>
              <w:rPr>
                <w:rFonts w:ascii="Arial"/>
                <w:sz w:val="21"/>
              </w:rPr>
            </w:pPr>
          </w:p>
        </w:tc>
        <w:tc>
          <w:tcPr>
            <w:tcW w:w="1984" w:type="dxa"/>
            <w:vAlign w:val="top"/>
          </w:tcPr>
          <w:p w14:paraId="3D547212">
            <w:pPr>
              <w:rPr>
                <w:rFonts w:ascii="Arial"/>
                <w:sz w:val="21"/>
              </w:rPr>
            </w:pPr>
          </w:p>
        </w:tc>
        <w:tc>
          <w:tcPr>
            <w:tcW w:w="1842" w:type="dxa"/>
            <w:vAlign w:val="top"/>
          </w:tcPr>
          <w:p w14:paraId="49941A7E">
            <w:pPr>
              <w:rPr>
                <w:rFonts w:ascii="Arial"/>
                <w:sz w:val="21"/>
              </w:rPr>
            </w:pPr>
          </w:p>
        </w:tc>
        <w:tc>
          <w:tcPr>
            <w:tcW w:w="1469" w:type="dxa"/>
            <w:vAlign w:val="top"/>
          </w:tcPr>
          <w:p w14:paraId="49B3FFAA">
            <w:pPr>
              <w:rPr>
                <w:rFonts w:ascii="Arial"/>
                <w:sz w:val="21"/>
              </w:rPr>
            </w:pPr>
          </w:p>
        </w:tc>
        <w:tc>
          <w:tcPr>
            <w:tcW w:w="1557" w:type="dxa"/>
            <w:vAlign w:val="top"/>
          </w:tcPr>
          <w:p w14:paraId="07C1B121">
            <w:pPr>
              <w:rPr>
                <w:rFonts w:ascii="Arial"/>
                <w:sz w:val="21"/>
              </w:rPr>
            </w:pPr>
          </w:p>
        </w:tc>
        <w:tc>
          <w:tcPr>
            <w:tcW w:w="1757" w:type="dxa"/>
            <w:vAlign w:val="top"/>
          </w:tcPr>
          <w:p w14:paraId="51BDEC5B">
            <w:pPr>
              <w:rPr>
                <w:rFonts w:ascii="Arial"/>
                <w:sz w:val="21"/>
              </w:rPr>
            </w:pPr>
          </w:p>
        </w:tc>
      </w:tr>
      <w:tr w14:paraId="24F1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64CF47B6">
            <w:pPr>
              <w:rPr>
                <w:rFonts w:ascii="Arial"/>
                <w:sz w:val="21"/>
              </w:rPr>
            </w:pPr>
          </w:p>
        </w:tc>
        <w:tc>
          <w:tcPr>
            <w:tcW w:w="1934" w:type="dxa"/>
            <w:vAlign w:val="top"/>
          </w:tcPr>
          <w:p w14:paraId="5500AF85">
            <w:pPr>
              <w:rPr>
                <w:rFonts w:ascii="Arial"/>
                <w:sz w:val="21"/>
              </w:rPr>
            </w:pPr>
          </w:p>
        </w:tc>
        <w:tc>
          <w:tcPr>
            <w:tcW w:w="1699" w:type="dxa"/>
            <w:vAlign w:val="top"/>
          </w:tcPr>
          <w:p w14:paraId="689C2B6C">
            <w:pPr>
              <w:rPr>
                <w:rFonts w:ascii="Arial"/>
                <w:sz w:val="21"/>
              </w:rPr>
            </w:pPr>
          </w:p>
        </w:tc>
        <w:tc>
          <w:tcPr>
            <w:tcW w:w="1984" w:type="dxa"/>
            <w:vAlign w:val="top"/>
          </w:tcPr>
          <w:p w14:paraId="5E777E99">
            <w:pPr>
              <w:rPr>
                <w:rFonts w:ascii="Arial"/>
                <w:sz w:val="21"/>
              </w:rPr>
            </w:pPr>
          </w:p>
        </w:tc>
        <w:tc>
          <w:tcPr>
            <w:tcW w:w="1842" w:type="dxa"/>
            <w:vAlign w:val="top"/>
          </w:tcPr>
          <w:p w14:paraId="0771C67D">
            <w:pPr>
              <w:rPr>
                <w:rFonts w:ascii="Arial"/>
                <w:sz w:val="21"/>
              </w:rPr>
            </w:pPr>
          </w:p>
        </w:tc>
        <w:tc>
          <w:tcPr>
            <w:tcW w:w="1469" w:type="dxa"/>
            <w:vAlign w:val="top"/>
          </w:tcPr>
          <w:p w14:paraId="1146E1A7">
            <w:pPr>
              <w:rPr>
                <w:rFonts w:ascii="Arial"/>
                <w:sz w:val="21"/>
              </w:rPr>
            </w:pPr>
          </w:p>
        </w:tc>
        <w:tc>
          <w:tcPr>
            <w:tcW w:w="1557" w:type="dxa"/>
            <w:vAlign w:val="top"/>
          </w:tcPr>
          <w:p w14:paraId="4D2931BE">
            <w:pPr>
              <w:rPr>
                <w:rFonts w:ascii="Arial"/>
                <w:sz w:val="21"/>
              </w:rPr>
            </w:pPr>
          </w:p>
        </w:tc>
        <w:tc>
          <w:tcPr>
            <w:tcW w:w="1757" w:type="dxa"/>
            <w:vAlign w:val="top"/>
          </w:tcPr>
          <w:p w14:paraId="5E1EDBE8">
            <w:pPr>
              <w:rPr>
                <w:rFonts w:ascii="Arial"/>
                <w:sz w:val="21"/>
              </w:rPr>
            </w:pPr>
          </w:p>
        </w:tc>
      </w:tr>
      <w:tr w14:paraId="0C91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76" w:type="dxa"/>
            <w:vAlign w:val="top"/>
          </w:tcPr>
          <w:p w14:paraId="56EBE1DE">
            <w:pPr>
              <w:rPr>
                <w:rFonts w:ascii="Arial"/>
                <w:sz w:val="21"/>
              </w:rPr>
            </w:pPr>
          </w:p>
        </w:tc>
        <w:tc>
          <w:tcPr>
            <w:tcW w:w="1934" w:type="dxa"/>
            <w:vAlign w:val="top"/>
          </w:tcPr>
          <w:p w14:paraId="7F8CDA35">
            <w:pPr>
              <w:rPr>
                <w:rFonts w:ascii="Arial"/>
                <w:sz w:val="21"/>
              </w:rPr>
            </w:pPr>
          </w:p>
        </w:tc>
        <w:tc>
          <w:tcPr>
            <w:tcW w:w="1699" w:type="dxa"/>
            <w:vAlign w:val="top"/>
          </w:tcPr>
          <w:p w14:paraId="6CE94B2C">
            <w:pPr>
              <w:rPr>
                <w:rFonts w:ascii="Arial"/>
                <w:sz w:val="21"/>
              </w:rPr>
            </w:pPr>
          </w:p>
        </w:tc>
        <w:tc>
          <w:tcPr>
            <w:tcW w:w="1984" w:type="dxa"/>
            <w:vAlign w:val="top"/>
          </w:tcPr>
          <w:p w14:paraId="6FDE5857">
            <w:pPr>
              <w:rPr>
                <w:rFonts w:ascii="Arial"/>
                <w:sz w:val="21"/>
              </w:rPr>
            </w:pPr>
          </w:p>
        </w:tc>
        <w:tc>
          <w:tcPr>
            <w:tcW w:w="1842" w:type="dxa"/>
            <w:vAlign w:val="top"/>
          </w:tcPr>
          <w:p w14:paraId="3AF274BA">
            <w:pPr>
              <w:rPr>
                <w:rFonts w:ascii="Arial"/>
                <w:sz w:val="21"/>
              </w:rPr>
            </w:pPr>
          </w:p>
        </w:tc>
        <w:tc>
          <w:tcPr>
            <w:tcW w:w="1469" w:type="dxa"/>
            <w:vAlign w:val="top"/>
          </w:tcPr>
          <w:p w14:paraId="59FF14CD">
            <w:pPr>
              <w:rPr>
                <w:rFonts w:ascii="Arial"/>
                <w:sz w:val="21"/>
              </w:rPr>
            </w:pPr>
          </w:p>
        </w:tc>
        <w:tc>
          <w:tcPr>
            <w:tcW w:w="1557" w:type="dxa"/>
            <w:vAlign w:val="top"/>
          </w:tcPr>
          <w:p w14:paraId="68EB5675">
            <w:pPr>
              <w:rPr>
                <w:rFonts w:ascii="Arial"/>
                <w:sz w:val="21"/>
              </w:rPr>
            </w:pPr>
          </w:p>
        </w:tc>
        <w:tc>
          <w:tcPr>
            <w:tcW w:w="1757" w:type="dxa"/>
            <w:vAlign w:val="top"/>
          </w:tcPr>
          <w:p w14:paraId="369265D7">
            <w:pPr>
              <w:rPr>
                <w:rFonts w:ascii="Arial"/>
                <w:sz w:val="21"/>
              </w:rPr>
            </w:pPr>
          </w:p>
        </w:tc>
      </w:tr>
      <w:tr w14:paraId="515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76" w:type="dxa"/>
            <w:vAlign w:val="top"/>
          </w:tcPr>
          <w:p w14:paraId="7B05819C">
            <w:pPr>
              <w:rPr>
                <w:rFonts w:ascii="Arial"/>
                <w:sz w:val="21"/>
              </w:rPr>
            </w:pPr>
          </w:p>
        </w:tc>
        <w:tc>
          <w:tcPr>
            <w:tcW w:w="1934" w:type="dxa"/>
            <w:vAlign w:val="top"/>
          </w:tcPr>
          <w:p w14:paraId="7DA5B19A">
            <w:pPr>
              <w:rPr>
                <w:rFonts w:ascii="Arial"/>
                <w:sz w:val="21"/>
              </w:rPr>
            </w:pPr>
          </w:p>
        </w:tc>
        <w:tc>
          <w:tcPr>
            <w:tcW w:w="1699" w:type="dxa"/>
            <w:vAlign w:val="top"/>
          </w:tcPr>
          <w:p w14:paraId="0550950C">
            <w:pPr>
              <w:rPr>
                <w:rFonts w:ascii="Arial"/>
                <w:sz w:val="21"/>
              </w:rPr>
            </w:pPr>
          </w:p>
        </w:tc>
        <w:tc>
          <w:tcPr>
            <w:tcW w:w="1984" w:type="dxa"/>
            <w:vAlign w:val="top"/>
          </w:tcPr>
          <w:p w14:paraId="723AF315">
            <w:pPr>
              <w:rPr>
                <w:rFonts w:ascii="Arial"/>
                <w:sz w:val="21"/>
              </w:rPr>
            </w:pPr>
          </w:p>
        </w:tc>
        <w:tc>
          <w:tcPr>
            <w:tcW w:w="1842" w:type="dxa"/>
            <w:vAlign w:val="top"/>
          </w:tcPr>
          <w:p w14:paraId="17697DA6">
            <w:pPr>
              <w:rPr>
                <w:rFonts w:ascii="Arial"/>
                <w:sz w:val="21"/>
              </w:rPr>
            </w:pPr>
          </w:p>
        </w:tc>
        <w:tc>
          <w:tcPr>
            <w:tcW w:w="1469" w:type="dxa"/>
            <w:vAlign w:val="top"/>
          </w:tcPr>
          <w:p w14:paraId="28A13B18">
            <w:pPr>
              <w:rPr>
                <w:rFonts w:ascii="Arial"/>
                <w:sz w:val="21"/>
              </w:rPr>
            </w:pPr>
          </w:p>
        </w:tc>
        <w:tc>
          <w:tcPr>
            <w:tcW w:w="1557" w:type="dxa"/>
            <w:vAlign w:val="top"/>
          </w:tcPr>
          <w:p w14:paraId="6937D249">
            <w:pPr>
              <w:rPr>
                <w:rFonts w:ascii="Arial"/>
                <w:sz w:val="21"/>
              </w:rPr>
            </w:pPr>
          </w:p>
        </w:tc>
        <w:tc>
          <w:tcPr>
            <w:tcW w:w="1757" w:type="dxa"/>
            <w:vAlign w:val="top"/>
          </w:tcPr>
          <w:p w14:paraId="17ABF556">
            <w:pPr>
              <w:rPr>
                <w:rFonts w:ascii="Arial"/>
                <w:sz w:val="21"/>
              </w:rPr>
            </w:pPr>
          </w:p>
        </w:tc>
      </w:tr>
    </w:tbl>
    <w:p w14:paraId="12B14BED">
      <w:pPr>
        <w:pStyle w:val="5"/>
      </w:pPr>
    </w:p>
    <w:p w14:paraId="367F4C8F">
      <w:pPr>
        <w:sectPr>
          <w:footerReference r:id="rId64" w:type="default"/>
          <w:pgSz w:w="11905" w:h="16843"/>
          <w:pgMar w:top="969" w:right="1355" w:bottom="1026" w:left="1480" w:header="0" w:footer="754" w:gutter="0"/>
          <w:cols w:space="0" w:num="1"/>
          <w:rtlGutter w:val="0"/>
          <w:docGrid w:linePitch="0" w:charSpace="0"/>
        </w:sectPr>
      </w:pPr>
    </w:p>
    <w:p w14:paraId="01D6F09D">
      <w:pPr>
        <w:pStyle w:val="5"/>
        <w:spacing w:line="265" w:lineRule="auto"/>
      </w:pPr>
    </w:p>
    <w:p w14:paraId="20E3565E">
      <w:pPr>
        <w:pStyle w:val="5"/>
        <w:spacing w:line="265" w:lineRule="auto"/>
      </w:pPr>
    </w:p>
    <w:p w14:paraId="2D80BCC6">
      <w:pPr>
        <w:pStyle w:val="5"/>
        <w:spacing w:line="266" w:lineRule="auto"/>
      </w:pPr>
    </w:p>
    <w:p w14:paraId="1763ADC6">
      <w:pPr>
        <w:pStyle w:val="5"/>
        <w:spacing w:line="266" w:lineRule="auto"/>
      </w:pPr>
    </w:p>
    <w:p w14:paraId="5C0D1B26">
      <w:pPr>
        <w:pStyle w:val="5"/>
        <w:spacing w:line="266" w:lineRule="auto"/>
      </w:pPr>
    </w:p>
    <w:p w14:paraId="69229148">
      <w:pPr>
        <w:spacing w:before="78" w:line="233" w:lineRule="auto"/>
        <w:ind w:left="131"/>
        <w:outlineLvl w:val="2"/>
        <w:rPr>
          <w:rFonts w:ascii="黑体" w:hAnsi="黑体" w:eastAsia="黑体" w:cs="黑体"/>
          <w:sz w:val="24"/>
          <w:szCs w:val="24"/>
        </w:rPr>
      </w:pPr>
      <w:bookmarkStart w:id="156" w:name="bookmark127"/>
      <w:bookmarkEnd w:id="156"/>
      <w:r>
        <w:rPr>
          <w:rFonts w:ascii="黑体" w:hAnsi="黑体" w:eastAsia="黑体" w:cs="黑体"/>
          <w:spacing w:val="-2"/>
          <w:sz w:val="24"/>
          <w:szCs w:val="24"/>
        </w:rPr>
        <w:t>附表</w:t>
      </w:r>
      <w:r>
        <w:rPr>
          <w:rFonts w:ascii="黑体" w:hAnsi="黑体" w:eastAsia="黑体" w:cs="黑体"/>
          <w:spacing w:val="-53"/>
          <w:sz w:val="24"/>
          <w:szCs w:val="24"/>
        </w:rPr>
        <w:t xml:space="preserve"> </w:t>
      </w:r>
      <w:r>
        <w:rPr>
          <w:rFonts w:ascii="Times New Roman" w:hAnsi="Times New Roman" w:eastAsia="Times New Roman" w:cs="Times New Roman"/>
          <w:spacing w:val="-2"/>
          <w:sz w:val="24"/>
          <w:szCs w:val="24"/>
        </w:rPr>
        <w:t>A-2</w:t>
      </w:r>
      <w:r>
        <w:rPr>
          <w:rFonts w:ascii="黑体" w:hAnsi="黑体" w:eastAsia="黑体" w:cs="黑体"/>
          <w:spacing w:val="-2"/>
          <w:sz w:val="24"/>
          <w:szCs w:val="24"/>
        </w:rPr>
        <w:t>：评标专家告知承诺函</w:t>
      </w:r>
    </w:p>
    <w:p w14:paraId="307E76EF">
      <w:pPr>
        <w:pStyle w:val="5"/>
        <w:spacing w:line="293" w:lineRule="auto"/>
      </w:pPr>
    </w:p>
    <w:p w14:paraId="161B2CE9">
      <w:pPr>
        <w:pStyle w:val="5"/>
        <w:spacing w:line="294" w:lineRule="auto"/>
      </w:pPr>
    </w:p>
    <w:p w14:paraId="248245B8">
      <w:pPr>
        <w:spacing w:before="117" w:line="219" w:lineRule="auto"/>
        <w:ind w:left="2138"/>
        <w:rPr>
          <w:rFonts w:ascii="黑体" w:hAnsi="黑体" w:eastAsia="黑体" w:cs="黑体"/>
          <w:sz w:val="36"/>
          <w:szCs w:val="36"/>
        </w:rPr>
      </w:pPr>
      <w:bookmarkStart w:id="157" w:name="bookmark522"/>
      <w:bookmarkEnd w:id="157"/>
      <w:r>
        <w:rPr>
          <w:rFonts w:ascii="黑体" w:hAnsi="黑体" w:eastAsia="黑体" w:cs="黑体"/>
          <w:spacing w:val="-6"/>
          <w:sz w:val="36"/>
          <w:szCs w:val="36"/>
        </w:rPr>
        <w:t>（姓名）评标专家告知承诺函</w:t>
      </w:r>
    </w:p>
    <w:p w14:paraId="7ADCD03E">
      <w:pPr>
        <w:pStyle w:val="5"/>
        <w:spacing w:line="264" w:lineRule="auto"/>
      </w:pPr>
    </w:p>
    <w:p w14:paraId="77CA092D">
      <w:pPr>
        <w:pStyle w:val="5"/>
        <w:spacing w:line="265" w:lineRule="auto"/>
      </w:pPr>
    </w:p>
    <w:p w14:paraId="7F9A561F">
      <w:pPr>
        <w:spacing w:before="68" w:line="220" w:lineRule="auto"/>
        <w:ind w:left="420"/>
        <w:rPr>
          <w:rFonts w:ascii="宋体" w:hAnsi="宋体" w:eastAsia="宋体" w:cs="宋体"/>
          <w:sz w:val="21"/>
          <w:szCs w:val="21"/>
        </w:rPr>
      </w:pPr>
      <w:r>
        <w:rPr>
          <w:rFonts w:ascii="宋体" w:hAnsi="宋体" w:eastAsia="宋体" w:cs="宋体"/>
          <w:sz w:val="21"/>
          <w:szCs w:val="21"/>
        </w:rPr>
        <w:t xml:space="preserve">本人接受招标人邀请，担任 </w:t>
      </w:r>
      <w:r>
        <w:rPr>
          <w:rFonts w:ascii="宋体" w:hAnsi="宋体" w:eastAsia="宋体" w:cs="宋体"/>
          <w:sz w:val="21"/>
          <w:szCs w:val="21"/>
          <w:u w:val="single" w:color="auto"/>
        </w:rPr>
        <w:t xml:space="preserve">                  </w:t>
      </w:r>
      <w:r>
        <w:rPr>
          <w:rFonts w:ascii="宋体" w:hAnsi="宋体" w:eastAsia="宋体" w:cs="宋体"/>
          <w:sz w:val="21"/>
          <w:szCs w:val="21"/>
        </w:rPr>
        <w:t>（标段名称）项目招标的评</w:t>
      </w:r>
      <w:r>
        <w:rPr>
          <w:rFonts w:ascii="宋体" w:hAnsi="宋体" w:eastAsia="宋体" w:cs="宋体"/>
          <w:spacing w:val="-1"/>
          <w:sz w:val="21"/>
          <w:szCs w:val="21"/>
        </w:rPr>
        <w:t>标专家。</w:t>
      </w:r>
    </w:p>
    <w:p w14:paraId="16C782DF">
      <w:pPr>
        <w:spacing w:before="157" w:line="360" w:lineRule="auto"/>
        <w:ind w:right="185" w:firstLine="420"/>
        <w:rPr>
          <w:rFonts w:ascii="宋体" w:hAnsi="宋体" w:eastAsia="宋体" w:cs="宋体"/>
          <w:sz w:val="21"/>
          <w:szCs w:val="21"/>
        </w:rPr>
      </w:pPr>
      <w:r>
        <w:rPr>
          <w:rFonts w:ascii="宋体" w:hAnsi="宋体" w:eastAsia="宋体" w:cs="宋体"/>
          <w:spacing w:val="2"/>
          <w:sz w:val="21"/>
          <w:szCs w:val="21"/>
        </w:rPr>
        <w:t>本人作为辽宁省评标专家库评标专家，已知悉相关权利义务，已熟</w:t>
      </w:r>
      <w:r>
        <w:rPr>
          <w:rFonts w:ascii="宋体" w:hAnsi="宋体" w:eastAsia="宋体" w:cs="宋体"/>
          <w:spacing w:val="1"/>
          <w:sz w:val="21"/>
          <w:szCs w:val="21"/>
        </w:rPr>
        <w:t>知告知承诺函内容，并在</w:t>
      </w:r>
      <w:r>
        <w:rPr>
          <w:rFonts w:ascii="宋体" w:hAnsi="宋体" w:eastAsia="宋体" w:cs="宋体"/>
          <w:spacing w:val="5"/>
          <w:sz w:val="21"/>
          <w:szCs w:val="21"/>
        </w:rPr>
        <w:t>此郑重承诺:</w:t>
      </w:r>
    </w:p>
    <w:p w14:paraId="0BE29555">
      <w:pPr>
        <w:spacing w:line="220" w:lineRule="auto"/>
        <w:ind w:left="422"/>
        <w:rPr>
          <w:rFonts w:ascii="宋体" w:hAnsi="宋体" w:eastAsia="宋体" w:cs="宋体"/>
          <w:sz w:val="21"/>
          <w:szCs w:val="21"/>
        </w:rPr>
      </w:pPr>
      <w:r>
        <w:rPr>
          <w:rFonts w:ascii="宋体" w:hAnsi="宋体" w:eastAsia="宋体" w:cs="宋体"/>
          <w:spacing w:val="-2"/>
          <w:sz w:val="21"/>
          <w:szCs w:val="21"/>
        </w:rPr>
        <w:t>一、尽职承诺</w:t>
      </w:r>
    </w:p>
    <w:p w14:paraId="4E1B9CB7">
      <w:pPr>
        <w:spacing w:before="157" w:line="290" w:lineRule="auto"/>
        <w:ind w:right="197" w:firstLine="425"/>
        <w:rPr>
          <w:rFonts w:ascii="宋体" w:hAnsi="宋体" w:eastAsia="宋体" w:cs="宋体"/>
          <w:sz w:val="21"/>
          <w:szCs w:val="21"/>
        </w:rPr>
      </w:pPr>
      <w:r>
        <w:rPr>
          <w:rFonts w:ascii="宋体" w:hAnsi="宋体" w:eastAsia="宋体" w:cs="宋体"/>
          <w:spacing w:val="1"/>
          <w:sz w:val="21"/>
          <w:szCs w:val="21"/>
        </w:rPr>
        <w:t>（一）客观、公正地履行职务，严格按照法律法规规定、评标办法独立完成该项目的评标工</w:t>
      </w:r>
      <w:r>
        <w:rPr>
          <w:rFonts w:ascii="宋体" w:hAnsi="宋体" w:eastAsia="宋体" w:cs="宋体"/>
          <w:spacing w:val="-10"/>
          <w:sz w:val="21"/>
          <w:szCs w:val="21"/>
        </w:rPr>
        <w:t>作。</w:t>
      </w:r>
    </w:p>
    <w:p w14:paraId="34D0CC1C">
      <w:pPr>
        <w:spacing w:before="157" w:line="291" w:lineRule="auto"/>
        <w:ind w:right="201" w:firstLine="424"/>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57"/>
          <w:sz w:val="21"/>
          <w:szCs w:val="21"/>
        </w:rPr>
        <w:t xml:space="preserve"> </w:t>
      </w:r>
      <w:r>
        <w:rPr>
          <w:rFonts w:ascii="宋体" w:hAnsi="宋体" w:eastAsia="宋体" w:cs="宋体"/>
          <w:sz w:val="21"/>
          <w:szCs w:val="21"/>
        </w:rPr>
        <w:t>严格遵守评标纪律，保证评标过程中不发表任何涉及实质性内容的倾向性、引导性言</w:t>
      </w:r>
      <w:r>
        <w:rPr>
          <w:rFonts w:ascii="宋体" w:hAnsi="宋体" w:eastAsia="宋体" w:cs="宋体"/>
          <w:spacing w:val="-1"/>
          <w:sz w:val="21"/>
          <w:szCs w:val="21"/>
        </w:rPr>
        <w:t>论，不擅离职守。</w:t>
      </w:r>
    </w:p>
    <w:p w14:paraId="7327CF19">
      <w:pPr>
        <w:spacing w:before="154" w:line="313" w:lineRule="auto"/>
        <w:ind w:right="183" w:firstLine="425"/>
        <w:rPr>
          <w:rFonts w:ascii="宋体" w:hAnsi="宋体" w:eastAsia="宋体" w:cs="宋体"/>
          <w:sz w:val="21"/>
          <w:szCs w:val="21"/>
        </w:rPr>
      </w:pPr>
      <w:r>
        <w:rPr>
          <w:rFonts w:ascii="宋体" w:hAnsi="宋体" w:eastAsia="宋体" w:cs="宋体"/>
          <w:spacing w:val="-3"/>
          <w:sz w:val="21"/>
          <w:szCs w:val="21"/>
        </w:rPr>
        <w:t>（三）严格遵守《中华人民共和国招标投标法</w:t>
      </w:r>
      <w:r>
        <w:rPr>
          <w:rFonts w:ascii="宋体" w:hAnsi="宋体" w:eastAsia="宋体" w:cs="宋体"/>
          <w:spacing w:val="-4"/>
          <w:sz w:val="21"/>
          <w:szCs w:val="21"/>
        </w:rPr>
        <w:t>》《</w:t>
      </w:r>
      <w:r>
        <w:rPr>
          <w:rFonts w:hint="eastAsia" w:ascii="宋体" w:hAnsi="宋体" w:eastAsia="宋体" w:cs="宋体"/>
          <w:spacing w:val="-4"/>
          <w:sz w:val="21"/>
          <w:szCs w:val="21"/>
          <w:lang w:eastAsia="zh-CN"/>
        </w:rPr>
        <w:t>中华人民共和国保守国家秘密法</w:t>
      </w:r>
      <w:r>
        <w:rPr>
          <w:rFonts w:ascii="宋体" w:hAnsi="宋体" w:eastAsia="宋体" w:cs="宋体"/>
          <w:spacing w:val="-4"/>
          <w:sz w:val="21"/>
          <w:szCs w:val="21"/>
        </w:rPr>
        <w:t>》《中华人民共和国</w:t>
      </w:r>
      <w:r>
        <w:rPr>
          <w:rFonts w:ascii="宋体" w:hAnsi="宋体" w:eastAsia="宋体" w:cs="宋体"/>
          <w:spacing w:val="2"/>
          <w:sz w:val="21"/>
          <w:szCs w:val="21"/>
        </w:rPr>
        <w:t>招标投标法实施条例》相关规定，遵守职业道德，对所提出的评审</w:t>
      </w:r>
      <w:r>
        <w:rPr>
          <w:rFonts w:ascii="宋体" w:hAnsi="宋体" w:eastAsia="宋体" w:cs="宋体"/>
          <w:spacing w:val="1"/>
          <w:sz w:val="21"/>
          <w:szCs w:val="21"/>
        </w:rPr>
        <w:t>意见承担个人责任，自觉维护</w:t>
      </w:r>
      <w:r>
        <w:rPr>
          <w:rFonts w:ascii="宋体" w:hAnsi="宋体" w:eastAsia="宋体" w:cs="宋体"/>
          <w:spacing w:val="-1"/>
          <w:sz w:val="21"/>
          <w:szCs w:val="21"/>
        </w:rPr>
        <w:t>国家利益、社会公共利益。</w:t>
      </w:r>
    </w:p>
    <w:p w14:paraId="3390928C">
      <w:pPr>
        <w:spacing w:before="158" w:line="220" w:lineRule="auto"/>
        <w:ind w:left="425"/>
        <w:rPr>
          <w:rFonts w:ascii="宋体" w:hAnsi="宋体" w:eastAsia="宋体" w:cs="宋体"/>
          <w:sz w:val="21"/>
          <w:szCs w:val="21"/>
        </w:rPr>
      </w:pPr>
      <w:r>
        <w:rPr>
          <w:rFonts w:ascii="宋体" w:hAnsi="宋体" w:eastAsia="宋体" w:cs="宋体"/>
          <w:spacing w:val="-2"/>
          <w:sz w:val="21"/>
          <w:szCs w:val="21"/>
        </w:rPr>
        <w:t>（四）对依法应当否决的投标提出否决意见。</w:t>
      </w:r>
    </w:p>
    <w:p w14:paraId="66063299">
      <w:pPr>
        <w:spacing w:before="160" w:line="221" w:lineRule="auto"/>
        <w:ind w:left="422"/>
        <w:rPr>
          <w:rFonts w:ascii="宋体" w:hAnsi="宋体" w:eastAsia="宋体" w:cs="宋体"/>
          <w:sz w:val="21"/>
          <w:szCs w:val="21"/>
        </w:rPr>
      </w:pPr>
      <w:r>
        <w:rPr>
          <w:rFonts w:ascii="宋体" w:hAnsi="宋体" w:eastAsia="宋体" w:cs="宋体"/>
          <w:spacing w:val="-2"/>
          <w:sz w:val="21"/>
          <w:szCs w:val="21"/>
        </w:rPr>
        <w:t>二、回避承诺</w:t>
      </w:r>
    </w:p>
    <w:p w14:paraId="6E5BFD15">
      <w:pPr>
        <w:spacing w:before="157" w:line="221" w:lineRule="auto"/>
        <w:ind w:left="425"/>
        <w:rPr>
          <w:rFonts w:ascii="宋体" w:hAnsi="宋体" w:eastAsia="宋体" w:cs="宋体"/>
          <w:sz w:val="21"/>
          <w:szCs w:val="21"/>
        </w:rPr>
      </w:pPr>
      <w:r>
        <w:rPr>
          <w:rFonts w:ascii="宋体" w:hAnsi="宋体" w:eastAsia="宋体" w:cs="宋体"/>
          <w:spacing w:val="-1"/>
          <w:sz w:val="21"/>
          <w:szCs w:val="21"/>
        </w:rPr>
        <w:t>（一）与招标人或投标人的主要负责人不存在近亲属关系。</w:t>
      </w:r>
    </w:p>
    <w:p w14:paraId="2740D43B">
      <w:pPr>
        <w:spacing w:before="156" w:line="221" w:lineRule="auto"/>
        <w:ind w:left="425"/>
        <w:rPr>
          <w:rFonts w:ascii="宋体" w:hAnsi="宋体" w:eastAsia="宋体" w:cs="宋体"/>
          <w:sz w:val="21"/>
          <w:szCs w:val="21"/>
        </w:rPr>
      </w:pPr>
      <w:r>
        <w:rPr>
          <w:rFonts w:ascii="宋体" w:hAnsi="宋体" w:eastAsia="宋体" w:cs="宋体"/>
          <w:spacing w:val="-2"/>
          <w:sz w:val="21"/>
          <w:szCs w:val="21"/>
        </w:rPr>
        <w:t>（二）非项目主管部门或者行政监督部门的人员。</w:t>
      </w:r>
    </w:p>
    <w:p w14:paraId="1164E6E9">
      <w:pPr>
        <w:spacing w:before="157" w:line="220" w:lineRule="auto"/>
        <w:ind w:left="425"/>
        <w:rPr>
          <w:rFonts w:ascii="宋体" w:hAnsi="宋体" w:eastAsia="宋体" w:cs="宋体"/>
          <w:sz w:val="21"/>
          <w:szCs w:val="21"/>
        </w:rPr>
      </w:pPr>
      <w:r>
        <w:rPr>
          <w:rFonts w:ascii="宋体" w:hAnsi="宋体" w:eastAsia="宋体" w:cs="宋体"/>
          <w:spacing w:val="-1"/>
          <w:sz w:val="21"/>
          <w:szCs w:val="21"/>
        </w:rPr>
        <w:t>（三）近</w:t>
      </w:r>
      <w:r>
        <w:rPr>
          <w:rFonts w:ascii="宋体" w:hAnsi="宋体" w:eastAsia="宋体" w:cs="宋体"/>
          <w:spacing w:val="-30"/>
          <w:sz w:val="21"/>
          <w:szCs w:val="21"/>
        </w:rPr>
        <w:t xml:space="preserve"> </w:t>
      </w:r>
      <w:r>
        <w:rPr>
          <w:rFonts w:ascii="宋体" w:hAnsi="宋体" w:eastAsia="宋体" w:cs="宋体"/>
          <w:spacing w:val="-1"/>
          <w:sz w:val="21"/>
          <w:szCs w:val="21"/>
        </w:rPr>
        <w:t>5</w:t>
      </w:r>
      <w:r>
        <w:rPr>
          <w:rFonts w:ascii="宋体" w:hAnsi="宋体" w:eastAsia="宋体" w:cs="宋体"/>
          <w:spacing w:val="-46"/>
          <w:sz w:val="21"/>
          <w:szCs w:val="21"/>
        </w:rPr>
        <w:t xml:space="preserve"> </w:t>
      </w:r>
      <w:r>
        <w:rPr>
          <w:rFonts w:ascii="宋体" w:hAnsi="宋体" w:eastAsia="宋体" w:cs="宋体"/>
          <w:spacing w:val="-1"/>
          <w:sz w:val="21"/>
          <w:szCs w:val="21"/>
        </w:rPr>
        <w:t>年未与投标人或者投标人主要负责人有其他社会关系或者经济利益关系。</w:t>
      </w:r>
    </w:p>
    <w:p w14:paraId="53A17CC3">
      <w:pPr>
        <w:spacing w:before="159" w:line="291" w:lineRule="auto"/>
        <w:ind w:right="195" w:firstLine="424"/>
        <w:rPr>
          <w:rFonts w:ascii="宋体" w:hAnsi="宋体" w:eastAsia="宋体" w:cs="宋体"/>
          <w:sz w:val="21"/>
          <w:szCs w:val="21"/>
        </w:rPr>
      </w:pPr>
      <w:r>
        <w:rPr>
          <w:rFonts w:ascii="宋体" w:hAnsi="宋体" w:eastAsia="宋体" w:cs="宋体"/>
          <w:sz w:val="21"/>
          <w:szCs w:val="21"/>
        </w:rPr>
        <w:t>（四）</w:t>
      </w:r>
      <w:r>
        <w:rPr>
          <w:rFonts w:ascii="宋体" w:hAnsi="宋体" w:eastAsia="宋体" w:cs="宋体"/>
          <w:spacing w:val="-51"/>
          <w:sz w:val="21"/>
          <w:szCs w:val="21"/>
        </w:rPr>
        <w:t xml:space="preserve"> </w:t>
      </w:r>
      <w:r>
        <w:rPr>
          <w:rFonts w:ascii="宋体" w:hAnsi="宋体" w:eastAsia="宋体" w:cs="宋体"/>
          <w:sz w:val="21"/>
          <w:szCs w:val="21"/>
        </w:rPr>
        <w:t>未曾因在招标、评标以及其他与招标投标有关活动中从事违法行为而受过行政处罚或</w:t>
      </w:r>
      <w:r>
        <w:rPr>
          <w:rFonts w:ascii="宋体" w:hAnsi="宋体" w:eastAsia="宋体" w:cs="宋体"/>
          <w:spacing w:val="-2"/>
          <w:sz w:val="21"/>
          <w:szCs w:val="21"/>
        </w:rPr>
        <w:t>刑事处罚的。</w:t>
      </w:r>
    </w:p>
    <w:p w14:paraId="221828DA">
      <w:pPr>
        <w:spacing w:before="156" w:line="221" w:lineRule="auto"/>
        <w:ind w:left="419"/>
        <w:rPr>
          <w:rFonts w:ascii="宋体" w:hAnsi="宋体" w:eastAsia="宋体" w:cs="宋体"/>
          <w:sz w:val="21"/>
          <w:szCs w:val="21"/>
        </w:rPr>
      </w:pPr>
      <w:r>
        <w:rPr>
          <w:rFonts w:ascii="宋体" w:hAnsi="宋体" w:eastAsia="宋体" w:cs="宋体"/>
          <w:spacing w:val="-1"/>
          <w:sz w:val="21"/>
          <w:szCs w:val="21"/>
        </w:rPr>
        <w:t>三、保密承诺</w:t>
      </w:r>
    </w:p>
    <w:p w14:paraId="09FF9422">
      <w:pPr>
        <w:spacing w:before="156" w:line="290" w:lineRule="auto"/>
        <w:ind w:left="19" w:firstLine="405"/>
        <w:rPr>
          <w:rFonts w:ascii="宋体" w:hAnsi="宋体" w:eastAsia="宋体" w:cs="宋体"/>
          <w:sz w:val="21"/>
          <w:szCs w:val="21"/>
        </w:rPr>
      </w:pPr>
      <w:r>
        <w:rPr>
          <w:rFonts w:ascii="宋体" w:hAnsi="宋体" w:eastAsia="宋体" w:cs="宋体"/>
          <w:spacing w:val="-1"/>
          <w:sz w:val="21"/>
          <w:szCs w:val="21"/>
        </w:rPr>
        <w:t>（一）不在公共社交网站、媒体、平台，如微</w:t>
      </w:r>
      <w:r>
        <w:rPr>
          <w:rFonts w:ascii="宋体" w:hAnsi="宋体" w:eastAsia="宋体" w:cs="宋体"/>
          <w:spacing w:val="-2"/>
          <w:sz w:val="21"/>
          <w:szCs w:val="21"/>
        </w:rPr>
        <w:t>信群、QQ 群、朋友圈、个人微博等，通过视频、图片、暗语等方式泄露评标任务。</w:t>
      </w:r>
    </w:p>
    <w:p w14:paraId="27CDF773">
      <w:pPr>
        <w:spacing w:before="160" w:line="289" w:lineRule="auto"/>
        <w:ind w:left="1" w:right="195" w:firstLine="423"/>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51"/>
          <w:sz w:val="21"/>
          <w:szCs w:val="21"/>
        </w:rPr>
        <w:t xml:space="preserve"> </w:t>
      </w:r>
      <w:r>
        <w:rPr>
          <w:rFonts w:ascii="宋体" w:hAnsi="宋体" w:eastAsia="宋体" w:cs="宋体"/>
          <w:sz w:val="21"/>
          <w:szCs w:val="21"/>
        </w:rPr>
        <w:t>评审结束时，全部清退不应由个人持有的评审项目所有文件和资料，不向任何人透露</w:t>
      </w:r>
      <w:r>
        <w:rPr>
          <w:rFonts w:ascii="宋体" w:hAnsi="宋体" w:eastAsia="宋体" w:cs="宋体"/>
          <w:spacing w:val="-1"/>
          <w:sz w:val="21"/>
          <w:szCs w:val="21"/>
        </w:rPr>
        <w:t>投标文件的评审和比较情况、中标候选人推荐情况以及与评审有关的其他情况。</w:t>
      </w:r>
    </w:p>
    <w:p w14:paraId="6A85CD21">
      <w:pPr>
        <w:spacing w:before="157" w:line="221" w:lineRule="auto"/>
        <w:ind w:left="439"/>
        <w:rPr>
          <w:rFonts w:ascii="宋体" w:hAnsi="宋体" w:eastAsia="宋体" w:cs="宋体"/>
          <w:sz w:val="21"/>
          <w:szCs w:val="21"/>
        </w:rPr>
      </w:pPr>
      <w:r>
        <w:rPr>
          <w:rFonts w:ascii="宋体" w:hAnsi="宋体" w:eastAsia="宋体" w:cs="宋体"/>
          <w:spacing w:val="-5"/>
          <w:sz w:val="21"/>
          <w:szCs w:val="21"/>
        </w:rPr>
        <w:t>四、廉洁承诺</w:t>
      </w:r>
    </w:p>
    <w:p w14:paraId="1BE11837">
      <w:pPr>
        <w:spacing w:before="157" w:line="290" w:lineRule="auto"/>
        <w:ind w:left="1" w:right="216" w:firstLine="423"/>
        <w:rPr>
          <w:rFonts w:ascii="宋体" w:hAnsi="宋体" w:eastAsia="宋体" w:cs="宋体"/>
          <w:sz w:val="21"/>
          <w:szCs w:val="21"/>
        </w:rPr>
      </w:pPr>
      <w:r>
        <w:rPr>
          <w:rFonts w:ascii="宋体" w:hAnsi="宋体" w:eastAsia="宋体" w:cs="宋体"/>
          <w:spacing w:val="1"/>
          <w:sz w:val="21"/>
          <w:szCs w:val="21"/>
        </w:rPr>
        <w:t>（一）严格履行廉政自律责任，遵守评标廉政纪律，没有私下接触招标人</w:t>
      </w:r>
      <w:r>
        <w:rPr>
          <w:rFonts w:ascii="宋体" w:hAnsi="宋体" w:eastAsia="宋体" w:cs="宋体"/>
          <w:sz w:val="21"/>
          <w:szCs w:val="21"/>
        </w:rPr>
        <w:t>、招标代理机构、</w:t>
      </w:r>
      <w:r>
        <w:rPr>
          <w:rFonts w:ascii="宋体" w:hAnsi="宋体" w:eastAsia="宋体" w:cs="宋体"/>
          <w:spacing w:val="-1"/>
          <w:sz w:val="21"/>
          <w:szCs w:val="21"/>
        </w:rPr>
        <w:t>投标人，没有收受利益相关人或企业的财物、好处。</w:t>
      </w:r>
    </w:p>
    <w:p w14:paraId="17A94E12">
      <w:pPr>
        <w:spacing w:before="160" w:line="290" w:lineRule="auto"/>
        <w:ind w:right="196" w:firstLine="424"/>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52"/>
          <w:sz w:val="21"/>
          <w:szCs w:val="21"/>
        </w:rPr>
        <w:t xml:space="preserve"> </w:t>
      </w:r>
      <w:r>
        <w:rPr>
          <w:rFonts w:ascii="宋体" w:hAnsi="宋体" w:eastAsia="宋体" w:cs="宋体"/>
          <w:sz w:val="21"/>
          <w:szCs w:val="21"/>
        </w:rPr>
        <w:t>不向招标人征询确定中标人的意向或者接受任何单位、个人明示暗示特定投标人的要</w:t>
      </w:r>
      <w:r>
        <w:rPr>
          <w:rFonts w:ascii="宋体" w:hAnsi="宋体" w:eastAsia="宋体" w:cs="宋体"/>
          <w:spacing w:val="-10"/>
          <w:sz w:val="21"/>
          <w:szCs w:val="21"/>
        </w:rPr>
        <w:t>求。</w:t>
      </w:r>
    </w:p>
    <w:p w14:paraId="2CAB3ED6">
      <w:pPr>
        <w:spacing w:line="290" w:lineRule="auto"/>
        <w:rPr>
          <w:rFonts w:ascii="宋体" w:hAnsi="宋体" w:eastAsia="宋体" w:cs="宋体"/>
          <w:sz w:val="21"/>
          <w:szCs w:val="21"/>
        </w:rPr>
        <w:sectPr>
          <w:footerReference r:id="rId65" w:type="default"/>
          <w:pgSz w:w="11905" w:h="16843"/>
          <w:pgMar w:top="969" w:right="1355" w:bottom="1026" w:left="1480" w:header="0" w:footer="754" w:gutter="0"/>
          <w:cols w:space="0" w:num="1"/>
          <w:rtlGutter w:val="0"/>
          <w:docGrid w:linePitch="0" w:charSpace="0"/>
        </w:sectPr>
      </w:pPr>
    </w:p>
    <w:p w14:paraId="7B9C136D">
      <w:pPr>
        <w:pStyle w:val="5"/>
        <w:spacing w:line="251" w:lineRule="auto"/>
      </w:pPr>
    </w:p>
    <w:p w14:paraId="76CF9446">
      <w:pPr>
        <w:pStyle w:val="5"/>
        <w:spacing w:line="251" w:lineRule="auto"/>
      </w:pPr>
    </w:p>
    <w:p w14:paraId="76F9B137">
      <w:pPr>
        <w:pStyle w:val="5"/>
        <w:spacing w:line="251" w:lineRule="auto"/>
      </w:pPr>
    </w:p>
    <w:p w14:paraId="6EE2321D">
      <w:pPr>
        <w:pStyle w:val="5"/>
        <w:spacing w:line="251" w:lineRule="auto"/>
      </w:pPr>
    </w:p>
    <w:p w14:paraId="52A2A53B">
      <w:pPr>
        <w:pStyle w:val="5"/>
        <w:spacing w:line="251" w:lineRule="auto"/>
      </w:pPr>
    </w:p>
    <w:p w14:paraId="5076FA45">
      <w:pPr>
        <w:spacing w:before="68" w:line="221" w:lineRule="auto"/>
        <w:ind w:left="425"/>
        <w:rPr>
          <w:rFonts w:ascii="宋体" w:hAnsi="宋体" w:eastAsia="宋体" w:cs="宋体"/>
          <w:sz w:val="21"/>
          <w:szCs w:val="21"/>
        </w:rPr>
      </w:pPr>
      <w:bookmarkStart w:id="158" w:name="bookmark523"/>
      <w:bookmarkEnd w:id="158"/>
      <w:r>
        <w:rPr>
          <w:rFonts w:ascii="宋体" w:hAnsi="宋体" w:eastAsia="宋体" w:cs="宋体"/>
          <w:spacing w:val="-1"/>
          <w:sz w:val="21"/>
          <w:szCs w:val="21"/>
        </w:rPr>
        <w:t>（三）不暗示或者诱导投标人作出澄清、说明或者接受投标人主动提出的澄清、说明。</w:t>
      </w:r>
    </w:p>
    <w:p w14:paraId="3EED050F">
      <w:pPr>
        <w:spacing w:before="157" w:line="289" w:lineRule="auto"/>
        <w:ind w:left="23" w:right="19" w:firstLine="402"/>
        <w:rPr>
          <w:rFonts w:ascii="宋体" w:hAnsi="宋体" w:eastAsia="宋体" w:cs="宋体"/>
          <w:sz w:val="21"/>
          <w:szCs w:val="21"/>
        </w:rPr>
      </w:pPr>
      <w:r>
        <w:rPr>
          <w:rFonts w:ascii="宋体" w:hAnsi="宋体" w:eastAsia="宋体" w:cs="宋体"/>
          <w:spacing w:val="-1"/>
          <w:sz w:val="21"/>
          <w:szCs w:val="21"/>
        </w:rPr>
        <w:t>（四）</w:t>
      </w:r>
      <w:r>
        <w:rPr>
          <w:rFonts w:ascii="宋体" w:hAnsi="宋体" w:eastAsia="宋体" w:cs="宋体"/>
          <w:spacing w:val="-13"/>
          <w:sz w:val="21"/>
          <w:szCs w:val="21"/>
        </w:rPr>
        <w:t xml:space="preserve"> </w:t>
      </w:r>
      <w:r>
        <w:rPr>
          <w:rFonts w:ascii="宋体" w:hAnsi="宋体" w:eastAsia="宋体" w:cs="宋体"/>
          <w:spacing w:val="-1"/>
          <w:sz w:val="21"/>
          <w:szCs w:val="21"/>
        </w:rPr>
        <w:t>自觉抵制招标投标活动中的违法违规行为，积极配合协助行政监督部门、纪检监察部</w:t>
      </w:r>
      <w:r>
        <w:rPr>
          <w:rFonts w:ascii="宋体" w:hAnsi="宋体" w:eastAsia="宋体" w:cs="宋体"/>
          <w:spacing w:val="-2"/>
          <w:sz w:val="21"/>
          <w:szCs w:val="21"/>
        </w:rPr>
        <w:t>门、公安部门、检察机关等依法进行监督。</w:t>
      </w:r>
    </w:p>
    <w:p w14:paraId="2DC94137">
      <w:pPr>
        <w:spacing w:before="157" w:line="221" w:lineRule="auto"/>
        <w:ind w:left="422"/>
        <w:rPr>
          <w:rFonts w:ascii="宋体" w:hAnsi="宋体" w:eastAsia="宋体" w:cs="宋体"/>
          <w:sz w:val="21"/>
          <w:szCs w:val="21"/>
        </w:rPr>
      </w:pPr>
      <w:r>
        <w:rPr>
          <w:rFonts w:ascii="宋体" w:hAnsi="宋体" w:eastAsia="宋体" w:cs="宋体"/>
          <w:spacing w:val="-1"/>
          <w:sz w:val="21"/>
          <w:szCs w:val="21"/>
        </w:rPr>
        <w:t>五、不参与串通投标承诺</w:t>
      </w:r>
    </w:p>
    <w:p w14:paraId="5EFF07C5">
      <w:pPr>
        <w:spacing w:before="159" w:line="220" w:lineRule="auto"/>
        <w:ind w:left="425"/>
        <w:rPr>
          <w:rFonts w:ascii="宋体" w:hAnsi="宋体" w:eastAsia="宋体" w:cs="宋体"/>
          <w:sz w:val="21"/>
          <w:szCs w:val="21"/>
        </w:rPr>
      </w:pPr>
      <w:r>
        <w:rPr>
          <w:rFonts w:ascii="宋体" w:hAnsi="宋体" w:eastAsia="宋体" w:cs="宋体"/>
          <w:sz w:val="21"/>
          <w:szCs w:val="21"/>
        </w:rPr>
        <w:t>（一）依法依规参加本招标项目的评标工作</w:t>
      </w:r>
      <w:r>
        <w:rPr>
          <w:rFonts w:ascii="宋体" w:hAnsi="宋体" w:eastAsia="宋体" w:cs="宋体"/>
          <w:spacing w:val="-1"/>
          <w:sz w:val="21"/>
          <w:szCs w:val="21"/>
        </w:rPr>
        <w:t>，不参与串通投标。</w:t>
      </w:r>
    </w:p>
    <w:p w14:paraId="701EC51D">
      <w:pPr>
        <w:spacing w:before="155" w:line="332" w:lineRule="auto"/>
        <w:ind w:firstLine="425"/>
        <w:rPr>
          <w:rFonts w:ascii="宋体" w:hAnsi="宋体" w:eastAsia="宋体" w:cs="宋体"/>
          <w:sz w:val="21"/>
          <w:szCs w:val="21"/>
        </w:rPr>
      </w:pPr>
      <w:r>
        <w:rPr>
          <w:rFonts w:ascii="宋体" w:hAnsi="宋体" w:eastAsia="宋体" w:cs="宋体"/>
          <w:spacing w:val="1"/>
          <w:sz w:val="21"/>
          <w:szCs w:val="21"/>
        </w:rPr>
        <w:t>（二）</w:t>
      </w:r>
      <w:r>
        <w:rPr>
          <w:rFonts w:ascii="宋体" w:hAnsi="宋体" w:eastAsia="宋体" w:cs="宋体"/>
          <w:spacing w:val="-60"/>
          <w:sz w:val="21"/>
          <w:szCs w:val="21"/>
        </w:rPr>
        <w:t xml:space="preserve"> </w:t>
      </w:r>
      <w:r>
        <w:rPr>
          <w:rFonts w:ascii="宋体" w:hAnsi="宋体" w:eastAsia="宋体" w:cs="宋体"/>
          <w:spacing w:val="1"/>
          <w:sz w:val="21"/>
          <w:szCs w:val="21"/>
        </w:rPr>
        <w:t>清楚并知晓《中华人民共和国刑法》第一百六十</w:t>
      </w:r>
      <w:r>
        <w:rPr>
          <w:rFonts w:ascii="宋体" w:hAnsi="宋体" w:eastAsia="宋体" w:cs="宋体"/>
          <w:sz w:val="21"/>
          <w:szCs w:val="21"/>
        </w:rPr>
        <w:t>三条“公司、企业或者其他单位的工</w:t>
      </w:r>
      <w:r>
        <w:rPr>
          <w:rFonts w:ascii="宋体" w:hAnsi="宋体" w:eastAsia="宋体" w:cs="宋体"/>
          <w:spacing w:val="2"/>
          <w:sz w:val="21"/>
          <w:szCs w:val="21"/>
        </w:rPr>
        <w:t>作人员，利用职务上的便利，索取他人财物或者非法收受他人财物，为他人谋取</w:t>
      </w:r>
      <w:r>
        <w:rPr>
          <w:rFonts w:ascii="宋体" w:hAnsi="宋体" w:eastAsia="宋体" w:cs="宋体"/>
          <w:spacing w:val="1"/>
          <w:sz w:val="21"/>
          <w:szCs w:val="21"/>
        </w:rPr>
        <w:t>利益，数额较大</w:t>
      </w:r>
      <w:r>
        <w:rPr>
          <w:rFonts w:ascii="宋体" w:hAnsi="宋体" w:eastAsia="宋体" w:cs="宋体"/>
          <w:spacing w:val="2"/>
          <w:sz w:val="21"/>
          <w:szCs w:val="21"/>
        </w:rPr>
        <w:t>的，处三年以下有期徒刑或者拘役，并处罚金；数额巨大或者有其他</w:t>
      </w:r>
      <w:r>
        <w:rPr>
          <w:rFonts w:ascii="宋体" w:hAnsi="宋体" w:eastAsia="宋体" w:cs="宋体"/>
          <w:spacing w:val="1"/>
          <w:sz w:val="21"/>
          <w:szCs w:val="21"/>
        </w:rPr>
        <w:t>严重情节的，处三年以上十</w:t>
      </w:r>
      <w:r>
        <w:rPr>
          <w:rFonts w:ascii="宋体" w:hAnsi="宋体" w:eastAsia="宋体" w:cs="宋体"/>
          <w:spacing w:val="2"/>
          <w:sz w:val="21"/>
          <w:szCs w:val="21"/>
        </w:rPr>
        <w:t>年以下有期徒刑，并处罚金；数额特别巨大或者有其他特别严重情</w:t>
      </w:r>
      <w:r>
        <w:rPr>
          <w:rFonts w:ascii="宋体" w:hAnsi="宋体" w:eastAsia="宋体" w:cs="宋体"/>
          <w:spacing w:val="1"/>
          <w:sz w:val="21"/>
          <w:szCs w:val="21"/>
        </w:rPr>
        <w:t>节的，处十年以上有期徒刑或</w:t>
      </w:r>
      <w:r>
        <w:rPr>
          <w:rFonts w:ascii="宋体" w:hAnsi="宋体" w:eastAsia="宋体" w:cs="宋体"/>
          <w:spacing w:val="-1"/>
          <w:sz w:val="21"/>
          <w:szCs w:val="21"/>
        </w:rPr>
        <w:t>者无期徒刑，并处罚金”的规定。</w:t>
      </w:r>
    </w:p>
    <w:p w14:paraId="108AB568">
      <w:pPr>
        <w:spacing w:before="156" w:line="290" w:lineRule="auto"/>
        <w:ind w:left="3" w:right="16" w:firstLine="422"/>
        <w:rPr>
          <w:rFonts w:ascii="宋体" w:hAnsi="宋体" w:eastAsia="宋体" w:cs="宋体"/>
          <w:sz w:val="21"/>
          <w:szCs w:val="21"/>
        </w:rPr>
      </w:pPr>
      <w:r>
        <w:rPr>
          <w:rFonts w:ascii="宋体" w:hAnsi="宋体" w:eastAsia="宋体" w:cs="宋体"/>
          <w:spacing w:val="-1"/>
          <w:sz w:val="21"/>
          <w:szCs w:val="21"/>
        </w:rPr>
        <w:t>（三）</w:t>
      </w:r>
      <w:r>
        <w:rPr>
          <w:rFonts w:ascii="宋体" w:hAnsi="宋体" w:eastAsia="宋体" w:cs="宋体"/>
          <w:spacing w:val="-58"/>
          <w:sz w:val="21"/>
          <w:szCs w:val="21"/>
        </w:rPr>
        <w:t xml:space="preserve"> </w:t>
      </w:r>
      <w:r>
        <w:rPr>
          <w:rFonts w:ascii="宋体" w:hAnsi="宋体" w:eastAsia="宋体" w:cs="宋体"/>
          <w:spacing w:val="-1"/>
          <w:sz w:val="21"/>
          <w:szCs w:val="21"/>
        </w:rPr>
        <w:t>本人如被查实在本招标项目评标工作中参与串通投标的，</w:t>
      </w:r>
      <w:r>
        <w:rPr>
          <w:rFonts w:ascii="宋体" w:hAnsi="宋体" w:eastAsia="宋体" w:cs="宋体"/>
          <w:spacing w:val="-55"/>
          <w:sz w:val="21"/>
          <w:szCs w:val="21"/>
        </w:rPr>
        <w:t xml:space="preserve"> </w:t>
      </w:r>
      <w:r>
        <w:rPr>
          <w:rFonts w:ascii="宋体" w:hAnsi="宋体" w:eastAsia="宋体" w:cs="宋体"/>
          <w:spacing w:val="-1"/>
          <w:sz w:val="21"/>
          <w:szCs w:val="21"/>
        </w:rPr>
        <w:t>自愿承担相应法律责任</w:t>
      </w:r>
      <w:r>
        <w:rPr>
          <w:rFonts w:ascii="宋体" w:hAnsi="宋体" w:eastAsia="宋体" w:cs="宋体"/>
          <w:spacing w:val="-2"/>
          <w:sz w:val="21"/>
          <w:szCs w:val="21"/>
        </w:rPr>
        <w:t>，接受相应刑事和纪律、行政处罚以及失信惩戒。</w:t>
      </w:r>
    </w:p>
    <w:p w14:paraId="52F24AA6">
      <w:pPr>
        <w:spacing w:before="157" w:line="220" w:lineRule="auto"/>
        <w:ind w:left="420"/>
        <w:rPr>
          <w:rFonts w:ascii="宋体" w:hAnsi="宋体" w:eastAsia="宋体" w:cs="宋体"/>
          <w:sz w:val="21"/>
          <w:szCs w:val="21"/>
        </w:rPr>
      </w:pPr>
      <w:r>
        <w:rPr>
          <w:rFonts w:ascii="宋体" w:hAnsi="宋体" w:eastAsia="宋体" w:cs="宋体"/>
          <w:spacing w:val="-1"/>
          <w:sz w:val="21"/>
          <w:szCs w:val="21"/>
        </w:rPr>
        <w:t>六、本承诺函由我本人亲自签字确认。</w:t>
      </w:r>
    </w:p>
    <w:p w14:paraId="490967AE">
      <w:pPr>
        <w:pStyle w:val="5"/>
        <w:spacing w:line="300" w:lineRule="auto"/>
      </w:pPr>
    </w:p>
    <w:p w14:paraId="02B7170D">
      <w:pPr>
        <w:pStyle w:val="5"/>
        <w:spacing w:line="301" w:lineRule="auto"/>
      </w:pPr>
    </w:p>
    <w:p w14:paraId="60334E2E">
      <w:pPr>
        <w:pStyle w:val="5"/>
        <w:spacing w:line="301" w:lineRule="auto"/>
      </w:pPr>
    </w:p>
    <w:p w14:paraId="59D209FF">
      <w:pPr>
        <w:spacing w:before="69" w:line="220" w:lineRule="auto"/>
        <w:ind w:left="420"/>
        <w:rPr>
          <w:rFonts w:ascii="宋体" w:hAnsi="宋体" w:eastAsia="宋体" w:cs="宋体"/>
          <w:sz w:val="21"/>
          <w:szCs w:val="21"/>
        </w:rPr>
      </w:pPr>
      <w:r>
        <w:rPr>
          <w:rFonts w:ascii="宋体" w:hAnsi="宋体" w:eastAsia="宋体" w:cs="宋体"/>
          <w:spacing w:val="-2"/>
          <w:sz w:val="21"/>
          <w:szCs w:val="21"/>
        </w:rPr>
        <w:t>本人是□ 否□</w:t>
      </w:r>
      <w:r>
        <w:rPr>
          <w:rFonts w:ascii="宋体" w:hAnsi="宋体" w:eastAsia="宋体" w:cs="宋体"/>
          <w:spacing w:val="17"/>
          <w:sz w:val="21"/>
          <w:szCs w:val="21"/>
        </w:rPr>
        <w:t xml:space="preserve"> </w:t>
      </w:r>
      <w:r>
        <w:rPr>
          <w:rFonts w:ascii="宋体" w:hAnsi="宋体" w:eastAsia="宋体" w:cs="宋体"/>
          <w:spacing w:val="-2"/>
          <w:sz w:val="21"/>
          <w:szCs w:val="21"/>
        </w:rPr>
        <w:t>为中共党员</w:t>
      </w:r>
    </w:p>
    <w:p w14:paraId="3C1CADC7">
      <w:pPr>
        <w:spacing w:before="158" w:line="221" w:lineRule="auto"/>
        <w:ind w:left="1685"/>
        <w:rPr>
          <w:rFonts w:ascii="宋体" w:hAnsi="宋体" w:eastAsia="宋体" w:cs="宋体"/>
          <w:sz w:val="21"/>
          <w:szCs w:val="21"/>
        </w:rPr>
      </w:pPr>
      <w:r>
        <w:rPr>
          <w:rFonts w:ascii="宋体" w:hAnsi="宋体" w:eastAsia="宋体" w:cs="宋体"/>
          <w:spacing w:val="-8"/>
          <w:sz w:val="21"/>
          <w:szCs w:val="21"/>
        </w:rPr>
        <w:t>（应单选，</w:t>
      </w:r>
      <w:r>
        <w:rPr>
          <w:rFonts w:ascii="宋体" w:hAnsi="宋体" w:eastAsia="宋体" w:cs="宋体"/>
          <w:b/>
          <w:bCs/>
          <w:spacing w:val="-8"/>
          <w:sz w:val="21"/>
          <w:szCs w:val="21"/>
        </w:rPr>
        <w:t>并在方框内打“</w:t>
      </w:r>
      <w:r>
        <w:rPr>
          <w:rFonts w:ascii="宋体" w:hAnsi="宋体" w:eastAsia="宋体" w:cs="宋体"/>
          <w:spacing w:val="-39"/>
          <w:sz w:val="21"/>
          <w:szCs w:val="21"/>
        </w:rPr>
        <w:t xml:space="preserve"> </w:t>
      </w:r>
      <w:r>
        <w:rPr>
          <w:rFonts w:ascii="宋体" w:hAnsi="宋体" w:eastAsia="宋体" w:cs="宋体"/>
          <w:b/>
          <w:bCs/>
          <w:spacing w:val="-8"/>
          <w:sz w:val="21"/>
          <w:szCs w:val="21"/>
        </w:rPr>
        <w:t>√</w:t>
      </w:r>
      <w:r>
        <w:rPr>
          <w:rFonts w:ascii="宋体" w:hAnsi="宋体" w:eastAsia="宋体" w:cs="宋体"/>
          <w:spacing w:val="-77"/>
          <w:sz w:val="21"/>
          <w:szCs w:val="21"/>
        </w:rPr>
        <w:t xml:space="preserve"> </w:t>
      </w:r>
      <w:r>
        <w:rPr>
          <w:rFonts w:ascii="宋体" w:hAnsi="宋体" w:eastAsia="宋体" w:cs="宋体"/>
          <w:b/>
          <w:bCs/>
          <w:spacing w:val="-8"/>
          <w:sz w:val="21"/>
          <w:szCs w:val="21"/>
        </w:rPr>
        <w:t>”</w:t>
      </w:r>
      <w:r>
        <w:rPr>
          <w:rFonts w:ascii="宋体" w:hAnsi="宋体" w:eastAsia="宋体" w:cs="宋体"/>
          <w:spacing w:val="-8"/>
          <w:sz w:val="21"/>
          <w:szCs w:val="21"/>
        </w:rPr>
        <w:t>)</w:t>
      </w:r>
    </w:p>
    <w:p w14:paraId="643F1B43">
      <w:pPr>
        <w:pStyle w:val="5"/>
        <w:spacing w:line="261" w:lineRule="auto"/>
      </w:pPr>
    </w:p>
    <w:p w14:paraId="4921DDDA">
      <w:pPr>
        <w:pStyle w:val="5"/>
        <w:spacing w:line="261" w:lineRule="auto"/>
      </w:pPr>
    </w:p>
    <w:p w14:paraId="6BAD0E04">
      <w:pPr>
        <w:pStyle w:val="5"/>
        <w:spacing w:line="261" w:lineRule="auto"/>
      </w:pPr>
    </w:p>
    <w:p w14:paraId="1DF1F5C0">
      <w:pPr>
        <w:pStyle w:val="5"/>
        <w:spacing w:line="261" w:lineRule="auto"/>
      </w:pPr>
    </w:p>
    <w:p w14:paraId="304880B9">
      <w:pPr>
        <w:pStyle w:val="5"/>
        <w:spacing w:line="262" w:lineRule="auto"/>
      </w:pPr>
    </w:p>
    <w:p w14:paraId="684E26D7">
      <w:pPr>
        <w:spacing w:before="69" w:line="221" w:lineRule="auto"/>
        <w:ind w:left="5080"/>
        <w:rPr>
          <w:rFonts w:ascii="宋体" w:hAnsi="宋体" w:eastAsia="宋体" w:cs="宋体"/>
          <w:sz w:val="21"/>
          <w:szCs w:val="21"/>
        </w:rPr>
      </w:pPr>
      <w:r>
        <w:rPr>
          <w:rFonts w:ascii="宋体" w:hAnsi="宋体" w:eastAsia="宋体" w:cs="宋体"/>
          <w:spacing w:val="-2"/>
          <w:sz w:val="21"/>
          <w:szCs w:val="21"/>
        </w:rPr>
        <w:t>承 诺</w:t>
      </w:r>
      <w:r>
        <w:rPr>
          <w:rFonts w:ascii="宋体" w:hAnsi="宋体" w:eastAsia="宋体" w:cs="宋体"/>
          <w:spacing w:val="9"/>
          <w:sz w:val="21"/>
          <w:szCs w:val="21"/>
        </w:rPr>
        <w:t xml:space="preserve"> </w:t>
      </w:r>
      <w:r>
        <w:rPr>
          <w:rFonts w:ascii="宋体" w:hAnsi="宋体" w:eastAsia="宋体" w:cs="宋体"/>
          <w:spacing w:val="-2"/>
          <w:sz w:val="21"/>
          <w:szCs w:val="21"/>
        </w:rPr>
        <w:t>人：</w:t>
      </w:r>
      <w:r>
        <w:rPr>
          <w:rFonts w:ascii="宋体" w:hAnsi="宋体" w:eastAsia="宋体" w:cs="宋体"/>
          <w:sz w:val="21"/>
          <w:szCs w:val="21"/>
        </w:rPr>
        <w:t xml:space="preserve">             </w:t>
      </w:r>
      <w:r>
        <w:rPr>
          <w:rFonts w:ascii="宋体" w:hAnsi="宋体" w:eastAsia="宋体" w:cs="宋体"/>
          <w:spacing w:val="-2"/>
          <w:sz w:val="21"/>
          <w:szCs w:val="21"/>
        </w:rPr>
        <w:t>（签字）</w:t>
      </w:r>
    </w:p>
    <w:p w14:paraId="6C13F211">
      <w:pPr>
        <w:pStyle w:val="5"/>
        <w:spacing w:line="246" w:lineRule="auto"/>
      </w:pPr>
    </w:p>
    <w:p w14:paraId="5B6CE6ED">
      <w:pPr>
        <w:pStyle w:val="5"/>
        <w:spacing w:line="247" w:lineRule="auto"/>
      </w:pPr>
    </w:p>
    <w:p w14:paraId="03D7D25F">
      <w:pPr>
        <w:spacing w:before="69" w:line="221" w:lineRule="auto"/>
        <w:ind w:left="5395"/>
        <w:rPr>
          <w:rFonts w:ascii="宋体" w:hAnsi="宋体" w:eastAsia="宋体" w:cs="宋体"/>
          <w:sz w:val="21"/>
          <w:szCs w:val="21"/>
        </w:rPr>
      </w:pPr>
      <w:r>
        <w:rPr>
          <w:rFonts w:ascii="宋体" w:hAnsi="宋体" w:eastAsia="宋体" w:cs="宋体"/>
          <w:spacing w:val="-2"/>
          <w:sz w:val="21"/>
          <w:szCs w:val="21"/>
        </w:rPr>
        <w:t>承诺时间：    年</w:t>
      </w:r>
      <w:r>
        <w:rPr>
          <w:rFonts w:ascii="宋体" w:hAnsi="宋体" w:eastAsia="宋体" w:cs="宋体"/>
          <w:spacing w:val="6"/>
          <w:sz w:val="21"/>
          <w:szCs w:val="21"/>
        </w:rPr>
        <w:t xml:space="preserve">   </w:t>
      </w:r>
      <w:r>
        <w:rPr>
          <w:rFonts w:ascii="宋体" w:hAnsi="宋体" w:eastAsia="宋体" w:cs="宋体"/>
          <w:spacing w:val="-2"/>
          <w:sz w:val="21"/>
          <w:szCs w:val="21"/>
        </w:rPr>
        <w:t>月</w:t>
      </w:r>
      <w:r>
        <w:rPr>
          <w:rFonts w:ascii="宋体" w:hAnsi="宋体" w:eastAsia="宋体" w:cs="宋体"/>
          <w:spacing w:val="20"/>
          <w:sz w:val="21"/>
          <w:szCs w:val="21"/>
        </w:rPr>
        <w:t xml:space="preserve">  </w:t>
      </w:r>
      <w:r>
        <w:rPr>
          <w:rFonts w:ascii="宋体" w:hAnsi="宋体" w:eastAsia="宋体" w:cs="宋体"/>
          <w:spacing w:val="-2"/>
          <w:sz w:val="21"/>
          <w:szCs w:val="21"/>
        </w:rPr>
        <w:t>日</w:t>
      </w:r>
    </w:p>
    <w:p w14:paraId="77FDF3A7">
      <w:pPr>
        <w:spacing w:line="221" w:lineRule="auto"/>
        <w:rPr>
          <w:rFonts w:ascii="宋体" w:hAnsi="宋体" w:eastAsia="宋体" w:cs="宋体"/>
          <w:sz w:val="21"/>
          <w:szCs w:val="21"/>
        </w:rPr>
        <w:sectPr>
          <w:footerReference r:id="rId66" w:type="default"/>
          <w:pgSz w:w="11905" w:h="16843"/>
          <w:pgMar w:top="969" w:right="1355" w:bottom="1026" w:left="1480" w:header="0" w:footer="754" w:gutter="0"/>
          <w:cols w:space="0" w:num="1"/>
          <w:rtlGutter w:val="0"/>
          <w:docGrid w:linePitch="0" w:charSpace="0"/>
        </w:sectPr>
      </w:pPr>
    </w:p>
    <w:p w14:paraId="5E621416">
      <w:pPr>
        <w:pStyle w:val="5"/>
        <w:spacing w:line="248" w:lineRule="auto"/>
      </w:pPr>
    </w:p>
    <w:p w14:paraId="5F77225E">
      <w:pPr>
        <w:pStyle w:val="5"/>
        <w:spacing w:line="248" w:lineRule="auto"/>
      </w:pPr>
    </w:p>
    <w:p w14:paraId="06C54A99">
      <w:pPr>
        <w:pStyle w:val="5"/>
        <w:spacing w:line="248" w:lineRule="auto"/>
      </w:pPr>
    </w:p>
    <w:p w14:paraId="4153AAAF">
      <w:pPr>
        <w:pStyle w:val="5"/>
        <w:spacing w:line="248" w:lineRule="auto"/>
      </w:pPr>
    </w:p>
    <w:p w14:paraId="560B0616">
      <w:pPr>
        <w:pStyle w:val="5"/>
        <w:spacing w:line="248" w:lineRule="auto"/>
      </w:pPr>
    </w:p>
    <w:p w14:paraId="0A3B193F">
      <w:pPr>
        <w:pStyle w:val="5"/>
        <w:spacing w:line="248" w:lineRule="auto"/>
      </w:pPr>
    </w:p>
    <w:p w14:paraId="0CFFB34E">
      <w:pPr>
        <w:pStyle w:val="5"/>
        <w:spacing w:line="248" w:lineRule="auto"/>
      </w:pPr>
    </w:p>
    <w:p w14:paraId="57A6F9A8">
      <w:pPr>
        <w:spacing w:before="78" w:line="232" w:lineRule="auto"/>
        <w:ind w:left="423"/>
        <w:outlineLvl w:val="2"/>
        <w:rPr>
          <w:rFonts w:ascii="黑体" w:hAnsi="黑体" w:eastAsia="黑体" w:cs="黑体"/>
          <w:sz w:val="24"/>
          <w:szCs w:val="24"/>
        </w:rPr>
      </w:pPr>
      <w:bookmarkStart w:id="159" w:name="bookmark128"/>
      <w:bookmarkEnd w:id="159"/>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A-3</w:t>
      </w:r>
      <w:r>
        <w:rPr>
          <w:rFonts w:ascii="黑体" w:hAnsi="黑体" w:eastAsia="黑体" w:cs="黑体"/>
          <w:spacing w:val="-3"/>
          <w:sz w:val="24"/>
          <w:szCs w:val="24"/>
        </w:rPr>
        <w:t>：技术暗标编号确认表</w:t>
      </w:r>
    </w:p>
    <w:p w14:paraId="2C52C0D8">
      <w:pPr>
        <w:pStyle w:val="5"/>
        <w:spacing w:line="388" w:lineRule="auto"/>
      </w:pPr>
    </w:p>
    <w:p w14:paraId="22D9691B">
      <w:pPr>
        <w:spacing w:before="117" w:line="218" w:lineRule="auto"/>
        <w:ind w:left="3127"/>
        <w:rPr>
          <w:rFonts w:ascii="黑体" w:hAnsi="黑体" w:eastAsia="黑体" w:cs="黑体"/>
          <w:sz w:val="36"/>
          <w:szCs w:val="36"/>
        </w:rPr>
      </w:pPr>
      <w:bookmarkStart w:id="160" w:name="bookmark524"/>
      <w:bookmarkEnd w:id="160"/>
      <w:r>
        <w:rPr>
          <w:rFonts w:ascii="黑体" w:hAnsi="黑体" w:eastAsia="黑体" w:cs="黑体"/>
          <w:spacing w:val="-2"/>
          <w:sz w:val="36"/>
          <w:szCs w:val="36"/>
        </w:rPr>
        <w:t>技术暗标编号确认表</w:t>
      </w:r>
    </w:p>
    <w:p w14:paraId="7ADD74C7">
      <w:pPr>
        <w:spacing w:before="242" w:line="221" w:lineRule="auto"/>
        <w:ind w:left="292"/>
        <w:rPr>
          <w:rFonts w:ascii="宋体" w:hAnsi="宋体" w:eastAsia="宋体" w:cs="宋体"/>
          <w:sz w:val="21"/>
          <w:szCs w:val="21"/>
        </w:rPr>
      </w:pPr>
      <w:r>
        <w:rPr>
          <w:rFonts w:ascii="宋体" w:hAnsi="宋体" w:eastAsia="宋体" w:cs="宋体"/>
          <w:spacing w:val="-7"/>
          <w:sz w:val="21"/>
          <w:szCs w:val="21"/>
        </w:rPr>
        <w:t>标段名称：</w:t>
      </w:r>
    </w:p>
    <w:p w14:paraId="3B711504">
      <w:pPr>
        <w:spacing w:before="19" w:line="214" w:lineRule="auto"/>
        <w:ind w:left="292"/>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993"/>
        <w:gridCol w:w="771"/>
        <w:gridCol w:w="772"/>
        <w:gridCol w:w="770"/>
        <w:gridCol w:w="773"/>
        <w:gridCol w:w="770"/>
        <w:gridCol w:w="772"/>
        <w:gridCol w:w="771"/>
        <w:gridCol w:w="772"/>
        <w:gridCol w:w="777"/>
      </w:tblGrid>
      <w:tr w14:paraId="5828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5" w:type="dxa"/>
            <w:vMerge w:val="restart"/>
            <w:tcBorders>
              <w:bottom w:val="nil"/>
            </w:tcBorders>
            <w:textDirection w:val="tbRlV"/>
            <w:vAlign w:val="top"/>
          </w:tcPr>
          <w:p w14:paraId="4E6641E0">
            <w:pPr>
              <w:pStyle w:val="11"/>
              <w:spacing w:before="155" w:line="211" w:lineRule="auto"/>
              <w:ind w:left="89"/>
            </w:pPr>
            <w:r>
              <w:rPr>
                <w:spacing w:val="31"/>
              </w:rPr>
              <w:t>序号</w:t>
            </w:r>
          </w:p>
        </w:tc>
        <w:tc>
          <w:tcPr>
            <w:tcW w:w="1993" w:type="dxa"/>
            <w:vMerge w:val="restart"/>
            <w:tcBorders>
              <w:bottom w:val="nil"/>
            </w:tcBorders>
            <w:vAlign w:val="top"/>
          </w:tcPr>
          <w:p w14:paraId="7F385F49">
            <w:pPr>
              <w:pStyle w:val="11"/>
              <w:spacing w:before="224" w:line="221" w:lineRule="auto"/>
              <w:ind w:left="476"/>
            </w:pPr>
            <w:r>
              <w:rPr>
                <w:spacing w:val="-2"/>
              </w:rPr>
              <w:t>投标人名称</w:t>
            </w:r>
          </w:p>
        </w:tc>
        <w:tc>
          <w:tcPr>
            <w:tcW w:w="6948" w:type="dxa"/>
            <w:gridSpan w:val="9"/>
            <w:vAlign w:val="top"/>
          </w:tcPr>
          <w:p w14:paraId="7859BF91">
            <w:pPr>
              <w:pStyle w:val="11"/>
              <w:spacing w:before="33" w:line="221" w:lineRule="auto"/>
              <w:ind w:left="2529"/>
            </w:pPr>
            <w:r>
              <w:rPr>
                <w:spacing w:val="-1"/>
              </w:rPr>
              <w:t>评审因素及暗标编号</w:t>
            </w:r>
          </w:p>
        </w:tc>
      </w:tr>
      <w:tr w14:paraId="2D377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25" w:type="dxa"/>
            <w:vMerge w:val="continue"/>
            <w:tcBorders>
              <w:top w:val="nil"/>
            </w:tcBorders>
            <w:textDirection w:val="tbRlV"/>
            <w:vAlign w:val="top"/>
          </w:tcPr>
          <w:p w14:paraId="648403A1">
            <w:pPr>
              <w:rPr>
                <w:rFonts w:ascii="Arial"/>
                <w:sz w:val="21"/>
              </w:rPr>
            </w:pPr>
          </w:p>
        </w:tc>
        <w:tc>
          <w:tcPr>
            <w:tcW w:w="1993" w:type="dxa"/>
            <w:vMerge w:val="continue"/>
            <w:tcBorders>
              <w:top w:val="nil"/>
            </w:tcBorders>
            <w:vAlign w:val="top"/>
          </w:tcPr>
          <w:p w14:paraId="7D602047">
            <w:pPr>
              <w:rPr>
                <w:rFonts w:ascii="Arial"/>
                <w:sz w:val="21"/>
              </w:rPr>
            </w:pPr>
          </w:p>
        </w:tc>
        <w:tc>
          <w:tcPr>
            <w:tcW w:w="771" w:type="dxa"/>
            <w:vAlign w:val="top"/>
          </w:tcPr>
          <w:p w14:paraId="28746F9B">
            <w:pPr>
              <w:rPr>
                <w:rFonts w:ascii="Arial"/>
                <w:sz w:val="21"/>
              </w:rPr>
            </w:pPr>
          </w:p>
        </w:tc>
        <w:tc>
          <w:tcPr>
            <w:tcW w:w="772" w:type="dxa"/>
            <w:vAlign w:val="top"/>
          </w:tcPr>
          <w:p w14:paraId="79FA4069">
            <w:pPr>
              <w:rPr>
                <w:rFonts w:ascii="Arial"/>
                <w:sz w:val="21"/>
              </w:rPr>
            </w:pPr>
          </w:p>
        </w:tc>
        <w:tc>
          <w:tcPr>
            <w:tcW w:w="770" w:type="dxa"/>
            <w:vAlign w:val="top"/>
          </w:tcPr>
          <w:p w14:paraId="7F9CA296">
            <w:pPr>
              <w:rPr>
                <w:rFonts w:ascii="Arial"/>
                <w:sz w:val="21"/>
              </w:rPr>
            </w:pPr>
          </w:p>
        </w:tc>
        <w:tc>
          <w:tcPr>
            <w:tcW w:w="773" w:type="dxa"/>
            <w:vAlign w:val="top"/>
          </w:tcPr>
          <w:p w14:paraId="528498A2">
            <w:pPr>
              <w:rPr>
                <w:rFonts w:ascii="Arial"/>
                <w:sz w:val="21"/>
              </w:rPr>
            </w:pPr>
          </w:p>
        </w:tc>
        <w:tc>
          <w:tcPr>
            <w:tcW w:w="770" w:type="dxa"/>
            <w:vAlign w:val="top"/>
          </w:tcPr>
          <w:p w14:paraId="06CA131B">
            <w:pPr>
              <w:rPr>
                <w:rFonts w:ascii="Arial"/>
                <w:sz w:val="21"/>
              </w:rPr>
            </w:pPr>
          </w:p>
        </w:tc>
        <w:tc>
          <w:tcPr>
            <w:tcW w:w="772" w:type="dxa"/>
            <w:vAlign w:val="top"/>
          </w:tcPr>
          <w:p w14:paraId="3E043D8C">
            <w:pPr>
              <w:rPr>
                <w:rFonts w:ascii="Arial"/>
                <w:sz w:val="21"/>
              </w:rPr>
            </w:pPr>
          </w:p>
        </w:tc>
        <w:tc>
          <w:tcPr>
            <w:tcW w:w="771" w:type="dxa"/>
            <w:vAlign w:val="top"/>
          </w:tcPr>
          <w:p w14:paraId="61F71294">
            <w:pPr>
              <w:rPr>
                <w:rFonts w:ascii="Arial"/>
                <w:sz w:val="21"/>
              </w:rPr>
            </w:pPr>
          </w:p>
        </w:tc>
        <w:tc>
          <w:tcPr>
            <w:tcW w:w="772" w:type="dxa"/>
            <w:vAlign w:val="top"/>
          </w:tcPr>
          <w:p w14:paraId="61876F10">
            <w:pPr>
              <w:rPr>
                <w:rFonts w:ascii="Arial"/>
                <w:sz w:val="21"/>
              </w:rPr>
            </w:pPr>
          </w:p>
        </w:tc>
        <w:tc>
          <w:tcPr>
            <w:tcW w:w="777" w:type="dxa"/>
            <w:vAlign w:val="top"/>
          </w:tcPr>
          <w:p w14:paraId="364C9FCB">
            <w:pPr>
              <w:rPr>
                <w:rFonts w:ascii="Arial"/>
                <w:sz w:val="21"/>
              </w:rPr>
            </w:pPr>
          </w:p>
        </w:tc>
      </w:tr>
      <w:tr w14:paraId="1200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24D43D82">
            <w:pPr>
              <w:pStyle w:val="11"/>
              <w:spacing w:before="146" w:line="242" w:lineRule="auto"/>
              <w:ind w:left="230"/>
            </w:pPr>
            <w:r>
              <w:t>1</w:t>
            </w:r>
          </w:p>
        </w:tc>
        <w:tc>
          <w:tcPr>
            <w:tcW w:w="1993" w:type="dxa"/>
            <w:vAlign w:val="top"/>
          </w:tcPr>
          <w:p w14:paraId="5B23811C">
            <w:pPr>
              <w:rPr>
                <w:rFonts w:ascii="Arial"/>
                <w:sz w:val="21"/>
              </w:rPr>
            </w:pPr>
          </w:p>
        </w:tc>
        <w:tc>
          <w:tcPr>
            <w:tcW w:w="771" w:type="dxa"/>
            <w:vAlign w:val="top"/>
          </w:tcPr>
          <w:p w14:paraId="2FE25FD1">
            <w:pPr>
              <w:rPr>
                <w:rFonts w:ascii="Arial"/>
                <w:sz w:val="21"/>
              </w:rPr>
            </w:pPr>
          </w:p>
        </w:tc>
        <w:tc>
          <w:tcPr>
            <w:tcW w:w="772" w:type="dxa"/>
            <w:vAlign w:val="top"/>
          </w:tcPr>
          <w:p w14:paraId="5DBA48CB">
            <w:pPr>
              <w:rPr>
                <w:rFonts w:ascii="Arial"/>
                <w:sz w:val="21"/>
              </w:rPr>
            </w:pPr>
          </w:p>
        </w:tc>
        <w:tc>
          <w:tcPr>
            <w:tcW w:w="770" w:type="dxa"/>
            <w:vAlign w:val="top"/>
          </w:tcPr>
          <w:p w14:paraId="72F19391">
            <w:pPr>
              <w:rPr>
                <w:rFonts w:ascii="Arial"/>
                <w:sz w:val="21"/>
              </w:rPr>
            </w:pPr>
          </w:p>
        </w:tc>
        <w:tc>
          <w:tcPr>
            <w:tcW w:w="773" w:type="dxa"/>
            <w:vAlign w:val="top"/>
          </w:tcPr>
          <w:p w14:paraId="421BE58F">
            <w:pPr>
              <w:rPr>
                <w:rFonts w:ascii="Arial"/>
                <w:sz w:val="21"/>
              </w:rPr>
            </w:pPr>
          </w:p>
        </w:tc>
        <w:tc>
          <w:tcPr>
            <w:tcW w:w="770" w:type="dxa"/>
            <w:vAlign w:val="top"/>
          </w:tcPr>
          <w:p w14:paraId="3A6CD086">
            <w:pPr>
              <w:rPr>
                <w:rFonts w:ascii="Arial"/>
                <w:sz w:val="21"/>
              </w:rPr>
            </w:pPr>
          </w:p>
        </w:tc>
        <w:tc>
          <w:tcPr>
            <w:tcW w:w="772" w:type="dxa"/>
            <w:vAlign w:val="top"/>
          </w:tcPr>
          <w:p w14:paraId="089701F2">
            <w:pPr>
              <w:rPr>
                <w:rFonts w:ascii="Arial"/>
                <w:sz w:val="21"/>
              </w:rPr>
            </w:pPr>
          </w:p>
        </w:tc>
        <w:tc>
          <w:tcPr>
            <w:tcW w:w="771" w:type="dxa"/>
            <w:vAlign w:val="top"/>
          </w:tcPr>
          <w:p w14:paraId="5121DCA1">
            <w:pPr>
              <w:rPr>
                <w:rFonts w:ascii="Arial"/>
                <w:sz w:val="21"/>
              </w:rPr>
            </w:pPr>
          </w:p>
        </w:tc>
        <w:tc>
          <w:tcPr>
            <w:tcW w:w="772" w:type="dxa"/>
            <w:vAlign w:val="top"/>
          </w:tcPr>
          <w:p w14:paraId="6D0D4FBC">
            <w:pPr>
              <w:rPr>
                <w:rFonts w:ascii="Arial"/>
                <w:sz w:val="21"/>
              </w:rPr>
            </w:pPr>
          </w:p>
        </w:tc>
        <w:tc>
          <w:tcPr>
            <w:tcW w:w="777" w:type="dxa"/>
            <w:vAlign w:val="top"/>
          </w:tcPr>
          <w:p w14:paraId="65A7F319">
            <w:pPr>
              <w:rPr>
                <w:rFonts w:ascii="Arial"/>
                <w:sz w:val="21"/>
              </w:rPr>
            </w:pPr>
          </w:p>
        </w:tc>
      </w:tr>
      <w:tr w14:paraId="6485C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18888766">
            <w:pPr>
              <w:pStyle w:val="11"/>
              <w:spacing w:before="146" w:line="242" w:lineRule="auto"/>
              <w:ind w:left="216"/>
            </w:pPr>
            <w:r>
              <w:t>2</w:t>
            </w:r>
          </w:p>
        </w:tc>
        <w:tc>
          <w:tcPr>
            <w:tcW w:w="1993" w:type="dxa"/>
            <w:vAlign w:val="top"/>
          </w:tcPr>
          <w:p w14:paraId="2B714556">
            <w:pPr>
              <w:rPr>
                <w:rFonts w:ascii="Arial"/>
                <w:sz w:val="21"/>
              </w:rPr>
            </w:pPr>
          </w:p>
        </w:tc>
        <w:tc>
          <w:tcPr>
            <w:tcW w:w="771" w:type="dxa"/>
            <w:vAlign w:val="top"/>
          </w:tcPr>
          <w:p w14:paraId="5647E16A">
            <w:pPr>
              <w:rPr>
                <w:rFonts w:ascii="Arial"/>
                <w:sz w:val="21"/>
              </w:rPr>
            </w:pPr>
          </w:p>
        </w:tc>
        <w:tc>
          <w:tcPr>
            <w:tcW w:w="772" w:type="dxa"/>
            <w:vAlign w:val="top"/>
          </w:tcPr>
          <w:p w14:paraId="5D1CF21C">
            <w:pPr>
              <w:rPr>
                <w:rFonts w:ascii="Arial"/>
                <w:sz w:val="21"/>
              </w:rPr>
            </w:pPr>
          </w:p>
        </w:tc>
        <w:tc>
          <w:tcPr>
            <w:tcW w:w="770" w:type="dxa"/>
            <w:vAlign w:val="top"/>
          </w:tcPr>
          <w:p w14:paraId="18C5F536">
            <w:pPr>
              <w:rPr>
                <w:rFonts w:ascii="Arial"/>
                <w:sz w:val="21"/>
              </w:rPr>
            </w:pPr>
          </w:p>
        </w:tc>
        <w:tc>
          <w:tcPr>
            <w:tcW w:w="773" w:type="dxa"/>
            <w:vAlign w:val="top"/>
          </w:tcPr>
          <w:p w14:paraId="51F50F87">
            <w:pPr>
              <w:rPr>
                <w:rFonts w:ascii="Arial"/>
                <w:sz w:val="21"/>
              </w:rPr>
            </w:pPr>
          </w:p>
        </w:tc>
        <w:tc>
          <w:tcPr>
            <w:tcW w:w="770" w:type="dxa"/>
            <w:vAlign w:val="top"/>
          </w:tcPr>
          <w:p w14:paraId="3D775FBD">
            <w:pPr>
              <w:rPr>
                <w:rFonts w:ascii="Arial"/>
                <w:sz w:val="21"/>
              </w:rPr>
            </w:pPr>
          </w:p>
        </w:tc>
        <w:tc>
          <w:tcPr>
            <w:tcW w:w="772" w:type="dxa"/>
            <w:vAlign w:val="top"/>
          </w:tcPr>
          <w:p w14:paraId="37936AC0">
            <w:pPr>
              <w:rPr>
                <w:rFonts w:ascii="Arial"/>
                <w:sz w:val="21"/>
              </w:rPr>
            </w:pPr>
          </w:p>
        </w:tc>
        <w:tc>
          <w:tcPr>
            <w:tcW w:w="771" w:type="dxa"/>
            <w:vAlign w:val="top"/>
          </w:tcPr>
          <w:p w14:paraId="5B32BE5D">
            <w:pPr>
              <w:rPr>
                <w:rFonts w:ascii="Arial"/>
                <w:sz w:val="21"/>
              </w:rPr>
            </w:pPr>
          </w:p>
        </w:tc>
        <w:tc>
          <w:tcPr>
            <w:tcW w:w="772" w:type="dxa"/>
            <w:vAlign w:val="top"/>
          </w:tcPr>
          <w:p w14:paraId="289FD530">
            <w:pPr>
              <w:rPr>
                <w:rFonts w:ascii="Arial"/>
                <w:sz w:val="21"/>
              </w:rPr>
            </w:pPr>
          </w:p>
        </w:tc>
        <w:tc>
          <w:tcPr>
            <w:tcW w:w="777" w:type="dxa"/>
            <w:vAlign w:val="top"/>
          </w:tcPr>
          <w:p w14:paraId="045ACD11">
            <w:pPr>
              <w:rPr>
                <w:rFonts w:ascii="Arial"/>
                <w:sz w:val="21"/>
              </w:rPr>
            </w:pPr>
          </w:p>
        </w:tc>
      </w:tr>
      <w:tr w14:paraId="5363D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75A39C5B">
            <w:pPr>
              <w:pStyle w:val="11"/>
              <w:spacing w:before="149" w:line="241" w:lineRule="auto"/>
              <w:ind w:left="218"/>
            </w:pPr>
            <w:r>
              <w:t>3</w:t>
            </w:r>
          </w:p>
        </w:tc>
        <w:tc>
          <w:tcPr>
            <w:tcW w:w="1993" w:type="dxa"/>
            <w:vAlign w:val="top"/>
          </w:tcPr>
          <w:p w14:paraId="38414F0E">
            <w:pPr>
              <w:rPr>
                <w:rFonts w:ascii="Arial"/>
                <w:sz w:val="21"/>
              </w:rPr>
            </w:pPr>
          </w:p>
        </w:tc>
        <w:tc>
          <w:tcPr>
            <w:tcW w:w="771" w:type="dxa"/>
            <w:vAlign w:val="top"/>
          </w:tcPr>
          <w:p w14:paraId="079B3047">
            <w:pPr>
              <w:rPr>
                <w:rFonts w:ascii="Arial"/>
                <w:sz w:val="21"/>
              </w:rPr>
            </w:pPr>
          </w:p>
        </w:tc>
        <w:tc>
          <w:tcPr>
            <w:tcW w:w="772" w:type="dxa"/>
            <w:vAlign w:val="top"/>
          </w:tcPr>
          <w:p w14:paraId="46255282">
            <w:pPr>
              <w:rPr>
                <w:rFonts w:ascii="Arial"/>
                <w:sz w:val="21"/>
              </w:rPr>
            </w:pPr>
          </w:p>
        </w:tc>
        <w:tc>
          <w:tcPr>
            <w:tcW w:w="770" w:type="dxa"/>
            <w:vAlign w:val="top"/>
          </w:tcPr>
          <w:p w14:paraId="0035D0E4">
            <w:pPr>
              <w:rPr>
                <w:rFonts w:ascii="Arial"/>
                <w:sz w:val="21"/>
              </w:rPr>
            </w:pPr>
          </w:p>
        </w:tc>
        <w:tc>
          <w:tcPr>
            <w:tcW w:w="773" w:type="dxa"/>
            <w:vAlign w:val="top"/>
          </w:tcPr>
          <w:p w14:paraId="7D65BC96">
            <w:pPr>
              <w:rPr>
                <w:rFonts w:ascii="Arial"/>
                <w:sz w:val="21"/>
              </w:rPr>
            </w:pPr>
          </w:p>
        </w:tc>
        <w:tc>
          <w:tcPr>
            <w:tcW w:w="770" w:type="dxa"/>
            <w:vAlign w:val="top"/>
          </w:tcPr>
          <w:p w14:paraId="41555CF1">
            <w:pPr>
              <w:rPr>
                <w:rFonts w:ascii="Arial"/>
                <w:sz w:val="21"/>
              </w:rPr>
            </w:pPr>
          </w:p>
        </w:tc>
        <w:tc>
          <w:tcPr>
            <w:tcW w:w="772" w:type="dxa"/>
            <w:vAlign w:val="top"/>
          </w:tcPr>
          <w:p w14:paraId="57834D73">
            <w:pPr>
              <w:rPr>
                <w:rFonts w:ascii="Arial"/>
                <w:sz w:val="21"/>
              </w:rPr>
            </w:pPr>
          </w:p>
        </w:tc>
        <w:tc>
          <w:tcPr>
            <w:tcW w:w="771" w:type="dxa"/>
            <w:vAlign w:val="top"/>
          </w:tcPr>
          <w:p w14:paraId="0DD4C370">
            <w:pPr>
              <w:rPr>
                <w:rFonts w:ascii="Arial"/>
                <w:sz w:val="21"/>
              </w:rPr>
            </w:pPr>
          </w:p>
        </w:tc>
        <w:tc>
          <w:tcPr>
            <w:tcW w:w="772" w:type="dxa"/>
            <w:vAlign w:val="top"/>
          </w:tcPr>
          <w:p w14:paraId="48FD94C5">
            <w:pPr>
              <w:rPr>
                <w:rFonts w:ascii="Arial"/>
                <w:sz w:val="21"/>
              </w:rPr>
            </w:pPr>
          </w:p>
        </w:tc>
        <w:tc>
          <w:tcPr>
            <w:tcW w:w="777" w:type="dxa"/>
            <w:vAlign w:val="top"/>
          </w:tcPr>
          <w:p w14:paraId="1C06768B">
            <w:pPr>
              <w:rPr>
                <w:rFonts w:ascii="Arial"/>
                <w:sz w:val="21"/>
              </w:rPr>
            </w:pPr>
          </w:p>
        </w:tc>
      </w:tr>
      <w:tr w14:paraId="60A6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25" w:type="dxa"/>
            <w:vAlign w:val="top"/>
          </w:tcPr>
          <w:p w14:paraId="2779AA6D">
            <w:pPr>
              <w:pStyle w:val="11"/>
              <w:spacing w:before="150" w:line="242" w:lineRule="auto"/>
              <w:ind w:left="213"/>
            </w:pPr>
            <w:r>
              <w:t>4</w:t>
            </w:r>
          </w:p>
        </w:tc>
        <w:tc>
          <w:tcPr>
            <w:tcW w:w="1993" w:type="dxa"/>
            <w:vAlign w:val="top"/>
          </w:tcPr>
          <w:p w14:paraId="66955E47">
            <w:pPr>
              <w:rPr>
                <w:rFonts w:ascii="Arial"/>
                <w:sz w:val="21"/>
              </w:rPr>
            </w:pPr>
          </w:p>
        </w:tc>
        <w:tc>
          <w:tcPr>
            <w:tcW w:w="771" w:type="dxa"/>
            <w:vAlign w:val="top"/>
          </w:tcPr>
          <w:p w14:paraId="5DCE63B4">
            <w:pPr>
              <w:rPr>
                <w:rFonts w:ascii="Arial"/>
                <w:sz w:val="21"/>
              </w:rPr>
            </w:pPr>
          </w:p>
        </w:tc>
        <w:tc>
          <w:tcPr>
            <w:tcW w:w="772" w:type="dxa"/>
            <w:vAlign w:val="top"/>
          </w:tcPr>
          <w:p w14:paraId="1465FA43">
            <w:pPr>
              <w:rPr>
                <w:rFonts w:ascii="Arial"/>
                <w:sz w:val="21"/>
              </w:rPr>
            </w:pPr>
          </w:p>
        </w:tc>
        <w:tc>
          <w:tcPr>
            <w:tcW w:w="770" w:type="dxa"/>
            <w:vAlign w:val="top"/>
          </w:tcPr>
          <w:p w14:paraId="4A6B2C07">
            <w:pPr>
              <w:rPr>
                <w:rFonts w:ascii="Arial"/>
                <w:sz w:val="21"/>
              </w:rPr>
            </w:pPr>
          </w:p>
        </w:tc>
        <w:tc>
          <w:tcPr>
            <w:tcW w:w="773" w:type="dxa"/>
            <w:vAlign w:val="top"/>
          </w:tcPr>
          <w:p w14:paraId="407B7A3F">
            <w:pPr>
              <w:rPr>
                <w:rFonts w:ascii="Arial"/>
                <w:sz w:val="21"/>
              </w:rPr>
            </w:pPr>
          </w:p>
        </w:tc>
        <w:tc>
          <w:tcPr>
            <w:tcW w:w="770" w:type="dxa"/>
            <w:vAlign w:val="top"/>
          </w:tcPr>
          <w:p w14:paraId="5E16C4B2">
            <w:pPr>
              <w:rPr>
                <w:rFonts w:ascii="Arial"/>
                <w:sz w:val="21"/>
              </w:rPr>
            </w:pPr>
          </w:p>
        </w:tc>
        <w:tc>
          <w:tcPr>
            <w:tcW w:w="772" w:type="dxa"/>
            <w:vAlign w:val="top"/>
          </w:tcPr>
          <w:p w14:paraId="1C504DA1">
            <w:pPr>
              <w:rPr>
                <w:rFonts w:ascii="Arial"/>
                <w:sz w:val="21"/>
              </w:rPr>
            </w:pPr>
          </w:p>
        </w:tc>
        <w:tc>
          <w:tcPr>
            <w:tcW w:w="771" w:type="dxa"/>
            <w:vAlign w:val="top"/>
          </w:tcPr>
          <w:p w14:paraId="02B00749">
            <w:pPr>
              <w:rPr>
                <w:rFonts w:ascii="Arial"/>
                <w:sz w:val="21"/>
              </w:rPr>
            </w:pPr>
          </w:p>
        </w:tc>
        <w:tc>
          <w:tcPr>
            <w:tcW w:w="772" w:type="dxa"/>
            <w:vAlign w:val="top"/>
          </w:tcPr>
          <w:p w14:paraId="1413AEE5">
            <w:pPr>
              <w:rPr>
                <w:rFonts w:ascii="Arial"/>
                <w:sz w:val="21"/>
              </w:rPr>
            </w:pPr>
          </w:p>
        </w:tc>
        <w:tc>
          <w:tcPr>
            <w:tcW w:w="777" w:type="dxa"/>
            <w:vAlign w:val="top"/>
          </w:tcPr>
          <w:p w14:paraId="52DD8051">
            <w:pPr>
              <w:rPr>
                <w:rFonts w:ascii="Arial"/>
                <w:sz w:val="21"/>
              </w:rPr>
            </w:pPr>
          </w:p>
        </w:tc>
      </w:tr>
      <w:tr w14:paraId="7BEE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25" w:type="dxa"/>
            <w:vAlign w:val="top"/>
          </w:tcPr>
          <w:p w14:paraId="23D6F196">
            <w:pPr>
              <w:pStyle w:val="11"/>
              <w:spacing w:before="150" w:line="241" w:lineRule="auto"/>
              <w:ind w:left="218"/>
            </w:pPr>
            <w:r>
              <w:t>5</w:t>
            </w:r>
          </w:p>
        </w:tc>
        <w:tc>
          <w:tcPr>
            <w:tcW w:w="1993" w:type="dxa"/>
            <w:vAlign w:val="top"/>
          </w:tcPr>
          <w:p w14:paraId="0DBE612B">
            <w:pPr>
              <w:rPr>
                <w:rFonts w:ascii="Arial"/>
                <w:sz w:val="21"/>
              </w:rPr>
            </w:pPr>
          </w:p>
        </w:tc>
        <w:tc>
          <w:tcPr>
            <w:tcW w:w="771" w:type="dxa"/>
            <w:vAlign w:val="top"/>
          </w:tcPr>
          <w:p w14:paraId="3CD7FAE2">
            <w:pPr>
              <w:rPr>
                <w:rFonts w:ascii="Arial"/>
                <w:sz w:val="21"/>
              </w:rPr>
            </w:pPr>
          </w:p>
        </w:tc>
        <w:tc>
          <w:tcPr>
            <w:tcW w:w="772" w:type="dxa"/>
            <w:vAlign w:val="top"/>
          </w:tcPr>
          <w:p w14:paraId="5C25C518">
            <w:pPr>
              <w:rPr>
                <w:rFonts w:ascii="Arial"/>
                <w:sz w:val="21"/>
              </w:rPr>
            </w:pPr>
          </w:p>
        </w:tc>
        <w:tc>
          <w:tcPr>
            <w:tcW w:w="770" w:type="dxa"/>
            <w:vAlign w:val="top"/>
          </w:tcPr>
          <w:p w14:paraId="4834A94E">
            <w:pPr>
              <w:rPr>
                <w:rFonts w:ascii="Arial"/>
                <w:sz w:val="21"/>
              </w:rPr>
            </w:pPr>
          </w:p>
        </w:tc>
        <w:tc>
          <w:tcPr>
            <w:tcW w:w="773" w:type="dxa"/>
            <w:vAlign w:val="top"/>
          </w:tcPr>
          <w:p w14:paraId="19076D01">
            <w:pPr>
              <w:rPr>
                <w:rFonts w:ascii="Arial"/>
                <w:sz w:val="21"/>
              </w:rPr>
            </w:pPr>
          </w:p>
        </w:tc>
        <w:tc>
          <w:tcPr>
            <w:tcW w:w="770" w:type="dxa"/>
            <w:vAlign w:val="top"/>
          </w:tcPr>
          <w:p w14:paraId="2F4008D6">
            <w:pPr>
              <w:rPr>
                <w:rFonts w:ascii="Arial"/>
                <w:sz w:val="21"/>
              </w:rPr>
            </w:pPr>
          </w:p>
        </w:tc>
        <w:tc>
          <w:tcPr>
            <w:tcW w:w="772" w:type="dxa"/>
            <w:vAlign w:val="top"/>
          </w:tcPr>
          <w:p w14:paraId="39B4B7B9">
            <w:pPr>
              <w:rPr>
                <w:rFonts w:ascii="Arial"/>
                <w:sz w:val="21"/>
              </w:rPr>
            </w:pPr>
          </w:p>
        </w:tc>
        <w:tc>
          <w:tcPr>
            <w:tcW w:w="771" w:type="dxa"/>
            <w:vAlign w:val="top"/>
          </w:tcPr>
          <w:p w14:paraId="295429BB">
            <w:pPr>
              <w:rPr>
                <w:rFonts w:ascii="Arial"/>
                <w:sz w:val="21"/>
              </w:rPr>
            </w:pPr>
          </w:p>
        </w:tc>
        <w:tc>
          <w:tcPr>
            <w:tcW w:w="772" w:type="dxa"/>
            <w:vAlign w:val="top"/>
          </w:tcPr>
          <w:p w14:paraId="24DFD062">
            <w:pPr>
              <w:rPr>
                <w:rFonts w:ascii="Arial"/>
                <w:sz w:val="21"/>
              </w:rPr>
            </w:pPr>
          </w:p>
        </w:tc>
        <w:tc>
          <w:tcPr>
            <w:tcW w:w="777" w:type="dxa"/>
            <w:vAlign w:val="top"/>
          </w:tcPr>
          <w:p w14:paraId="7098411F">
            <w:pPr>
              <w:rPr>
                <w:rFonts w:ascii="Arial"/>
                <w:sz w:val="21"/>
              </w:rPr>
            </w:pPr>
          </w:p>
        </w:tc>
      </w:tr>
      <w:tr w14:paraId="1BA70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25" w:type="dxa"/>
            <w:vAlign w:val="top"/>
          </w:tcPr>
          <w:p w14:paraId="65BC5F97">
            <w:pPr>
              <w:spacing w:before="149" w:line="332" w:lineRule="exact"/>
              <w:ind w:left="173"/>
              <w:rPr>
                <w:rFonts w:ascii="黑体" w:hAnsi="黑体" w:eastAsia="黑体" w:cs="黑体"/>
                <w:sz w:val="21"/>
                <w:szCs w:val="21"/>
              </w:rPr>
            </w:pPr>
            <w:r>
              <w:rPr>
                <w:rFonts w:ascii="黑体" w:hAnsi="黑体" w:eastAsia="黑体" w:cs="黑体"/>
                <w:position w:val="2"/>
                <w:sz w:val="21"/>
                <w:szCs w:val="21"/>
              </w:rPr>
              <w:t>…</w:t>
            </w:r>
          </w:p>
        </w:tc>
        <w:tc>
          <w:tcPr>
            <w:tcW w:w="1993" w:type="dxa"/>
            <w:vAlign w:val="top"/>
          </w:tcPr>
          <w:p w14:paraId="1882D09E">
            <w:pPr>
              <w:rPr>
                <w:rFonts w:ascii="Arial"/>
                <w:sz w:val="21"/>
              </w:rPr>
            </w:pPr>
          </w:p>
        </w:tc>
        <w:tc>
          <w:tcPr>
            <w:tcW w:w="771" w:type="dxa"/>
            <w:vAlign w:val="top"/>
          </w:tcPr>
          <w:p w14:paraId="67A7F0E5">
            <w:pPr>
              <w:rPr>
                <w:rFonts w:ascii="Arial"/>
                <w:sz w:val="21"/>
              </w:rPr>
            </w:pPr>
          </w:p>
        </w:tc>
        <w:tc>
          <w:tcPr>
            <w:tcW w:w="772" w:type="dxa"/>
            <w:vAlign w:val="top"/>
          </w:tcPr>
          <w:p w14:paraId="70B340A7">
            <w:pPr>
              <w:rPr>
                <w:rFonts w:ascii="Arial"/>
                <w:sz w:val="21"/>
              </w:rPr>
            </w:pPr>
          </w:p>
        </w:tc>
        <w:tc>
          <w:tcPr>
            <w:tcW w:w="770" w:type="dxa"/>
            <w:vAlign w:val="top"/>
          </w:tcPr>
          <w:p w14:paraId="174DFCDE">
            <w:pPr>
              <w:rPr>
                <w:rFonts w:ascii="Arial"/>
                <w:sz w:val="21"/>
              </w:rPr>
            </w:pPr>
          </w:p>
        </w:tc>
        <w:tc>
          <w:tcPr>
            <w:tcW w:w="773" w:type="dxa"/>
            <w:vAlign w:val="top"/>
          </w:tcPr>
          <w:p w14:paraId="29718C8D">
            <w:pPr>
              <w:rPr>
                <w:rFonts w:ascii="Arial"/>
                <w:sz w:val="21"/>
              </w:rPr>
            </w:pPr>
          </w:p>
        </w:tc>
        <w:tc>
          <w:tcPr>
            <w:tcW w:w="770" w:type="dxa"/>
            <w:vAlign w:val="top"/>
          </w:tcPr>
          <w:p w14:paraId="654C7B8D">
            <w:pPr>
              <w:rPr>
                <w:rFonts w:ascii="Arial"/>
                <w:sz w:val="21"/>
              </w:rPr>
            </w:pPr>
          </w:p>
        </w:tc>
        <w:tc>
          <w:tcPr>
            <w:tcW w:w="772" w:type="dxa"/>
            <w:vAlign w:val="top"/>
          </w:tcPr>
          <w:p w14:paraId="547D0BBE">
            <w:pPr>
              <w:rPr>
                <w:rFonts w:ascii="Arial"/>
                <w:sz w:val="21"/>
              </w:rPr>
            </w:pPr>
          </w:p>
        </w:tc>
        <w:tc>
          <w:tcPr>
            <w:tcW w:w="771" w:type="dxa"/>
            <w:vAlign w:val="top"/>
          </w:tcPr>
          <w:p w14:paraId="4C80C78E">
            <w:pPr>
              <w:rPr>
                <w:rFonts w:ascii="Arial"/>
                <w:sz w:val="21"/>
              </w:rPr>
            </w:pPr>
          </w:p>
        </w:tc>
        <w:tc>
          <w:tcPr>
            <w:tcW w:w="772" w:type="dxa"/>
            <w:vAlign w:val="top"/>
          </w:tcPr>
          <w:p w14:paraId="67D130F7">
            <w:pPr>
              <w:rPr>
                <w:rFonts w:ascii="Arial"/>
                <w:sz w:val="21"/>
              </w:rPr>
            </w:pPr>
          </w:p>
        </w:tc>
        <w:tc>
          <w:tcPr>
            <w:tcW w:w="777" w:type="dxa"/>
            <w:vAlign w:val="top"/>
          </w:tcPr>
          <w:p w14:paraId="1BA2D611">
            <w:pPr>
              <w:rPr>
                <w:rFonts w:ascii="Arial"/>
                <w:sz w:val="21"/>
              </w:rPr>
            </w:pPr>
          </w:p>
        </w:tc>
      </w:tr>
    </w:tbl>
    <w:p w14:paraId="1E02F320">
      <w:pPr>
        <w:spacing w:before="272" w:line="221" w:lineRule="auto"/>
        <w:ind w:left="628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4"/>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3E820396">
      <w:pPr>
        <w:spacing w:line="221" w:lineRule="auto"/>
        <w:rPr>
          <w:rFonts w:ascii="宋体" w:hAnsi="宋体" w:eastAsia="宋体" w:cs="宋体"/>
          <w:sz w:val="21"/>
          <w:szCs w:val="21"/>
        </w:rPr>
        <w:sectPr>
          <w:footerReference r:id="rId67" w:type="default"/>
          <w:pgSz w:w="11905" w:h="16843"/>
          <w:pgMar w:top="969" w:right="1355" w:bottom="1026" w:left="1480" w:header="0" w:footer="754" w:gutter="0"/>
          <w:cols w:space="0" w:num="1"/>
          <w:rtlGutter w:val="0"/>
          <w:docGrid w:linePitch="0" w:charSpace="0"/>
        </w:sectPr>
      </w:pPr>
    </w:p>
    <w:p w14:paraId="70B4DE5D">
      <w:pPr>
        <w:pStyle w:val="5"/>
        <w:spacing w:line="261" w:lineRule="auto"/>
      </w:pPr>
    </w:p>
    <w:p w14:paraId="3D65CD4D">
      <w:pPr>
        <w:pStyle w:val="5"/>
        <w:spacing w:line="261" w:lineRule="auto"/>
      </w:pPr>
    </w:p>
    <w:p w14:paraId="70C960EE">
      <w:pPr>
        <w:pStyle w:val="5"/>
        <w:spacing w:line="261" w:lineRule="auto"/>
      </w:pPr>
    </w:p>
    <w:p w14:paraId="5CBD2565">
      <w:pPr>
        <w:pStyle w:val="5"/>
        <w:spacing w:line="262" w:lineRule="auto"/>
      </w:pPr>
    </w:p>
    <w:p w14:paraId="5A034123">
      <w:pPr>
        <w:pStyle w:val="5"/>
        <w:spacing w:line="262" w:lineRule="auto"/>
      </w:pPr>
    </w:p>
    <w:p w14:paraId="470973ED">
      <w:pPr>
        <w:pStyle w:val="5"/>
        <w:spacing w:line="262" w:lineRule="auto"/>
      </w:pPr>
    </w:p>
    <w:p w14:paraId="0F2A3F3A">
      <w:pPr>
        <w:spacing w:before="78" w:line="233" w:lineRule="auto"/>
        <w:ind w:left="140"/>
        <w:outlineLvl w:val="2"/>
        <w:rPr>
          <w:rFonts w:ascii="黑体" w:hAnsi="黑体" w:eastAsia="黑体" w:cs="黑体"/>
          <w:sz w:val="24"/>
          <w:szCs w:val="24"/>
        </w:rPr>
      </w:pPr>
      <w:bookmarkStart w:id="161" w:name="bookmark129"/>
      <w:bookmarkEnd w:id="161"/>
      <w:r>
        <w:rPr>
          <w:rFonts w:ascii="黑体" w:hAnsi="黑体" w:eastAsia="黑体" w:cs="黑体"/>
          <w:spacing w:val="-3"/>
          <w:sz w:val="24"/>
          <w:szCs w:val="24"/>
        </w:rPr>
        <w:t>附表</w:t>
      </w:r>
      <w:r>
        <w:rPr>
          <w:rFonts w:ascii="黑体" w:hAnsi="黑体" w:eastAsia="黑体" w:cs="黑体"/>
          <w:spacing w:val="-54"/>
          <w:sz w:val="24"/>
          <w:szCs w:val="24"/>
        </w:rPr>
        <w:t xml:space="preserve"> </w:t>
      </w:r>
      <w:r>
        <w:rPr>
          <w:rFonts w:ascii="Times New Roman" w:hAnsi="Times New Roman" w:eastAsia="Times New Roman" w:cs="Times New Roman"/>
          <w:spacing w:val="-3"/>
          <w:sz w:val="24"/>
          <w:szCs w:val="24"/>
        </w:rPr>
        <w:t>A-4</w:t>
      </w:r>
      <w:r>
        <w:rPr>
          <w:rFonts w:ascii="黑体" w:hAnsi="黑体" w:eastAsia="黑体" w:cs="黑体"/>
          <w:spacing w:val="-3"/>
          <w:sz w:val="24"/>
          <w:szCs w:val="24"/>
        </w:rPr>
        <w:t>：形式评审记录表</w:t>
      </w:r>
    </w:p>
    <w:p w14:paraId="0B2168C5">
      <w:pPr>
        <w:pStyle w:val="5"/>
        <w:spacing w:line="389" w:lineRule="auto"/>
      </w:pPr>
    </w:p>
    <w:p w14:paraId="7826B379">
      <w:pPr>
        <w:spacing w:before="117" w:line="219" w:lineRule="auto"/>
        <w:ind w:left="3207"/>
        <w:rPr>
          <w:rFonts w:ascii="黑体" w:hAnsi="黑体" w:eastAsia="黑体" w:cs="黑体"/>
          <w:sz w:val="36"/>
          <w:szCs w:val="36"/>
        </w:rPr>
      </w:pPr>
      <w:bookmarkStart w:id="162" w:name="bookmark525"/>
      <w:bookmarkEnd w:id="162"/>
      <w:r>
        <w:rPr>
          <w:rFonts w:ascii="黑体" w:hAnsi="黑体" w:eastAsia="黑体" w:cs="黑体"/>
          <w:spacing w:val="-3"/>
          <w:sz w:val="36"/>
          <w:szCs w:val="36"/>
        </w:rPr>
        <w:t>形式评审记录表</w:t>
      </w:r>
    </w:p>
    <w:p w14:paraId="03CE7E63">
      <w:pPr>
        <w:spacing w:before="239" w:line="221" w:lineRule="auto"/>
        <w:ind w:left="9"/>
        <w:rPr>
          <w:rFonts w:ascii="宋体" w:hAnsi="宋体" w:eastAsia="宋体" w:cs="宋体"/>
          <w:sz w:val="21"/>
          <w:szCs w:val="21"/>
        </w:rPr>
      </w:pPr>
      <w:r>
        <w:rPr>
          <w:rFonts w:ascii="宋体" w:hAnsi="宋体" w:eastAsia="宋体" w:cs="宋体"/>
          <w:spacing w:val="-7"/>
          <w:sz w:val="21"/>
          <w:szCs w:val="21"/>
        </w:rPr>
        <w:t>标段名称：</w:t>
      </w:r>
    </w:p>
    <w:p w14:paraId="2438520D">
      <w:pPr>
        <w:spacing w:before="19" w:line="214" w:lineRule="auto"/>
        <w:ind w:left="9"/>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168"/>
        <w:gridCol w:w="679"/>
        <w:gridCol w:w="679"/>
        <w:gridCol w:w="681"/>
        <w:gridCol w:w="679"/>
        <w:gridCol w:w="679"/>
        <w:gridCol w:w="681"/>
        <w:gridCol w:w="679"/>
        <w:gridCol w:w="679"/>
        <w:gridCol w:w="682"/>
        <w:gridCol w:w="1060"/>
      </w:tblGrid>
      <w:tr w14:paraId="63BC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2" w:type="dxa"/>
            <w:vMerge w:val="restart"/>
            <w:tcBorders>
              <w:bottom w:val="nil"/>
            </w:tcBorders>
            <w:textDirection w:val="tbRlV"/>
            <w:vAlign w:val="top"/>
          </w:tcPr>
          <w:p w14:paraId="7B282CA0">
            <w:pPr>
              <w:pStyle w:val="11"/>
              <w:spacing w:before="167" w:line="211" w:lineRule="auto"/>
              <w:ind w:left="187"/>
            </w:pPr>
            <w:r>
              <w:rPr>
                <w:spacing w:val="31"/>
              </w:rPr>
              <w:t>序号</w:t>
            </w:r>
          </w:p>
        </w:tc>
        <w:tc>
          <w:tcPr>
            <w:tcW w:w="1168" w:type="dxa"/>
            <w:vMerge w:val="restart"/>
            <w:tcBorders>
              <w:bottom w:val="nil"/>
            </w:tcBorders>
            <w:vAlign w:val="top"/>
          </w:tcPr>
          <w:p w14:paraId="2489ED7D">
            <w:pPr>
              <w:pStyle w:val="11"/>
              <w:spacing w:before="187" w:line="242" w:lineRule="auto"/>
              <w:ind w:left="479" w:right="162" w:hanging="311"/>
            </w:pPr>
            <w:r>
              <w:rPr>
                <w:spacing w:val="-3"/>
              </w:rPr>
              <w:t>投标人名</w:t>
            </w:r>
            <w:r>
              <w:t>称</w:t>
            </w:r>
          </w:p>
        </w:tc>
        <w:tc>
          <w:tcPr>
            <w:tcW w:w="6118" w:type="dxa"/>
            <w:gridSpan w:val="9"/>
            <w:vAlign w:val="top"/>
          </w:tcPr>
          <w:p w14:paraId="57800D42">
            <w:pPr>
              <w:pStyle w:val="11"/>
              <w:spacing w:before="108" w:line="221" w:lineRule="auto"/>
              <w:ind w:left="2118"/>
            </w:pPr>
            <w:r>
              <w:rPr>
                <w:spacing w:val="-1"/>
              </w:rPr>
              <w:t>评审标准及评审意见</w:t>
            </w:r>
          </w:p>
        </w:tc>
        <w:tc>
          <w:tcPr>
            <w:tcW w:w="1060" w:type="dxa"/>
            <w:vMerge w:val="restart"/>
            <w:tcBorders>
              <w:bottom w:val="nil"/>
            </w:tcBorders>
            <w:vAlign w:val="top"/>
          </w:tcPr>
          <w:p w14:paraId="6243C0FF">
            <w:pPr>
              <w:spacing w:line="253" w:lineRule="auto"/>
              <w:rPr>
                <w:rFonts w:ascii="Arial"/>
                <w:sz w:val="21"/>
              </w:rPr>
            </w:pPr>
          </w:p>
          <w:p w14:paraId="38FC8B56">
            <w:pPr>
              <w:pStyle w:val="11"/>
              <w:spacing w:before="68" w:line="221" w:lineRule="auto"/>
              <w:ind w:left="114"/>
            </w:pPr>
            <w:r>
              <w:rPr>
                <w:spacing w:val="-1"/>
              </w:rPr>
              <w:t>评审结论</w:t>
            </w:r>
          </w:p>
        </w:tc>
      </w:tr>
      <w:tr w14:paraId="79CC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52" w:type="dxa"/>
            <w:vMerge w:val="continue"/>
            <w:tcBorders>
              <w:top w:val="nil"/>
            </w:tcBorders>
            <w:textDirection w:val="tbRlV"/>
            <w:vAlign w:val="top"/>
          </w:tcPr>
          <w:p w14:paraId="3B518227">
            <w:pPr>
              <w:rPr>
                <w:rFonts w:ascii="Arial"/>
                <w:sz w:val="21"/>
              </w:rPr>
            </w:pPr>
          </w:p>
        </w:tc>
        <w:tc>
          <w:tcPr>
            <w:tcW w:w="1168" w:type="dxa"/>
            <w:vMerge w:val="continue"/>
            <w:tcBorders>
              <w:top w:val="nil"/>
            </w:tcBorders>
            <w:vAlign w:val="top"/>
          </w:tcPr>
          <w:p w14:paraId="38A1F578">
            <w:pPr>
              <w:rPr>
                <w:rFonts w:ascii="Arial"/>
                <w:sz w:val="21"/>
              </w:rPr>
            </w:pPr>
          </w:p>
        </w:tc>
        <w:tc>
          <w:tcPr>
            <w:tcW w:w="679" w:type="dxa"/>
            <w:vAlign w:val="top"/>
          </w:tcPr>
          <w:p w14:paraId="361475BE">
            <w:pPr>
              <w:rPr>
                <w:rFonts w:ascii="Arial"/>
                <w:sz w:val="21"/>
              </w:rPr>
            </w:pPr>
          </w:p>
        </w:tc>
        <w:tc>
          <w:tcPr>
            <w:tcW w:w="679" w:type="dxa"/>
            <w:vAlign w:val="top"/>
          </w:tcPr>
          <w:p w14:paraId="04E3451F">
            <w:pPr>
              <w:rPr>
                <w:rFonts w:ascii="Arial"/>
                <w:sz w:val="21"/>
              </w:rPr>
            </w:pPr>
          </w:p>
        </w:tc>
        <w:tc>
          <w:tcPr>
            <w:tcW w:w="681" w:type="dxa"/>
            <w:vAlign w:val="top"/>
          </w:tcPr>
          <w:p w14:paraId="477A4DC5">
            <w:pPr>
              <w:rPr>
                <w:rFonts w:ascii="Arial"/>
                <w:sz w:val="21"/>
              </w:rPr>
            </w:pPr>
          </w:p>
        </w:tc>
        <w:tc>
          <w:tcPr>
            <w:tcW w:w="679" w:type="dxa"/>
            <w:vAlign w:val="top"/>
          </w:tcPr>
          <w:p w14:paraId="7BB2248E">
            <w:pPr>
              <w:rPr>
                <w:rFonts w:ascii="Arial"/>
                <w:sz w:val="21"/>
              </w:rPr>
            </w:pPr>
          </w:p>
        </w:tc>
        <w:tc>
          <w:tcPr>
            <w:tcW w:w="679" w:type="dxa"/>
            <w:vAlign w:val="top"/>
          </w:tcPr>
          <w:p w14:paraId="0686826F">
            <w:pPr>
              <w:rPr>
                <w:rFonts w:ascii="Arial"/>
                <w:sz w:val="21"/>
              </w:rPr>
            </w:pPr>
          </w:p>
        </w:tc>
        <w:tc>
          <w:tcPr>
            <w:tcW w:w="681" w:type="dxa"/>
            <w:vAlign w:val="top"/>
          </w:tcPr>
          <w:p w14:paraId="3E5ECF51">
            <w:pPr>
              <w:rPr>
                <w:rFonts w:ascii="Arial"/>
                <w:sz w:val="21"/>
              </w:rPr>
            </w:pPr>
          </w:p>
        </w:tc>
        <w:tc>
          <w:tcPr>
            <w:tcW w:w="679" w:type="dxa"/>
            <w:vAlign w:val="top"/>
          </w:tcPr>
          <w:p w14:paraId="2765EFC4">
            <w:pPr>
              <w:rPr>
                <w:rFonts w:ascii="Arial"/>
                <w:sz w:val="21"/>
              </w:rPr>
            </w:pPr>
          </w:p>
        </w:tc>
        <w:tc>
          <w:tcPr>
            <w:tcW w:w="679" w:type="dxa"/>
            <w:vAlign w:val="top"/>
          </w:tcPr>
          <w:p w14:paraId="48E74879">
            <w:pPr>
              <w:rPr>
                <w:rFonts w:ascii="Arial"/>
                <w:sz w:val="21"/>
              </w:rPr>
            </w:pPr>
          </w:p>
        </w:tc>
        <w:tc>
          <w:tcPr>
            <w:tcW w:w="682" w:type="dxa"/>
            <w:vAlign w:val="top"/>
          </w:tcPr>
          <w:p w14:paraId="6D9F60AF">
            <w:pPr>
              <w:rPr>
                <w:rFonts w:ascii="Arial"/>
                <w:sz w:val="21"/>
              </w:rPr>
            </w:pPr>
          </w:p>
        </w:tc>
        <w:tc>
          <w:tcPr>
            <w:tcW w:w="1060" w:type="dxa"/>
            <w:vMerge w:val="continue"/>
            <w:tcBorders>
              <w:top w:val="nil"/>
            </w:tcBorders>
            <w:vAlign w:val="top"/>
          </w:tcPr>
          <w:p w14:paraId="1A81B294">
            <w:pPr>
              <w:rPr>
                <w:rFonts w:ascii="Arial"/>
                <w:sz w:val="21"/>
              </w:rPr>
            </w:pPr>
          </w:p>
        </w:tc>
      </w:tr>
      <w:tr w14:paraId="2BF2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5AB862AD">
            <w:pPr>
              <w:pStyle w:val="11"/>
              <w:spacing w:before="179" w:line="242" w:lineRule="auto"/>
              <w:ind w:left="244"/>
            </w:pPr>
            <w:r>
              <w:t>1</w:t>
            </w:r>
          </w:p>
        </w:tc>
        <w:tc>
          <w:tcPr>
            <w:tcW w:w="1168" w:type="dxa"/>
            <w:vAlign w:val="top"/>
          </w:tcPr>
          <w:p w14:paraId="4A061137">
            <w:pPr>
              <w:rPr>
                <w:rFonts w:ascii="Arial"/>
                <w:sz w:val="21"/>
              </w:rPr>
            </w:pPr>
          </w:p>
        </w:tc>
        <w:tc>
          <w:tcPr>
            <w:tcW w:w="679" w:type="dxa"/>
            <w:vAlign w:val="top"/>
          </w:tcPr>
          <w:p w14:paraId="2303DD18">
            <w:pPr>
              <w:rPr>
                <w:rFonts w:ascii="Arial"/>
                <w:sz w:val="21"/>
              </w:rPr>
            </w:pPr>
          </w:p>
        </w:tc>
        <w:tc>
          <w:tcPr>
            <w:tcW w:w="679" w:type="dxa"/>
            <w:vAlign w:val="top"/>
          </w:tcPr>
          <w:p w14:paraId="7E5BF2EF">
            <w:pPr>
              <w:rPr>
                <w:rFonts w:ascii="Arial"/>
                <w:sz w:val="21"/>
              </w:rPr>
            </w:pPr>
          </w:p>
        </w:tc>
        <w:tc>
          <w:tcPr>
            <w:tcW w:w="681" w:type="dxa"/>
            <w:vAlign w:val="top"/>
          </w:tcPr>
          <w:p w14:paraId="148DD730">
            <w:pPr>
              <w:rPr>
                <w:rFonts w:ascii="Arial"/>
                <w:sz w:val="21"/>
              </w:rPr>
            </w:pPr>
          </w:p>
        </w:tc>
        <w:tc>
          <w:tcPr>
            <w:tcW w:w="679" w:type="dxa"/>
            <w:vAlign w:val="top"/>
          </w:tcPr>
          <w:p w14:paraId="79C4F45E">
            <w:pPr>
              <w:rPr>
                <w:rFonts w:ascii="Arial"/>
                <w:sz w:val="21"/>
              </w:rPr>
            </w:pPr>
          </w:p>
        </w:tc>
        <w:tc>
          <w:tcPr>
            <w:tcW w:w="679" w:type="dxa"/>
            <w:vAlign w:val="top"/>
          </w:tcPr>
          <w:p w14:paraId="471B4517">
            <w:pPr>
              <w:rPr>
                <w:rFonts w:ascii="Arial"/>
                <w:sz w:val="21"/>
              </w:rPr>
            </w:pPr>
          </w:p>
        </w:tc>
        <w:tc>
          <w:tcPr>
            <w:tcW w:w="681" w:type="dxa"/>
            <w:vAlign w:val="top"/>
          </w:tcPr>
          <w:p w14:paraId="42BF4682">
            <w:pPr>
              <w:rPr>
                <w:rFonts w:ascii="Arial"/>
                <w:sz w:val="21"/>
              </w:rPr>
            </w:pPr>
          </w:p>
        </w:tc>
        <w:tc>
          <w:tcPr>
            <w:tcW w:w="679" w:type="dxa"/>
            <w:vAlign w:val="top"/>
          </w:tcPr>
          <w:p w14:paraId="3A9A4C19">
            <w:pPr>
              <w:rPr>
                <w:rFonts w:ascii="Arial"/>
                <w:sz w:val="21"/>
              </w:rPr>
            </w:pPr>
          </w:p>
        </w:tc>
        <w:tc>
          <w:tcPr>
            <w:tcW w:w="679" w:type="dxa"/>
            <w:vAlign w:val="top"/>
          </w:tcPr>
          <w:p w14:paraId="591CD156">
            <w:pPr>
              <w:rPr>
                <w:rFonts w:ascii="Arial"/>
                <w:sz w:val="21"/>
              </w:rPr>
            </w:pPr>
          </w:p>
        </w:tc>
        <w:tc>
          <w:tcPr>
            <w:tcW w:w="682" w:type="dxa"/>
            <w:vAlign w:val="top"/>
          </w:tcPr>
          <w:p w14:paraId="74182EBF">
            <w:pPr>
              <w:rPr>
                <w:rFonts w:ascii="Arial"/>
                <w:sz w:val="21"/>
              </w:rPr>
            </w:pPr>
          </w:p>
        </w:tc>
        <w:tc>
          <w:tcPr>
            <w:tcW w:w="1060" w:type="dxa"/>
            <w:vAlign w:val="top"/>
          </w:tcPr>
          <w:p w14:paraId="7D2AE4EA">
            <w:pPr>
              <w:rPr>
                <w:rFonts w:ascii="Arial"/>
                <w:sz w:val="21"/>
              </w:rPr>
            </w:pPr>
          </w:p>
        </w:tc>
      </w:tr>
      <w:tr w14:paraId="42E73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1DF36F89">
            <w:pPr>
              <w:pStyle w:val="11"/>
              <w:spacing w:before="177" w:line="242" w:lineRule="auto"/>
              <w:ind w:left="231"/>
            </w:pPr>
            <w:r>
              <w:t>2</w:t>
            </w:r>
          </w:p>
        </w:tc>
        <w:tc>
          <w:tcPr>
            <w:tcW w:w="1168" w:type="dxa"/>
            <w:vAlign w:val="top"/>
          </w:tcPr>
          <w:p w14:paraId="64B65F9E">
            <w:pPr>
              <w:rPr>
                <w:rFonts w:ascii="Arial"/>
                <w:sz w:val="21"/>
              </w:rPr>
            </w:pPr>
          </w:p>
        </w:tc>
        <w:tc>
          <w:tcPr>
            <w:tcW w:w="679" w:type="dxa"/>
            <w:vAlign w:val="top"/>
          </w:tcPr>
          <w:p w14:paraId="3458E5EE">
            <w:pPr>
              <w:rPr>
                <w:rFonts w:ascii="Arial"/>
                <w:sz w:val="21"/>
              </w:rPr>
            </w:pPr>
          </w:p>
        </w:tc>
        <w:tc>
          <w:tcPr>
            <w:tcW w:w="679" w:type="dxa"/>
            <w:vAlign w:val="top"/>
          </w:tcPr>
          <w:p w14:paraId="1894F78C">
            <w:pPr>
              <w:rPr>
                <w:rFonts w:ascii="Arial"/>
                <w:sz w:val="21"/>
              </w:rPr>
            </w:pPr>
          </w:p>
        </w:tc>
        <w:tc>
          <w:tcPr>
            <w:tcW w:w="681" w:type="dxa"/>
            <w:vAlign w:val="top"/>
          </w:tcPr>
          <w:p w14:paraId="6F66FC98">
            <w:pPr>
              <w:rPr>
                <w:rFonts w:ascii="Arial"/>
                <w:sz w:val="21"/>
              </w:rPr>
            </w:pPr>
          </w:p>
        </w:tc>
        <w:tc>
          <w:tcPr>
            <w:tcW w:w="679" w:type="dxa"/>
            <w:vAlign w:val="top"/>
          </w:tcPr>
          <w:p w14:paraId="529B3351">
            <w:pPr>
              <w:rPr>
                <w:rFonts w:ascii="Arial"/>
                <w:sz w:val="21"/>
              </w:rPr>
            </w:pPr>
          </w:p>
        </w:tc>
        <w:tc>
          <w:tcPr>
            <w:tcW w:w="679" w:type="dxa"/>
            <w:vAlign w:val="top"/>
          </w:tcPr>
          <w:p w14:paraId="20B9925C">
            <w:pPr>
              <w:rPr>
                <w:rFonts w:ascii="Arial"/>
                <w:sz w:val="21"/>
              </w:rPr>
            </w:pPr>
          </w:p>
        </w:tc>
        <w:tc>
          <w:tcPr>
            <w:tcW w:w="681" w:type="dxa"/>
            <w:vAlign w:val="top"/>
          </w:tcPr>
          <w:p w14:paraId="4627C132">
            <w:pPr>
              <w:rPr>
                <w:rFonts w:ascii="Arial"/>
                <w:sz w:val="21"/>
              </w:rPr>
            </w:pPr>
          </w:p>
        </w:tc>
        <w:tc>
          <w:tcPr>
            <w:tcW w:w="679" w:type="dxa"/>
            <w:vAlign w:val="top"/>
          </w:tcPr>
          <w:p w14:paraId="561F0367">
            <w:pPr>
              <w:rPr>
                <w:rFonts w:ascii="Arial"/>
                <w:sz w:val="21"/>
              </w:rPr>
            </w:pPr>
          </w:p>
        </w:tc>
        <w:tc>
          <w:tcPr>
            <w:tcW w:w="679" w:type="dxa"/>
            <w:vAlign w:val="top"/>
          </w:tcPr>
          <w:p w14:paraId="00248ECD">
            <w:pPr>
              <w:rPr>
                <w:rFonts w:ascii="Arial"/>
                <w:sz w:val="21"/>
              </w:rPr>
            </w:pPr>
          </w:p>
        </w:tc>
        <w:tc>
          <w:tcPr>
            <w:tcW w:w="682" w:type="dxa"/>
            <w:vAlign w:val="top"/>
          </w:tcPr>
          <w:p w14:paraId="59FE27F4">
            <w:pPr>
              <w:rPr>
                <w:rFonts w:ascii="Arial"/>
                <w:sz w:val="21"/>
              </w:rPr>
            </w:pPr>
          </w:p>
        </w:tc>
        <w:tc>
          <w:tcPr>
            <w:tcW w:w="1060" w:type="dxa"/>
            <w:vAlign w:val="top"/>
          </w:tcPr>
          <w:p w14:paraId="26F1ECA3">
            <w:pPr>
              <w:rPr>
                <w:rFonts w:ascii="Arial"/>
                <w:sz w:val="21"/>
              </w:rPr>
            </w:pPr>
          </w:p>
        </w:tc>
      </w:tr>
      <w:tr w14:paraId="2DBF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0583C183">
            <w:pPr>
              <w:pStyle w:val="11"/>
              <w:spacing w:before="180" w:line="241" w:lineRule="auto"/>
              <w:ind w:left="233"/>
            </w:pPr>
            <w:r>
              <w:t>3</w:t>
            </w:r>
          </w:p>
        </w:tc>
        <w:tc>
          <w:tcPr>
            <w:tcW w:w="1168" w:type="dxa"/>
            <w:vAlign w:val="top"/>
          </w:tcPr>
          <w:p w14:paraId="20DE6D9C">
            <w:pPr>
              <w:rPr>
                <w:rFonts w:ascii="Arial"/>
                <w:sz w:val="21"/>
              </w:rPr>
            </w:pPr>
          </w:p>
        </w:tc>
        <w:tc>
          <w:tcPr>
            <w:tcW w:w="679" w:type="dxa"/>
            <w:vAlign w:val="top"/>
          </w:tcPr>
          <w:p w14:paraId="3B8BB9DA">
            <w:pPr>
              <w:rPr>
                <w:rFonts w:ascii="Arial"/>
                <w:sz w:val="21"/>
              </w:rPr>
            </w:pPr>
          </w:p>
        </w:tc>
        <w:tc>
          <w:tcPr>
            <w:tcW w:w="679" w:type="dxa"/>
            <w:vAlign w:val="top"/>
          </w:tcPr>
          <w:p w14:paraId="362C5877">
            <w:pPr>
              <w:rPr>
                <w:rFonts w:ascii="Arial"/>
                <w:sz w:val="21"/>
              </w:rPr>
            </w:pPr>
          </w:p>
        </w:tc>
        <w:tc>
          <w:tcPr>
            <w:tcW w:w="681" w:type="dxa"/>
            <w:vAlign w:val="top"/>
          </w:tcPr>
          <w:p w14:paraId="52097E33">
            <w:pPr>
              <w:rPr>
                <w:rFonts w:ascii="Arial"/>
                <w:sz w:val="21"/>
              </w:rPr>
            </w:pPr>
          </w:p>
        </w:tc>
        <w:tc>
          <w:tcPr>
            <w:tcW w:w="679" w:type="dxa"/>
            <w:vAlign w:val="top"/>
          </w:tcPr>
          <w:p w14:paraId="275FC466">
            <w:pPr>
              <w:rPr>
                <w:rFonts w:ascii="Arial"/>
                <w:sz w:val="21"/>
              </w:rPr>
            </w:pPr>
          </w:p>
        </w:tc>
        <w:tc>
          <w:tcPr>
            <w:tcW w:w="679" w:type="dxa"/>
            <w:vAlign w:val="top"/>
          </w:tcPr>
          <w:p w14:paraId="24EAC74D">
            <w:pPr>
              <w:rPr>
                <w:rFonts w:ascii="Arial"/>
                <w:sz w:val="21"/>
              </w:rPr>
            </w:pPr>
          </w:p>
        </w:tc>
        <w:tc>
          <w:tcPr>
            <w:tcW w:w="681" w:type="dxa"/>
            <w:vAlign w:val="top"/>
          </w:tcPr>
          <w:p w14:paraId="51B603D4">
            <w:pPr>
              <w:rPr>
                <w:rFonts w:ascii="Arial"/>
                <w:sz w:val="21"/>
              </w:rPr>
            </w:pPr>
          </w:p>
        </w:tc>
        <w:tc>
          <w:tcPr>
            <w:tcW w:w="679" w:type="dxa"/>
            <w:vAlign w:val="top"/>
          </w:tcPr>
          <w:p w14:paraId="2F6086B4">
            <w:pPr>
              <w:rPr>
                <w:rFonts w:ascii="Arial"/>
                <w:sz w:val="21"/>
              </w:rPr>
            </w:pPr>
          </w:p>
        </w:tc>
        <w:tc>
          <w:tcPr>
            <w:tcW w:w="679" w:type="dxa"/>
            <w:vAlign w:val="top"/>
          </w:tcPr>
          <w:p w14:paraId="0C574CC8">
            <w:pPr>
              <w:rPr>
                <w:rFonts w:ascii="Arial"/>
                <w:sz w:val="21"/>
              </w:rPr>
            </w:pPr>
          </w:p>
        </w:tc>
        <w:tc>
          <w:tcPr>
            <w:tcW w:w="682" w:type="dxa"/>
            <w:vAlign w:val="top"/>
          </w:tcPr>
          <w:p w14:paraId="436B1840">
            <w:pPr>
              <w:rPr>
                <w:rFonts w:ascii="Arial"/>
                <w:sz w:val="21"/>
              </w:rPr>
            </w:pPr>
          </w:p>
        </w:tc>
        <w:tc>
          <w:tcPr>
            <w:tcW w:w="1060" w:type="dxa"/>
            <w:vAlign w:val="top"/>
          </w:tcPr>
          <w:p w14:paraId="1BBDEDA0">
            <w:pPr>
              <w:rPr>
                <w:rFonts w:ascii="Arial"/>
                <w:sz w:val="21"/>
              </w:rPr>
            </w:pPr>
          </w:p>
        </w:tc>
      </w:tr>
      <w:tr w14:paraId="3EDB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2B51B163">
            <w:pPr>
              <w:pStyle w:val="11"/>
              <w:spacing w:before="178" w:line="242" w:lineRule="auto"/>
              <w:ind w:left="227"/>
            </w:pPr>
            <w:r>
              <w:t>4</w:t>
            </w:r>
          </w:p>
        </w:tc>
        <w:tc>
          <w:tcPr>
            <w:tcW w:w="1168" w:type="dxa"/>
            <w:vAlign w:val="top"/>
          </w:tcPr>
          <w:p w14:paraId="1AA4E6C1">
            <w:pPr>
              <w:rPr>
                <w:rFonts w:ascii="Arial"/>
                <w:sz w:val="21"/>
              </w:rPr>
            </w:pPr>
          </w:p>
        </w:tc>
        <w:tc>
          <w:tcPr>
            <w:tcW w:w="679" w:type="dxa"/>
            <w:vAlign w:val="top"/>
          </w:tcPr>
          <w:p w14:paraId="1317E853">
            <w:pPr>
              <w:rPr>
                <w:rFonts w:ascii="Arial"/>
                <w:sz w:val="21"/>
              </w:rPr>
            </w:pPr>
          </w:p>
        </w:tc>
        <w:tc>
          <w:tcPr>
            <w:tcW w:w="679" w:type="dxa"/>
            <w:vAlign w:val="top"/>
          </w:tcPr>
          <w:p w14:paraId="571DDF55">
            <w:pPr>
              <w:rPr>
                <w:rFonts w:ascii="Arial"/>
                <w:sz w:val="21"/>
              </w:rPr>
            </w:pPr>
          </w:p>
        </w:tc>
        <w:tc>
          <w:tcPr>
            <w:tcW w:w="681" w:type="dxa"/>
            <w:vAlign w:val="top"/>
          </w:tcPr>
          <w:p w14:paraId="43226BCF">
            <w:pPr>
              <w:rPr>
                <w:rFonts w:ascii="Arial"/>
                <w:sz w:val="21"/>
              </w:rPr>
            </w:pPr>
          </w:p>
        </w:tc>
        <w:tc>
          <w:tcPr>
            <w:tcW w:w="679" w:type="dxa"/>
            <w:vAlign w:val="top"/>
          </w:tcPr>
          <w:p w14:paraId="340BBB25">
            <w:pPr>
              <w:rPr>
                <w:rFonts w:ascii="Arial"/>
                <w:sz w:val="21"/>
              </w:rPr>
            </w:pPr>
          </w:p>
        </w:tc>
        <w:tc>
          <w:tcPr>
            <w:tcW w:w="679" w:type="dxa"/>
            <w:vAlign w:val="top"/>
          </w:tcPr>
          <w:p w14:paraId="3DD0CDE1">
            <w:pPr>
              <w:rPr>
                <w:rFonts w:ascii="Arial"/>
                <w:sz w:val="21"/>
              </w:rPr>
            </w:pPr>
          </w:p>
        </w:tc>
        <w:tc>
          <w:tcPr>
            <w:tcW w:w="681" w:type="dxa"/>
            <w:vAlign w:val="top"/>
          </w:tcPr>
          <w:p w14:paraId="426AD280">
            <w:pPr>
              <w:rPr>
                <w:rFonts w:ascii="Arial"/>
                <w:sz w:val="21"/>
              </w:rPr>
            </w:pPr>
          </w:p>
        </w:tc>
        <w:tc>
          <w:tcPr>
            <w:tcW w:w="679" w:type="dxa"/>
            <w:vAlign w:val="top"/>
          </w:tcPr>
          <w:p w14:paraId="65C508B4">
            <w:pPr>
              <w:rPr>
                <w:rFonts w:ascii="Arial"/>
                <w:sz w:val="21"/>
              </w:rPr>
            </w:pPr>
          </w:p>
        </w:tc>
        <w:tc>
          <w:tcPr>
            <w:tcW w:w="679" w:type="dxa"/>
            <w:vAlign w:val="top"/>
          </w:tcPr>
          <w:p w14:paraId="15F7E4CE">
            <w:pPr>
              <w:rPr>
                <w:rFonts w:ascii="Arial"/>
                <w:sz w:val="21"/>
              </w:rPr>
            </w:pPr>
          </w:p>
        </w:tc>
        <w:tc>
          <w:tcPr>
            <w:tcW w:w="682" w:type="dxa"/>
            <w:vAlign w:val="top"/>
          </w:tcPr>
          <w:p w14:paraId="1568A095">
            <w:pPr>
              <w:rPr>
                <w:rFonts w:ascii="Arial"/>
                <w:sz w:val="21"/>
              </w:rPr>
            </w:pPr>
          </w:p>
        </w:tc>
        <w:tc>
          <w:tcPr>
            <w:tcW w:w="1060" w:type="dxa"/>
            <w:vAlign w:val="top"/>
          </w:tcPr>
          <w:p w14:paraId="3B7926AE">
            <w:pPr>
              <w:rPr>
                <w:rFonts w:ascii="Arial"/>
                <w:sz w:val="21"/>
              </w:rPr>
            </w:pPr>
          </w:p>
        </w:tc>
      </w:tr>
      <w:tr w14:paraId="3F02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79FF02AE">
            <w:pPr>
              <w:pStyle w:val="11"/>
              <w:spacing w:before="179" w:line="241" w:lineRule="auto"/>
              <w:ind w:left="233"/>
            </w:pPr>
            <w:r>
              <w:t>5</w:t>
            </w:r>
          </w:p>
        </w:tc>
        <w:tc>
          <w:tcPr>
            <w:tcW w:w="1168" w:type="dxa"/>
            <w:vAlign w:val="top"/>
          </w:tcPr>
          <w:p w14:paraId="6FDD1E1E">
            <w:pPr>
              <w:rPr>
                <w:rFonts w:ascii="Arial"/>
                <w:sz w:val="21"/>
              </w:rPr>
            </w:pPr>
          </w:p>
        </w:tc>
        <w:tc>
          <w:tcPr>
            <w:tcW w:w="679" w:type="dxa"/>
            <w:vAlign w:val="top"/>
          </w:tcPr>
          <w:p w14:paraId="0674800C">
            <w:pPr>
              <w:rPr>
                <w:rFonts w:ascii="Arial"/>
                <w:sz w:val="21"/>
              </w:rPr>
            </w:pPr>
          </w:p>
        </w:tc>
        <w:tc>
          <w:tcPr>
            <w:tcW w:w="679" w:type="dxa"/>
            <w:vAlign w:val="top"/>
          </w:tcPr>
          <w:p w14:paraId="69778950">
            <w:pPr>
              <w:rPr>
                <w:rFonts w:ascii="Arial"/>
                <w:sz w:val="21"/>
              </w:rPr>
            </w:pPr>
          </w:p>
        </w:tc>
        <w:tc>
          <w:tcPr>
            <w:tcW w:w="681" w:type="dxa"/>
            <w:vAlign w:val="top"/>
          </w:tcPr>
          <w:p w14:paraId="7D28DF08">
            <w:pPr>
              <w:rPr>
                <w:rFonts w:ascii="Arial"/>
                <w:sz w:val="21"/>
              </w:rPr>
            </w:pPr>
          </w:p>
        </w:tc>
        <w:tc>
          <w:tcPr>
            <w:tcW w:w="679" w:type="dxa"/>
            <w:vAlign w:val="top"/>
          </w:tcPr>
          <w:p w14:paraId="3B45B7BA">
            <w:pPr>
              <w:rPr>
                <w:rFonts w:ascii="Arial"/>
                <w:sz w:val="21"/>
              </w:rPr>
            </w:pPr>
          </w:p>
        </w:tc>
        <w:tc>
          <w:tcPr>
            <w:tcW w:w="679" w:type="dxa"/>
            <w:vAlign w:val="top"/>
          </w:tcPr>
          <w:p w14:paraId="59DFA4FC">
            <w:pPr>
              <w:rPr>
                <w:rFonts w:ascii="Arial"/>
                <w:sz w:val="21"/>
              </w:rPr>
            </w:pPr>
          </w:p>
        </w:tc>
        <w:tc>
          <w:tcPr>
            <w:tcW w:w="681" w:type="dxa"/>
            <w:vAlign w:val="top"/>
          </w:tcPr>
          <w:p w14:paraId="054D5008">
            <w:pPr>
              <w:rPr>
                <w:rFonts w:ascii="Arial"/>
                <w:sz w:val="21"/>
              </w:rPr>
            </w:pPr>
          </w:p>
        </w:tc>
        <w:tc>
          <w:tcPr>
            <w:tcW w:w="679" w:type="dxa"/>
            <w:vAlign w:val="top"/>
          </w:tcPr>
          <w:p w14:paraId="099A9B37">
            <w:pPr>
              <w:rPr>
                <w:rFonts w:ascii="Arial"/>
                <w:sz w:val="21"/>
              </w:rPr>
            </w:pPr>
          </w:p>
        </w:tc>
        <w:tc>
          <w:tcPr>
            <w:tcW w:w="679" w:type="dxa"/>
            <w:vAlign w:val="top"/>
          </w:tcPr>
          <w:p w14:paraId="5F683936">
            <w:pPr>
              <w:rPr>
                <w:rFonts w:ascii="Arial"/>
                <w:sz w:val="21"/>
              </w:rPr>
            </w:pPr>
          </w:p>
        </w:tc>
        <w:tc>
          <w:tcPr>
            <w:tcW w:w="682" w:type="dxa"/>
            <w:vAlign w:val="top"/>
          </w:tcPr>
          <w:p w14:paraId="2C9E74E1">
            <w:pPr>
              <w:rPr>
                <w:rFonts w:ascii="Arial"/>
                <w:sz w:val="21"/>
              </w:rPr>
            </w:pPr>
          </w:p>
        </w:tc>
        <w:tc>
          <w:tcPr>
            <w:tcW w:w="1060" w:type="dxa"/>
            <w:vAlign w:val="top"/>
          </w:tcPr>
          <w:p w14:paraId="00F8E2B9">
            <w:pPr>
              <w:rPr>
                <w:rFonts w:ascii="Arial"/>
                <w:sz w:val="21"/>
              </w:rPr>
            </w:pPr>
          </w:p>
        </w:tc>
      </w:tr>
      <w:tr w14:paraId="1928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739F0D4F">
            <w:pPr>
              <w:pStyle w:val="11"/>
              <w:spacing w:before="181" w:line="241" w:lineRule="auto"/>
              <w:ind w:left="230"/>
            </w:pPr>
            <w:r>
              <w:t>6</w:t>
            </w:r>
          </w:p>
        </w:tc>
        <w:tc>
          <w:tcPr>
            <w:tcW w:w="1168" w:type="dxa"/>
            <w:vAlign w:val="top"/>
          </w:tcPr>
          <w:p w14:paraId="42336247">
            <w:pPr>
              <w:rPr>
                <w:rFonts w:ascii="Arial"/>
                <w:sz w:val="21"/>
              </w:rPr>
            </w:pPr>
          </w:p>
        </w:tc>
        <w:tc>
          <w:tcPr>
            <w:tcW w:w="679" w:type="dxa"/>
            <w:vAlign w:val="top"/>
          </w:tcPr>
          <w:p w14:paraId="500BF0B6">
            <w:pPr>
              <w:rPr>
                <w:rFonts w:ascii="Arial"/>
                <w:sz w:val="21"/>
              </w:rPr>
            </w:pPr>
          </w:p>
        </w:tc>
        <w:tc>
          <w:tcPr>
            <w:tcW w:w="679" w:type="dxa"/>
            <w:vAlign w:val="top"/>
          </w:tcPr>
          <w:p w14:paraId="07A05ADB">
            <w:pPr>
              <w:rPr>
                <w:rFonts w:ascii="Arial"/>
                <w:sz w:val="21"/>
              </w:rPr>
            </w:pPr>
          </w:p>
        </w:tc>
        <w:tc>
          <w:tcPr>
            <w:tcW w:w="681" w:type="dxa"/>
            <w:vAlign w:val="top"/>
          </w:tcPr>
          <w:p w14:paraId="13531D4C">
            <w:pPr>
              <w:rPr>
                <w:rFonts w:ascii="Arial"/>
                <w:sz w:val="21"/>
              </w:rPr>
            </w:pPr>
          </w:p>
        </w:tc>
        <w:tc>
          <w:tcPr>
            <w:tcW w:w="679" w:type="dxa"/>
            <w:vAlign w:val="top"/>
          </w:tcPr>
          <w:p w14:paraId="3991E89C">
            <w:pPr>
              <w:rPr>
                <w:rFonts w:ascii="Arial"/>
                <w:sz w:val="21"/>
              </w:rPr>
            </w:pPr>
          </w:p>
        </w:tc>
        <w:tc>
          <w:tcPr>
            <w:tcW w:w="679" w:type="dxa"/>
            <w:vAlign w:val="top"/>
          </w:tcPr>
          <w:p w14:paraId="52699C05">
            <w:pPr>
              <w:rPr>
                <w:rFonts w:ascii="Arial"/>
                <w:sz w:val="21"/>
              </w:rPr>
            </w:pPr>
          </w:p>
        </w:tc>
        <w:tc>
          <w:tcPr>
            <w:tcW w:w="681" w:type="dxa"/>
            <w:vAlign w:val="top"/>
          </w:tcPr>
          <w:p w14:paraId="2DDC4962">
            <w:pPr>
              <w:rPr>
                <w:rFonts w:ascii="Arial"/>
                <w:sz w:val="21"/>
              </w:rPr>
            </w:pPr>
          </w:p>
        </w:tc>
        <w:tc>
          <w:tcPr>
            <w:tcW w:w="679" w:type="dxa"/>
            <w:vAlign w:val="top"/>
          </w:tcPr>
          <w:p w14:paraId="1ED58F9A">
            <w:pPr>
              <w:rPr>
                <w:rFonts w:ascii="Arial"/>
                <w:sz w:val="21"/>
              </w:rPr>
            </w:pPr>
          </w:p>
        </w:tc>
        <w:tc>
          <w:tcPr>
            <w:tcW w:w="679" w:type="dxa"/>
            <w:vAlign w:val="top"/>
          </w:tcPr>
          <w:p w14:paraId="0C2D1047">
            <w:pPr>
              <w:rPr>
                <w:rFonts w:ascii="Arial"/>
                <w:sz w:val="21"/>
              </w:rPr>
            </w:pPr>
          </w:p>
        </w:tc>
        <w:tc>
          <w:tcPr>
            <w:tcW w:w="682" w:type="dxa"/>
            <w:vAlign w:val="top"/>
          </w:tcPr>
          <w:p w14:paraId="709CD6C0">
            <w:pPr>
              <w:rPr>
                <w:rFonts w:ascii="Arial"/>
                <w:sz w:val="21"/>
              </w:rPr>
            </w:pPr>
          </w:p>
        </w:tc>
        <w:tc>
          <w:tcPr>
            <w:tcW w:w="1060" w:type="dxa"/>
            <w:vAlign w:val="top"/>
          </w:tcPr>
          <w:p w14:paraId="451EEDC5">
            <w:pPr>
              <w:rPr>
                <w:rFonts w:ascii="Arial"/>
                <w:sz w:val="21"/>
              </w:rPr>
            </w:pPr>
          </w:p>
        </w:tc>
      </w:tr>
      <w:tr w14:paraId="1006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2DC7F205">
            <w:pPr>
              <w:pStyle w:val="11"/>
              <w:spacing w:before="180" w:line="332" w:lineRule="exact"/>
              <w:ind w:left="189"/>
            </w:pPr>
            <w:r>
              <w:rPr>
                <w:position w:val="2"/>
              </w:rPr>
              <w:t>…</w:t>
            </w:r>
          </w:p>
        </w:tc>
        <w:tc>
          <w:tcPr>
            <w:tcW w:w="1168" w:type="dxa"/>
            <w:vAlign w:val="top"/>
          </w:tcPr>
          <w:p w14:paraId="4D63865B">
            <w:pPr>
              <w:rPr>
                <w:rFonts w:ascii="Arial"/>
                <w:sz w:val="21"/>
              </w:rPr>
            </w:pPr>
          </w:p>
        </w:tc>
        <w:tc>
          <w:tcPr>
            <w:tcW w:w="679" w:type="dxa"/>
            <w:vAlign w:val="top"/>
          </w:tcPr>
          <w:p w14:paraId="3B43FE23">
            <w:pPr>
              <w:rPr>
                <w:rFonts w:ascii="Arial"/>
                <w:sz w:val="21"/>
              </w:rPr>
            </w:pPr>
          </w:p>
        </w:tc>
        <w:tc>
          <w:tcPr>
            <w:tcW w:w="679" w:type="dxa"/>
            <w:vAlign w:val="top"/>
          </w:tcPr>
          <w:p w14:paraId="0CFAFF20">
            <w:pPr>
              <w:rPr>
                <w:rFonts w:ascii="Arial"/>
                <w:sz w:val="21"/>
              </w:rPr>
            </w:pPr>
          </w:p>
        </w:tc>
        <w:tc>
          <w:tcPr>
            <w:tcW w:w="681" w:type="dxa"/>
            <w:vAlign w:val="top"/>
          </w:tcPr>
          <w:p w14:paraId="6CB696E2">
            <w:pPr>
              <w:rPr>
                <w:rFonts w:ascii="Arial"/>
                <w:sz w:val="21"/>
              </w:rPr>
            </w:pPr>
          </w:p>
        </w:tc>
        <w:tc>
          <w:tcPr>
            <w:tcW w:w="679" w:type="dxa"/>
            <w:vAlign w:val="top"/>
          </w:tcPr>
          <w:p w14:paraId="3300A903">
            <w:pPr>
              <w:rPr>
                <w:rFonts w:ascii="Arial"/>
                <w:sz w:val="21"/>
              </w:rPr>
            </w:pPr>
          </w:p>
        </w:tc>
        <w:tc>
          <w:tcPr>
            <w:tcW w:w="679" w:type="dxa"/>
            <w:vAlign w:val="top"/>
          </w:tcPr>
          <w:p w14:paraId="3618CAE7">
            <w:pPr>
              <w:rPr>
                <w:rFonts w:ascii="Arial"/>
                <w:sz w:val="21"/>
              </w:rPr>
            </w:pPr>
          </w:p>
        </w:tc>
        <w:tc>
          <w:tcPr>
            <w:tcW w:w="681" w:type="dxa"/>
            <w:vAlign w:val="top"/>
          </w:tcPr>
          <w:p w14:paraId="13C6D4CB">
            <w:pPr>
              <w:rPr>
                <w:rFonts w:ascii="Arial"/>
                <w:sz w:val="21"/>
              </w:rPr>
            </w:pPr>
          </w:p>
        </w:tc>
        <w:tc>
          <w:tcPr>
            <w:tcW w:w="679" w:type="dxa"/>
            <w:vAlign w:val="top"/>
          </w:tcPr>
          <w:p w14:paraId="2AA980C8">
            <w:pPr>
              <w:rPr>
                <w:rFonts w:ascii="Arial"/>
                <w:sz w:val="21"/>
              </w:rPr>
            </w:pPr>
          </w:p>
        </w:tc>
        <w:tc>
          <w:tcPr>
            <w:tcW w:w="679" w:type="dxa"/>
            <w:vAlign w:val="top"/>
          </w:tcPr>
          <w:p w14:paraId="61E23B99">
            <w:pPr>
              <w:rPr>
                <w:rFonts w:ascii="Arial"/>
                <w:sz w:val="21"/>
              </w:rPr>
            </w:pPr>
          </w:p>
        </w:tc>
        <w:tc>
          <w:tcPr>
            <w:tcW w:w="682" w:type="dxa"/>
            <w:vAlign w:val="top"/>
          </w:tcPr>
          <w:p w14:paraId="16B8E8B6">
            <w:pPr>
              <w:rPr>
                <w:rFonts w:ascii="Arial"/>
                <w:sz w:val="21"/>
              </w:rPr>
            </w:pPr>
          </w:p>
        </w:tc>
        <w:tc>
          <w:tcPr>
            <w:tcW w:w="1060" w:type="dxa"/>
            <w:vAlign w:val="top"/>
          </w:tcPr>
          <w:p w14:paraId="3FBAB48E">
            <w:pPr>
              <w:rPr>
                <w:rFonts w:ascii="Arial"/>
                <w:sz w:val="21"/>
              </w:rPr>
            </w:pPr>
          </w:p>
        </w:tc>
      </w:tr>
      <w:tr w14:paraId="5958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trPr>
        <w:tc>
          <w:tcPr>
            <w:tcW w:w="8898" w:type="dxa"/>
            <w:gridSpan w:val="12"/>
            <w:vAlign w:val="top"/>
          </w:tcPr>
          <w:p w14:paraId="0482DC63">
            <w:pPr>
              <w:pStyle w:val="11"/>
              <w:spacing w:before="290" w:line="220" w:lineRule="auto"/>
              <w:ind w:left="115"/>
            </w:pPr>
            <w:r>
              <w:rPr>
                <w:spacing w:val="-1"/>
              </w:rPr>
              <w:t>评标委员会全体成员签名：</w:t>
            </w:r>
          </w:p>
        </w:tc>
      </w:tr>
    </w:tbl>
    <w:p w14:paraId="19333C9D">
      <w:pPr>
        <w:spacing w:before="139" w:line="221" w:lineRule="auto"/>
        <w:ind w:right="35"/>
        <w:jc w:val="right"/>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r>
        <w:rPr>
          <w:rFonts w:ascii="宋体" w:hAnsi="宋体" w:eastAsia="宋体" w:cs="宋体"/>
          <w:spacing w:val="12"/>
          <w:sz w:val="21"/>
          <w:szCs w:val="21"/>
        </w:rPr>
        <w:t xml:space="preserve">    </w:t>
      </w:r>
      <w:r>
        <w:rPr>
          <w:rFonts w:ascii="宋体" w:hAnsi="宋体" w:eastAsia="宋体" w:cs="宋体"/>
          <w:spacing w:val="-11"/>
          <w:sz w:val="21"/>
          <w:szCs w:val="21"/>
        </w:rPr>
        <w:t>日</w:t>
      </w:r>
    </w:p>
    <w:p w14:paraId="7263857E">
      <w:pPr>
        <w:spacing w:line="221" w:lineRule="auto"/>
        <w:rPr>
          <w:rFonts w:ascii="宋体" w:hAnsi="宋体" w:eastAsia="宋体" w:cs="宋体"/>
          <w:sz w:val="21"/>
          <w:szCs w:val="21"/>
        </w:rPr>
        <w:sectPr>
          <w:footerReference r:id="rId68" w:type="default"/>
          <w:pgSz w:w="11905" w:h="16843"/>
          <w:pgMar w:top="969" w:right="1355" w:bottom="1026" w:left="1480" w:header="0" w:footer="754" w:gutter="0"/>
          <w:cols w:space="0" w:num="1"/>
          <w:rtlGutter w:val="0"/>
          <w:docGrid w:linePitch="0" w:charSpace="0"/>
        </w:sectPr>
      </w:pPr>
    </w:p>
    <w:p w14:paraId="4198ED00">
      <w:pPr>
        <w:pStyle w:val="5"/>
        <w:spacing w:line="265" w:lineRule="auto"/>
      </w:pPr>
    </w:p>
    <w:p w14:paraId="3DE2F8AC">
      <w:pPr>
        <w:pStyle w:val="5"/>
        <w:spacing w:line="265" w:lineRule="auto"/>
      </w:pPr>
    </w:p>
    <w:p w14:paraId="1797567D">
      <w:pPr>
        <w:pStyle w:val="5"/>
        <w:spacing w:line="266" w:lineRule="auto"/>
      </w:pPr>
    </w:p>
    <w:p w14:paraId="57F90CF9">
      <w:pPr>
        <w:pStyle w:val="5"/>
        <w:spacing w:line="266" w:lineRule="auto"/>
      </w:pPr>
    </w:p>
    <w:p w14:paraId="73B28B91">
      <w:pPr>
        <w:pStyle w:val="5"/>
        <w:spacing w:line="266" w:lineRule="auto"/>
      </w:pPr>
    </w:p>
    <w:p w14:paraId="1984C4C1">
      <w:pPr>
        <w:spacing w:before="78" w:line="233" w:lineRule="auto"/>
        <w:ind w:left="140"/>
        <w:outlineLvl w:val="2"/>
        <w:rPr>
          <w:rFonts w:ascii="黑体" w:hAnsi="黑体" w:eastAsia="黑体" w:cs="黑体"/>
          <w:sz w:val="24"/>
          <w:szCs w:val="24"/>
        </w:rPr>
      </w:pPr>
      <w:bookmarkStart w:id="163" w:name="bookmark130"/>
      <w:bookmarkEnd w:id="163"/>
      <w:r>
        <w:rPr>
          <w:rFonts w:ascii="黑体" w:hAnsi="黑体" w:eastAsia="黑体" w:cs="黑体"/>
          <w:spacing w:val="-3"/>
          <w:sz w:val="24"/>
          <w:szCs w:val="24"/>
        </w:rPr>
        <w:t>附表</w:t>
      </w:r>
      <w:r>
        <w:rPr>
          <w:rFonts w:ascii="黑体" w:hAnsi="黑体" w:eastAsia="黑体" w:cs="黑体"/>
          <w:spacing w:val="-54"/>
          <w:sz w:val="24"/>
          <w:szCs w:val="24"/>
        </w:rPr>
        <w:t xml:space="preserve"> </w:t>
      </w:r>
      <w:r>
        <w:rPr>
          <w:rFonts w:ascii="Times New Roman" w:hAnsi="Times New Roman" w:eastAsia="Times New Roman" w:cs="Times New Roman"/>
          <w:spacing w:val="-3"/>
          <w:sz w:val="24"/>
          <w:szCs w:val="24"/>
        </w:rPr>
        <w:t>A-5</w:t>
      </w:r>
      <w:r>
        <w:rPr>
          <w:rFonts w:ascii="黑体" w:hAnsi="黑体" w:eastAsia="黑体" w:cs="黑体"/>
          <w:spacing w:val="-3"/>
          <w:sz w:val="24"/>
          <w:szCs w:val="24"/>
        </w:rPr>
        <w:t>：资格评审记录表</w:t>
      </w:r>
    </w:p>
    <w:p w14:paraId="0CFB3FBC">
      <w:pPr>
        <w:pStyle w:val="5"/>
        <w:spacing w:line="389" w:lineRule="auto"/>
      </w:pPr>
    </w:p>
    <w:p w14:paraId="594E2657">
      <w:pPr>
        <w:spacing w:before="117" w:line="219" w:lineRule="auto"/>
        <w:ind w:left="3216"/>
        <w:rPr>
          <w:rFonts w:ascii="黑体" w:hAnsi="黑体" w:eastAsia="黑体" w:cs="黑体"/>
          <w:sz w:val="36"/>
          <w:szCs w:val="36"/>
        </w:rPr>
      </w:pPr>
      <w:r>
        <w:rPr>
          <w:rFonts w:ascii="黑体" w:hAnsi="黑体" w:eastAsia="黑体" w:cs="黑体"/>
          <w:spacing w:val="-4"/>
          <w:sz w:val="36"/>
          <w:szCs w:val="36"/>
        </w:rPr>
        <w:t>资格评审记录表</w:t>
      </w:r>
    </w:p>
    <w:p w14:paraId="573CEA7B">
      <w:pPr>
        <w:spacing w:before="239" w:line="221" w:lineRule="auto"/>
        <w:ind w:left="9"/>
        <w:rPr>
          <w:rFonts w:ascii="宋体" w:hAnsi="宋体" w:eastAsia="宋体" w:cs="宋体"/>
          <w:sz w:val="21"/>
          <w:szCs w:val="21"/>
        </w:rPr>
      </w:pPr>
      <w:r>
        <w:rPr>
          <w:rFonts w:ascii="宋体" w:hAnsi="宋体" w:eastAsia="宋体" w:cs="宋体"/>
          <w:spacing w:val="-7"/>
          <w:sz w:val="21"/>
          <w:szCs w:val="21"/>
        </w:rPr>
        <w:t>标段名称：</w:t>
      </w:r>
    </w:p>
    <w:p w14:paraId="331D2CA4">
      <w:pPr>
        <w:spacing w:before="22" w:line="212" w:lineRule="auto"/>
        <w:ind w:left="9"/>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168"/>
        <w:gridCol w:w="679"/>
        <w:gridCol w:w="679"/>
        <w:gridCol w:w="681"/>
        <w:gridCol w:w="679"/>
        <w:gridCol w:w="679"/>
        <w:gridCol w:w="681"/>
        <w:gridCol w:w="679"/>
        <w:gridCol w:w="679"/>
        <w:gridCol w:w="682"/>
        <w:gridCol w:w="1060"/>
      </w:tblGrid>
      <w:tr w14:paraId="0FD0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2" w:type="dxa"/>
            <w:vMerge w:val="restart"/>
            <w:tcBorders>
              <w:bottom w:val="nil"/>
            </w:tcBorders>
            <w:textDirection w:val="tbRlV"/>
            <w:vAlign w:val="top"/>
          </w:tcPr>
          <w:p w14:paraId="4EC85703">
            <w:pPr>
              <w:pStyle w:val="11"/>
              <w:spacing w:before="167" w:line="211" w:lineRule="auto"/>
              <w:ind w:left="187"/>
            </w:pPr>
            <w:r>
              <w:rPr>
                <w:spacing w:val="1"/>
              </w:rPr>
              <w:t>序</w:t>
            </w:r>
            <w:r>
              <w:rPr>
                <w:spacing w:val="-43"/>
              </w:rPr>
              <w:t xml:space="preserve"> </w:t>
            </w:r>
            <w:r>
              <w:rPr>
                <w:spacing w:val="1"/>
              </w:rPr>
              <w:t>号</w:t>
            </w:r>
          </w:p>
        </w:tc>
        <w:tc>
          <w:tcPr>
            <w:tcW w:w="1168" w:type="dxa"/>
            <w:vMerge w:val="restart"/>
            <w:tcBorders>
              <w:bottom w:val="nil"/>
            </w:tcBorders>
            <w:vAlign w:val="top"/>
          </w:tcPr>
          <w:p w14:paraId="4EE91CAB">
            <w:pPr>
              <w:pStyle w:val="11"/>
              <w:spacing w:before="187" w:line="244" w:lineRule="auto"/>
              <w:ind w:left="479" w:right="162" w:hanging="311"/>
            </w:pPr>
            <w:r>
              <w:rPr>
                <w:spacing w:val="-3"/>
              </w:rPr>
              <w:t>投标人名</w:t>
            </w:r>
            <w:r>
              <w:t>称</w:t>
            </w:r>
          </w:p>
        </w:tc>
        <w:tc>
          <w:tcPr>
            <w:tcW w:w="6118" w:type="dxa"/>
            <w:gridSpan w:val="9"/>
            <w:vAlign w:val="top"/>
          </w:tcPr>
          <w:p w14:paraId="62D5858D">
            <w:pPr>
              <w:pStyle w:val="11"/>
              <w:spacing w:before="108" w:line="221" w:lineRule="auto"/>
              <w:ind w:left="2118"/>
            </w:pPr>
            <w:r>
              <w:rPr>
                <w:spacing w:val="-1"/>
              </w:rPr>
              <w:t>评审标准及评审意见</w:t>
            </w:r>
          </w:p>
        </w:tc>
        <w:tc>
          <w:tcPr>
            <w:tcW w:w="1060" w:type="dxa"/>
            <w:vMerge w:val="restart"/>
            <w:tcBorders>
              <w:bottom w:val="nil"/>
            </w:tcBorders>
            <w:vAlign w:val="top"/>
          </w:tcPr>
          <w:p w14:paraId="05971F51">
            <w:pPr>
              <w:spacing w:line="255" w:lineRule="auto"/>
              <w:rPr>
                <w:rFonts w:ascii="Arial"/>
                <w:sz w:val="21"/>
              </w:rPr>
            </w:pPr>
          </w:p>
          <w:p w14:paraId="5D793697">
            <w:pPr>
              <w:pStyle w:val="11"/>
              <w:spacing w:before="68" w:line="221" w:lineRule="auto"/>
              <w:ind w:left="114"/>
            </w:pPr>
            <w:r>
              <w:rPr>
                <w:spacing w:val="-1"/>
              </w:rPr>
              <w:t>评审结论</w:t>
            </w:r>
          </w:p>
        </w:tc>
      </w:tr>
      <w:tr w14:paraId="6567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2" w:type="dxa"/>
            <w:vMerge w:val="continue"/>
            <w:tcBorders>
              <w:top w:val="nil"/>
            </w:tcBorders>
            <w:textDirection w:val="tbRlV"/>
            <w:vAlign w:val="top"/>
          </w:tcPr>
          <w:p w14:paraId="296A26B8">
            <w:pPr>
              <w:rPr>
                <w:rFonts w:ascii="Arial"/>
                <w:sz w:val="21"/>
              </w:rPr>
            </w:pPr>
          </w:p>
        </w:tc>
        <w:tc>
          <w:tcPr>
            <w:tcW w:w="1168" w:type="dxa"/>
            <w:vMerge w:val="continue"/>
            <w:tcBorders>
              <w:top w:val="nil"/>
            </w:tcBorders>
            <w:vAlign w:val="top"/>
          </w:tcPr>
          <w:p w14:paraId="3B021F3C">
            <w:pPr>
              <w:rPr>
                <w:rFonts w:ascii="Arial"/>
                <w:sz w:val="21"/>
              </w:rPr>
            </w:pPr>
          </w:p>
        </w:tc>
        <w:tc>
          <w:tcPr>
            <w:tcW w:w="679" w:type="dxa"/>
            <w:vAlign w:val="top"/>
          </w:tcPr>
          <w:p w14:paraId="050B8882">
            <w:pPr>
              <w:rPr>
                <w:rFonts w:ascii="Arial"/>
                <w:sz w:val="21"/>
              </w:rPr>
            </w:pPr>
          </w:p>
        </w:tc>
        <w:tc>
          <w:tcPr>
            <w:tcW w:w="679" w:type="dxa"/>
            <w:vAlign w:val="top"/>
          </w:tcPr>
          <w:p w14:paraId="131E5859">
            <w:pPr>
              <w:rPr>
                <w:rFonts w:ascii="Arial"/>
                <w:sz w:val="21"/>
              </w:rPr>
            </w:pPr>
          </w:p>
        </w:tc>
        <w:tc>
          <w:tcPr>
            <w:tcW w:w="681" w:type="dxa"/>
            <w:vAlign w:val="top"/>
          </w:tcPr>
          <w:p w14:paraId="6A1D2F78">
            <w:pPr>
              <w:rPr>
                <w:rFonts w:ascii="Arial"/>
                <w:sz w:val="21"/>
              </w:rPr>
            </w:pPr>
          </w:p>
        </w:tc>
        <w:tc>
          <w:tcPr>
            <w:tcW w:w="679" w:type="dxa"/>
            <w:vAlign w:val="top"/>
          </w:tcPr>
          <w:p w14:paraId="5CC448E7">
            <w:pPr>
              <w:rPr>
                <w:rFonts w:ascii="Arial"/>
                <w:sz w:val="21"/>
              </w:rPr>
            </w:pPr>
          </w:p>
        </w:tc>
        <w:tc>
          <w:tcPr>
            <w:tcW w:w="679" w:type="dxa"/>
            <w:vAlign w:val="top"/>
          </w:tcPr>
          <w:p w14:paraId="0AE3B6A3">
            <w:pPr>
              <w:rPr>
                <w:rFonts w:ascii="Arial"/>
                <w:sz w:val="21"/>
              </w:rPr>
            </w:pPr>
          </w:p>
        </w:tc>
        <w:tc>
          <w:tcPr>
            <w:tcW w:w="681" w:type="dxa"/>
            <w:vAlign w:val="top"/>
          </w:tcPr>
          <w:p w14:paraId="43E56179">
            <w:pPr>
              <w:rPr>
                <w:rFonts w:ascii="Arial"/>
                <w:sz w:val="21"/>
              </w:rPr>
            </w:pPr>
          </w:p>
        </w:tc>
        <w:tc>
          <w:tcPr>
            <w:tcW w:w="679" w:type="dxa"/>
            <w:vAlign w:val="top"/>
          </w:tcPr>
          <w:p w14:paraId="0F7127B8">
            <w:pPr>
              <w:rPr>
                <w:rFonts w:ascii="Arial"/>
                <w:sz w:val="21"/>
              </w:rPr>
            </w:pPr>
          </w:p>
        </w:tc>
        <w:tc>
          <w:tcPr>
            <w:tcW w:w="679" w:type="dxa"/>
            <w:vAlign w:val="top"/>
          </w:tcPr>
          <w:p w14:paraId="726005AC">
            <w:pPr>
              <w:rPr>
                <w:rFonts w:ascii="Arial"/>
                <w:sz w:val="21"/>
              </w:rPr>
            </w:pPr>
          </w:p>
        </w:tc>
        <w:tc>
          <w:tcPr>
            <w:tcW w:w="682" w:type="dxa"/>
            <w:vAlign w:val="top"/>
          </w:tcPr>
          <w:p w14:paraId="3F2A04BE">
            <w:pPr>
              <w:rPr>
                <w:rFonts w:ascii="Arial"/>
                <w:sz w:val="21"/>
              </w:rPr>
            </w:pPr>
          </w:p>
        </w:tc>
        <w:tc>
          <w:tcPr>
            <w:tcW w:w="1060" w:type="dxa"/>
            <w:vMerge w:val="continue"/>
            <w:tcBorders>
              <w:top w:val="nil"/>
            </w:tcBorders>
            <w:vAlign w:val="top"/>
          </w:tcPr>
          <w:p w14:paraId="0F15CDB7">
            <w:pPr>
              <w:rPr>
                <w:rFonts w:ascii="Arial"/>
                <w:sz w:val="21"/>
              </w:rPr>
            </w:pPr>
          </w:p>
        </w:tc>
      </w:tr>
      <w:tr w14:paraId="5D39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16FE5E29">
            <w:pPr>
              <w:pStyle w:val="11"/>
              <w:spacing w:before="177" w:line="242" w:lineRule="auto"/>
              <w:ind w:left="244"/>
            </w:pPr>
            <w:r>
              <w:t>1</w:t>
            </w:r>
          </w:p>
        </w:tc>
        <w:tc>
          <w:tcPr>
            <w:tcW w:w="1168" w:type="dxa"/>
            <w:vAlign w:val="top"/>
          </w:tcPr>
          <w:p w14:paraId="20C9B49F">
            <w:pPr>
              <w:rPr>
                <w:rFonts w:ascii="Arial"/>
                <w:sz w:val="21"/>
              </w:rPr>
            </w:pPr>
          </w:p>
        </w:tc>
        <w:tc>
          <w:tcPr>
            <w:tcW w:w="679" w:type="dxa"/>
            <w:vAlign w:val="top"/>
          </w:tcPr>
          <w:p w14:paraId="74AADAD4">
            <w:pPr>
              <w:rPr>
                <w:rFonts w:ascii="Arial"/>
                <w:sz w:val="21"/>
              </w:rPr>
            </w:pPr>
          </w:p>
        </w:tc>
        <w:tc>
          <w:tcPr>
            <w:tcW w:w="679" w:type="dxa"/>
            <w:vAlign w:val="top"/>
          </w:tcPr>
          <w:p w14:paraId="3BC58940">
            <w:pPr>
              <w:rPr>
                <w:rFonts w:ascii="Arial"/>
                <w:sz w:val="21"/>
              </w:rPr>
            </w:pPr>
          </w:p>
        </w:tc>
        <w:tc>
          <w:tcPr>
            <w:tcW w:w="681" w:type="dxa"/>
            <w:vAlign w:val="top"/>
          </w:tcPr>
          <w:p w14:paraId="5F243BAB">
            <w:pPr>
              <w:rPr>
                <w:rFonts w:ascii="Arial"/>
                <w:sz w:val="21"/>
              </w:rPr>
            </w:pPr>
          </w:p>
        </w:tc>
        <w:tc>
          <w:tcPr>
            <w:tcW w:w="679" w:type="dxa"/>
            <w:vAlign w:val="top"/>
          </w:tcPr>
          <w:p w14:paraId="2D4553A7">
            <w:pPr>
              <w:rPr>
                <w:rFonts w:ascii="Arial"/>
                <w:sz w:val="21"/>
              </w:rPr>
            </w:pPr>
          </w:p>
        </w:tc>
        <w:tc>
          <w:tcPr>
            <w:tcW w:w="679" w:type="dxa"/>
            <w:vAlign w:val="top"/>
          </w:tcPr>
          <w:p w14:paraId="26AD06F4">
            <w:pPr>
              <w:rPr>
                <w:rFonts w:ascii="Arial"/>
                <w:sz w:val="21"/>
              </w:rPr>
            </w:pPr>
          </w:p>
        </w:tc>
        <w:tc>
          <w:tcPr>
            <w:tcW w:w="681" w:type="dxa"/>
            <w:vAlign w:val="top"/>
          </w:tcPr>
          <w:p w14:paraId="10E806FF">
            <w:pPr>
              <w:rPr>
                <w:rFonts w:ascii="Arial"/>
                <w:sz w:val="21"/>
              </w:rPr>
            </w:pPr>
          </w:p>
        </w:tc>
        <w:tc>
          <w:tcPr>
            <w:tcW w:w="679" w:type="dxa"/>
            <w:vAlign w:val="top"/>
          </w:tcPr>
          <w:p w14:paraId="1B4A5106">
            <w:pPr>
              <w:rPr>
                <w:rFonts w:ascii="Arial"/>
                <w:sz w:val="21"/>
              </w:rPr>
            </w:pPr>
          </w:p>
        </w:tc>
        <w:tc>
          <w:tcPr>
            <w:tcW w:w="679" w:type="dxa"/>
            <w:vAlign w:val="top"/>
          </w:tcPr>
          <w:p w14:paraId="43010D4F">
            <w:pPr>
              <w:rPr>
                <w:rFonts w:ascii="Arial"/>
                <w:sz w:val="21"/>
              </w:rPr>
            </w:pPr>
          </w:p>
        </w:tc>
        <w:tc>
          <w:tcPr>
            <w:tcW w:w="682" w:type="dxa"/>
            <w:vAlign w:val="top"/>
          </w:tcPr>
          <w:p w14:paraId="0A58A485">
            <w:pPr>
              <w:rPr>
                <w:rFonts w:ascii="Arial"/>
                <w:sz w:val="21"/>
              </w:rPr>
            </w:pPr>
          </w:p>
        </w:tc>
        <w:tc>
          <w:tcPr>
            <w:tcW w:w="1060" w:type="dxa"/>
            <w:vAlign w:val="top"/>
          </w:tcPr>
          <w:p w14:paraId="155F6024">
            <w:pPr>
              <w:rPr>
                <w:rFonts w:ascii="Arial"/>
                <w:sz w:val="21"/>
              </w:rPr>
            </w:pPr>
          </w:p>
        </w:tc>
      </w:tr>
      <w:tr w14:paraId="43F9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0006E667">
            <w:pPr>
              <w:pStyle w:val="11"/>
              <w:spacing w:before="180" w:line="242" w:lineRule="auto"/>
              <w:ind w:left="231"/>
            </w:pPr>
            <w:r>
              <w:t>2</w:t>
            </w:r>
          </w:p>
        </w:tc>
        <w:tc>
          <w:tcPr>
            <w:tcW w:w="1168" w:type="dxa"/>
            <w:vAlign w:val="top"/>
          </w:tcPr>
          <w:p w14:paraId="04D48FEE">
            <w:pPr>
              <w:rPr>
                <w:rFonts w:ascii="Arial"/>
                <w:sz w:val="21"/>
              </w:rPr>
            </w:pPr>
          </w:p>
        </w:tc>
        <w:tc>
          <w:tcPr>
            <w:tcW w:w="679" w:type="dxa"/>
            <w:vAlign w:val="top"/>
          </w:tcPr>
          <w:p w14:paraId="35F288B2">
            <w:pPr>
              <w:rPr>
                <w:rFonts w:ascii="Arial"/>
                <w:sz w:val="21"/>
              </w:rPr>
            </w:pPr>
          </w:p>
        </w:tc>
        <w:tc>
          <w:tcPr>
            <w:tcW w:w="679" w:type="dxa"/>
            <w:vAlign w:val="top"/>
          </w:tcPr>
          <w:p w14:paraId="5F06B1A3">
            <w:pPr>
              <w:rPr>
                <w:rFonts w:ascii="Arial"/>
                <w:sz w:val="21"/>
              </w:rPr>
            </w:pPr>
          </w:p>
        </w:tc>
        <w:tc>
          <w:tcPr>
            <w:tcW w:w="681" w:type="dxa"/>
            <w:vAlign w:val="top"/>
          </w:tcPr>
          <w:p w14:paraId="073A4F77">
            <w:pPr>
              <w:rPr>
                <w:rFonts w:ascii="Arial"/>
                <w:sz w:val="21"/>
              </w:rPr>
            </w:pPr>
          </w:p>
        </w:tc>
        <w:tc>
          <w:tcPr>
            <w:tcW w:w="679" w:type="dxa"/>
            <w:vAlign w:val="top"/>
          </w:tcPr>
          <w:p w14:paraId="6641906C">
            <w:pPr>
              <w:rPr>
                <w:rFonts w:ascii="Arial"/>
                <w:sz w:val="21"/>
              </w:rPr>
            </w:pPr>
          </w:p>
        </w:tc>
        <w:tc>
          <w:tcPr>
            <w:tcW w:w="679" w:type="dxa"/>
            <w:vAlign w:val="top"/>
          </w:tcPr>
          <w:p w14:paraId="2E2470E4">
            <w:pPr>
              <w:rPr>
                <w:rFonts w:ascii="Arial"/>
                <w:sz w:val="21"/>
              </w:rPr>
            </w:pPr>
          </w:p>
        </w:tc>
        <w:tc>
          <w:tcPr>
            <w:tcW w:w="681" w:type="dxa"/>
            <w:vAlign w:val="top"/>
          </w:tcPr>
          <w:p w14:paraId="0014062D">
            <w:pPr>
              <w:rPr>
                <w:rFonts w:ascii="Arial"/>
                <w:sz w:val="21"/>
              </w:rPr>
            </w:pPr>
          </w:p>
        </w:tc>
        <w:tc>
          <w:tcPr>
            <w:tcW w:w="679" w:type="dxa"/>
            <w:vAlign w:val="top"/>
          </w:tcPr>
          <w:p w14:paraId="1E29CA47">
            <w:pPr>
              <w:rPr>
                <w:rFonts w:ascii="Arial"/>
                <w:sz w:val="21"/>
              </w:rPr>
            </w:pPr>
          </w:p>
        </w:tc>
        <w:tc>
          <w:tcPr>
            <w:tcW w:w="679" w:type="dxa"/>
            <w:vAlign w:val="top"/>
          </w:tcPr>
          <w:p w14:paraId="111B95B4">
            <w:pPr>
              <w:rPr>
                <w:rFonts w:ascii="Arial"/>
                <w:sz w:val="21"/>
              </w:rPr>
            </w:pPr>
          </w:p>
        </w:tc>
        <w:tc>
          <w:tcPr>
            <w:tcW w:w="682" w:type="dxa"/>
            <w:vAlign w:val="top"/>
          </w:tcPr>
          <w:p w14:paraId="713EAAD4">
            <w:pPr>
              <w:rPr>
                <w:rFonts w:ascii="Arial"/>
                <w:sz w:val="21"/>
              </w:rPr>
            </w:pPr>
          </w:p>
        </w:tc>
        <w:tc>
          <w:tcPr>
            <w:tcW w:w="1060" w:type="dxa"/>
            <w:vAlign w:val="top"/>
          </w:tcPr>
          <w:p w14:paraId="743538BB">
            <w:pPr>
              <w:rPr>
                <w:rFonts w:ascii="Arial"/>
                <w:sz w:val="21"/>
              </w:rPr>
            </w:pPr>
          </w:p>
        </w:tc>
      </w:tr>
      <w:tr w14:paraId="17903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76A7939A">
            <w:pPr>
              <w:pStyle w:val="11"/>
              <w:spacing w:before="180" w:line="241" w:lineRule="auto"/>
              <w:ind w:left="233"/>
            </w:pPr>
            <w:r>
              <w:t>3</w:t>
            </w:r>
          </w:p>
        </w:tc>
        <w:tc>
          <w:tcPr>
            <w:tcW w:w="1168" w:type="dxa"/>
            <w:vAlign w:val="top"/>
          </w:tcPr>
          <w:p w14:paraId="056B83FE">
            <w:pPr>
              <w:rPr>
                <w:rFonts w:ascii="Arial"/>
                <w:sz w:val="21"/>
              </w:rPr>
            </w:pPr>
          </w:p>
        </w:tc>
        <w:tc>
          <w:tcPr>
            <w:tcW w:w="679" w:type="dxa"/>
            <w:vAlign w:val="top"/>
          </w:tcPr>
          <w:p w14:paraId="39F71E85">
            <w:pPr>
              <w:rPr>
                <w:rFonts w:ascii="Arial"/>
                <w:sz w:val="21"/>
              </w:rPr>
            </w:pPr>
          </w:p>
        </w:tc>
        <w:tc>
          <w:tcPr>
            <w:tcW w:w="679" w:type="dxa"/>
            <w:vAlign w:val="top"/>
          </w:tcPr>
          <w:p w14:paraId="0145AAD1">
            <w:pPr>
              <w:rPr>
                <w:rFonts w:ascii="Arial"/>
                <w:sz w:val="21"/>
              </w:rPr>
            </w:pPr>
          </w:p>
        </w:tc>
        <w:tc>
          <w:tcPr>
            <w:tcW w:w="681" w:type="dxa"/>
            <w:vAlign w:val="top"/>
          </w:tcPr>
          <w:p w14:paraId="3B576AEC">
            <w:pPr>
              <w:rPr>
                <w:rFonts w:ascii="Arial"/>
                <w:sz w:val="21"/>
              </w:rPr>
            </w:pPr>
          </w:p>
        </w:tc>
        <w:tc>
          <w:tcPr>
            <w:tcW w:w="679" w:type="dxa"/>
            <w:vAlign w:val="top"/>
          </w:tcPr>
          <w:p w14:paraId="7D1E3C9D">
            <w:pPr>
              <w:rPr>
                <w:rFonts w:ascii="Arial"/>
                <w:sz w:val="21"/>
              </w:rPr>
            </w:pPr>
          </w:p>
        </w:tc>
        <w:tc>
          <w:tcPr>
            <w:tcW w:w="679" w:type="dxa"/>
            <w:vAlign w:val="top"/>
          </w:tcPr>
          <w:p w14:paraId="3784A79B">
            <w:pPr>
              <w:rPr>
                <w:rFonts w:ascii="Arial"/>
                <w:sz w:val="21"/>
              </w:rPr>
            </w:pPr>
          </w:p>
        </w:tc>
        <w:tc>
          <w:tcPr>
            <w:tcW w:w="681" w:type="dxa"/>
            <w:vAlign w:val="top"/>
          </w:tcPr>
          <w:p w14:paraId="1C516605">
            <w:pPr>
              <w:rPr>
                <w:rFonts w:ascii="Arial"/>
                <w:sz w:val="21"/>
              </w:rPr>
            </w:pPr>
          </w:p>
        </w:tc>
        <w:tc>
          <w:tcPr>
            <w:tcW w:w="679" w:type="dxa"/>
            <w:vAlign w:val="top"/>
          </w:tcPr>
          <w:p w14:paraId="2E082D6A">
            <w:pPr>
              <w:rPr>
                <w:rFonts w:ascii="Arial"/>
                <w:sz w:val="21"/>
              </w:rPr>
            </w:pPr>
          </w:p>
        </w:tc>
        <w:tc>
          <w:tcPr>
            <w:tcW w:w="679" w:type="dxa"/>
            <w:vAlign w:val="top"/>
          </w:tcPr>
          <w:p w14:paraId="467C7600">
            <w:pPr>
              <w:rPr>
                <w:rFonts w:ascii="Arial"/>
                <w:sz w:val="21"/>
              </w:rPr>
            </w:pPr>
          </w:p>
        </w:tc>
        <w:tc>
          <w:tcPr>
            <w:tcW w:w="682" w:type="dxa"/>
            <w:vAlign w:val="top"/>
          </w:tcPr>
          <w:p w14:paraId="0879E69D">
            <w:pPr>
              <w:rPr>
                <w:rFonts w:ascii="Arial"/>
                <w:sz w:val="21"/>
              </w:rPr>
            </w:pPr>
          </w:p>
        </w:tc>
        <w:tc>
          <w:tcPr>
            <w:tcW w:w="1060" w:type="dxa"/>
            <w:vAlign w:val="top"/>
          </w:tcPr>
          <w:p w14:paraId="6665BEF9">
            <w:pPr>
              <w:rPr>
                <w:rFonts w:ascii="Arial"/>
                <w:sz w:val="21"/>
              </w:rPr>
            </w:pPr>
          </w:p>
        </w:tc>
      </w:tr>
      <w:tr w14:paraId="57138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5A73E68F">
            <w:pPr>
              <w:pStyle w:val="11"/>
              <w:spacing w:before="178" w:line="242" w:lineRule="auto"/>
              <w:ind w:left="227"/>
            </w:pPr>
            <w:r>
              <w:t>4</w:t>
            </w:r>
          </w:p>
        </w:tc>
        <w:tc>
          <w:tcPr>
            <w:tcW w:w="1168" w:type="dxa"/>
            <w:vAlign w:val="top"/>
          </w:tcPr>
          <w:p w14:paraId="2CA58D52">
            <w:pPr>
              <w:rPr>
                <w:rFonts w:ascii="Arial"/>
                <w:sz w:val="21"/>
              </w:rPr>
            </w:pPr>
          </w:p>
        </w:tc>
        <w:tc>
          <w:tcPr>
            <w:tcW w:w="679" w:type="dxa"/>
            <w:vAlign w:val="top"/>
          </w:tcPr>
          <w:p w14:paraId="3C1B74C4">
            <w:pPr>
              <w:rPr>
                <w:rFonts w:ascii="Arial"/>
                <w:sz w:val="21"/>
              </w:rPr>
            </w:pPr>
          </w:p>
        </w:tc>
        <w:tc>
          <w:tcPr>
            <w:tcW w:w="679" w:type="dxa"/>
            <w:vAlign w:val="top"/>
          </w:tcPr>
          <w:p w14:paraId="1F71A8D4">
            <w:pPr>
              <w:rPr>
                <w:rFonts w:ascii="Arial"/>
                <w:sz w:val="21"/>
              </w:rPr>
            </w:pPr>
          </w:p>
        </w:tc>
        <w:tc>
          <w:tcPr>
            <w:tcW w:w="681" w:type="dxa"/>
            <w:vAlign w:val="top"/>
          </w:tcPr>
          <w:p w14:paraId="35A10650">
            <w:pPr>
              <w:rPr>
                <w:rFonts w:ascii="Arial"/>
                <w:sz w:val="21"/>
              </w:rPr>
            </w:pPr>
          </w:p>
        </w:tc>
        <w:tc>
          <w:tcPr>
            <w:tcW w:w="679" w:type="dxa"/>
            <w:vAlign w:val="top"/>
          </w:tcPr>
          <w:p w14:paraId="1BB2D828">
            <w:pPr>
              <w:rPr>
                <w:rFonts w:ascii="Arial"/>
                <w:sz w:val="21"/>
              </w:rPr>
            </w:pPr>
          </w:p>
        </w:tc>
        <w:tc>
          <w:tcPr>
            <w:tcW w:w="679" w:type="dxa"/>
            <w:vAlign w:val="top"/>
          </w:tcPr>
          <w:p w14:paraId="4775E442">
            <w:pPr>
              <w:rPr>
                <w:rFonts w:ascii="Arial"/>
                <w:sz w:val="21"/>
              </w:rPr>
            </w:pPr>
          </w:p>
        </w:tc>
        <w:tc>
          <w:tcPr>
            <w:tcW w:w="681" w:type="dxa"/>
            <w:vAlign w:val="top"/>
          </w:tcPr>
          <w:p w14:paraId="4C6ACD94">
            <w:pPr>
              <w:rPr>
                <w:rFonts w:ascii="Arial"/>
                <w:sz w:val="21"/>
              </w:rPr>
            </w:pPr>
          </w:p>
        </w:tc>
        <w:tc>
          <w:tcPr>
            <w:tcW w:w="679" w:type="dxa"/>
            <w:vAlign w:val="top"/>
          </w:tcPr>
          <w:p w14:paraId="5DFDABC2">
            <w:pPr>
              <w:rPr>
                <w:rFonts w:ascii="Arial"/>
                <w:sz w:val="21"/>
              </w:rPr>
            </w:pPr>
          </w:p>
        </w:tc>
        <w:tc>
          <w:tcPr>
            <w:tcW w:w="679" w:type="dxa"/>
            <w:vAlign w:val="top"/>
          </w:tcPr>
          <w:p w14:paraId="5CD41D01">
            <w:pPr>
              <w:rPr>
                <w:rFonts w:ascii="Arial"/>
                <w:sz w:val="21"/>
              </w:rPr>
            </w:pPr>
          </w:p>
        </w:tc>
        <w:tc>
          <w:tcPr>
            <w:tcW w:w="682" w:type="dxa"/>
            <w:vAlign w:val="top"/>
          </w:tcPr>
          <w:p w14:paraId="456E5DFD">
            <w:pPr>
              <w:rPr>
                <w:rFonts w:ascii="Arial"/>
                <w:sz w:val="21"/>
              </w:rPr>
            </w:pPr>
          </w:p>
        </w:tc>
        <w:tc>
          <w:tcPr>
            <w:tcW w:w="1060" w:type="dxa"/>
            <w:vAlign w:val="top"/>
          </w:tcPr>
          <w:p w14:paraId="4EF84ACE">
            <w:pPr>
              <w:rPr>
                <w:rFonts w:ascii="Arial"/>
                <w:sz w:val="21"/>
              </w:rPr>
            </w:pPr>
          </w:p>
        </w:tc>
      </w:tr>
      <w:tr w14:paraId="51B6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21FB61D8">
            <w:pPr>
              <w:pStyle w:val="11"/>
              <w:spacing w:before="180" w:line="241" w:lineRule="auto"/>
              <w:ind w:left="233"/>
            </w:pPr>
            <w:r>
              <w:t>5</w:t>
            </w:r>
          </w:p>
        </w:tc>
        <w:tc>
          <w:tcPr>
            <w:tcW w:w="1168" w:type="dxa"/>
            <w:vAlign w:val="top"/>
          </w:tcPr>
          <w:p w14:paraId="230C0114">
            <w:pPr>
              <w:rPr>
                <w:rFonts w:ascii="Arial"/>
                <w:sz w:val="21"/>
              </w:rPr>
            </w:pPr>
          </w:p>
        </w:tc>
        <w:tc>
          <w:tcPr>
            <w:tcW w:w="679" w:type="dxa"/>
            <w:vAlign w:val="top"/>
          </w:tcPr>
          <w:p w14:paraId="4FD19CEA">
            <w:pPr>
              <w:rPr>
                <w:rFonts w:ascii="Arial"/>
                <w:sz w:val="21"/>
              </w:rPr>
            </w:pPr>
          </w:p>
        </w:tc>
        <w:tc>
          <w:tcPr>
            <w:tcW w:w="679" w:type="dxa"/>
            <w:vAlign w:val="top"/>
          </w:tcPr>
          <w:p w14:paraId="1E009437">
            <w:pPr>
              <w:rPr>
                <w:rFonts w:ascii="Arial"/>
                <w:sz w:val="21"/>
              </w:rPr>
            </w:pPr>
          </w:p>
        </w:tc>
        <w:tc>
          <w:tcPr>
            <w:tcW w:w="681" w:type="dxa"/>
            <w:vAlign w:val="top"/>
          </w:tcPr>
          <w:p w14:paraId="02AD8B9D">
            <w:pPr>
              <w:rPr>
                <w:rFonts w:ascii="Arial"/>
                <w:sz w:val="21"/>
              </w:rPr>
            </w:pPr>
          </w:p>
        </w:tc>
        <w:tc>
          <w:tcPr>
            <w:tcW w:w="679" w:type="dxa"/>
            <w:vAlign w:val="top"/>
          </w:tcPr>
          <w:p w14:paraId="65087DF3">
            <w:pPr>
              <w:rPr>
                <w:rFonts w:ascii="Arial"/>
                <w:sz w:val="21"/>
              </w:rPr>
            </w:pPr>
          </w:p>
        </w:tc>
        <w:tc>
          <w:tcPr>
            <w:tcW w:w="679" w:type="dxa"/>
            <w:vAlign w:val="top"/>
          </w:tcPr>
          <w:p w14:paraId="5C41044B">
            <w:pPr>
              <w:rPr>
                <w:rFonts w:ascii="Arial"/>
                <w:sz w:val="21"/>
              </w:rPr>
            </w:pPr>
          </w:p>
        </w:tc>
        <w:tc>
          <w:tcPr>
            <w:tcW w:w="681" w:type="dxa"/>
            <w:vAlign w:val="top"/>
          </w:tcPr>
          <w:p w14:paraId="4701679E">
            <w:pPr>
              <w:rPr>
                <w:rFonts w:ascii="Arial"/>
                <w:sz w:val="21"/>
              </w:rPr>
            </w:pPr>
          </w:p>
        </w:tc>
        <w:tc>
          <w:tcPr>
            <w:tcW w:w="679" w:type="dxa"/>
            <w:vAlign w:val="top"/>
          </w:tcPr>
          <w:p w14:paraId="14C22460">
            <w:pPr>
              <w:rPr>
                <w:rFonts w:ascii="Arial"/>
                <w:sz w:val="21"/>
              </w:rPr>
            </w:pPr>
          </w:p>
        </w:tc>
        <w:tc>
          <w:tcPr>
            <w:tcW w:w="679" w:type="dxa"/>
            <w:vAlign w:val="top"/>
          </w:tcPr>
          <w:p w14:paraId="7C8DD407">
            <w:pPr>
              <w:rPr>
                <w:rFonts w:ascii="Arial"/>
                <w:sz w:val="21"/>
              </w:rPr>
            </w:pPr>
          </w:p>
        </w:tc>
        <w:tc>
          <w:tcPr>
            <w:tcW w:w="682" w:type="dxa"/>
            <w:vAlign w:val="top"/>
          </w:tcPr>
          <w:p w14:paraId="75AACDC1">
            <w:pPr>
              <w:rPr>
                <w:rFonts w:ascii="Arial"/>
                <w:sz w:val="21"/>
              </w:rPr>
            </w:pPr>
          </w:p>
        </w:tc>
        <w:tc>
          <w:tcPr>
            <w:tcW w:w="1060" w:type="dxa"/>
            <w:vAlign w:val="top"/>
          </w:tcPr>
          <w:p w14:paraId="35E5FD8C">
            <w:pPr>
              <w:rPr>
                <w:rFonts w:ascii="Arial"/>
                <w:sz w:val="21"/>
              </w:rPr>
            </w:pPr>
          </w:p>
        </w:tc>
      </w:tr>
      <w:tr w14:paraId="2016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1BADD81D">
            <w:pPr>
              <w:pStyle w:val="11"/>
              <w:spacing w:before="178" w:line="241" w:lineRule="auto"/>
              <w:ind w:left="230"/>
            </w:pPr>
            <w:r>
              <w:t>6</w:t>
            </w:r>
          </w:p>
        </w:tc>
        <w:tc>
          <w:tcPr>
            <w:tcW w:w="1168" w:type="dxa"/>
            <w:vAlign w:val="top"/>
          </w:tcPr>
          <w:p w14:paraId="4F6A9B71">
            <w:pPr>
              <w:rPr>
                <w:rFonts w:ascii="Arial"/>
                <w:sz w:val="21"/>
              </w:rPr>
            </w:pPr>
          </w:p>
        </w:tc>
        <w:tc>
          <w:tcPr>
            <w:tcW w:w="679" w:type="dxa"/>
            <w:vAlign w:val="top"/>
          </w:tcPr>
          <w:p w14:paraId="23E5B105">
            <w:pPr>
              <w:rPr>
                <w:rFonts w:ascii="Arial"/>
                <w:sz w:val="21"/>
              </w:rPr>
            </w:pPr>
          </w:p>
        </w:tc>
        <w:tc>
          <w:tcPr>
            <w:tcW w:w="679" w:type="dxa"/>
            <w:vAlign w:val="top"/>
          </w:tcPr>
          <w:p w14:paraId="71F0B490">
            <w:pPr>
              <w:rPr>
                <w:rFonts w:ascii="Arial"/>
                <w:sz w:val="21"/>
              </w:rPr>
            </w:pPr>
          </w:p>
        </w:tc>
        <w:tc>
          <w:tcPr>
            <w:tcW w:w="681" w:type="dxa"/>
            <w:vAlign w:val="top"/>
          </w:tcPr>
          <w:p w14:paraId="0274413A">
            <w:pPr>
              <w:rPr>
                <w:rFonts w:ascii="Arial"/>
                <w:sz w:val="21"/>
              </w:rPr>
            </w:pPr>
          </w:p>
        </w:tc>
        <w:tc>
          <w:tcPr>
            <w:tcW w:w="679" w:type="dxa"/>
            <w:vAlign w:val="top"/>
          </w:tcPr>
          <w:p w14:paraId="6BFDBE19">
            <w:pPr>
              <w:rPr>
                <w:rFonts w:ascii="Arial"/>
                <w:sz w:val="21"/>
              </w:rPr>
            </w:pPr>
          </w:p>
        </w:tc>
        <w:tc>
          <w:tcPr>
            <w:tcW w:w="679" w:type="dxa"/>
            <w:vAlign w:val="top"/>
          </w:tcPr>
          <w:p w14:paraId="5BEA66D1">
            <w:pPr>
              <w:rPr>
                <w:rFonts w:ascii="Arial"/>
                <w:sz w:val="21"/>
              </w:rPr>
            </w:pPr>
          </w:p>
        </w:tc>
        <w:tc>
          <w:tcPr>
            <w:tcW w:w="681" w:type="dxa"/>
            <w:vAlign w:val="top"/>
          </w:tcPr>
          <w:p w14:paraId="32EFA5B3">
            <w:pPr>
              <w:rPr>
                <w:rFonts w:ascii="Arial"/>
                <w:sz w:val="21"/>
              </w:rPr>
            </w:pPr>
          </w:p>
        </w:tc>
        <w:tc>
          <w:tcPr>
            <w:tcW w:w="679" w:type="dxa"/>
            <w:vAlign w:val="top"/>
          </w:tcPr>
          <w:p w14:paraId="757F5E76">
            <w:pPr>
              <w:rPr>
                <w:rFonts w:ascii="Arial"/>
                <w:sz w:val="21"/>
              </w:rPr>
            </w:pPr>
          </w:p>
        </w:tc>
        <w:tc>
          <w:tcPr>
            <w:tcW w:w="679" w:type="dxa"/>
            <w:vAlign w:val="top"/>
          </w:tcPr>
          <w:p w14:paraId="6380BF37">
            <w:pPr>
              <w:rPr>
                <w:rFonts w:ascii="Arial"/>
                <w:sz w:val="21"/>
              </w:rPr>
            </w:pPr>
          </w:p>
        </w:tc>
        <w:tc>
          <w:tcPr>
            <w:tcW w:w="682" w:type="dxa"/>
            <w:vAlign w:val="top"/>
          </w:tcPr>
          <w:p w14:paraId="61BFA65B">
            <w:pPr>
              <w:rPr>
                <w:rFonts w:ascii="Arial"/>
                <w:sz w:val="21"/>
              </w:rPr>
            </w:pPr>
          </w:p>
        </w:tc>
        <w:tc>
          <w:tcPr>
            <w:tcW w:w="1060" w:type="dxa"/>
            <w:vAlign w:val="top"/>
          </w:tcPr>
          <w:p w14:paraId="2810F6C1">
            <w:pPr>
              <w:rPr>
                <w:rFonts w:ascii="Arial"/>
                <w:sz w:val="21"/>
              </w:rPr>
            </w:pPr>
          </w:p>
        </w:tc>
      </w:tr>
      <w:tr w14:paraId="456A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6B6E3081">
            <w:pPr>
              <w:pStyle w:val="11"/>
              <w:spacing w:before="181" w:line="332" w:lineRule="exact"/>
              <w:ind w:left="189"/>
            </w:pPr>
            <w:r>
              <w:rPr>
                <w:position w:val="2"/>
              </w:rPr>
              <w:t>…</w:t>
            </w:r>
          </w:p>
        </w:tc>
        <w:tc>
          <w:tcPr>
            <w:tcW w:w="1168" w:type="dxa"/>
            <w:vAlign w:val="top"/>
          </w:tcPr>
          <w:p w14:paraId="6A278BA7">
            <w:pPr>
              <w:rPr>
                <w:rFonts w:ascii="Arial"/>
                <w:sz w:val="21"/>
              </w:rPr>
            </w:pPr>
          </w:p>
        </w:tc>
        <w:tc>
          <w:tcPr>
            <w:tcW w:w="679" w:type="dxa"/>
            <w:vAlign w:val="top"/>
          </w:tcPr>
          <w:p w14:paraId="130DE227">
            <w:pPr>
              <w:rPr>
                <w:rFonts w:ascii="Arial"/>
                <w:sz w:val="21"/>
              </w:rPr>
            </w:pPr>
          </w:p>
        </w:tc>
        <w:tc>
          <w:tcPr>
            <w:tcW w:w="679" w:type="dxa"/>
            <w:vAlign w:val="top"/>
          </w:tcPr>
          <w:p w14:paraId="749A740C">
            <w:pPr>
              <w:rPr>
                <w:rFonts w:ascii="Arial"/>
                <w:sz w:val="21"/>
              </w:rPr>
            </w:pPr>
          </w:p>
        </w:tc>
        <w:tc>
          <w:tcPr>
            <w:tcW w:w="681" w:type="dxa"/>
            <w:vAlign w:val="top"/>
          </w:tcPr>
          <w:p w14:paraId="65CD03BD">
            <w:pPr>
              <w:rPr>
                <w:rFonts w:ascii="Arial"/>
                <w:sz w:val="21"/>
              </w:rPr>
            </w:pPr>
          </w:p>
        </w:tc>
        <w:tc>
          <w:tcPr>
            <w:tcW w:w="679" w:type="dxa"/>
            <w:vAlign w:val="top"/>
          </w:tcPr>
          <w:p w14:paraId="247D7171">
            <w:pPr>
              <w:rPr>
                <w:rFonts w:ascii="Arial"/>
                <w:sz w:val="21"/>
              </w:rPr>
            </w:pPr>
          </w:p>
        </w:tc>
        <w:tc>
          <w:tcPr>
            <w:tcW w:w="679" w:type="dxa"/>
            <w:vAlign w:val="top"/>
          </w:tcPr>
          <w:p w14:paraId="24EFAD5C">
            <w:pPr>
              <w:rPr>
                <w:rFonts w:ascii="Arial"/>
                <w:sz w:val="21"/>
              </w:rPr>
            </w:pPr>
          </w:p>
        </w:tc>
        <w:tc>
          <w:tcPr>
            <w:tcW w:w="681" w:type="dxa"/>
            <w:vAlign w:val="top"/>
          </w:tcPr>
          <w:p w14:paraId="63508BC2">
            <w:pPr>
              <w:rPr>
                <w:rFonts w:ascii="Arial"/>
                <w:sz w:val="21"/>
              </w:rPr>
            </w:pPr>
          </w:p>
        </w:tc>
        <w:tc>
          <w:tcPr>
            <w:tcW w:w="679" w:type="dxa"/>
            <w:vAlign w:val="top"/>
          </w:tcPr>
          <w:p w14:paraId="5AC4BCA8">
            <w:pPr>
              <w:rPr>
                <w:rFonts w:ascii="Arial"/>
                <w:sz w:val="21"/>
              </w:rPr>
            </w:pPr>
          </w:p>
        </w:tc>
        <w:tc>
          <w:tcPr>
            <w:tcW w:w="679" w:type="dxa"/>
            <w:vAlign w:val="top"/>
          </w:tcPr>
          <w:p w14:paraId="4F1B7FC2">
            <w:pPr>
              <w:rPr>
                <w:rFonts w:ascii="Arial"/>
                <w:sz w:val="21"/>
              </w:rPr>
            </w:pPr>
          </w:p>
        </w:tc>
        <w:tc>
          <w:tcPr>
            <w:tcW w:w="682" w:type="dxa"/>
            <w:vAlign w:val="top"/>
          </w:tcPr>
          <w:p w14:paraId="50F624F5">
            <w:pPr>
              <w:rPr>
                <w:rFonts w:ascii="Arial"/>
                <w:sz w:val="21"/>
              </w:rPr>
            </w:pPr>
          </w:p>
        </w:tc>
        <w:tc>
          <w:tcPr>
            <w:tcW w:w="1060" w:type="dxa"/>
            <w:vAlign w:val="top"/>
          </w:tcPr>
          <w:p w14:paraId="3A69CCF5">
            <w:pPr>
              <w:rPr>
                <w:rFonts w:ascii="Arial"/>
                <w:sz w:val="21"/>
              </w:rPr>
            </w:pPr>
          </w:p>
        </w:tc>
      </w:tr>
      <w:tr w14:paraId="6315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8898" w:type="dxa"/>
            <w:gridSpan w:val="12"/>
            <w:vAlign w:val="top"/>
          </w:tcPr>
          <w:p w14:paraId="755BE76F">
            <w:pPr>
              <w:spacing w:line="282" w:lineRule="auto"/>
              <w:rPr>
                <w:rFonts w:ascii="Arial"/>
                <w:sz w:val="21"/>
              </w:rPr>
            </w:pPr>
          </w:p>
          <w:p w14:paraId="3EBD151B">
            <w:pPr>
              <w:pStyle w:val="11"/>
              <w:spacing w:before="68" w:line="220" w:lineRule="auto"/>
              <w:ind w:left="115"/>
            </w:pPr>
            <w:r>
              <w:rPr>
                <w:spacing w:val="-1"/>
              </w:rPr>
              <w:t>评标委员会全体成员签名：</w:t>
            </w:r>
          </w:p>
        </w:tc>
      </w:tr>
    </w:tbl>
    <w:p w14:paraId="25F5FB7C">
      <w:pPr>
        <w:spacing w:before="140" w:line="221" w:lineRule="auto"/>
        <w:ind w:right="35"/>
        <w:jc w:val="right"/>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5BC7AED3">
      <w:pPr>
        <w:spacing w:line="221" w:lineRule="auto"/>
        <w:rPr>
          <w:rFonts w:ascii="宋体" w:hAnsi="宋体" w:eastAsia="宋体" w:cs="宋体"/>
          <w:sz w:val="21"/>
          <w:szCs w:val="21"/>
        </w:rPr>
        <w:sectPr>
          <w:footerReference r:id="rId69" w:type="default"/>
          <w:pgSz w:w="11905" w:h="16843"/>
          <w:pgMar w:top="969" w:right="1355" w:bottom="1026" w:left="1480" w:header="0" w:footer="754" w:gutter="0"/>
          <w:cols w:space="0" w:num="1"/>
          <w:rtlGutter w:val="0"/>
          <w:docGrid w:linePitch="0" w:charSpace="0"/>
        </w:sectPr>
      </w:pPr>
    </w:p>
    <w:p w14:paraId="60E3FD4E">
      <w:pPr>
        <w:pStyle w:val="5"/>
        <w:spacing w:line="265" w:lineRule="auto"/>
      </w:pPr>
    </w:p>
    <w:p w14:paraId="04A133B3">
      <w:pPr>
        <w:pStyle w:val="5"/>
        <w:spacing w:line="265" w:lineRule="auto"/>
      </w:pPr>
    </w:p>
    <w:p w14:paraId="6CEB9148">
      <w:pPr>
        <w:pStyle w:val="5"/>
        <w:spacing w:line="266" w:lineRule="auto"/>
      </w:pPr>
    </w:p>
    <w:p w14:paraId="49094797">
      <w:pPr>
        <w:pStyle w:val="5"/>
        <w:spacing w:line="266" w:lineRule="auto"/>
      </w:pPr>
    </w:p>
    <w:p w14:paraId="5EE8D420">
      <w:pPr>
        <w:pStyle w:val="5"/>
        <w:spacing w:line="266" w:lineRule="auto"/>
      </w:pPr>
    </w:p>
    <w:p w14:paraId="04365ACC">
      <w:pPr>
        <w:spacing w:before="78" w:line="233" w:lineRule="auto"/>
        <w:ind w:left="140"/>
        <w:outlineLvl w:val="2"/>
        <w:rPr>
          <w:rFonts w:ascii="黑体" w:hAnsi="黑体" w:eastAsia="黑体" w:cs="黑体"/>
          <w:sz w:val="24"/>
          <w:szCs w:val="24"/>
        </w:rPr>
      </w:pPr>
      <w:bookmarkStart w:id="164" w:name="bookmark131"/>
      <w:bookmarkEnd w:id="164"/>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A-6</w:t>
      </w:r>
      <w:r>
        <w:rPr>
          <w:rFonts w:ascii="黑体" w:hAnsi="黑体" w:eastAsia="黑体" w:cs="黑体"/>
          <w:spacing w:val="-3"/>
          <w:sz w:val="24"/>
          <w:szCs w:val="24"/>
        </w:rPr>
        <w:t>：响应性评审记录表</w:t>
      </w:r>
    </w:p>
    <w:p w14:paraId="25138AF4">
      <w:pPr>
        <w:pStyle w:val="5"/>
        <w:spacing w:line="389" w:lineRule="auto"/>
      </w:pPr>
    </w:p>
    <w:p w14:paraId="25DAA510">
      <w:pPr>
        <w:spacing w:before="117" w:line="219" w:lineRule="auto"/>
        <w:ind w:left="3038"/>
        <w:rPr>
          <w:rFonts w:ascii="黑体" w:hAnsi="黑体" w:eastAsia="黑体" w:cs="黑体"/>
          <w:sz w:val="36"/>
          <w:szCs w:val="36"/>
        </w:rPr>
      </w:pPr>
      <w:r>
        <w:rPr>
          <w:rFonts w:ascii="黑体" w:hAnsi="黑体" w:eastAsia="黑体" w:cs="黑体"/>
          <w:spacing w:val="-4"/>
          <w:sz w:val="36"/>
          <w:szCs w:val="36"/>
        </w:rPr>
        <w:t>响应性评审记录表</w:t>
      </w:r>
    </w:p>
    <w:p w14:paraId="39AC1766">
      <w:pPr>
        <w:spacing w:before="239" w:line="221" w:lineRule="auto"/>
        <w:ind w:left="9"/>
        <w:rPr>
          <w:rFonts w:ascii="宋体" w:hAnsi="宋体" w:eastAsia="宋体" w:cs="宋体"/>
          <w:sz w:val="21"/>
          <w:szCs w:val="21"/>
        </w:rPr>
      </w:pPr>
      <w:r>
        <w:rPr>
          <w:rFonts w:ascii="宋体" w:hAnsi="宋体" w:eastAsia="宋体" w:cs="宋体"/>
          <w:spacing w:val="-7"/>
          <w:sz w:val="21"/>
          <w:szCs w:val="21"/>
        </w:rPr>
        <w:t>标段名称：</w:t>
      </w:r>
    </w:p>
    <w:p w14:paraId="6DD7DA9D">
      <w:pPr>
        <w:spacing w:before="22" w:line="212" w:lineRule="auto"/>
        <w:ind w:left="9"/>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168"/>
        <w:gridCol w:w="679"/>
        <w:gridCol w:w="679"/>
        <w:gridCol w:w="681"/>
        <w:gridCol w:w="679"/>
        <w:gridCol w:w="679"/>
        <w:gridCol w:w="681"/>
        <w:gridCol w:w="679"/>
        <w:gridCol w:w="679"/>
        <w:gridCol w:w="682"/>
        <w:gridCol w:w="1060"/>
      </w:tblGrid>
      <w:tr w14:paraId="7C45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2" w:type="dxa"/>
            <w:vMerge w:val="restart"/>
            <w:tcBorders>
              <w:bottom w:val="nil"/>
            </w:tcBorders>
            <w:textDirection w:val="tbRlV"/>
            <w:vAlign w:val="top"/>
          </w:tcPr>
          <w:p w14:paraId="2418381F">
            <w:pPr>
              <w:pStyle w:val="11"/>
              <w:spacing w:before="167" w:line="211" w:lineRule="auto"/>
              <w:ind w:left="187"/>
            </w:pPr>
            <w:r>
              <w:rPr>
                <w:spacing w:val="1"/>
              </w:rPr>
              <w:t>序</w:t>
            </w:r>
            <w:r>
              <w:rPr>
                <w:spacing w:val="-43"/>
              </w:rPr>
              <w:t xml:space="preserve"> </w:t>
            </w:r>
            <w:r>
              <w:rPr>
                <w:spacing w:val="1"/>
              </w:rPr>
              <w:t>号</w:t>
            </w:r>
          </w:p>
        </w:tc>
        <w:tc>
          <w:tcPr>
            <w:tcW w:w="1168" w:type="dxa"/>
            <w:vMerge w:val="restart"/>
            <w:tcBorders>
              <w:bottom w:val="nil"/>
            </w:tcBorders>
            <w:vAlign w:val="top"/>
          </w:tcPr>
          <w:p w14:paraId="7110D1A9">
            <w:pPr>
              <w:pStyle w:val="11"/>
              <w:spacing w:before="187" w:line="244" w:lineRule="auto"/>
              <w:ind w:left="479" w:right="162" w:hanging="311"/>
            </w:pPr>
            <w:r>
              <w:rPr>
                <w:spacing w:val="-3"/>
              </w:rPr>
              <w:t>投标人名</w:t>
            </w:r>
            <w:r>
              <w:t>称</w:t>
            </w:r>
          </w:p>
        </w:tc>
        <w:tc>
          <w:tcPr>
            <w:tcW w:w="6118" w:type="dxa"/>
            <w:gridSpan w:val="9"/>
            <w:vAlign w:val="top"/>
          </w:tcPr>
          <w:p w14:paraId="41DAB26C">
            <w:pPr>
              <w:pStyle w:val="11"/>
              <w:spacing w:before="108" w:line="221" w:lineRule="auto"/>
              <w:ind w:left="2118"/>
            </w:pPr>
            <w:r>
              <w:rPr>
                <w:spacing w:val="-1"/>
              </w:rPr>
              <w:t>评审标准及评审意见</w:t>
            </w:r>
          </w:p>
        </w:tc>
        <w:tc>
          <w:tcPr>
            <w:tcW w:w="1060" w:type="dxa"/>
            <w:vMerge w:val="restart"/>
            <w:tcBorders>
              <w:bottom w:val="nil"/>
            </w:tcBorders>
            <w:vAlign w:val="top"/>
          </w:tcPr>
          <w:p w14:paraId="01648980">
            <w:pPr>
              <w:spacing w:line="255" w:lineRule="auto"/>
              <w:rPr>
                <w:rFonts w:ascii="Arial"/>
                <w:sz w:val="21"/>
              </w:rPr>
            </w:pPr>
          </w:p>
          <w:p w14:paraId="39CC9542">
            <w:pPr>
              <w:pStyle w:val="11"/>
              <w:spacing w:before="68" w:line="221" w:lineRule="auto"/>
              <w:ind w:left="114"/>
            </w:pPr>
            <w:r>
              <w:rPr>
                <w:spacing w:val="-1"/>
              </w:rPr>
              <w:t>评审结论</w:t>
            </w:r>
          </w:p>
        </w:tc>
      </w:tr>
      <w:tr w14:paraId="38AF7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52" w:type="dxa"/>
            <w:vMerge w:val="continue"/>
            <w:tcBorders>
              <w:top w:val="nil"/>
            </w:tcBorders>
            <w:textDirection w:val="tbRlV"/>
            <w:vAlign w:val="top"/>
          </w:tcPr>
          <w:p w14:paraId="6280B8D3">
            <w:pPr>
              <w:rPr>
                <w:rFonts w:ascii="Arial"/>
                <w:sz w:val="21"/>
              </w:rPr>
            </w:pPr>
          </w:p>
        </w:tc>
        <w:tc>
          <w:tcPr>
            <w:tcW w:w="1168" w:type="dxa"/>
            <w:vMerge w:val="continue"/>
            <w:tcBorders>
              <w:top w:val="nil"/>
            </w:tcBorders>
            <w:vAlign w:val="top"/>
          </w:tcPr>
          <w:p w14:paraId="06A66C2A">
            <w:pPr>
              <w:rPr>
                <w:rFonts w:ascii="Arial"/>
                <w:sz w:val="21"/>
              </w:rPr>
            </w:pPr>
          </w:p>
        </w:tc>
        <w:tc>
          <w:tcPr>
            <w:tcW w:w="679" w:type="dxa"/>
            <w:vAlign w:val="top"/>
          </w:tcPr>
          <w:p w14:paraId="2C809E56">
            <w:pPr>
              <w:rPr>
                <w:rFonts w:ascii="Arial"/>
                <w:sz w:val="21"/>
              </w:rPr>
            </w:pPr>
          </w:p>
        </w:tc>
        <w:tc>
          <w:tcPr>
            <w:tcW w:w="679" w:type="dxa"/>
            <w:vAlign w:val="top"/>
          </w:tcPr>
          <w:p w14:paraId="2293F2D3">
            <w:pPr>
              <w:rPr>
                <w:rFonts w:ascii="Arial"/>
                <w:sz w:val="21"/>
              </w:rPr>
            </w:pPr>
          </w:p>
        </w:tc>
        <w:tc>
          <w:tcPr>
            <w:tcW w:w="681" w:type="dxa"/>
            <w:vAlign w:val="top"/>
          </w:tcPr>
          <w:p w14:paraId="157B61B3">
            <w:pPr>
              <w:rPr>
                <w:rFonts w:ascii="Arial"/>
                <w:sz w:val="21"/>
              </w:rPr>
            </w:pPr>
          </w:p>
        </w:tc>
        <w:tc>
          <w:tcPr>
            <w:tcW w:w="679" w:type="dxa"/>
            <w:vAlign w:val="top"/>
          </w:tcPr>
          <w:p w14:paraId="148F5572">
            <w:pPr>
              <w:rPr>
                <w:rFonts w:ascii="Arial"/>
                <w:sz w:val="21"/>
              </w:rPr>
            </w:pPr>
          </w:p>
        </w:tc>
        <w:tc>
          <w:tcPr>
            <w:tcW w:w="679" w:type="dxa"/>
            <w:vAlign w:val="top"/>
          </w:tcPr>
          <w:p w14:paraId="36AF4A75">
            <w:pPr>
              <w:rPr>
                <w:rFonts w:ascii="Arial"/>
                <w:sz w:val="21"/>
              </w:rPr>
            </w:pPr>
          </w:p>
        </w:tc>
        <w:tc>
          <w:tcPr>
            <w:tcW w:w="681" w:type="dxa"/>
            <w:vAlign w:val="top"/>
          </w:tcPr>
          <w:p w14:paraId="6DB57823">
            <w:pPr>
              <w:rPr>
                <w:rFonts w:ascii="Arial"/>
                <w:sz w:val="21"/>
              </w:rPr>
            </w:pPr>
          </w:p>
        </w:tc>
        <w:tc>
          <w:tcPr>
            <w:tcW w:w="679" w:type="dxa"/>
            <w:vAlign w:val="top"/>
          </w:tcPr>
          <w:p w14:paraId="1A29B555">
            <w:pPr>
              <w:rPr>
                <w:rFonts w:ascii="Arial"/>
                <w:sz w:val="21"/>
              </w:rPr>
            </w:pPr>
          </w:p>
        </w:tc>
        <w:tc>
          <w:tcPr>
            <w:tcW w:w="679" w:type="dxa"/>
            <w:vAlign w:val="top"/>
          </w:tcPr>
          <w:p w14:paraId="6E4A22C5">
            <w:pPr>
              <w:rPr>
                <w:rFonts w:ascii="Arial"/>
                <w:sz w:val="21"/>
              </w:rPr>
            </w:pPr>
          </w:p>
        </w:tc>
        <w:tc>
          <w:tcPr>
            <w:tcW w:w="682" w:type="dxa"/>
            <w:vAlign w:val="top"/>
          </w:tcPr>
          <w:p w14:paraId="3CF939D5">
            <w:pPr>
              <w:rPr>
                <w:rFonts w:ascii="Arial"/>
                <w:sz w:val="21"/>
              </w:rPr>
            </w:pPr>
          </w:p>
        </w:tc>
        <w:tc>
          <w:tcPr>
            <w:tcW w:w="1060" w:type="dxa"/>
            <w:vMerge w:val="continue"/>
            <w:tcBorders>
              <w:top w:val="nil"/>
            </w:tcBorders>
            <w:vAlign w:val="top"/>
          </w:tcPr>
          <w:p w14:paraId="32724F84">
            <w:pPr>
              <w:rPr>
                <w:rFonts w:ascii="Arial"/>
                <w:sz w:val="21"/>
              </w:rPr>
            </w:pPr>
          </w:p>
        </w:tc>
      </w:tr>
      <w:tr w14:paraId="6D29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418C264D">
            <w:pPr>
              <w:pStyle w:val="11"/>
              <w:spacing w:before="177" w:line="242" w:lineRule="auto"/>
              <w:ind w:left="244"/>
            </w:pPr>
            <w:r>
              <w:t>1</w:t>
            </w:r>
          </w:p>
        </w:tc>
        <w:tc>
          <w:tcPr>
            <w:tcW w:w="1168" w:type="dxa"/>
            <w:vAlign w:val="top"/>
          </w:tcPr>
          <w:p w14:paraId="46BC2C84">
            <w:pPr>
              <w:rPr>
                <w:rFonts w:ascii="Arial"/>
                <w:sz w:val="21"/>
              </w:rPr>
            </w:pPr>
          </w:p>
        </w:tc>
        <w:tc>
          <w:tcPr>
            <w:tcW w:w="679" w:type="dxa"/>
            <w:vAlign w:val="top"/>
          </w:tcPr>
          <w:p w14:paraId="1DF02E79">
            <w:pPr>
              <w:rPr>
                <w:rFonts w:ascii="Arial"/>
                <w:sz w:val="21"/>
              </w:rPr>
            </w:pPr>
          </w:p>
        </w:tc>
        <w:tc>
          <w:tcPr>
            <w:tcW w:w="679" w:type="dxa"/>
            <w:vAlign w:val="top"/>
          </w:tcPr>
          <w:p w14:paraId="01E500A8">
            <w:pPr>
              <w:rPr>
                <w:rFonts w:ascii="Arial"/>
                <w:sz w:val="21"/>
              </w:rPr>
            </w:pPr>
          </w:p>
        </w:tc>
        <w:tc>
          <w:tcPr>
            <w:tcW w:w="681" w:type="dxa"/>
            <w:vAlign w:val="top"/>
          </w:tcPr>
          <w:p w14:paraId="5531D30A">
            <w:pPr>
              <w:rPr>
                <w:rFonts w:ascii="Arial"/>
                <w:sz w:val="21"/>
              </w:rPr>
            </w:pPr>
          </w:p>
        </w:tc>
        <w:tc>
          <w:tcPr>
            <w:tcW w:w="679" w:type="dxa"/>
            <w:vAlign w:val="top"/>
          </w:tcPr>
          <w:p w14:paraId="18CBBB35">
            <w:pPr>
              <w:rPr>
                <w:rFonts w:ascii="Arial"/>
                <w:sz w:val="21"/>
              </w:rPr>
            </w:pPr>
          </w:p>
        </w:tc>
        <w:tc>
          <w:tcPr>
            <w:tcW w:w="679" w:type="dxa"/>
            <w:vAlign w:val="top"/>
          </w:tcPr>
          <w:p w14:paraId="3ECFF618">
            <w:pPr>
              <w:rPr>
                <w:rFonts w:ascii="Arial"/>
                <w:sz w:val="21"/>
              </w:rPr>
            </w:pPr>
          </w:p>
        </w:tc>
        <w:tc>
          <w:tcPr>
            <w:tcW w:w="681" w:type="dxa"/>
            <w:vAlign w:val="top"/>
          </w:tcPr>
          <w:p w14:paraId="0FA9139F">
            <w:pPr>
              <w:rPr>
                <w:rFonts w:ascii="Arial"/>
                <w:sz w:val="21"/>
              </w:rPr>
            </w:pPr>
          </w:p>
        </w:tc>
        <w:tc>
          <w:tcPr>
            <w:tcW w:w="679" w:type="dxa"/>
            <w:vAlign w:val="top"/>
          </w:tcPr>
          <w:p w14:paraId="011787B0">
            <w:pPr>
              <w:rPr>
                <w:rFonts w:ascii="Arial"/>
                <w:sz w:val="21"/>
              </w:rPr>
            </w:pPr>
          </w:p>
        </w:tc>
        <w:tc>
          <w:tcPr>
            <w:tcW w:w="679" w:type="dxa"/>
            <w:vAlign w:val="top"/>
          </w:tcPr>
          <w:p w14:paraId="4D826D8B">
            <w:pPr>
              <w:rPr>
                <w:rFonts w:ascii="Arial"/>
                <w:sz w:val="21"/>
              </w:rPr>
            </w:pPr>
          </w:p>
        </w:tc>
        <w:tc>
          <w:tcPr>
            <w:tcW w:w="682" w:type="dxa"/>
            <w:vAlign w:val="top"/>
          </w:tcPr>
          <w:p w14:paraId="4C0F7ACD">
            <w:pPr>
              <w:rPr>
                <w:rFonts w:ascii="Arial"/>
                <w:sz w:val="21"/>
              </w:rPr>
            </w:pPr>
          </w:p>
        </w:tc>
        <w:tc>
          <w:tcPr>
            <w:tcW w:w="1060" w:type="dxa"/>
            <w:vAlign w:val="top"/>
          </w:tcPr>
          <w:p w14:paraId="428F3FB3">
            <w:pPr>
              <w:rPr>
                <w:rFonts w:ascii="Arial"/>
                <w:sz w:val="21"/>
              </w:rPr>
            </w:pPr>
          </w:p>
        </w:tc>
      </w:tr>
      <w:tr w14:paraId="2FB6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3768E755">
            <w:pPr>
              <w:pStyle w:val="11"/>
              <w:spacing w:before="180" w:line="242" w:lineRule="auto"/>
              <w:ind w:left="231"/>
            </w:pPr>
            <w:r>
              <w:t>2</w:t>
            </w:r>
          </w:p>
        </w:tc>
        <w:tc>
          <w:tcPr>
            <w:tcW w:w="1168" w:type="dxa"/>
            <w:vAlign w:val="top"/>
          </w:tcPr>
          <w:p w14:paraId="2995A16F">
            <w:pPr>
              <w:rPr>
                <w:rFonts w:ascii="Arial"/>
                <w:sz w:val="21"/>
              </w:rPr>
            </w:pPr>
          </w:p>
        </w:tc>
        <w:tc>
          <w:tcPr>
            <w:tcW w:w="679" w:type="dxa"/>
            <w:vAlign w:val="top"/>
          </w:tcPr>
          <w:p w14:paraId="2D887414">
            <w:pPr>
              <w:rPr>
                <w:rFonts w:ascii="Arial"/>
                <w:sz w:val="21"/>
              </w:rPr>
            </w:pPr>
          </w:p>
        </w:tc>
        <w:tc>
          <w:tcPr>
            <w:tcW w:w="679" w:type="dxa"/>
            <w:vAlign w:val="top"/>
          </w:tcPr>
          <w:p w14:paraId="423678B7">
            <w:pPr>
              <w:rPr>
                <w:rFonts w:ascii="Arial"/>
                <w:sz w:val="21"/>
              </w:rPr>
            </w:pPr>
          </w:p>
        </w:tc>
        <w:tc>
          <w:tcPr>
            <w:tcW w:w="681" w:type="dxa"/>
            <w:vAlign w:val="top"/>
          </w:tcPr>
          <w:p w14:paraId="06520D24">
            <w:pPr>
              <w:rPr>
                <w:rFonts w:ascii="Arial"/>
                <w:sz w:val="21"/>
              </w:rPr>
            </w:pPr>
          </w:p>
        </w:tc>
        <w:tc>
          <w:tcPr>
            <w:tcW w:w="679" w:type="dxa"/>
            <w:vAlign w:val="top"/>
          </w:tcPr>
          <w:p w14:paraId="3F4EDD70">
            <w:pPr>
              <w:rPr>
                <w:rFonts w:ascii="Arial"/>
                <w:sz w:val="21"/>
              </w:rPr>
            </w:pPr>
          </w:p>
        </w:tc>
        <w:tc>
          <w:tcPr>
            <w:tcW w:w="679" w:type="dxa"/>
            <w:vAlign w:val="top"/>
          </w:tcPr>
          <w:p w14:paraId="4BE6DAE6">
            <w:pPr>
              <w:rPr>
                <w:rFonts w:ascii="Arial"/>
                <w:sz w:val="21"/>
              </w:rPr>
            </w:pPr>
          </w:p>
        </w:tc>
        <w:tc>
          <w:tcPr>
            <w:tcW w:w="681" w:type="dxa"/>
            <w:vAlign w:val="top"/>
          </w:tcPr>
          <w:p w14:paraId="7C37F310">
            <w:pPr>
              <w:rPr>
                <w:rFonts w:ascii="Arial"/>
                <w:sz w:val="21"/>
              </w:rPr>
            </w:pPr>
          </w:p>
        </w:tc>
        <w:tc>
          <w:tcPr>
            <w:tcW w:w="679" w:type="dxa"/>
            <w:vAlign w:val="top"/>
          </w:tcPr>
          <w:p w14:paraId="7A683D93">
            <w:pPr>
              <w:rPr>
                <w:rFonts w:ascii="Arial"/>
                <w:sz w:val="21"/>
              </w:rPr>
            </w:pPr>
          </w:p>
        </w:tc>
        <w:tc>
          <w:tcPr>
            <w:tcW w:w="679" w:type="dxa"/>
            <w:vAlign w:val="top"/>
          </w:tcPr>
          <w:p w14:paraId="0EC292AF">
            <w:pPr>
              <w:rPr>
                <w:rFonts w:ascii="Arial"/>
                <w:sz w:val="21"/>
              </w:rPr>
            </w:pPr>
          </w:p>
        </w:tc>
        <w:tc>
          <w:tcPr>
            <w:tcW w:w="682" w:type="dxa"/>
            <w:vAlign w:val="top"/>
          </w:tcPr>
          <w:p w14:paraId="54B36F0C">
            <w:pPr>
              <w:rPr>
                <w:rFonts w:ascii="Arial"/>
                <w:sz w:val="21"/>
              </w:rPr>
            </w:pPr>
          </w:p>
        </w:tc>
        <w:tc>
          <w:tcPr>
            <w:tcW w:w="1060" w:type="dxa"/>
            <w:vAlign w:val="top"/>
          </w:tcPr>
          <w:p w14:paraId="4315EF59">
            <w:pPr>
              <w:rPr>
                <w:rFonts w:ascii="Arial"/>
                <w:sz w:val="21"/>
              </w:rPr>
            </w:pPr>
          </w:p>
        </w:tc>
      </w:tr>
      <w:tr w14:paraId="1CEA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2EBCB80D">
            <w:pPr>
              <w:pStyle w:val="11"/>
              <w:spacing w:before="181" w:line="241" w:lineRule="auto"/>
              <w:ind w:left="233"/>
            </w:pPr>
            <w:r>
              <w:t>3</w:t>
            </w:r>
          </w:p>
        </w:tc>
        <w:tc>
          <w:tcPr>
            <w:tcW w:w="1168" w:type="dxa"/>
            <w:vAlign w:val="top"/>
          </w:tcPr>
          <w:p w14:paraId="04E02F9A">
            <w:pPr>
              <w:rPr>
                <w:rFonts w:ascii="Arial"/>
                <w:sz w:val="21"/>
              </w:rPr>
            </w:pPr>
          </w:p>
        </w:tc>
        <w:tc>
          <w:tcPr>
            <w:tcW w:w="679" w:type="dxa"/>
            <w:vAlign w:val="top"/>
          </w:tcPr>
          <w:p w14:paraId="48400199">
            <w:pPr>
              <w:rPr>
                <w:rFonts w:ascii="Arial"/>
                <w:sz w:val="21"/>
              </w:rPr>
            </w:pPr>
          </w:p>
        </w:tc>
        <w:tc>
          <w:tcPr>
            <w:tcW w:w="679" w:type="dxa"/>
            <w:vAlign w:val="top"/>
          </w:tcPr>
          <w:p w14:paraId="7EA70D20">
            <w:pPr>
              <w:rPr>
                <w:rFonts w:ascii="Arial"/>
                <w:sz w:val="21"/>
              </w:rPr>
            </w:pPr>
          </w:p>
        </w:tc>
        <w:tc>
          <w:tcPr>
            <w:tcW w:w="681" w:type="dxa"/>
            <w:vAlign w:val="top"/>
          </w:tcPr>
          <w:p w14:paraId="717E5D09">
            <w:pPr>
              <w:rPr>
                <w:rFonts w:ascii="Arial"/>
                <w:sz w:val="21"/>
              </w:rPr>
            </w:pPr>
          </w:p>
        </w:tc>
        <w:tc>
          <w:tcPr>
            <w:tcW w:w="679" w:type="dxa"/>
            <w:vAlign w:val="top"/>
          </w:tcPr>
          <w:p w14:paraId="23602DD4">
            <w:pPr>
              <w:rPr>
                <w:rFonts w:ascii="Arial"/>
                <w:sz w:val="21"/>
              </w:rPr>
            </w:pPr>
          </w:p>
        </w:tc>
        <w:tc>
          <w:tcPr>
            <w:tcW w:w="679" w:type="dxa"/>
            <w:vAlign w:val="top"/>
          </w:tcPr>
          <w:p w14:paraId="5ACF845B">
            <w:pPr>
              <w:rPr>
                <w:rFonts w:ascii="Arial"/>
                <w:sz w:val="21"/>
              </w:rPr>
            </w:pPr>
          </w:p>
        </w:tc>
        <w:tc>
          <w:tcPr>
            <w:tcW w:w="681" w:type="dxa"/>
            <w:vAlign w:val="top"/>
          </w:tcPr>
          <w:p w14:paraId="559F200D">
            <w:pPr>
              <w:rPr>
                <w:rFonts w:ascii="Arial"/>
                <w:sz w:val="21"/>
              </w:rPr>
            </w:pPr>
          </w:p>
        </w:tc>
        <w:tc>
          <w:tcPr>
            <w:tcW w:w="679" w:type="dxa"/>
            <w:vAlign w:val="top"/>
          </w:tcPr>
          <w:p w14:paraId="434D4D2F">
            <w:pPr>
              <w:rPr>
                <w:rFonts w:ascii="Arial"/>
                <w:sz w:val="21"/>
              </w:rPr>
            </w:pPr>
          </w:p>
        </w:tc>
        <w:tc>
          <w:tcPr>
            <w:tcW w:w="679" w:type="dxa"/>
            <w:vAlign w:val="top"/>
          </w:tcPr>
          <w:p w14:paraId="61C86822">
            <w:pPr>
              <w:rPr>
                <w:rFonts w:ascii="Arial"/>
                <w:sz w:val="21"/>
              </w:rPr>
            </w:pPr>
          </w:p>
        </w:tc>
        <w:tc>
          <w:tcPr>
            <w:tcW w:w="682" w:type="dxa"/>
            <w:vAlign w:val="top"/>
          </w:tcPr>
          <w:p w14:paraId="4FA83E52">
            <w:pPr>
              <w:rPr>
                <w:rFonts w:ascii="Arial"/>
                <w:sz w:val="21"/>
              </w:rPr>
            </w:pPr>
          </w:p>
        </w:tc>
        <w:tc>
          <w:tcPr>
            <w:tcW w:w="1060" w:type="dxa"/>
            <w:vAlign w:val="top"/>
          </w:tcPr>
          <w:p w14:paraId="260DD801">
            <w:pPr>
              <w:rPr>
                <w:rFonts w:ascii="Arial"/>
                <w:sz w:val="21"/>
              </w:rPr>
            </w:pPr>
          </w:p>
        </w:tc>
      </w:tr>
      <w:tr w14:paraId="4990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75C28E14">
            <w:pPr>
              <w:pStyle w:val="11"/>
              <w:spacing w:before="179" w:line="242" w:lineRule="auto"/>
              <w:ind w:left="227"/>
            </w:pPr>
            <w:r>
              <w:t>4</w:t>
            </w:r>
          </w:p>
        </w:tc>
        <w:tc>
          <w:tcPr>
            <w:tcW w:w="1168" w:type="dxa"/>
            <w:vAlign w:val="top"/>
          </w:tcPr>
          <w:p w14:paraId="69D62415">
            <w:pPr>
              <w:rPr>
                <w:rFonts w:ascii="Arial"/>
                <w:sz w:val="21"/>
              </w:rPr>
            </w:pPr>
          </w:p>
        </w:tc>
        <w:tc>
          <w:tcPr>
            <w:tcW w:w="679" w:type="dxa"/>
            <w:vAlign w:val="top"/>
          </w:tcPr>
          <w:p w14:paraId="38B62358">
            <w:pPr>
              <w:rPr>
                <w:rFonts w:ascii="Arial"/>
                <w:sz w:val="21"/>
              </w:rPr>
            </w:pPr>
          </w:p>
        </w:tc>
        <w:tc>
          <w:tcPr>
            <w:tcW w:w="679" w:type="dxa"/>
            <w:vAlign w:val="top"/>
          </w:tcPr>
          <w:p w14:paraId="15B61105">
            <w:pPr>
              <w:rPr>
                <w:rFonts w:ascii="Arial"/>
                <w:sz w:val="21"/>
              </w:rPr>
            </w:pPr>
          </w:p>
        </w:tc>
        <w:tc>
          <w:tcPr>
            <w:tcW w:w="681" w:type="dxa"/>
            <w:vAlign w:val="top"/>
          </w:tcPr>
          <w:p w14:paraId="51A7D29A">
            <w:pPr>
              <w:rPr>
                <w:rFonts w:ascii="Arial"/>
                <w:sz w:val="21"/>
              </w:rPr>
            </w:pPr>
          </w:p>
        </w:tc>
        <w:tc>
          <w:tcPr>
            <w:tcW w:w="679" w:type="dxa"/>
            <w:vAlign w:val="top"/>
          </w:tcPr>
          <w:p w14:paraId="25DB6FEF">
            <w:pPr>
              <w:rPr>
                <w:rFonts w:ascii="Arial"/>
                <w:sz w:val="21"/>
              </w:rPr>
            </w:pPr>
          </w:p>
        </w:tc>
        <w:tc>
          <w:tcPr>
            <w:tcW w:w="679" w:type="dxa"/>
            <w:vAlign w:val="top"/>
          </w:tcPr>
          <w:p w14:paraId="3E8031DB">
            <w:pPr>
              <w:rPr>
                <w:rFonts w:ascii="Arial"/>
                <w:sz w:val="21"/>
              </w:rPr>
            </w:pPr>
          </w:p>
        </w:tc>
        <w:tc>
          <w:tcPr>
            <w:tcW w:w="681" w:type="dxa"/>
            <w:vAlign w:val="top"/>
          </w:tcPr>
          <w:p w14:paraId="18B4FEB5">
            <w:pPr>
              <w:rPr>
                <w:rFonts w:ascii="Arial"/>
                <w:sz w:val="21"/>
              </w:rPr>
            </w:pPr>
          </w:p>
        </w:tc>
        <w:tc>
          <w:tcPr>
            <w:tcW w:w="679" w:type="dxa"/>
            <w:vAlign w:val="top"/>
          </w:tcPr>
          <w:p w14:paraId="7EFEB33E">
            <w:pPr>
              <w:rPr>
                <w:rFonts w:ascii="Arial"/>
                <w:sz w:val="21"/>
              </w:rPr>
            </w:pPr>
          </w:p>
        </w:tc>
        <w:tc>
          <w:tcPr>
            <w:tcW w:w="679" w:type="dxa"/>
            <w:vAlign w:val="top"/>
          </w:tcPr>
          <w:p w14:paraId="71EE9EF5">
            <w:pPr>
              <w:rPr>
                <w:rFonts w:ascii="Arial"/>
                <w:sz w:val="21"/>
              </w:rPr>
            </w:pPr>
          </w:p>
        </w:tc>
        <w:tc>
          <w:tcPr>
            <w:tcW w:w="682" w:type="dxa"/>
            <w:vAlign w:val="top"/>
          </w:tcPr>
          <w:p w14:paraId="46F443A6">
            <w:pPr>
              <w:rPr>
                <w:rFonts w:ascii="Arial"/>
                <w:sz w:val="21"/>
              </w:rPr>
            </w:pPr>
          </w:p>
        </w:tc>
        <w:tc>
          <w:tcPr>
            <w:tcW w:w="1060" w:type="dxa"/>
            <w:vAlign w:val="top"/>
          </w:tcPr>
          <w:p w14:paraId="73089BB9">
            <w:pPr>
              <w:rPr>
                <w:rFonts w:ascii="Arial"/>
                <w:sz w:val="21"/>
              </w:rPr>
            </w:pPr>
          </w:p>
        </w:tc>
      </w:tr>
      <w:tr w14:paraId="45DE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3AAC1B7A">
            <w:pPr>
              <w:pStyle w:val="11"/>
              <w:spacing w:before="181" w:line="241" w:lineRule="auto"/>
              <w:ind w:left="233"/>
            </w:pPr>
            <w:r>
              <w:t>5</w:t>
            </w:r>
          </w:p>
        </w:tc>
        <w:tc>
          <w:tcPr>
            <w:tcW w:w="1168" w:type="dxa"/>
            <w:vAlign w:val="top"/>
          </w:tcPr>
          <w:p w14:paraId="503B9946">
            <w:pPr>
              <w:rPr>
                <w:rFonts w:ascii="Arial"/>
                <w:sz w:val="21"/>
              </w:rPr>
            </w:pPr>
          </w:p>
        </w:tc>
        <w:tc>
          <w:tcPr>
            <w:tcW w:w="679" w:type="dxa"/>
            <w:vAlign w:val="top"/>
          </w:tcPr>
          <w:p w14:paraId="7C3200DD">
            <w:pPr>
              <w:rPr>
                <w:rFonts w:ascii="Arial"/>
                <w:sz w:val="21"/>
              </w:rPr>
            </w:pPr>
          </w:p>
        </w:tc>
        <w:tc>
          <w:tcPr>
            <w:tcW w:w="679" w:type="dxa"/>
            <w:vAlign w:val="top"/>
          </w:tcPr>
          <w:p w14:paraId="25596A1D">
            <w:pPr>
              <w:rPr>
                <w:rFonts w:ascii="Arial"/>
                <w:sz w:val="21"/>
              </w:rPr>
            </w:pPr>
          </w:p>
        </w:tc>
        <w:tc>
          <w:tcPr>
            <w:tcW w:w="681" w:type="dxa"/>
            <w:vAlign w:val="top"/>
          </w:tcPr>
          <w:p w14:paraId="191251AD">
            <w:pPr>
              <w:rPr>
                <w:rFonts w:ascii="Arial"/>
                <w:sz w:val="21"/>
              </w:rPr>
            </w:pPr>
          </w:p>
        </w:tc>
        <w:tc>
          <w:tcPr>
            <w:tcW w:w="679" w:type="dxa"/>
            <w:vAlign w:val="top"/>
          </w:tcPr>
          <w:p w14:paraId="1BC8209E">
            <w:pPr>
              <w:rPr>
                <w:rFonts w:ascii="Arial"/>
                <w:sz w:val="21"/>
              </w:rPr>
            </w:pPr>
          </w:p>
        </w:tc>
        <w:tc>
          <w:tcPr>
            <w:tcW w:w="679" w:type="dxa"/>
            <w:vAlign w:val="top"/>
          </w:tcPr>
          <w:p w14:paraId="4E0AACA6">
            <w:pPr>
              <w:rPr>
                <w:rFonts w:ascii="Arial"/>
                <w:sz w:val="21"/>
              </w:rPr>
            </w:pPr>
          </w:p>
        </w:tc>
        <w:tc>
          <w:tcPr>
            <w:tcW w:w="681" w:type="dxa"/>
            <w:vAlign w:val="top"/>
          </w:tcPr>
          <w:p w14:paraId="5A461993">
            <w:pPr>
              <w:rPr>
                <w:rFonts w:ascii="Arial"/>
                <w:sz w:val="21"/>
              </w:rPr>
            </w:pPr>
          </w:p>
        </w:tc>
        <w:tc>
          <w:tcPr>
            <w:tcW w:w="679" w:type="dxa"/>
            <w:vAlign w:val="top"/>
          </w:tcPr>
          <w:p w14:paraId="1C6C13D2">
            <w:pPr>
              <w:rPr>
                <w:rFonts w:ascii="Arial"/>
                <w:sz w:val="21"/>
              </w:rPr>
            </w:pPr>
          </w:p>
        </w:tc>
        <w:tc>
          <w:tcPr>
            <w:tcW w:w="679" w:type="dxa"/>
            <w:vAlign w:val="top"/>
          </w:tcPr>
          <w:p w14:paraId="75690B6F">
            <w:pPr>
              <w:rPr>
                <w:rFonts w:ascii="Arial"/>
                <w:sz w:val="21"/>
              </w:rPr>
            </w:pPr>
          </w:p>
        </w:tc>
        <w:tc>
          <w:tcPr>
            <w:tcW w:w="682" w:type="dxa"/>
            <w:vAlign w:val="top"/>
          </w:tcPr>
          <w:p w14:paraId="06BE1F18">
            <w:pPr>
              <w:rPr>
                <w:rFonts w:ascii="Arial"/>
                <w:sz w:val="21"/>
              </w:rPr>
            </w:pPr>
          </w:p>
        </w:tc>
        <w:tc>
          <w:tcPr>
            <w:tcW w:w="1060" w:type="dxa"/>
            <w:vAlign w:val="top"/>
          </w:tcPr>
          <w:p w14:paraId="50AE555C">
            <w:pPr>
              <w:rPr>
                <w:rFonts w:ascii="Arial"/>
                <w:sz w:val="21"/>
              </w:rPr>
            </w:pPr>
          </w:p>
        </w:tc>
      </w:tr>
      <w:tr w14:paraId="3E91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209AC89E">
            <w:pPr>
              <w:pStyle w:val="11"/>
              <w:spacing w:before="179" w:line="241" w:lineRule="auto"/>
              <w:ind w:left="230"/>
            </w:pPr>
            <w:r>
              <w:t>6</w:t>
            </w:r>
          </w:p>
        </w:tc>
        <w:tc>
          <w:tcPr>
            <w:tcW w:w="1168" w:type="dxa"/>
            <w:vAlign w:val="top"/>
          </w:tcPr>
          <w:p w14:paraId="5407EFF9">
            <w:pPr>
              <w:rPr>
                <w:rFonts w:ascii="Arial"/>
                <w:sz w:val="21"/>
              </w:rPr>
            </w:pPr>
          </w:p>
        </w:tc>
        <w:tc>
          <w:tcPr>
            <w:tcW w:w="679" w:type="dxa"/>
            <w:vAlign w:val="top"/>
          </w:tcPr>
          <w:p w14:paraId="77C89B50">
            <w:pPr>
              <w:rPr>
                <w:rFonts w:ascii="Arial"/>
                <w:sz w:val="21"/>
              </w:rPr>
            </w:pPr>
          </w:p>
        </w:tc>
        <w:tc>
          <w:tcPr>
            <w:tcW w:w="679" w:type="dxa"/>
            <w:vAlign w:val="top"/>
          </w:tcPr>
          <w:p w14:paraId="5D025650">
            <w:pPr>
              <w:rPr>
                <w:rFonts w:ascii="Arial"/>
                <w:sz w:val="21"/>
              </w:rPr>
            </w:pPr>
          </w:p>
        </w:tc>
        <w:tc>
          <w:tcPr>
            <w:tcW w:w="681" w:type="dxa"/>
            <w:vAlign w:val="top"/>
          </w:tcPr>
          <w:p w14:paraId="7396C067">
            <w:pPr>
              <w:rPr>
                <w:rFonts w:ascii="Arial"/>
                <w:sz w:val="21"/>
              </w:rPr>
            </w:pPr>
          </w:p>
        </w:tc>
        <w:tc>
          <w:tcPr>
            <w:tcW w:w="679" w:type="dxa"/>
            <w:vAlign w:val="top"/>
          </w:tcPr>
          <w:p w14:paraId="2ABC637B">
            <w:pPr>
              <w:rPr>
                <w:rFonts w:ascii="Arial"/>
                <w:sz w:val="21"/>
              </w:rPr>
            </w:pPr>
          </w:p>
        </w:tc>
        <w:tc>
          <w:tcPr>
            <w:tcW w:w="679" w:type="dxa"/>
            <w:vAlign w:val="top"/>
          </w:tcPr>
          <w:p w14:paraId="768F4391">
            <w:pPr>
              <w:rPr>
                <w:rFonts w:ascii="Arial"/>
                <w:sz w:val="21"/>
              </w:rPr>
            </w:pPr>
          </w:p>
        </w:tc>
        <w:tc>
          <w:tcPr>
            <w:tcW w:w="681" w:type="dxa"/>
            <w:vAlign w:val="top"/>
          </w:tcPr>
          <w:p w14:paraId="6D1A3D87">
            <w:pPr>
              <w:rPr>
                <w:rFonts w:ascii="Arial"/>
                <w:sz w:val="21"/>
              </w:rPr>
            </w:pPr>
          </w:p>
        </w:tc>
        <w:tc>
          <w:tcPr>
            <w:tcW w:w="679" w:type="dxa"/>
            <w:vAlign w:val="top"/>
          </w:tcPr>
          <w:p w14:paraId="7C5BF51E">
            <w:pPr>
              <w:rPr>
                <w:rFonts w:ascii="Arial"/>
                <w:sz w:val="21"/>
              </w:rPr>
            </w:pPr>
          </w:p>
        </w:tc>
        <w:tc>
          <w:tcPr>
            <w:tcW w:w="679" w:type="dxa"/>
            <w:vAlign w:val="top"/>
          </w:tcPr>
          <w:p w14:paraId="4DDA674D">
            <w:pPr>
              <w:rPr>
                <w:rFonts w:ascii="Arial"/>
                <w:sz w:val="21"/>
              </w:rPr>
            </w:pPr>
          </w:p>
        </w:tc>
        <w:tc>
          <w:tcPr>
            <w:tcW w:w="682" w:type="dxa"/>
            <w:vAlign w:val="top"/>
          </w:tcPr>
          <w:p w14:paraId="1E4DD106">
            <w:pPr>
              <w:rPr>
                <w:rFonts w:ascii="Arial"/>
                <w:sz w:val="21"/>
              </w:rPr>
            </w:pPr>
          </w:p>
        </w:tc>
        <w:tc>
          <w:tcPr>
            <w:tcW w:w="1060" w:type="dxa"/>
            <w:vAlign w:val="top"/>
          </w:tcPr>
          <w:p w14:paraId="5E86C6A6">
            <w:pPr>
              <w:rPr>
                <w:rFonts w:ascii="Arial"/>
                <w:sz w:val="21"/>
              </w:rPr>
            </w:pPr>
          </w:p>
        </w:tc>
      </w:tr>
      <w:tr w14:paraId="4893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457D2ED7">
            <w:pPr>
              <w:pStyle w:val="11"/>
              <w:spacing w:before="182" w:line="332" w:lineRule="exact"/>
              <w:ind w:left="189"/>
            </w:pPr>
            <w:r>
              <w:rPr>
                <w:position w:val="2"/>
              </w:rPr>
              <w:t>…</w:t>
            </w:r>
          </w:p>
        </w:tc>
        <w:tc>
          <w:tcPr>
            <w:tcW w:w="1168" w:type="dxa"/>
            <w:vAlign w:val="top"/>
          </w:tcPr>
          <w:p w14:paraId="6A132EB2">
            <w:pPr>
              <w:rPr>
                <w:rFonts w:ascii="Arial"/>
                <w:sz w:val="21"/>
              </w:rPr>
            </w:pPr>
          </w:p>
        </w:tc>
        <w:tc>
          <w:tcPr>
            <w:tcW w:w="679" w:type="dxa"/>
            <w:vAlign w:val="top"/>
          </w:tcPr>
          <w:p w14:paraId="365E0059">
            <w:pPr>
              <w:rPr>
                <w:rFonts w:ascii="Arial"/>
                <w:sz w:val="21"/>
              </w:rPr>
            </w:pPr>
          </w:p>
        </w:tc>
        <w:tc>
          <w:tcPr>
            <w:tcW w:w="679" w:type="dxa"/>
            <w:vAlign w:val="top"/>
          </w:tcPr>
          <w:p w14:paraId="6FD47E45">
            <w:pPr>
              <w:rPr>
                <w:rFonts w:ascii="Arial"/>
                <w:sz w:val="21"/>
              </w:rPr>
            </w:pPr>
          </w:p>
        </w:tc>
        <w:tc>
          <w:tcPr>
            <w:tcW w:w="681" w:type="dxa"/>
            <w:vAlign w:val="top"/>
          </w:tcPr>
          <w:p w14:paraId="0EADB40B">
            <w:pPr>
              <w:rPr>
                <w:rFonts w:ascii="Arial"/>
                <w:sz w:val="21"/>
              </w:rPr>
            </w:pPr>
          </w:p>
        </w:tc>
        <w:tc>
          <w:tcPr>
            <w:tcW w:w="679" w:type="dxa"/>
            <w:vAlign w:val="top"/>
          </w:tcPr>
          <w:p w14:paraId="65D12000">
            <w:pPr>
              <w:rPr>
                <w:rFonts w:ascii="Arial"/>
                <w:sz w:val="21"/>
              </w:rPr>
            </w:pPr>
          </w:p>
        </w:tc>
        <w:tc>
          <w:tcPr>
            <w:tcW w:w="679" w:type="dxa"/>
            <w:vAlign w:val="top"/>
          </w:tcPr>
          <w:p w14:paraId="239C07ED">
            <w:pPr>
              <w:rPr>
                <w:rFonts w:ascii="Arial"/>
                <w:sz w:val="21"/>
              </w:rPr>
            </w:pPr>
          </w:p>
        </w:tc>
        <w:tc>
          <w:tcPr>
            <w:tcW w:w="681" w:type="dxa"/>
            <w:vAlign w:val="top"/>
          </w:tcPr>
          <w:p w14:paraId="34DADB81">
            <w:pPr>
              <w:rPr>
                <w:rFonts w:ascii="Arial"/>
                <w:sz w:val="21"/>
              </w:rPr>
            </w:pPr>
          </w:p>
        </w:tc>
        <w:tc>
          <w:tcPr>
            <w:tcW w:w="679" w:type="dxa"/>
            <w:vAlign w:val="top"/>
          </w:tcPr>
          <w:p w14:paraId="23EE2CCF">
            <w:pPr>
              <w:rPr>
                <w:rFonts w:ascii="Arial"/>
                <w:sz w:val="21"/>
              </w:rPr>
            </w:pPr>
          </w:p>
        </w:tc>
        <w:tc>
          <w:tcPr>
            <w:tcW w:w="679" w:type="dxa"/>
            <w:vAlign w:val="top"/>
          </w:tcPr>
          <w:p w14:paraId="05067B5B">
            <w:pPr>
              <w:rPr>
                <w:rFonts w:ascii="Arial"/>
                <w:sz w:val="21"/>
              </w:rPr>
            </w:pPr>
          </w:p>
        </w:tc>
        <w:tc>
          <w:tcPr>
            <w:tcW w:w="682" w:type="dxa"/>
            <w:vAlign w:val="top"/>
          </w:tcPr>
          <w:p w14:paraId="58DE8A93">
            <w:pPr>
              <w:rPr>
                <w:rFonts w:ascii="Arial"/>
                <w:sz w:val="21"/>
              </w:rPr>
            </w:pPr>
          </w:p>
        </w:tc>
        <w:tc>
          <w:tcPr>
            <w:tcW w:w="1060" w:type="dxa"/>
            <w:vAlign w:val="top"/>
          </w:tcPr>
          <w:p w14:paraId="594543EA">
            <w:pPr>
              <w:rPr>
                <w:rFonts w:ascii="Arial"/>
                <w:sz w:val="21"/>
              </w:rPr>
            </w:pPr>
          </w:p>
        </w:tc>
      </w:tr>
      <w:tr w14:paraId="2746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898" w:type="dxa"/>
            <w:gridSpan w:val="12"/>
            <w:vAlign w:val="top"/>
          </w:tcPr>
          <w:p w14:paraId="1EE0FC24">
            <w:pPr>
              <w:pStyle w:val="11"/>
              <w:spacing w:before="34" w:line="220" w:lineRule="auto"/>
              <w:ind w:left="115"/>
            </w:pPr>
            <w:r>
              <w:rPr>
                <w:spacing w:val="-1"/>
              </w:rPr>
              <w:t>评标委员会全体成员签名：</w:t>
            </w:r>
          </w:p>
        </w:tc>
      </w:tr>
    </w:tbl>
    <w:p w14:paraId="63840DA7">
      <w:pPr>
        <w:spacing w:before="137" w:line="221" w:lineRule="auto"/>
        <w:ind w:left="6242"/>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7198E6A1">
      <w:pPr>
        <w:spacing w:line="221" w:lineRule="auto"/>
        <w:rPr>
          <w:rFonts w:ascii="宋体" w:hAnsi="宋体" w:eastAsia="宋体" w:cs="宋体"/>
          <w:sz w:val="21"/>
          <w:szCs w:val="21"/>
        </w:rPr>
        <w:sectPr>
          <w:footerReference r:id="rId70" w:type="default"/>
          <w:pgSz w:w="11905" w:h="16843"/>
          <w:pgMar w:top="969" w:right="1355" w:bottom="1026" w:left="1480" w:header="0" w:footer="754" w:gutter="0"/>
          <w:cols w:space="0" w:num="1"/>
          <w:rtlGutter w:val="0"/>
          <w:docGrid w:linePitch="0" w:charSpace="0"/>
        </w:sectPr>
      </w:pPr>
    </w:p>
    <w:p w14:paraId="12A68BC7">
      <w:pPr>
        <w:pStyle w:val="5"/>
        <w:spacing w:line="265" w:lineRule="auto"/>
      </w:pPr>
    </w:p>
    <w:p w14:paraId="42ECEFAE">
      <w:pPr>
        <w:pStyle w:val="5"/>
        <w:spacing w:line="265" w:lineRule="auto"/>
      </w:pPr>
    </w:p>
    <w:p w14:paraId="1218985F">
      <w:pPr>
        <w:pStyle w:val="5"/>
        <w:spacing w:line="266" w:lineRule="auto"/>
      </w:pPr>
    </w:p>
    <w:p w14:paraId="561A9D46">
      <w:pPr>
        <w:pStyle w:val="5"/>
        <w:spacing w:line="266" w:lineRule="auto"/>
      </w:pPr>
    </w:p>
    <w:p w14:paraId="7088E70A">
      <w:pPr>
        <w:pStyle w:val="5"/>
        <w:spacing w:line="266" w:lineRule="auto"/>
      </w:pPr>
    </w:p>
    <w:p w14:paraId="0CFAF946">
      <w:pPr>
        <w:spacing w:before="78" w:line="233" w:lineRule="auto"/>
        <w:ind w:left="140"/>
        <w:outlineLvl w:val="2"/>
        <w:rPr>
          <w:rFonts w:ascii="黑体" w:hAnsi="黑体" w:eastAsia="黑体" w:cs="黑体"/>
          <w:sz w:val="24"/>
          <w:szCs w:val="24"/>
        </w:rPr>
      </w:pPr>
      <w:bookmarkStart w:id="165" w:name="bookmark132"/>
      <w:bookmarkEnd w:id="165"/>
      <w:r>
        <w:rPr>
          <w:rFonts w:ascii="黑体" w:hAnsi="黑体" w:eastAsia="黑体" w:cs="黑体"/>
          <w:spacing w:val="-2"/>
          <w:sz w:val="24"/>
          <w:szCs w:val="24"/>
        </w:rPr>
        <w:t>附表</w:t>
      </w:r>
      <w:r>
        <w:rPr>
          <w:rFonts w:ascii="黑体" w:hAnsi="黑体" w:eastAsia="黑体" w:cs="黑体"/>
          <w:spacing w:val="-58"/>
          <w:sz w:val="24"/>
          <w:szCs w:val="24"/>
        </w:rPr>
        <w:t xml:space="preserve"> </w:t>
      </w:r>
      <w:r>
        <w:rPr>
          <w:rFonts w:ascii="Times New Roman" w:hAnsi="Times New Roman" w:eastAsia="Times New Roman" w:cs="Times New Roman"/>
          <w:spacing w:val="-2"/>
          <w:sz w:val="24"/>
          <w:szCs w:val="24"/>
        </w:rPr>
        <w:t>A-7</w:t>
      </w:r>
      <w:r>
        <w:rPr>
          <w:rFonts w:ascii="黑体" w:hAnsi="黑体" w:eastAsia="黑体" w:cs="黑体"/>
          <w:spacing w:val="-2"/>
          <w:sz w:val="24"/>
          <w:szCs w:val="24"/>
        </w:rPr>
        <w:t>：施工组织设计评审记录表（合格</w:t>
      </w:r>
      <w:r>
        <w:rPr>
          <w:rFonts w:ascii="黑体" w:hAnsi="黑体" w:eastAsia="黑体" w:cs="黑体"/>
          <w:spacing w:val="-3"/>
          <w:sz w:val="24"/>
          <w:szCs w:val="24"/>
        </w:rPr>
        <w:t>性）</w:t>
      </w:r>
    </w:p>
    <w:p w14:paraId="5FBDAA32">
      <w:pPr>
        <w:pStyle w:val="5"/>
        <w:spacing w:line="289" w:lineRule="auto"/>
      </w:pPr>
    </w:p>
    <w:p w14:paraId="6902DB9F">
      <w:pPr>
        <w:pStyle w:val="5"/>
        <w:spacing w:line="290" w:lineRule="auto"/>
      </w:pPr>
    </w:p>
    <w:p w14:paraId="438FAB3F">
      <w:pPr>
        <w:spacing w:before="117" w:line="206" w:lineRule="auto"/>
        <w:ind w:left="2481"/>
        <w:rPr>
          <w:rFonts w:ascii="黑体" w:hAnsi="黑体" w:eastAsia="黑体" w:cs="黑体"/>
          <w:sz w:val="36"/>
          <w:szCs w:val="36"/>
        </w:rPr>
      </w:pPr>
      <w:r>
        <w:rPr>
          <w:rFonts w:ascii="黑体" w:hAnsi="黑体" w:eastAsia="黑体" w:cs="黑体"/>
          <w:spacing w:val="-1"/>
          <w:sz w:val="36"/>
          <w:szCs w:val="36"/>
        </w:rPr>
        <w:t>施工组织设计评审记录表</w:t>
      </w:r>
    </w:p>
    <w:p w14:paraId="73E4D7C9">
      <w:pPr>
        <w:spacing w:line="223" w:lineRule="auto"/>
        <w:ind w:left="9" w:right="1790" w:firstLine="1778"/>
        <w:rPr>
          <w:rFonts w:ascii="宋体" w:hAnsi="宋体" w:eastAsia="宋体" w:cs="宋体"/>
          <w:sz w:val="21"/>
          <w:szCs w:val="21"/>
        </w:rPr>
      </w:pPr>
      <w:r>
        <w:rPr>
          <w:rFonts w:ascii="黑体" w:hAnsi="黑体" w:eastAsia="黑体" w:cs="黑体"/>
          <w:spacing w:val="-5"/>
          <w:sz w:val="36"/>
          <w:szCs w:val="36"/>
        </w:rPr>
        <w:t>（适用于经评审的最低投标价法）</w:t>
      </w:r>
      <w:r>
        <w:rPr>
          <w:rFonts w:ascii="宋体" w:hAnsi="宋体" w:eastAsia="宋体" w:cs="宋体"/>
          <w:spacing w:val="-7"/>
          <w:sz w:val="21"/>
          <w:szCs w:val="21"/>
        </w:rPr>
        <w:t>标段名称：</w:t>
      </w:r>
    </w:p>
    <w:p w14:paraId="0FBBEF7B">
      <w:pPr>
        <w:spacing w:line="214" w:lineRule="auto"/>
        <w:ind w:left="9"/>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1168"/>
        <w:gridCol w:w="679"/>
        <w:gridCol w:w="679"/>
        <w:gridCol w:w="681"/>
        <w:gridCol w:w="679"/>
        <w:gridCol w:w="679"/>
        <w:gridCol w:w="681"/>
        <w:gridCol w:w="679"/>
        <w:gridCol w:w="679"/>
        <w:gridCol w:w="682"/>
        <w:gridCol w:w="1060"/>
      </w:tblGrid>
      <w:tr w14:paraId="5DE5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2" w:type="dxa"/>
            <w:vMerge w:val="restart"/>
            <w:tcBorders>
              <w:bottom w:val="nil"/>
            </w:tcBorders>
            <w:textDirection w:val="tbRlV"/>
            <w:vAlign w:val="top"/>
          </w:tcPr>
          <w:p w14:paraId="09C08DFD">
            <w:pPr>
              <w:pStyle w:val="11"/>
              <w:spacing w:before="167" w:line="211" w:lineRule="auto"/>
              <w:ind w:left="187"/>
            </w:pPr>
            <w:r>
              <w:rPr>
                <w:spacing w:val="31"/>
              </w:rPr>
              <w:t>序号</w:t>
            </w:r>
          </w:p>
        </w:tc>
        <w:tc>
          <w:tcPr>
            <w:tcW w:w="1168" w:type="dxa"/>
            <w:vMerge w:val="restart"/>
            <w:tcBorders>
              <w:bottom w:val="nil"/>
            </w:tcBorders>
            <w:vAlign w:val="top"/>
          </w:tcPr>
          <w:p w14:paraId="070FC50B">
            <w:pPr>
              <w:pStyle w:val="11"/>
              <w:spacing w:before="187" w:line="242" w:lineRule="auto"/>
              <w:ind w:left="479" w:right="162" w:hanging="311"/>
            </w:pPr>
            <w:r>
              <w:rPr>
                <w:spacing w:val="-3"/>
              </w:rPr>
              <w:t>投标人名</w:t>
            </w:r>
            <w:r>
              <w:t>称</w:t>
            </w:r>
          </w:p>
        </w:tc>
        <w:tc>
          <w:tcPr>
            <w:tcW w:w="6118" w:type="dxa"/>
            <w:gridSpan w:val="9"/>
            <w:vAlign w:val="top"/>
          </w:tcPr>
          <w:p w14:paraId="7B8267DF">
            <w:pPr>
              <w:pStyle w:val="11"/>
              <w:spacing w:before="108" w:line="221" w:lineRule="auto"/>
              <w:ind w:left="2118"/>
            </w:pPr>
            <w:r>
              <w:rPr>
                <w:spacing w:val="-1"/>
              </w:rPr>
              <w:t>评审标准及评审意见</w:t>
            </w:r>
          </w:p>
        </w:tc>
        <w:tc>
          <w:tcPr>
            <w:tcW w:w="1060" w:type="dxa"/>
            <w:vMerge w:val="restart"/>
            <w:tcBorders>
              <w:bottom w:val="nil"/>
            </w:tcBorders>
            <w:vAlign w:val="top"/>
          </w:tcPr>
          <w:p w14:paraId="2BB66EFB">
            <w:pPr>
              <w:spacing w:line="253" w:lineRule="auto"/>
              <w:rPr>
                <w:rFonts w:ascii="Arial"/>
                <w:sz w:val="21"/>
              </w:rPr>
            </w:pPr>
          </w:p>
          <w:p w14:paraId="7DD922F5">
            <w:pPr>
              <w:pStyle w:val="11"/>
              <w:spacing w:before="68" w:line="221" w:lineRule="auto"/>
              <w:ind w:left="114"/>
            </w:pPr>
            <w:r>
              <w:rPr>
                <w:spacing w:val="-1"/>
              </w:rPr>
              <w:t>评审结论</w:t>
            </w:r>
          </w:p>
        </w:tc>
      </w:tr>
      <w:tr w14:paraId="00E1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52" w:type="dxa"/>
            <w:vMerge w:val="continue"/>
            <w:tcBorders>
              <w:top w:val="nil"/>
            </w:tcBorders>
            <w:textDirection w:val="tbRlV"/>
            <w:vAlign w:val="top"/>
          </w:tcPr>
          <w:p w14:paraId="23C55F59">
            <w:pPr>
              <w:rPr>
                <w:rFonts w:ascii="Arial"/>
                <w:sz w:val="21"/>
              </w:rPr>
            </w:pPr>
          </w:p>
        </w:tc>
        <w:tc>
          <w:tcPr>
            <w:tcW w:w="1168" w:type="dxa"/>
            <w:vMerge w:val="continue"/>
            <w:tcBorders>
              <w:top w:val="nil"/>
            </w:tcBorders>
            <w:vAlign w:val="top"/>
          </w:tcPr>
          <w:p w14:paraId="4B7FA879">
            <w:pPr>
              <w:rPr>
                <w:rFonts w:ascii="Arial"/>
                <w:sz w:val="21"/>
              </w:rPr>
            </w:pPr>
          </w:p>
        </w:tc>
        <w:tc>
          <w:tcPr>
            <w:tcW w:w="679" w:type="dxa"/>
            <w:vAlign w:val="top"/>
          </w:tcPr>
          <w:p w14:paraId="3ADDAB7A">
            <w:pPr>
              <w:rPr>
                <w:rFonts w:ascii="Arial"/>
                <w:sz w:val="21"/>
              </w:rPr>
            </w:pPr>
          </w:p>
        </w:tc>
        <w:tc>
          <w:tcPr>
            <w:tcW w:w="679" w:type="dxa"/>
            <w:vAlign w:val="top"/>
          </w:tcPr>
          <w:p w14:paraId="456A0C31">
            <w:pPr>
              <w:rPr>
                <w:rFonts w:ascii="Arial"/>
                <w:sz w:val="21"/>
              </w:rPr>
            </w:pPr>
          </w:p>
        </w:tc>
        <w:tc>
          <w:tcPr>
            <w:tcW w:w="681" w:type="dxa"/>
            <w:vAlign w:val="top"/>
          </w:tcPr>
          <w:p w14:paraId="470BEE64">
            <w:pPr>
              <w:rPr>
                <w:rFonts w:ascii="Arial"/>
                <w:sz w:val="21"/>
              </w:rPr>
            </w:pPr>
          </w:p>
        </w:tc>
        <w:tc>
          <w:tcPr>
            <w:tcW w:w="679" w:type="dxa"/>
            <w:vAlign w:val="top"/>
          </w:tcPr>
          <w:p w14:paraId="03726C45">
            <w:pPr>
              <w:rPr>
                <w:rFonts w:ascii="Arial"/>
                <w:sz w:val="21"/>
              </w:rPr>
            </w:pPr>
          </w:p>
        </w:tc>
        <w:tc>
          <w:tcPr>
            <w:tcW w:w="679" w:type="dxa"/>
            <w:vAlign w:val="top"/>
          </w:tcPr>
          <w:p w14:paraId="1BA9EA6A">
            <w:pPr>
              <w:rPr>
                <w:rFonts w:ascii="Arial"/>
                <w:sz w:val="21"/>
              </w:rPr>
            </w:pPr>
          </w:p>
        </w:tc>
        <w:tc>
          <w:tcPr>
            <w:tcW w:w="681" w:type="dxa"/>
            <w:vAlign w:val="top"/>
          </w:tcPr>
          <w:p w14:paraId="23B097F0">
            <w:pPr>
              <w:rPr>
                <w:rFonts w:ascii="Arial"/>
                <w:sz w:val="21"/>
              </w:rPr>
            </w:pPr>
          </w:p>
        </w:tc>
        <w:tc>
          <w:tcPr>
            <w:tcW w:w="679" w:type="dxa"/>
            <w:vAlign w:val="top"/>
          </w:tcPr>
          <w:p w14:paraId="7B1AD890">
            <w:pPr>
              <w:rPr>
                <w:rFonts w:ascii="Arial"/>
                <w:sz w:val="21"/>
              </w:rPr>
            </w:pPr>
          </w:p>
        </w:tc>
        <w:tc>
          <w:tcPr>
            <w:tcW w:w="679" w:type="dxa"/>
            <w:vAlign w:val="top"/>
          </w:tcPr>
          <w:p w14:paraId="14FC7054">
            <w:pPr>
              <w:rPr>
                <w:rFonts w:ascii="Arial"/>
                <w:sz w:val="21"/>
              </w:rPr>
            </w:pPr>
          </w:p>
        </w:tc>
        <w:tc>
          <w:tcPr>
            <w:tcW w:w="682" w:type="dxa"/>
            <w:vAlign w:val="top"/>
          </w:tcPr>
          <w:p w14:paraId="39EB6777">
            <w:pPr>
              <w:rPr>
                <w:rFonts w:ascii="Arial"/>
                <w:sz w:val="21"/>
              </w:rPr>
            </w:pPr>
          </w:p>
        </w:tc>
        <w:tc>
          <w:tcPr>
            <w:tcW w:w="1060" w:type="dxa"/>
            <w:vMerge w:val="continue"/>
            <w:tcBorders>
              <w:top w:val="nil"/>
            </w:tcBorders>
            <w:vAlign w:val="top"/>
          </w:tcPr>
          <w:p w14:paraId="4974FB4F">
            <w:pPr>
              <w:rPr>
                <w:rFonts w:ascii="Arial"/>
                <w:sz w:val="21"/>
              </w:rPr>
            </w:pPr>
          </w:p>
        </w:tc>
      </w:tr>
      <w:tr w14:paraId="5E046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282916A4">
            <w:pPr>
              <w:pStyle w:val="11"/>
              <w:spacing w:before="179" w:line="242" w:lineRule="auto"/>
              <w:ind w:left="244"/>
            </w:pPr>
            <w:r>
              <w:t>1</w:t>
            </w:r>
          </w:p>
        </w:tc>
        <w:tc>
          <w:tcPr>
            <w:tcW w:w="1168" w:type="dxa"/>
            <w:vAlign w:val="top"/>
          </w:tcPr>
          <w:p w14:paraId="70B7D513">
            <w:pPr>
              <w:rPr>
                <w:rFonts w:ascii="Arial"/>
                <w:sz w:val="21"/>
              </w:rPr>
            </w:pPr>
          </w:p>
        </w:tc>
        <w:tc>
          <w:tcPr>
            <w:tcW w:w="679" w:type="dxa"/>
            <w:vAlign w:val="top"/>
          </w:tcPr>
          <w:p w14:paraId="2A483C07">
            <w:pPr>
              <w:rPr>
                <w:rFonts w:ascii="Arial"/>
                <w:sz w:val="21"/>
              </w:rPr>
            </w:pPr>
          </w:p>
        </w:tc>
        <w:tc>
          <w:tcPr>
            <w:tcW w:w="679" w:type="dxa"/>
            <w:vAlign w:val="top"/>
          </w:tcPr>
          <w:p w14:paraId="1317BB14">
            <w:pPr>
              <w:rPr>
                <w:rFonts w:ascii="Arial"/>
                <w:sz w:val="21"/>
              </w:rPr>
            </w:pPr>
          </w:p>
        </w:tc>
        <w:tc>
          <w:tcPr>
            <w:tcW w:w="681" w:type="dxa"/>
            <w:vAlign w:val="top"/>
          </w:tcPr>
          <w:p w14:paraId="72CA2DA1">
            <w:pPr>
              <w:rPr>
                <w:rFonts w:ascii="Arial"/>
                <w:sz w:val="21"/>
              </w:rPr>
            </w:pPr>
          </w:p>
        </w:tc>
        <w:tc>
          <w:tcPr>
            <w:tcW w:w="679" w:type="dxa"/>
            <w:vAlign w:val="top"/>
          </w:tcPr>
          <w:p w14:paraId="6C741B32">
            <w:pPr>
              <w:rPr>
                <w:rFonts w:ascii="Arial"/>
                <w:sz w:val="21"/>
              </w:rPr>
            </w:pPr>
          </w:p>
        </w:tc>
        <w:tc>
          <w:tcPr>
            <w:tcW w:w="679" w:type="dxa"/>
            <w:vAlign w:val="top"/>
          </w:tcPr>
          <w:p w14:paraId="11176999">
            <w:pPr>
              <w:rPr>
                <w:rFonts w:ascii="Arial"/>
                <w:sz w:val="21"/>
              </w:rPr>
            </w:pPr>
          </w:p>
        </w:tc>
        <w:tc>
          <w:tcPr>
            <w:tcW w:w="681" w:type="dxa"/>
            <w:vAlign w:val="top"/>
          </w:tcPr>
          <w:p w14:paraId="0935005C">
            <w:pPr>
              <w:rPr>
                <w:rFonts w:ascii="Arial"/>
                <w:sz w:val="21"/>
              </w:rPr>
            </w:pPr>
          </w:p>
        </w:tc>
        <w:tc>
          <w:tcPr>
            <w:tcW w:w="679" w:type="dxa"/>
            <w:vAlign w:val="top"/>
          </w:tcPr>
          <w:p w14:paraId="03178ADB">
            <w:pPr>
              <w:rPr>
                <w:rFonts w:ascii="Arial"/>
                <w:sz w:val="21"/>
              </w:rPr>
            </w:pPr>
          </w:p>
        </w:tc>
        <w:tc>
          <w:tcPr>
            <w:tcW w:w="679" w:type="dxa"/>
            <w:vAlign w:val="top"/>
          </w:tcPr>
          <w:p w14:paraId="1E1BAD59">
            <w:pPr>
              <w:rPr>
                <w:rFonts w:ascii="Arial"/>
                <w:sz w:val="21"/>
              </w:rPr>
            </w:pPr>
          </w:p>
        </w:tc>
        <w:tc>
          <w:tcPr>
            <w:tcW w:w="682" w:type="dxa"/>
            <w:vAlign w:val="top"/>
          </w:tcPr>
          <w:p w14:paraId="6619BF24">
            <w:pPr>
              <w:rPr>
                <w:rFonts w:ascii="Arial"/>
                <w:sz w:val="21"/>
              </w:rPr>
            </w:pPr>
          </w:p>
        </w:tc>
        <w:tc>
          <w:tcPr>
            <w:tcW w:w="1060" w:type="dxa"/>
            <w:vAlign w:val="top"/>
          </w:tcPr>
          <w:p w14:paraId="7B7D02BA">
            <w:pPr>
              <w:rPr>
                <w:rFonts w:ascii="Arial"/>
                <w:sz w:val="21"/>
              </w:rPr>
            </w:pPr>
          </w:p>
        </w:tc>
      </w:tr>
      <w:tr w14:paraId="3D76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435A206B">
            <w:pPr>
              <w:pStyle w:val="11"/>
              <w:spacing w:before="177" w:line="242" w:lineRule="auto"/>
              <w:ind w:left="231"/>
            </w:pPr>
            <w:r>
              <w:t>2</w:t>
            </w:r>
          </w:p>
        </w:tc>
        <w:tc>
          <w:tcPr>
            <w:tcW w:w="1168" w:type="dxa"/>
            <w:vAlign w:val="top"/>
          </w:tcPr>
          <w:p w14:paraId="42B39EA7">
            <w:pPr>
              <w:rPr>
                <w:rFonts w:ascii="Arial"/>
                <w:sz w:val="21"/>
              </w:rPr>
            </w:pPr>
          </w:p>
        </w:tc>
        <w:tc>
          <w:tcPr>
            <w:tcW w:w="679" w:type="dxa"/>
            <w:vAlign w:val="top"/>
          </w:tcPr>
          <w:p w14:paraId="337EDAAF">
            <w:pPr>
              <w:rPr>
                <w:rFonts w:ascii="Arial"/>
                <w:sz w:val="21"/>
              </w:rPr>
            </w:pPr>
          </w:p>
        </w:tc>
        <w:tc>
          <w:tcPr>
            <w:tcW w:w="679" w:type="dxa"/>
            <w:vAlign w:val="top"/>
          </w:tcPr>
          <w:p w14:paraId="1A5B355C">
            <w:pPr>
              <w:rPr>
                <w:rFonts w:ascii="Arial"/>
                <w:sz w:val="21"/>
              </w:rPr>
            </w:pPr>
          </w:p>
        </w:tc>
        <w:tc>
          <w:tcPr>
            <w:tcW w:w="681" w:type="dxa"/>
            <w:vAlign w:val="top"/>
          </w:tcPr>
          <w:p w14:paraId="786AE70C">
            <w:pPr>
              <w:rPr>
                <w:rFonts w:ascii="Arial"/>
                <w:sz w:val="21"/>
              </w:rPr>
            </w:pPr>
          </w:p>
        </w:tc>
        <w:tc>
          <w:tcPr>
            <w:tcW w:w="679" w:type="dxa"/>
            <w:vAlign w:val="top"/>
          </w:tcPr>
          <w:p w14:paraId="2DAA114A">
            <w:pPr>
              <w:rPr>
                <w:rFonts w:ascii="Arial"/>
                <w:sz w:val="21"/>
              </w:rPr>
            </w:pPr>
          </w:p>
        </w:tc>
        <w:tc>
          <w:tcPr>
            <w:tcW w:w="679" w:type="dxa"/>
            <w:vAlign w:val="top"/>
          </w:tcPr>
          <w:p w14:paraId="128CB6A8">
            <w:pPr>
              <w:rPr>
                <w:rFonts w:ascii="Arial"/>
                <w:sz w:val="21"/>
              </w:rPr>
            </w:pPr>
          </w:p>
        </w:tc>
        <w:tc>
          <w:tcPr>
            <w:tcW w:w="681" w:type="dxa"/>
            <w:vAlign w:val="top"/>
          </w:tcPr>
          <w:p w14:paraId="0B0E6943">
            <w:pPr>
              <w:rPr>
                <w:rFonts w:ascii="Arial"/>
                <w:sz w:val="21"/>
              </w:rPr>
            </w:pPr>
          </w:p>
        </w:tc>
        <w:tc>
          <w:tcPr>
            <w:tcW w:w="679" w:type="dxa"/>
            <w:vAlign w:val="top"/>
          </w:tcPr>
          <w:p w14:paraId="340AB305">
            <w:pPr>
              <w:rPr>
                <w:rFonts w:ascii="Arial"/>
                <w:sz w:val="21"/>
              </w:rPr>
            </w:pPr>
          </w:p>
        </w:tc>
        <w:tc>
          <w:tcPr>
            <w:tcW w:w="679" w:type="dxa"/>
            <w:vAlign w:val="top"/>
          </w:tcPr>
          <w:p w14:paraId="4306882F">
            <w:pPr>
              <w:rPr>
                <w:rFonts w:ascii="Arial"/>
                <w:sz w:val="21"/>
              </w:rPr>
            </w:pPr>
          </w:p>
        </w:tc>
        <w:tc>
          <w:tcPr>
            <w:tcW w:w="682" w:type="dxa"/>
            <w:vAlign w:val="top"/>
          </w:tcPr>
          <w:p w14:paraId="442BF926">
            <w:pPr>
              <w:rPr>
                <w:rFonts w:ascii="Arial"/>
                <w:sz w:val="21"/>
              </w:rPr>
            </w:pPr>
          </w:p>
        </w:tc>
        <w:tc>
          <w:tcPr>
            <w:tcW w:w="1060" w:type="dxa"/>
            <w:vAlign w:val="top"/>
          </w:tcPr>
          <w:p w14:paraId="47C5E51A">
            <w:pPr>
              <w:rPr>
                <w:rFonts w:ascii="Arial"/>
                <w:sz w:val="21"/>
              </w:rPr>
            </w:pPr>
          </w:p>
        </w:tc>
      </w:tr>
      <w:tr w14:paraId="52A5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605BE559">
            <w:pPr>
              <w:pStyle w:val="11"/>
              <w:spacing w:before="180" w:line="241" w:lineRule="auto"/>
              <w:ind w:left="233"/>
            </w:pPr>
            <w:r>
              <w:t>3</w:t>
            </w:r>
          </w:p>
        </w:tc>
        <w:tc>
          <w:tcPr>
            <w:tcW w:w="1168" w:type="dxa"/>
            <w:vAlign w:val="top"/>
          </w:tcPr>
          <w:p w14:paraId="6E4AD2F9">
            <w:pPr>
              <w:rPr>
                <w:rFonts w:ascii="Arial"/>
                <w:sz w:val="21"/>
              </w:rPr>
            </w:pPr>
          </w:p>
        </w:tc>
        <w:tc>
          <w:tcPr>
            <w:tcW w:w="679" w:type="dxa"/>
            <w:vAlign w:val="top"/>
          </w:tcPr>
          <w:p w14:paraId="5D77EE18">
            <w:pPr>
              <w:rPr>
                <w:rFonts w:ascii="Arial"/>
                <w:sz w:val="21"/>
              </w:rPr>
            </w:pPr>
          </w:p>
        </w:tc>
        <w:tc>
          <w:tcPr>
            <w:tcW w:w="679" w:type="dxa"/>
            <w:vAlign w:val="top"/>
          </w:tcPr>
          <w:p w14:paraId="4E3AD27E">
            <w:pPr>
              <w:rPr>
                <w:rFonts w:ascii="Arial"/>
                <w:sz w:val="21"/>
              </w:rPr>
            </w:pPr>
          </w:p>
        </w:tc>
        <w:tc>
          <w:tcPr>
            <w:tcW w:w="681" w:type="dxa"/>
            <w:vAlign w:val="top"/>
          </w:tcPr>
          <w:p w14:paraId="72E9A9D5">
            <w:pPr>
              <w:rPr>
                <w:rFonts w:ascii="Arial"/>
                <w:sz w:val="21"/>
              </w:rPr>
            </w:pPr>
          </w:p>
        </w:tc>
        <w:tc>
          <w:tcPr>
            <w:tcW w:w="679" w:type="dxa"/>
            <w:vAlign w:val="top"/>
          </w:tcPr>
          <w:p w14:paraId="3E503BC7">
            <w:pPr>
              <w:rPr>
                <w:rFonts w:ascii="Arial"/>
                <w:sz w:val="21"/>
              </w:rPr>
            </w:pPr>
          </w:p>
        </w:tc>
        <w:tc>
          <w:tcPr>
            <w:tcW w:w="679" w:type="dxa"/>
            <w:vAlign w:val="top"/>
          </w:tcPr>
          <w:p w14:paraId="71C46BCE">
            <w:pPr>
              <w:rPr>
                <w:rFonts w:ascii="Arial"/>
                <w:sz w:val="21"/>
              </w:rPr>
            </w:pPr>
          </w:p>
        </w:tc>
        <w:tc>
          <w:tcPr>
            <w:tcW w:w="681" w:type="dxa"/>
            <w:vAlign w:val="top"/>
          </w:tcPr>
          <w:p w14:paraId="22B3C56C">
            <w:pPr>
              <w:rPr>
                <w:rFonts w:ascii="Arial"/>
                <w:sz w:val="21"/>
              </w:rPr>
            </w:pPr>
          </w:p>
        </w:tc>
        <w:tc>
          <w:tcPr>
            <w:tcW w:w="679" w:type="dxa"/>
            <w:vAlign w:val="top"/>
          </w:tcPr>
          <w:p w14:paraId="4AE8DC96">
            <w:pPr>
              <w:rPr>
                <w:rFonts w:ascii="Arial"/>
                <w:sz w:val="21"/>
              </w:rPr>
            </w:pPr>
          </w:p>
        </w:tc>
        <w:tc>
          <w:tcPr>
            <w:tcW w:w="679" w:type="dxa"/>
            <w:vAlign w:val="top"/>
          </w:tcPr>
          <w:p w14:paraId="17C35032">
            <w:pPr>
              <w:rPr>
                <w:rFonts w:ascii="Arial"/>
                <w:sz w:val="21"/>
              </w:rPr>
            </w:pPr>
          </w:p>
        </w:tc>
        <w:tc>
          <w:tcPr>
            <w:tcW w:w="682" w:type="dxa"/>
            <w:vAlign w:val="top"/>
          </w:tcPr>
          <w:p w14:paraId="6A9CF711">
            <w:pPr>
              <w:rPr>
                <w:rFonts w:ascii="Arial"/>
                <w:sz w:val="21"/>
              </w:rPr>
            </w:pPr>
          </w:p>
        </w:tc>
        <w:tc>
          <w:tcPr>
            <w:tcW w:w="1060" w:type="dxa"/>
            <w:vAlign w:val="top"/>
          </w:tcPr>
          <w:p w14:paraId="0391741F">
            <w:pPr>
              <w:rPr>
                <w:rFonts w:ascii="Arial"/>
                <w:sz w:val="21"/>
              </w:rPr>
            </w:pPr>
          </w:p>
        </w:tc>
      </w:tr>
      <w:tr w14:paraId="44435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6C32E6E5">
            <w:pPr>
              <w:pStyle w:val="11"/>
              <w:spacing w:before="180" w:line="242" w:lineRule="auto"/>
              <w:ind w:left="227"/>
            </w:pPr>
            <w:r>
              <w:t>4</w:t>
            </w:r>
          </w:p>
        </w:tc>
        <w:tc>
          <w:tcPr>
            <w:tcW w:w="1168" w:type="dxa"/>
            <w:vAlign w:val="top"/>
          </w:tcPr>
          <w:p w14:paraId="683A887C">
            <w:pPr>
              <w:rPr>
                <w:rFonts w:ascii="Arial"/>
                <w:sz w:val="21"/>
              </w:rPr>
            </w:pPr>
          </w:p>
        </w:tc>
        <w:tc>
          <w:tcPr>
            <w:tcW w:w="679" w:type="dxa"/>
            <w:vAlign w:val="top"/>
          </w:tcPr>
          <w:p w14:paraId="53BEC61B">
            <w:pPr>
              <w:rPr>
                <w:rFonts w:ascii="Arial"/>
                <w:sz w:val="21"/>
              </w:rPr>
            </w:pPr>
          </w:p>
        </w:tc>
        <w:tc>
          <w:tcPr>
            <w:tcW w:w="679" w:type="dxa"/>
            <w:vAlign w:val="top"/>
          </w:tcPr>
          <w:p w14:paraId="43AB4773">
            <w:pPr>
              <w:rPr>
                <w:rFonts w:ascii="Arial"/>
                <w:sz w:val="21"/>
              </w:rPr>
            </w:pPr>
          </w:p>
        </w:tc>
        <w:tc>
          <w:tcPr>
            <w:tcW w:w="681" w:type="dxa"/>
            <w:vAlign w:val="top"/>
          </w:tcPr>
          <w:p w14:paraId="7ADFA3AA">
            <w:pPr>
              <w:rPr>
                <w:rFonts w:ascii="Arial"/>
                <w:sz w:val="21"/>
              </w:rPr>
            </w:pPr>
          </w:p>
        </w:tc>
        <w:tc>
          <w:tcPr>
            <w:tcW w:w="679" w:type="dxa"/>
            <w:vAlign w:val="top"/>
          </w:tcPr>
          <w:p w14:paraId="3D771A1E">
            <w:pPr>
              <w:rPr>
                <w:rFonts w:ascii="Arial"/>
                <w:sz w:val="21"/>
              </w:rPr>
            </w:pPr>
          </w:p>
        </w:tc>
        <w:tc>
          <w:tcPr>
            <w:tcW w:w="679" w:type="dxa"/>
            <w:vAlign w:val="top"/>
          </w:tcPr>
          <w:p w14:paraId="1198E84B">
            <w:pPr>
              <w:rPr>
                <w:rFonts w:ascii="Arial"/>
                <w:sz w:val="21"/>
              </w:rPr>
            </w:pPr>
          </w:p>
        </w:tc>
        <w:tc>
          <w:tcPr>
            <w:tcW w:w="681" w:type="dxa"/>
            <w:vAlign w:val="top"/>
          </w:tcPr>
          <w:p w14:paraId="171AE39D">
            <w:pPr>
              <w:rPr>
                <w:rFonts w:ascii="Arial"/>
                <w:sz w:val="21"/>
              </w:rPr>
            </w:pPr>
          </w:p>
        </w:tc>
        <w:tc>
          <w:tcPr>
            <w:tcW w:w="679" w:type="dxa"/>
            <w:vAlign w:val="top"/>
          </w:tcPr>
          <w:p w14:paraId="4D5F62BC">
            <w:pPr>
              <w:rPr>
                <w:rFonts w:ascii="Arial"/>
                <w:sz w:val="21"/>
              </w:rPr>
            </w:pPr>
          </w:p>
        </w:tc>
        <w:tc>
          <w:tcPr>
            <w:tcW w:w="679" w:type="dxa"/>
            <w:vAlign w:val="top"/>
          </w:tcPr>
          <w:p w14:paraId="29DFDC2B">
            <w:pPr>
              <w:rPr>
                <w:rFonts w:ascii="Arial"/>
                <w:sz w:val="21"/>
              </w:rPr>
            </w:pPr>
          </w:p>
        </w:tc>
        <w:tc>
          <w:tcPr>
            <w:tcW w:w="682" w:type="dxa"/>
            <w:vAlign w:val="top"/>
          </w:tcPr>
          <w:p w14:paraId="062E3662">
            <w:pPr>
              <w:rPr>
                <w:rFonts w:ascii="Arial"/>
                <w:sz w:val="21"/>
              </w:rPr>
            </w:pPr>
          </w:p>
        </w:tc>
        <w:tc>
          <w:tcPr>
            <w:tcW w:w="1060" w:type="dxa"/>
            <w:vAlign w:val="top"/>
          </w:tcPr>
          <w:p w14:paraId="44289275">
            <w:pPr>
              <w:rPr>
                <w:rFonts w:ascii="Arial"/>
                <w:sz w:val="21"/>
              </w:rPr>
            </w:pPr>
          </w:p>
        </w:tc>
      </w:tr>
      <w:tr w14:paraId="3430C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52" w:type="dxa"/>
            <w:vAlign w:val="top"/>
          </w:tcPr>
          <w:p w14:paraId="0CE9EA79">
            <w:pPr>
              <w:pStyle w:val="11"/>
              <w:spacing w:before="178" w:line="241" w:lineRule="auto"/>
              <w:ind w:left="233"/>
            </w:pPr>
            <w:r>
              <w:t>5</w:t>
            </w:r>
          </w:p>
        </w:tc>
        <w:tc>
          <w:tcPr>
            <w:tcW w:w="1168" w:type="dxa"/>
            <w:vAlign w:val="top"/>
          </w:tcPr>
          <w:p w14:paraId="5C9F91C8">
            <w:pPr>
              <w:rPr>
                <w:rFonts w:ascii="Arial"/>
                <w:sz w:val="21"/>
              </w:rPr>
            </w:pPr>
          </w:p>
        </w:tc>
        <w:tc>
          <w:tcPr>
            <w:tcW w:w="679" w:type="dxa"/>
            <w:vAlign w:val="top"/>
          </w:tcPr>
          <w:p w14:paraId="71DFAD50">
            <w:pPr>
              <w:rPr>
                <w:rFonts w:ascii="Arial"/>
                <w:sz w:val="21"/>
              </w:rPr>
            </w:pPr>
          </w:p>
        </w:tc>
        <w:tc>
          <w:tcPr>
            <w:tcW w:w="679" w:type="dxa"/>
            <w:vAlign w:val="top"/>
          </w:tcPr>
          <w:p w14:paraId="5685BE17">
            <w:pPr>
              <w:rPr>
                <w:rFonts w:ascii="Arial"/>
                <w:sz w:val="21"/>
              </w:rPr>
            </w:pPr>
          </w:p>
        </w:tc>
        <w:tc>
          <w:tcPr>
            <w:tcW w:w="681" w:type="dxa"/>
            <w:vAlign w:val="top"/>
          </w:tcPr>
          <w:p w14:paraId="5BFA7CEE">
            <w:pPr>
              <w:rPr>
                <w:rFonts w:ascii="Arial"/>
                <w:sz w:val="21"/>
              </w:rPr>
            </w:pPr>
          </w:p>
        </w:tc>
        <w:tc>
          <w:tcPr>
            <w:tcW w:w="679" w:type="dxa"/>
            <w:vAlign w:val="top"/>
          </w:tcPr>
          <w:p w14:paraId="35D124A8">
            <w:pPr>
              <w:rPr>
                <w:rFonts w:ascii="Arial"/>
                <w:sz w:val="21"/>
              </w:rPr>
            </w:pPr>
          </w:p>
        </w:tc>
        <w:tc>
          <w:tcPr>
            <w:tcW w:w="679" w:type="dxa"/>
            <w:vAlign w:val="top"/>
          </w:tcPr>
          <w:p w14:paraId="08B3E93B">
            <w:pPr>
              <w:rPr>
                <w:rFonts w:ascii="Arial"/>
                <w:sz w:val="21"/>
              </w:rPr>
            </w:pPr>
          </w:p>
        </w:tc>
        <w:tc>
          <w:tcPr>
            <w:tcW w:w="681" w:type="dxa"/>
            <w:vAlign w:val="top"/>
          </w:tcPr>
          <w:p w14:paraId="0909328D">
            <w:pPr>
              <w:rPr>
                <w:rFonts w:ascii="Arial"/>
                <w:sz w:val="21"/>
              </w:rPr>
            </w:pPr>
          </w:p>
        </w:tc>
        <w:tc>
          <w:tcPr>
            <w:tcW w:w="679" w:type="dxa"/>
            <w:vAlign w:val="top"/>
          </w:tcPr>
          <w:p w14:paraId="6E9F70CC">
            <w:pPr>
              <w:rPr>
                <w:rFonts w:ascii="Arial"/>
                <w:sz w:val="21"/>
              </w:rPr>
            </w:pPr>
          </w:p>
        </w:tc>
        <w:tc>
          <w:tcPr>
            <w:tcW w:w="679" w:type="dxa"/>
            <w:vAlign w:val="top"/>
          </w:tcPr>
          <w:p w14:paraId="4F9028C7">
            <w:pPr>
              <w:rPr>
                <w:rFonts w:ascii="Arial"/>
                <w:sz w:val="21"/>
              </w:rPr>
            </w:pPr>
          </w:p>
        </w:tc>
        <w:tc>
          <w:tcPr>
            <w:tcW w:w="682" w:type="dxa"/>
            <w:vAlign w:val="top"/>
          </w:tcPr>
          <w:p w14:paraId="31509A29">
            <w:pPr>
              <w:rPr>
                <w:rFonts w:ascii="Arial"/>
                <w:sz w:val="21"/>
              </w:rPr>
            </w:pPr>
          </w:p>
        </w:tc>
        <w:tc>
          <w:tcPr>
            <w:tcW w:w="1060" w:type="dxa"/>
            <w:vAlign w:val="top"/>
          </w:tcPr>
          <w:p w14:paraId="1661EE64">
            <w:pPr>
              <w:rPr>
                <w:rFonts w:ascii="Arial"/>
                <w:sz w:val="21"/>
              </w:rPr>
            </w:pPr>
          </w:p>
        </w:tc>
      </w:tr>
      <w:tr w14:paraId="0828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52" w:type="dxa"/>
            <w:vAlign w:val="top"/>
          </w:tcPr>
          <w:p w14:paraId="4E842351">
            <w:pPr>
              <w:pStyle w:val="11"/>
              <w:spacing w:before="180" w:line="241" w:lineRule="auto"/>
              <w:ind w:left="230"/>
            </w:pPr>
            <w:r>
              <w:t>6</w:t>
            </w:r>
          </w:p>
        </w:tc>
        <w:tc>
          <w:tcPr>
            <w:tcW w:w="1168" w:type="dxa"/>
            <w:vAlign w:val="top"/>
          </w:tcPr>
          <w:p w14:paraId="00E8CEE6">
            <w:pPr>
              <w:rPr>
                <w:rFonts w:ascii="Arial"/>
                <w:sz w:val="21"/>
              </w:rPr>
            </w:pPr>
          </w:p>
        </w:tc>
        <w:tc>
          <w:tcPr>
            <w:tcW w:w="679" w:type="dxa"/>
            <w:vAlign w:val="top"/>
          </w:tcPr>
          <w:p w14:paraId="52D84679">
            <w:pPr>
              <w:rPr>
                <w:rFonts w:ascii="Arial"/>
                <w:sz w:val="21"/>
              </w:rPr>
            </w:pPr>
          </w:p>
        </w:tc>
        <w:tc>
          <w:tcPr>
            <w:tcW w:w="679" w:type="dxa"/>
            <w:vAlign w:val="top"/>
          </w:tcPr>
          <w:p w14:paraId="6B05AB17">
            <w:pPr>
              <w:rPr>
                <w:rFonts w:ascii="Arial"/>
                <w:sz w:val="21"/>
              </w:rPr>
            </w:pPr>
          </w:p>
        </w:tc>
        <w:tc>
          <w:tcPr>
            <w:tcW w:w="681" w:type="dxa"/>
            <w:vAlign w:val="top"/>
          </w:tcPr>
          <w:p w14:paraId="3232A2EF">
            <w:pPr>
              <w:rPr>
                <w:rFonts w:ascii="Arial"/>
                <w:sz w:val="21"/>
              </w:rPr>
            </w:pPr>
          </w:p>
        </w:tc>
        <w:tc>
          <w:tcPr>
            <w:tcW w:w="679" w:type="dxa"/>
            <w:vAlign w:val="top"/>
          </w:tcPr>
          <w:p w14:paraId="54E4C3C9">
            <w:pPr>
              <w:rPr>
                <w:rFonts w:ascii="Arial"/>
                <w:sz w:val="21"/>
              </w:rPr>
            </w:pPr>
          </w:p>
        </w:tc>
        <w:tc>
          <w:tcPr>
            <w:tcW w:w="679" w:type="dxa"/>
            <w:vAlign w:val="top"/>
          </w:tcPr>
          <w:p w14:paraId="530D6645">
            <w:pPr>
              <w:rPr>
                <w:rFonts w:ascii="Arial"/>
                <w:sz w:val="21"/>
              </w:rPr>
            </w:pPr>
          </w:p>
        </w:tc>
        <w:tc>
          <w:tcPr>
            <w:tcW w:w="681" w:type="dxa"/>
            <w:vAlign w:val="top"/>
          </w:tcPr>
          <w:p w14:paraId="7F1A7F0E">
            <w:pPr>
              <w:rPr>
                <w:rFonts w:ascii="Arial"/>
                <w:sz w:val="21"/>
              </w:rPr>
            </w:pPr>
          </w:p>
        </w:tc>
        <w:tc>
          <w:tcPr>
            <w:tcW w:w="679" w:type="dxa"/>
            <w:vAlign w:val="top"/>
          </w:tcPr>
          <w:p w14:paraId="334344A7">
            <w:pPr>
              <w:rPr>
                <w:rFonts w:ascii="Arial"/>
                <w:sz w:val="21"/>
              </w:rPr>
            </w:pPr>
          </w:p>
        </w:tc>
        <w:tc>
          <w:tcPr>
            <w:tcW w:w="679" w:type="dxa"/>
            <w:vAlign w:val="top"/>
          </w:tcPr>
          <w:p w14:paraId="436BA970">
            <w:pPr>
              <w:rPr>
                <w:rFonts w:ascii="Arial"/>
                <w:sz w:val="21"/>
              </w:rPr>
            </w:pPr>
          </w:p>
        </w:tc>
        <w:tc>
          <w:tcPr>
            <w:tcW w:w="682" w:type="dxa"/>
            <w:vAlign w:val="top"/>
          </w:tcPr>
          <w:p w14:paraId="604EEE47">
            <w:pPr>
              <w:rPr>
                <w:rFonts w:ascii="Arial"/>
                <w:sz w:val="21"/>
              </w:rPr>
            </w:pPr>
          </w:p>
        </w:tc>
        <w:tc>
          <w:tcPr>
            <w:tcW w:w="1060" w:type="dxa"/>
            <w:vAlign w:val="top"/>
          </w:tcPr>
          <w:p w14:paraId="0D14936C">
            <w:pPr>
              <w:rPr>
                <w:rFonts w:ascii="Arial"/>
                <w:sz w:val="21"/>
              </w:rPr>
            </w:pPr>
          </w:p>
        </w:tc>
      </w:tr>
      <w:tr w14:paraId="59D8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52" w:type="dxa"/>
            <w:vAlign w:val="top"/>
          </w:tcPr>
          <w:p w14:paraId="47A53226">
            <w:pPr>
              <w:pStyle w:val="11"/>
              <w:spacing w:before="179" w:line="332" w:lineRule="exact"/>
              <w:ind w:left="189"/>
            </w:pPr>
            <w:r>
              <w:rPr>
                <w:position w:val="2"/>
              </w:rPr>
              <w:t>…</w:t>
            </w:r>
          </w:p>
        </w:tc>
        <w:tc>
          <w:tcPr>
            <w:tcW w:w="1168" w:type="dxa"/>
            <w:vAlign w:val="top"/>
          </w:tcPr>
          <w:p w14:paraId="78189163">
            <w:pPr>
              <w:rPr>
                <w:rFonts w:ascii="Arial"/>
                <w:sz w:val="21"/>
              </w:rPr>
            </w:pPr>
          </w:p>
        </w:tc>
        <w:tc>
          <w:tcPr>
            <w:tcW w:w="679" w:type="dxa"/>
            <w:vAlign w:val="top"/>
          </w:tcPr>
          <w:p w14:paraId="206C0B73">
            <w:pPr>
              <w:rPr>
                <w:rFonts w:ascii="Arial"/>
                <w:sz w:val="21"/>
              </w:rPr>
            </w:pPr>
          </w:p>
        </w:tc>
        <w:tc>
          <w:tcPr>
            <w:tcW w:w="679" w:type="dxa"/>
            <w:vAlign w:val="top"/>
          </w:tcPr>
          <w:p w14:paraId="17799CBB">
            <w:pPr>
              <w:rPr>
                <w:rFonts w:ascii="Arial"/>
                <w:sz w:val="21"/>
              </w:rPr>
            </w:pPr>
          </w:p>
        </w:tc>
        <w:tc>
          <w:tcPr>
            <w:tcW w:w="681" w:type="dxa"/>
            <w:vAlign w:val="top"/>
          </w:tcPr>
          <w:p w14:paraId="135F4340">
            <w:pPr>
              <w:rPr>
                <w:rFonts w:ascii="Arial"/>
                <w:sz w:val="21"/>
              </w:rPr>
            </w:pPr>
          </w:p>
        </w:tc>
        <w:tc>
          <w:tcPr>
            <w:tcW w:w="679" w:type="dxa"/>
            <w:vAlign w:val="top"/>
          </w:tcPr>
          <w:p w14:paraId="5A7AADC0">
            <w:pPr>
              <w:rPr>
                <w:rFonts w:ascii="Arial"/>
                <w:sz w:val="21"/>
              </w:rPr>
            </w:pPr>
          </w:p>
        </w:tc>
        <w:tc>
          <w:tcPr>
            <w:tcW w:w="679" w:type="dxa"/>
            <w:vAlign w:val="top"/>
          </w:tcPr>
          <w:p w14:paraId="223154CC">
            <w:pPr>
              <w:rPr>
                <w:rFonts w:ascii="Arial"/>
                <w:sz w:val="21"/>
              </w:rPr>
            </w:pPr>
          </w:p>
        </w:tc>
        <w:tc>
          <w:tcPr>
            <w:tcW w:w="681" w:type="dxa"/>
            <w:vAlign w:val="top"/>
          </w:tcPr>
          <w:p w14:paraId="64D9BEE6">
            <w:pPr>
              <w:rPr>
                <w:rFonts w:ascii="Arial"/>
                <w:sz w:val="21"/>
              </w:rPr>
            </w:pPr>
          </w:p>
        </w:tc>
        <w:tc>
          <w:tcPr>
            <w:tcW w:w="679" w:type="dxa"/>
            <w:vAlign w:val="top"/>
          </w:tcPr>
          <w:p w14:paraId="63303A7D">
            <w:pPr>
              <w:rPr>
                <w:rFonts w:ascii="Arial"/>
                <w:sz w:val="21"/>
              </w:rPr>
            </w:pPr>
          </w:p>
        </w:tc>
        <w:tc>
          <w:tcPr>
            <w:tcW w:w="679" w:type="dxa"/>
            <w:vAlign w:val="top"/>
          </w:tcPr>
          <w:p w14:paraId="4AC03FC5">
            <w:pPr>
              <w:rPr>
                <w:rFonts w:ascii="Arial"/>
                <w:sz w:val="21"/>
              </w:rPr>
            </w:pPr>
          </w:p>
        </w:tc>
        <w:tc>
          <w:tcPr>
            <w:tcW w:w="682" w:type="dxa"/>
            <w:vAlign w:val="top"/>
          </w:tcPr>
          <w:p w14:paraId="4A25C79D">
            <w:pPr>
              <w:rPr>
                <w:rFonts w:ascii="Arial"/>
                <w:sz w:val="21"/>
              </w:rPr>
            </w:pPr>
          </w:p>
        </w:tc>
        <w:tc>
          <w:tcPr>
            <w:tcW w:w="1060" w:type="dxa"/>
            <w:vAlign w:val="top"/>
          </w:tcPr>
          <w:p w14:paraId="057F64BE">
            <w:pPr>
              <w:rPr>
                <w:rFonts w:ascii="Arial"/>
                <w:sz w:val="21"/>
              </w:rPr>
            </w:pPr>
          </w:p>
        </w:tc>
      </w:tr>
      <w:tr w14:paraId="380E9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898" w:type="dxa"/>
            <w:gridSpan w:val="12"/>
            <w:vAlign w:val="top"/>
          </w:tcPr>
          <w:p w14:paraId="7FB1CAD6">
            <w:pPr>
              <w:pStyle w:val="11"/>
              <w:spacing w:before="33" w:line="220" w:lineRule="auto"/>
              <w:ind w:left="115"/>
            </w:pPr>
            <w:r>
              <w:rPr>
                <w:spacing w:val="-1"/>
              </w:rPr>
              <w:t>评标委员会全体成员签名：</w:t>
            </w:r>
          </w:p>
        </w:tc>
      </w:tr>
    </w:tbl>
    <w:p w14:paraId="4090F10A">
      <w:pPr>
        <w:spacing w:before="139" w:line="221" w:lineRule="auto"/>
        <w:ind w:left="6242"/>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00B70E24">
      <w:pPr>
        <w:spacing w:line="221" w:lineRule="auto"/>
        <w:rPr>
          <w:rFonts w:ascii="宋体" w:hAnsi="宋体" w:eastAsia="宋体" w:cs="宋体"/>
          <w:sz w:val="21"/>
          <w:szCs w:val="21"/>
        </w:rPr>
        <w:sectPr>
          <w:footerReference r:id="rId71" w:type="default"/>
          <w:pgSz w:w="11905" w:h="16843"/>
          <w:pgMar w:top="969" w:right="1355" w:bottom="1026" w:left="1480" w:header="0" w:footer="754" w:gutter="0"/>
          <w:cols w:space="0" w:num="1"/>
          <w:rtlGutter w:val="0"/>
          <w:docGrid w:linePitch="0" w:charSpace="0"/>
        </w:sectPr>
      </w:pPr>
    </w:p>
    <w:p w14:paraId="498D2BF1">
      <w:pPr>
        <w:pStyle w:val="5"/>
        <w:spacing w:line="267" w:lineRule="auto"/>
      </w:pPr>
    </w:p>
    <w:p w14:paraId="6D79DA2F">
      <w:pPr>
        <w:pStyle w:val="5"/>
        <w:spacing w:line="267" w:lineRule="auto"/>
      </w:pPr>
    </w:p>
    <w:p w14:paraId="32417863">
      <w:pPr>
        <w:pStyle w:val="5"/>
        <w:spacing w:line="268" w:lineRule="auto"/>
      </w:pPr>
    </w:p>
    <w:p w14:paraId="729078CF">
      <w:pPr>
        <w:pStyle w:val="5"/>
        <w:spacing w:line="268" w:lineRule="auto"/>
      </w:pPr>
    </w:p>
    <w:p w14:paraId="32B2DA2F">
      <w:pPr>
        <w:spacing w:before="78" w:line="233" w:lineRule="auto"/>
        <w:ind w:left="252"/>
        <w:outlineLvl w:val="2"/>
        <w:rPr>
          <w:rFonts w:ascii="黑体" w:hAnsi="黑体" w:eastAsia="黑体" w:cs="黑体"/>
          <w:sz w:val="24"/>
          <w:szCs w:val="24"/>
        </w:rPr>
      </w:pPr>
      <w:bookmarkStart w:id="166" w:name="bookmark133"/>
      <w:bookmarkEnd w:id="166"/>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A-8</w:t>
      </w:r>
      <w:r>
        <w:rPr>
          <w:rFonts w:ascii="黑体" w:hAnsi="黑体" w:eastAsia="黑体" w:cs="黑体"/>
          <w:spacing w:val="-3"/>
          <w:sz w:val="24"/>
          <w:szCs w:val="24"/>
        </w:rPr>
        <w:t>：初步评审汇总记录表</w:t>
      </w:r>
    </w:p>
    <w:p w14:paraId="7998380A">
      <w:pPr>
        <w:pStyle w:val="5"/>
        <w:spacing w:line="311" w:lineRule="auto"/>
      </w:pPr>
    </w:p>
    <w:p w14:paraId="015C1835">
      <w:pPr>
        <w:pStyle w:val="5"/>
        <w:spacing w:line="311" w:lineRule="auto"/>
      </w:pPr>
    </w:p>
    <w:p w14:paraId="69E8E791">
      <w:pPr>
        <w:spacing w:before="117" w:line="219" w:lineRule="auto"/>
        <w:ind w:left="2658"/>
        <w:rPr>
          <w:rFonts w:ascii="黑体" w:hAnsi="黑体" w:eastAsia="黑体" w:cs="黑体"/>
          <w:sz w:val="36"/>
          <w:szCs w:val="36"/>
        </w:rPr>
      </w:pPr>
      <w:bookmarkStart w:id="167" w:name="bookmark526"/>
      <w:bookmarkEnd w:id="167"/>
      <w:r>
        <w:rPr>
          <w:rFonts w:ascii="黑体" w:hAnsi="黑体" w:eastAsia="黑体" w:cs="黑体"/>
          <w:spacing w:val="-2"/>
          <w:sz w:val="36"/>
          <w:szCs w:val="36"/>
        </w:rPr>
        <w:t>初步评审汇总记录表</w:t>
      </w:r>
    </w:p>
    <w:p w14:paraId="124E6288">
      <w:pPr>
        <w:spacing w:before="255" w:line="221" w:lineRule="auto"/>
        <w:ind w:left="121"/>
        <w:rPr>
          <w:rFonts w:ascii="宋体" w:hAnsi="宋体" w:eastAsia="宋体" w:cs="宋体"/>
          <w:sz w:val="21"/>
          <w:szCs w:val="21"/>
        </w:rPr>
      </w:pPr>
      <w:r>
        <w:rPr>
          <w:rFonts w:ascii="宋体" w:hAnsi="宋体" w:eastAsia="宋体" w:cs="宋体"/>
          <w:spacing w:val="-7"/>
          <w:sz w:val="21"/>
          <w:szCs w:val="21"/>
        </w:rPr>
        <w:t>标段名称：</w:t>
      </w:r>
    </w:p>
    <w:p w14:paraId="3030F62B">
      <w:pPr>
        <w:spacing w:before="20" w:line="214" w:lineRule="auto"/>
        <w:ind w:left="121"/>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单位：人民币元</w:t>
      </w:r>
    </w:p>
    <w:tbl>
      <w:tblPr>
        <w:tblStyle w:val="10"/>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95"/>
        <w:gridCol w:w="998"/>
        <w:gridCol w:w="995"/>
        <w:gridCol w:w="1080"/>
        <w:gridCol w:w="1991"/>
        <w:gridCol w:w="874"/>
        <w:gridCol w:w="861"/>
      </w:tblGrid>
      <w:tr w14:paraId="0E9C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26" w:type="dxa"/>
            <w:textDirection w:val="tbRlV"/>
            <w:vAlign w:val="top"/>
          </w:tcPr>
          <w:p w14:paraId="65DF5637">
            <w:pPr>
              <w:pStyle w:val="11"/>
              <w:spacing w:before="205" w:line="211" w:lineRule="auto"/>
              <w:ind w:left="34"/>
            </w:pPr>
            <w:r>
              <w:rPr>
                <w:spacing w:val="31"/>
              </w:rPr>
              <w:t>序号</w:t>
            </w:r>
          </w:p>
        </w:tc>
        <w:tc>
          <w:tcPr>
            <w:tcW w:w="995" w:type="dxa"/>
            <w:vAlign w:val="top"/>
          </w:tcPr>
          <w:p w14:paraId="77BB20E7">
            <w:pPr>
              <w:pStyle w:val="11"/>
              <w:spacing w:before="34" w:line="224" w:lineRule="auto"/>
              <w:ind w:left="293" w:right="178" w:hanging="105"/>
            </w:pPr>
            <w:r>
              <w:rPr>
                <w:spacing w:val="-3"/>
              </w:rPr>
              <w:t>投标人名称</w:t>
            </w:r>
          </w:p>
        </w:tc>
        <w:tc>
          <w:tcPr>
            <w:tcW w:w="998" w:type="dxa"/>
            <w:vAlign w:val="top"/>
          </w:tcPr>
          <w:p w14:paraId="532569B4">
            <w:pPr>
              <w:pStyle w:val="11"/>
              <w:spacing w:before="34" w:line="221" w:lineRule="auto"/>
              <w:ind w:left="189"/>
            </w:pPr>
            <w:r>
              <w:rPr>
                <w:spacing w:val="-2"/>
              </w:rPr>
              <w:t>形式评</w:t>
            </w:r>
          </w:p>
          <w:p w14:paraId="075BE713">
            <w:pPr>
              <w:pStyle w:val="11"/>
              <w:spacing w:before="19" w:line="210" w:lineRule="auto"/>
              <w:ind w:left="197"/>
            </w:pPr>
            <w:r>
              <w:rPr>
                <w:spacing w:val="-4"/>
              </w:rPr>
              <w:t>审结果</w:t>
            </w:r>
          </w:p>
        </w:tc>
        <w:tc>
          <w:tcPr>
            <w:tcW w:w="995" w:type="dxa"/>
            <w:vAlign w:val="top"/>
          </w:tcPr>
          <w:p w14:paraId="4E049CDA">
            <w:pPr>
              <w:pStyle w:val="11"/>
              <w:spacing w:before="33" w:line="221" w:lineRule="auto"/>
              <w:ind w:left="194"/>
            </w:pPr>
            <w:r>
              <w:rPr>
                <w:spacing w:val="-4"/>
              </w:rPr>
              <w:t>资格评</w:t>
            </w:r>
          </w:p>
          <w:p w14:paraId="49E81178">
            <w:pPr>
              <w:pStyle w:val="11"/>
              <w:spacing w:before="19" w:line="210" w:lineRule="auto"/>
              <w:ind w:left="196"/>
            </w:pPr>
            <w:r>
              <w:rPr>
                <w:spacing w:val="-4"/>
              </w:rPr>
              <w:t>审结果</w:t>
            </w:r>
          </w:p>
        </w:tc>
        <w:tc>
          <w:tcPr>
            <w:tcW w:w="1080" w:type="dxa"/>
            <w:vAlign w:val="top"/>
          </w:tcPr>
          <w:p w14:paraId="485DE521">
            <w:pPr>
              <w:pStyle w:val="11"/>
              <w:spacing w:before="34" w:line="224" w:lineRule="auto"/>
              <w:ind w:left="239" w:right="116" w:hanging="105"/>
            </w:pPr>
            <w:r>
              <w:rPr>
                <w:spacing w:val="-5"/>
              </w:rPr>
              <w:t>响应性评</w:t>
            </w:r>
            <w:r>
              <w:rPr>
                <w:spacing w:val="-4"/>
              </w:rPr>
              <w:t>审结果</w:t>
            </w:r>
          </w:p>
        </w:tc>
        <w:tc>
          <w:tcPr>
            <w:tcW w:w="1991" w:type="dxa"/>
            <w:vAlign w:val="top"/>
          </w:tcPr>
          <w:p w14:paraId="3414F58E">
            <w:pPr>
              <w:pStyle w:val="11"/>
              <w:spacing w:before="34" w:line="224" w:lineRule="auto"/>
              <w:ind w:left="376" w:right="151" w:hanging="217"/>
            </w:pPr>
            <w:r>
              <w:rPr>
                <w:spacing w:val="-1"/>
              </w:rPr>
              <w:t>施工组织设计评审</w:t>
            </w:r>
            <w:r>
              <w:rPr>
                <w:spacing w:val="-2"/>
              </w:rPr>
              <w:t>结果（如有）</w:t>
            </w:r>
          </w:p>
        </w:tc>
        <w:tc>
          <w:tcPr>
            <w:tcW w:w="874" w:type="dxa"/>
            <w:vAlign w:val="top"/>
          </w:tcPr>
          <w:p w14:paraId="3AD73839">
            <w:pPr>
              <w:pStyle w:val="11"/>
              <w:spacing w:before="34" w:line="224" w:lineRule="auto"/>
              <w:ind w:left="389" w:right="65" w:hanging="209"/>
            </w:pPr>
            <w:r>
              <w:rPr>
                <w:spacing w:val="-3"/>
              </w:rPr>
              <w:t>投标报</w:t>
            </w:r>
            <w:r>
              <w:t>价</w:t>
            </w:r>
          </w:p>
        </w:tc>
        <w:tc>
          <w:tcPr>
            <w:tcW w:w="861" w:type="dxa"/>
            <w:vAlign w:val="top"/>
          </w:tcPr>
          <w:p w14:paraId="0B1BDF83">
            <w:pPr>
              <w:pStyle w:val="11"/>
              <w:spacing w:before="34" w:line="224" w:lineRule="auto"/>
              <w:ind w:left="386" w:right="54" w:hanging="211"/>
            </w:pPr>
            <w:r>
              <w:rPr>
                <w:spacing w:val="-2"/>
              </w:rPr>
              <w:t>评审结</w:t>
            </w:r>
            <w:r>
              <w:t>论</w:t>
            </w:r>
          </w:p>
        </w:tc>
      </w:tr>
      <w:tr w14:paraId="3DB3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26" w:type="dxa"/>
            <w:vAlign w:val="top"/>
          </w:tcPr>
          <w:p w14:paraId="0F6A9F83">
            <w:pPr>
              <w:spacing w:before="130" w:line="277" w:lineRule="exact"/>
              <w:ind w:left="275"/>
              <w:rPr>
                <w:rFonts w:ascii="黑体" w:hAnsi="黑体" w:eastAsia="黑体" w:cs="黑体"/>
                <w:sz w:val="21"/>
                <w:szCs w:val="21"/>
              </w:rPr>
            </w:pPr>
            <w:r>
              <w:rPr>
                <w:rFonts w:ascii="黑体" w:hAnsi="黑体" w:eastAsia="黑体" w:cs="黑体"/>
                <w:position w:val="1"/>
                <w:sz w:val="21"/>
                <w:szCs w:val="21"/>
              </w:rPr>
              <w:t>1</w:t>
            </w:r>
          </w:p>
        </w:tc>
        <w:tc>
          <w:tcPr>
            <w:tcW w:w="995" w:type="dxa"/>
            <w:vAlign w:val="top"/>
          </w:tcPr>
          <w:p w14:paraId="6F65567E">
            <w:pPr>
              <w:rPr>
                <w:rFonts w:ascii="Arial"/>
                <w:sz w:val="21"/>
              </w:rPr>
            </w:pPr>
          </w:p>
        </w:tc>
        <w:tc>
          <w:tcPr>
            <w:tcW w:w="998" w:type="dxa"/>
            <w:vAlign w:val="top"/>
          </w:tcPr>
          <w:p w14:paraId="2209B11F">
            <w:pPr>
              <w:rPr>
                <w:rFonts w:ascii="Arial"/>
                <w:sz w:val="21"/>
              </w:rPr>
            </w:pPr>
          </w:p>
        </w:tc>
        <w:tc>
          <w:tcPr>
            <w:tcW w:w="995" w:type="dxa"/>
            <w:vAlign w:val="top"/>
          </w:tcPr>
          <w:p w14:paraId="027987C6">
            <w:pPr>
              <w:rPr>
                <w:rFonts w:ascii="Arial"/>
                <w:sz w:val="21"/>
              </w:rPr>
            </w:pPr>
          </w:p>
        </w:tc>
        <w:tc>
          <w:tcPr>
            <w:tcW w:w="1080" w:type="dxa"/>
            <w:vAlign w:val="top"/>
          </w:tcPr>
          <w:p w14:paraId="16144189">
            <w:pPr>
              <w:rPr>
                <w:rFonts w:ascii="Arial"/>
                <w:sz w:val="21"/>
              </w:rPr>
            </w:pPr>
          </w:p>
        </w:tc>
        <w:tc>
          <w:tcPr>
            <w:tcW w:w="1991" w:type="dxa"/>
            <w:vAlign w:val="top"/>
          </w:tcPr>
          <w:p w14:paraId="369B5058">
            <w:pPr>
              <w:rPr>
                <w:rFonts w:ascii="Arial"/>
                <w:sz w:val="21"/>
              </w:rPr>
            </w:pPr>
          </w:p>
        </w:tc>
        <w:tc>
          <w:tcPr>
            <w:tcW w:w="874" w:type="dxa"/>
            <w:vAlign w:val="top"/>
          </w:tcPr>
          <w:p w14:paraId="36E249B4">
            <w:pPr>
              <w:rPr>
                <w:rFonts w:ascii="Arial"/>
                <w:sz w:val="21"/>
              </w:rPr>
            </w:pPr>
          </w:p>
        </w:tc>
        <w:tc>
          <w:tcPr>
            <w:tcW w:w="861" w:type="dxa"/>
            <w:vAlign w:val="top"/>
          </w:tcPr>
          <w:p w14:paraId="2B6CF699">
            <w:pPr>
              <w:rPr>
                <w:rFonts w:ascii="Arial"/>
                <w:sz w:val="21"/>
              </w:rPr>
            </w:pPr>
          </w:p>
        </w:tc>
      </w:tr>
      <w:tr w14:paraId="0BB70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26" w:type="dxa"/>
            <w:vAlign w:val="top"/>
          </w:tcPr>
          <w:p w14:paraId="4504A12C">
            <w:pPr>
              <w:spacing w:before="130" w:line="278" w:lineRule="exact"/>
              <w:ind w:left="263"/>
              <w:rPr>
                <w:rFonts w:ascii="黑体" w:hAnsi="黑体" w:eastAsia="黑体" w:cs="黑体"/>
                <w:sz w:val="21"/>
                <w:szCs w:val="21"/>
              </w:rPr>
            </w:pPr>
            <w:r>
              <w:rPr>
                <w:rFonts w:ascii="黑体" w:hAnsi="黑体" w:eastAsia="黑体" w:cs="黑体"/>
                <w:position w:val="1"/>
                <w:sz w:val="21"/>
                <w:szCs w:val="21"/>
              </w:rPr>
              <w:t>2</w:t>
            </w:r>
          </w:p>
        </w:tc>
        <w:tc>
          <w:tcPr>
            <w:tcW w:w="995" w:type="dxa"/>
            <w:vAlign w:val="top"/>
          </w:tcPr>
          <w:p w14:paraId="3273CA37">
            <w:pPr>
              <w:rPr>
                <w:rFonts w:ascii="Arial"/>
                <w:sz w:val="21"/>
              </w:rPr>
            </w:pPr>
          </w:p>
        </w:tc>
        <w:tc>
          <w:tcPr>
            <w:tcW w:w="998" w:type="dxa"/>
            <w:vAlign w:val="top"/>
          </w:tcPr>
          <w:p w14:paraId="2BEF8F5F">
            <w:pPr>
              <w:rPr>
                <w:rFonts w:ascii="Arial"/>
                <w:sz w:val="21"/>
              </w:rPr>
            </w:pPr>
          </w:p>
        </w:tc>
        <w:tc>
          <w:tcPr>
            <w:tcW w:w="995" w:type="dxa"/>
            <w:vAlign w:val="top"/>
          </w:tcPr>
          <w:p w14:paraId="192A7426">
            <w:pPr>
              <w:rPr>
                <w:rFonts w:ascii="Arial"/>
                <w:sz w:val="21"/>
              </w:rPr>
            </w:pPr>
          </w:p>
        </w:tc>
        <w:tc>
          <w:tcPr>
            <w:tcW w:w="1080" w:type="dxa"/>
            <w:vAlign w:val="top"/>
          </w:tcPr>
          <w:p w14:paraId="51D62A48">
            <w:pPr>
              <w:rPr>
                <w:rFonts w:ascii="Arial"/>
                <w:sz w:val="21"/>
              </w:rPr>
            </w:pPr>
          </w:p>
        </w:tc>
        <w:tc>
          <w:tcPr>
            <w:tcW w:w="1991" w:type="dxa"/>
            <w:vAlign w:val="top"/>
          </w:tcPr>
          <w:p w14:paraId="367B27BC">
            <w:pPr>
              <w:rPr>
                <w:rFonts w:ascii="Arial"/>
                <w:sz w:val="21"/>
              </w:rPr>
            </w:pPr>
          </w:p>
        </w:tc>
        <w:tc>
          <w:tcPr>
            <w:tcW w:w="874" w:type="dxa"/>
            <w:vAlign w:val="top"/>
          </w:tcPr>
          <w:p w14:paraId="5EA27076">
            <w:pPr>
              <w:rPr>
                <w:rFonts w:ascii="Arial"/>
                <w:sz w:val="21"/>
              </w:rPr>
            </w:pPr>
          </w:p>
        </w:tc>
        <w:tc>
          <w:tcPr>
            <w:tcW w:w="861" w:type="dxa"/>
            <w:vAlign w:val="top"/>
          </w:tcPr>
          <w:p w14:paraId="612D5867">
            <w:pPr>
              <w:rPr>
                <w:rFonts w:ascii="Arial"/>
                <w:sz w:val="21"/>
              </w:rPr>
            </w:pPr>
          </w:p>
        </w:tc>
      </w:tr>
      <w:tr w14:paraId="76433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26" w:type="dxa"/>
            <w:vAlign w:val="top"/>
          </w:tcPr>
          <w:p w14:paraId="362B5EB4">
            <w:pPr>
              <w:spacing w:before="132" w:line="241" w:lineRule="auto"/>
              <w:ind w:left="264"/>
              <w:rPr>
                <w:rFonts w:ascii="黑体" w:hAnsi="黑体" w:eastAsia="黑体" w:cs="黑体"/>
                <w:sz w:val="21"/>
                <w:szCs w:val="21"/>
              </w:rPr>
            </w:pPr>
            <w:r>
              <w:rPr>
                <w:rFonts w:ascii="黑体" w:hAnsi="黑体" w:eastAsia="黑体" w:cs="黑体"/>
                <w:sz w:val="21"/>
                <w:szCs w:val="21"/>
              </w:rPr>
              <w:t>3</w:t>
            </w:r>
          </w:p>
        </w:tc>
        <w:tc>
          <w:tcPr>
            <w:tcW w:w="995" w:type="dxa"/>
            <w:vAlign w:val="top"/>
          </w:tcPr>
          <w:p w14:paraId="2FEE1098">
            <w:pPr>
              <w:rPr>
                <w:rFonts w:ascii="Arial"/>
                <w:sz w:val="21"/>
              </w:rPr>
            </w:pPr>
          </w:p>
        </w:tc>
        <w:tc>
          <w:tcPr>
            <w:tcW w:w="998" w:type="dxa"/>
            <w:vAlign w:val="top"/>
          </w:tcPr>
          <w:p w14:paraId="688A43F5">
            <w:pPr>
              <w:rPr>
                <w:rFonts w:ascii="Arial"/>
                <w:sz w:val="21"/>
              </w:rPr>
            </w:pPr>
          </w:p>
        </w:tc>
        <w:tc>
          <w:tcPr>
            <w:tcW w:w="995" w:type="dxa"/>
            <w:vAlign w:val="top"/>
          </w:tcPr>
          <w:p w14:paraId="5B8EF32C">
            <w:pPr>
              <w:rPr>
                <w:rFonts w:ascii="Arial"/>
                <w:sz w:val="21"/>
              </w:rPr>
            </w:pPr>
          </w:p>
        </w:tc>
        <w:tc>
          <w:tcPr>
            <w:tcW w:w="1080" w:type="dxa"/>
            <w:vAlign w:val="top"/>
          </w:tcPr>
          <w:p w14:paraId="680FB82E">
            <w:pPr>
              <w:rPr>
                <w:rFonts w:ascii="Arial"/>
                <w:sz w:val="21"/>
              </w:rPr>
            </w:pPr>
          </w:p>
        </w:tc>
        <w:tc>
          <w:tcPr>
            <w:tcW w:w="1991" w:type="dxa"/>
            <w:vAlign w:val="top"/>
          </w:tcPr>
          <w:p w14:paraId="596204C2">
            <w:pPr>
              <w:rPr>
                <w:rFonts w:ascii="Arial"/>
                <w:sz w:val="21"/>
              </w:rPr>
            </w:pPr>
          </w:p>
        </w:tc>
        <w:tc>
          <w:tcPr>
            <w:tcW w:w="874" w:type="dxa"/>
            <w:vAlign w:val="top"/>
          </w:tcPr>
          <w:p w14:paraId="6045CB85">
            <w:pPr>
              <w:rPr>
                <w:rFonts w:ascii="Arial"/>
                <w:sz w:val="21"/>
              </w:rPr>
            </w:pPr>
          </w:p>
        </w:tc>
        <w:tc>
          <w:tcPr>
            <w:tcW w:w="861" w:type="dxa"/>
            <w:vAlign w:val="top"/>
          </w:tcPr>
          <w:p w14:paraId="0739ECB0">
            <w:pPr>
              <w:rPr>
                <w:rFonts w:ascii="Arial"/>
                <w:sz w:val="21"/>
              </w:rPr>
            </w:pPr>
          </w:p>
        </w:tc>
      </w:tr>
      <w:tr w14:paraId="40E7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26" w:type="dxa"/>
            <w:vAlign w:val="top"/>
          </w:tcPr>
          <w:p w14:paraId="33CA02B9">
            <w:pPr>
              <w:spacing w:before="132" w:line="277" w:lineRule="exact"/>
              <w:ind w:left="259"/>
              <w:rPr>
                <w:rFonts w:ascii="黑体" w:hAnsi="黑体" w:eastAsia="黑体" w:cs="黑体"/>
                <w:sz w:val="21"/>
                <w:szCs w:val="21"/>
              </w:rPr>
            </w:pPr>
            <w:r>
              <w:rPr>
                <w:rFonts w:ascii="黑体" w:hAnsi="黑体" w:eastAsia="黑体" w:cs="黑体"/>
                <w:position w:val="1"/>
                <w:sz w:val="21"/>
                <w:szCs w:val="21"/>
              </w:rPr>
              <w:t>4</w:t>
            </w:r>
          </w:p>
        </w:tc>
        <w:tc>
          <w:tcPr>
            <w:tcW w:w="995" w:type="dxa"/>
            <w:vAlign w:val="top"/>
          </w:tcPr>
          <w:p w14:paraId="79AAD49B">
            <w:pPr>
              <w:rPr>
                <w:rFonts w:ascii="Arial"/>
                <w:sz w:val="21"/>
              </w:rPr>
            </w:pPr>
          </w:p>
        </w:tc>
        <w:tc>
          <w:tcPr>
            <w:tcW w:w="998" w:type="dxa"/>
            <w:vAlign w:val="top"/>
          </w:tcPr>
          <w:p w14:paraId="50593DF8">
            <w:pPr>
              <w:rPr>
                <w:rFonts w:ascii="Arial"/>
                <w:sz w:val="21"/>
              </w:rPr>
            </w:pPr>
          </w:p>
        </w:tc>
        <w:tc>
          <w:tcPr>
            <w:tcW w:w="995" w:type="dxa"/>
            <w:vAlign w:val="top"/>
          </w:tcPr>
          <w:p w14:paraId="02D0BE88">
            <w:pPr>
              <w:rPr>
                <w:rFonts w:ascii="Arial"/>
                <w:sz w:val="21"/>
              </w:rPr>
            </w:pPr>
          </w:p>
        </w:tc>
        <w:tc>
          <w:tcPr>
            <w:tcW w:w="1080" w:type="dxa"/>
            <w:vAlign w:val="top"/>
          </w:tcPr>
          <w:p w14:paraId="2857585F">
            <w:pPr>
              <w:rPr>
                <w:rFonts w:ascii="Arial"/>
                <w:sz w:val="21"/>
              </w:rPr>
            </w:pPr>
          </w:p>
        </w:tc>
        <w:tc>
          <w:tcPr>
            <w:tcW w:w="1991" w:type="dxa"/>
            <w:vAlign w:val="top"/>
          </w:tcPr>
          <w:p w14:paraId="05C23767">
            <w:pPr>
              <w:rPr>
                <w:rFonts w:ascii="Arial"/>
                <w:sz w:val="21"/>
              </w:rPr>
            </w:pPr>
          </w:p>
        </w:tc>
        <w:tc>
          <w:tcPr>
            <w:tcW w:w="874" w:type="dxa"/>
            <w:vAlign w:val="top"/>
          </w:tcPr>
          <w:p w14:paraId="2337E9DF">
            <w:pPr>
              <w:rPr>
                <w:rFonts w:ascii="Arial"/>
                <w:sz w:val="21"/>
              </w:rPr>
            </w:pPr>
          </w:p>
        </w:tc>
        <w:tc>
          <w:tcPr>
            <w:tcW w:w="861" w:type="dxa"/>
            <w:vAlign w:val="top"/>
          </w:tcPr>
          <w:p w14:paraId="6B35915B">
            <w:pPr>
              <w:rPr>
                <w:rFonts w:ascii="Arial"/>
                <w:sz w:val="21"/>
              </w:rPr>
            </w:pPr>
          </w:p>
        </w:tc>
      </w:tr>
      <w:tr w14:paraId="2BCCE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26" w:type="dxa"/>
            <w:vAlign w:val="top"/>
          </w:tcPr>
          <w:p w14:paraId="0A464E49">
            <w:pPr>
              <w:spacing w:before="134" w:line="241" w:lineRule="auto"/>
              <w:ind w:left="259"/>
              <w:rPr>
                <w:rFonts w:ascii="黑体" w:hAnsi="黑体" w:eastAsia="黑体" w:cs="黑体"/>
                <w:sz w:val="21"/>
                <w:szCs w:val="21"/>
              </w:rPr>
            </w:pPr>
            <w:r>
              <w:rPr>
                <w:rFonts w:ascii="黑体" w:hAnsi="黑体" w:eastAsia="黑体" w:cs="黑体"/>
                <w:sz w:val="21"/>
                <w:szCs w:val="21"/>
              </w:rPr>
              <w:t>5</w:t>
            </w:r>
          </w:p>
        </w:tc>
        <w:tc>
          <w:tcPr>
            <w:tcW w:w="995" w:type="dxa"/>
            <w:vAlign w:val="top"/>
          </w:tcPr>
          <w:p w14:paraId="7F4063DA">
            <w:pPr>
              <w:rPr>
                <w:rFonts w:ascii="Arial"/>
                <w:sz w:val="21"/>
              </w:rPr>
            </w:pPr>
          </w:p>
        </w:tc>
        <w:tc>
          <w:tcPr>
            <w:tcW w:w="998" w:type="dxa"/>
            <w:vAlign w:val="top"/>
          </w:tcPr>
          <w:p w14:paraId="7994B464">
            <w:pPr>
              <w:rPr>
                <w:rFonts w:ascii="Arial"/>
                <w:sz w:val="21"/>
              </w:rPr>
            </w:pPr>
          </w:p>
        </w:tc>
        <w:tc>
          <w:tcPr>
            <w:tcW w:w="995" w:type="dxa"/>
            <w:vAlign w:val="top"/>
          </w:tcPr>
          <w:p w14:paraId="0BBB743D">
            <w:pPr>
              <w:rPr>
                <w:rFonts w:ascii="Arial"/>
                <w:sz w:val="21"/>
              </w:rPr>
            </w:pPr>
          </w:p>
        </w:tc>
        <w:tc>
          <w:tcPr>
            <w:tcW w:w="1080" w:type="dxa"/>
            <w:vAlign w:val="top"/>
          </w:tcPr>
          <w:p w14:paraId="6B90CE19">
            <w:pPr>
              <w:rPr>
                <w:rFonts w:ascii="Arial"/>
                <w:sz w:val="21"/>
              </w:rPr>
            </w:pPr>
          </w:p>
        </w:tc>
        <w:tc>
          <w:tcPr>
            <w:tcW w:w="1991" w:type="dxa"/>
            <w:vAlign w:val="top"/>
          </w:tcPr>
          <w:p w14:paraId="70C23136">
            <w:pPr>
              <w:rPr>
                <w:rFonts w:ascii="Arial"/>
                <w:sz w:val="21"/>
              </w:rPr>
            </w:pPr>
          </w:p>
        </w:tc>
        <w:tc>
          <w:tcPr>
            <w:tcW w:w="874" w:type="dxa"/>
            <w:vAlign w:val="top"/>
          </w:tcPr>
          <w:p w14:paraId="3116E06F">
            <w:pPr>
              <w:rPr>
                <w:rFonts w:ascii="Arial"/>
                <w:sz w:val="21"/>
              </w:rPr>
            </w:pPr>
          </w:p>
        </w:tc>
        <w:tc>
          <w:tcPr>
            <w:tcW w:w="861" w:type="dxa"/>
            <w:vAlign w:val="top"/>
          </w:tcPr>
          <w:p w14:paraId="4D256BE1">
            <w:pPr>
              <w:rPr>
                <w:rFonts w:ascii="Arial"/>
                <w:sz w:val="21"/>
              </w:rPr>
            </w:pPr>
          </w:p>
        </w:tc>
      </w:tr>
      <w:tr w14:paraId="1D76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26" w:type="dxa"/>
            <w:vAlign w:val="top"/>
          </w:tcPr>
          <w:p w14:paraId="5840CF1E">
            <w:pPr>
              <w:spacing w:before="135" w:line="332" w:lineRule="exact"/>
              <w:ind w:left="223"/>
              <w:rPr>
                <w:rFonts w:ascii="黑体" w:hAnsi="黑体" w:eastAsia="黑体" w:cs="黑体"/>
                <w:sz w:val="21"/>
                <w:szCs w:val="21"/>
              </w:rPr>
            </w:pPr>
            <w:r>
              <w:rPr>
                <w:rFonts w:ascii="黑体" w:hAnsi="黑体" w:eastAsia="黑体" w:cs="黑体"/>
                <w:position w:val="2"/>
                <w:sz w:val="21"/>
                <w:szCs w:val="21"/>
              </w:rPr>
              <w:t>…</w:t>
            </w:r>
          </w:p>
        </w:tc>
        <w:tc>
          <w:tcPr>
            <w:tcW w:w="995" w:type="dxa"/>
            <w:vAlign w:val="top"/>
          </w:tcPr>
          <w:p w14:paraId="07B20621">
            <w:pPr>
              <w:rPr>
                <w:rFonts w:ascii="Arial"/>
                <w:sz w:val="21"/>
              </w:rPr>
            </w:pPr>
          </w:p>
        </w:tc>
        <w:tc>
          <w:tcPr>
            <w:tcW w:w="998" w:type="dxa"/>
            <w:vAlign w:val="top"/>
          </w:tcPr>
          <w:p w14:paraId="5699A97A">
            <w:pPr>
              <w:rPr>
                <w:rFonts w:ascii="Arial"/>
                <w:sz w:val="21"/>
              </w:rPr>
            </w:pPr>
          </w:p>
        </w:tc>
        <w:tc>
          <w:tcPr>
            <w:tcW w:w="995" w:type="dxa"/>
            <w:vAlign w:val="top"/>
          </w:tcPr>
          <w:p w14:paraId="21C7A862">
            <w:pPr>
              <w:rPr>
                <w:rFonts w:ascii="Arial"/>
                <w:sz w:val="21"/>
              </w:rPr>
            </w:pPr>
          </w:p>
        </w:tc>
        <w:tc>
          <w:tcPr>
            <w:tcW w:w="1080" w:type="dxa"/>
            <w:vAlign w:val="top"/>
          </w:tcPr>
          <w:p w14:paraId="5D7CD0B0">
            <w:pPr>
              <w:rPr>
                <w:rFonts w:ascii="Arial"/>
                <w:sz w:val="21"/>
              </w:rPr>
            </w:pPr>
          </w:p>
        </w:tc>
        <w:tc>
          <w:tcPr>
            <w:tcW w:w="1991" w:type="dxa"/>
            <w:vAlign w:val="top"/>
          </w:tcPr>
          <w:p w14:paraId="4223E04A">
            <w:pPr>
              <w:rPr>
                <w:rFonts w:ascii="Arial"/>
                <w:sz w:val="21"/>
              </w:rPr>
            </w:pPr>
          </w:p>
        </w:tc>
        <w:tc>
          <w:tcPr>
            <w:tcW w:w="874" w:type="dxa"/>
            <w:vAlign w:val="top"/>
          </w:tcPr>
          <w:p w14:paraId="7E16CA85">
            <w:pPr>
              <w:rPr>
                <w:rFonts w:ascii="Arial"/>
                <w:sz w:val="21"/>
              </w:rPr>
            </w:pPr>
          </w:p>
        </w:tc>
        <w:tc>
          <w:tcPr>
            <w:tcW w:w="861" w:type="dxa"/>
            <w:vAlign w:val="top"/>
          </w:tcPr>
          <w:p w14:paraId="558EDE91">
            <w:pPr>
              <w:rPr>
                <w:rFonts w:ascii="Arial"/>
                <w:sz w:val="21"/>
              </w:rPr>
            </w:pPr>
          </w:p>
        </w:tc>
      </w:tr>
      <w:tr w14:paraId="2DB0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20" w:type="dxa"/>
            <w:gridSpan w:val="8"/>
            <w:vAlign w:val="top"/>
          </w:tcPr>
          <w:p w14:paraId="5E7F6ED3">
            <w:pPr>
              <w:pStyle w:val="11"/>
              <w:spacing w:before="33" w:line="220" w:lineRule="auto"/>
              <w:ind w:left="115"/>
            </w:pPr>
            <w:r>
              <w:rPr>
                <w:spacing w:val="-1"/>
              </w:rPr>
              <w:t>评标委员会全体成员签名：</w:t>
            </w:r>
          </w:p>
        </w:tc>
      </w:tr>
    </w:tbl>
    <w:p w14:paraId="57D98A52">
      <w:pPr>
        <w:spacing w:before="303"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2"/>
          <w:sz w:val="21"/>
          <w:szCs w:val="21"/>
        </w:rPr>
        <w:t xml:space="preserve">    </w:t>
      </w:r>
      <w:r>
        <w:rPr>
          <w:rFonts w:ascii="宋体" w:hAnsi="宋体" w:eastAsia="宋体" w:cs="宋体"/>
          <w:spacing w:val="-18"/>
          <w:sz w:val="21"/>
          <w:szCs w:val="21"/>
        </w:rPr>
        <w:t>年</w:t>
      </w:r>
      <w:r>
        <w:rPr>
          <w:rFonts w:ascii="宋体" w:hAnsi="宋体" w:eastAsia="宋体" w:cs="宋体"/>
          <w:spacing w:val="3"/>
          <w:sz w:val="21"/>
          <w:szCs w:val="21"/>
        </w:rPr>
        <w:t xml:space="preserve">    </w:t>
      </w:r>
      <w:r>
        <w:rPr>
          <w:rFonts w:ascii="宋体" w:hAnsi="宋体" w:eastAsia="宋体" w:cs="宋体"/>
          <w:spacing w:val="-18"/>
          <w:sz w:val="21"/>
          <w:szCs w:val="21"/>
        </w:rPr>
        <w:t>月</w:t>
      </w:r>
      <w:r>
        <w:rPr>
          <w:rFonts w:ascii="宋体" w:hAnsi="宋体" w:eastAsia="宋体" w:cs="宋体"/>
          <w:spacing w:val="11"/>
          <w:sz w:val="21"/>
          <w:szCs w:val="21"/>
        </w:rPr>
        <w:t xml:space="preserve">    </w:t>
      </w:r>
      <w:r>
        <w:rPr>
          <w:rFonts w:ascii="宋体" w:hAnsi="宋体" w:eastAsia="宋体" w:cs="宋体"/>
          <w:spacing w:val="-18"/>
          <w:sz w:val="21"/>
          <w:szCs w:val="21"/>
        </w:rPr>
        <w:t>日</w:t>
      </w:r>
    </w:p>
    <w:p w14:paraId="24B412F0">
      <w:pPr>
        <w:spacing w:line="221" w:lineRule="auto"/>
        <w:rPr>
          <w:rFonts w:ascii="宋体" w:hAnsi="宋体" w:eastAsia="宋体" w:cs="宋体"/>
          <w:sz w:val="21"/>
          <w:szCs w:val="21"/>
        </w:rPr>
        <w:sectPr>
          <w:footerReference r:id="rId72" w:type="default"/>
          <w:pgSz w:w="11905" w:h="16843"/>
          <w:pgMar w:top="969" w:right="1355" w:bottom="1026" w:left="1480" w:header="0" w:footer="754" w:gutter="0"/>
          <w:cols w:space="0" w:num="1"/>
          <w:rtlGutter w:val="0"/>
          <w:docGrid w:linePitch="0" w:charSpace="0"/>
        </w:sectPr>
      </w:pPr>
    </w:p>
    <w:p w14:paraId="0E6BDDA2">
      <w:pPr>
        <w:pStyle w:val="5"/>
        <w:spacing w:line="267" w:lineRule="auto"/>
      </w:pPr>
    </w:p>
    <w:p w14:paraId="383456E4">
      <w:pPr>
        <w:pStyle w:val="5"/>
        <w:spacing w:line="268" w:lineRule="auto"/>
      </w:pPr>
    </w:p>
    <w:p w14:paraId="5047562B">
      <w:pPr>
        <w:pStyle w:val="5"/>
        <w:spacing w:line="268" w:lineRule="auto"/>
      </w:pPr>
    </w:p>
    <w:p w14:paraId="357C96B9">
      <w:pPr>
        <w:pStyle w:val="5"/>
        <w:spacing w:line="268" w:lineRule="auto"/>
      </w:pPr>
    </w:p>
    <w:p w14:paraId="67DD6BDB">
      <w:pPr>
        <w:spacing w:before="78" w:line="232" w:lineRule="auto"/>
        <w:ind w:left="524"/>
        <w:outlineLvl w:val="2"/>
        <w:rPr>
          <w:rFonts w:ascii="黑体" w:hAnsi="黑体" w:eastAsia="黑体" w:cs="黑体"/>
          <w:sz w:val="24"/>
          <w:szCs w:val="24"/>
        </w:rPr>
      </w:pPr>
      <w:bookmarkStart w:id="168" w:name="bookmark134"/>
      <w:bookmarkEnd w:id="168"/>
      <w:r>
        <w:rPr>
          <w:rFonts w:ascii="黑体" w:hAnsi="黑体" w:eastAsia="黑体" w:cs="黑体"/>
          <w:spacing w:val="-4"/>
          <w:sz w:val="24"/>
          <w:szCs w:val="24"/>
        </w:rPr>
        <w:t>附表</w:t>
      </w:r>
      <w:r>
        <w:rPr>
          <w:rFonts w:ascii="黑体" w:hAnsi="黑体" w:eastAsia="黑体" w:cs="黑体"/>
          <w:spacing w:val="-47"/>
          <w:sz w:val="24"/>
          <w:szCs w:val="24"/>
        </w:rPr>
        <w:t xml:space="preserve"> </w:t>
      </w:r>
      <w:r>
        <w:rPr>
          <w:rFonts w:ascii="Times New Roman" w:hAnsi="Times New Roman" w:eastAsia="Times New Roman" w:cs="Times New Roman"/>
          <w:spacing w:val="-4"/>
          <w:sz w:val="24"/>
          <w:szCs w:val="24"/>
        </w:rPr>
        <w:t>A-9</w:t>
      </w:r>
      <w:r>
        <w:rPr>
          <w:rFonts w:ascii="黑体" w:hAnsi="黑体" w:eastAsia="黑体" w:cs="黑体"/>
          <w:spacing w:val="-4"/>
          <w:sz w:val="24"/>
          <w:szCs w:val="24"/>
        </w:rPr>
        <w:t>：否决投标的情况说明</w:t>
      </w:r>
    </w:p>
    <w:p w14:paraId="1D2EB6AC">
      <w:pPr>
        <w:pStyle w:val="5"/>
        <w:spacing w:line="312" w:lineRule="auto"/>
      </w:pPr>
    </w:p>
    <w:p w14:paraId="5D004572">
      <w:pPr>
        <w:pStyle w:val="5"/>
        <w:spacing w:line="312" w:lineRule="auto"/>
      </w:pPr>
    </w:p>
    <w:p w14:paraId="18C364BA">
      <w:pPr>
        <w:spacing w:before="117" w:line="218" w:lineRule="auto"/>
        <w:ind w:left="2932"/>
        <w:rPr>
          <w:rFonts w:ascii="黑体" w:hAnsi="黑体" w:eastAsia="黑体" w:cs="黑体"/>
          <w:sz w:val="36"/>
          <w:szCs w:val="36"/>
        </w:rPr>
      </w:pPr>
      <w:bookmarkStart w:id="169" w:name="bookmark527"/>
      <w:bookmarkEnd w:id="169"/>
      <w:r>
        <w:rPr>
          <w:rFonts w:ascii="黑体" w:hAnsi="黑体" w:eastAsia="黑体" w:cs="黑体"/>
          <w:spacing w:val="-2"/>
          <w:sz w:val="36"/>
          <w:szCs w:val="36"/>
        </w:rPr>
        <w:t>否决投标的情况说明</w:t>
      </w:r>
    </w:p>
    <w:p w14:paraId="65C6A541">
      <w:pPr>
        <w:spacing w:before="257" w:line="221" w:lineRule="auto"/>
        <w:ind w:left="393"/>
        <w:rPr>
          <w:rFonts w:ascii="宋体" w:hAnsi="宋体" w:eastAsia="宋体" w:cs="宋体"/>
          <w:sz w:val="21"/>
          <w:szCs w:val="21"/>
        </w:rPr>
      </w:pPr>
      <w:r>
        <w:rPr>
          <w:rFonts w:ascii="宋体" w:hAnsi="宋体" w:eastAsia="宋体" w:cs="宋体"/>
          <w:spacing w:val="-7"/>
          <w:sz w:val="21"/>
          <w:szCs w:val="21"/>
        </w:rPr>
        <w:t>标段名称：</w:t>
      </w:r>
    </w:p>
    <w:p w14:paraId="27DEEF4E">
      <w:pPr>
        <w:spacing w:before="19" w:line="214" w:lineRule="auto"/>
        <w:ind w:left="393"/>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547"/>
        <w:gridCol w:w="1778"/>
        <w:gridCol w:w="5057"/>
      </w:tblGrid>
      <w:tr w14:paraId="61735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91" w:type="dxa"/>
            <w:vAlign w:val="top"/>
          </w:tcPr>
          <w:p w14:paraId="63CEEB38">
            <w:pPr>
              <w:pStyle w:val="11"/>
              <w:spacing w:before="137" w:line="222" w:lineRule="auto"/>
              <w:ind w:left="139"/>
            </w:pPr>
            <w:r>
              <w:rPr>
                <w:spacing w:val="-2"/>
              </w:rPr>
              <w:t>序号</w:t>
            </w:r>
          </w:p>
        </w:tc>
        <w:tc>
          <w:tcPr>
            <w:tcW w:w="1547" w:type="dxa"/>
            <w:vAlign w:val="top"/>
          </w:tcPr>
          <w:p w14:paraId="3515203F">
            <w:pPr>
              <w:pStyle w:val="11"/>
              <w:spacing w:before="137" w:line="221" w:lineRule="auto"/>
              <w:ind w:left="253"/>
            </w:pPr>
            <w:r>
              <w:rPr>
                <w:spacing w:val="-2"/>
              </w:rPr>
              <w:t>投标人名称</w:t>
            </w:r>
          </w:p>
        </w:tc>
        <w:tc>
          <w:tcPr>
            <w:tcW w:w="1778" w:type="dxa"/>
            <w:vAlign w:val="top"/>
          </w:tcPr>
          <w:p w14:paraId="27EAEEB7">
            <w:pPr>
              <w:pStyle w:val="11"/>
              <w:spacing w:before="137" w:line="220" w:lineRule="auto"/>
              <w:ind w:left="165"/>
            </w:pPr>
            <w:r>
              <w:rPr>
                <w:spacing w:val="-2"/>
              </w:rPr>
              <w:t>否决投标的依据</w:t>
            </w:r>
          </w:p>
        </w:tc>
        <w:tc>
          <w:tcPr>
            <w:tcW w:w="5057" w:type="dxa"/>
            <w:vAlign w:val="top"/>
          </w:tcPr>
          <w:p w14:paraId="7132F158">
            <w:pPr>
              <w:pStyle w:val="11"/>
              <w:spacing w:before="137" w:line="221" w:lineRule="auto"/>
              <w:ind w:left="1172"/>
            </w:pPr>
            <w:r>
              <w:rPr>
                <w:spacing w:val="-1"/>
              </w:rPr>
              <w:t>投标文件存在的具体问题描述</w:t>
            </w:r>
          </w:p>
        </w:tc>
      </w:tr>
      <w:tr w14:paraId="632B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0965B44E">
            <w:pPr>
              <w:pStyle w:val="11"/>
              <w:spacing w:before="120" w:line="241" w:lineRule="auto"/>
              <w:ind w:left="307"/>
              <w:rPr>
                <w:sz w:val="24"/>
                <w:szCs w:val="24"/>
              </w:rPr>
            </w:pPr>
            <w:r>
              <w:rPr>
                <w:sz w:val="24"/>
                <w:szCs w:val="24"/>
              </w:rPr>
              <w:t>1</w:t>
            </w:r>
          </w:p>
        </w:tc>
        <w:tc>
          <w:tcPr>
            <w:tcW w:w="1547" w:type="dxa"/>
            <w:vAlign w:val="top"/>
          </w:tcPr>
          <w:p w14:paraId="405199DA">
            <w:pPr>
              <w:rPr>
                <w:rFonts w:ascii="Arial"/>
                <w:sz w:val="21"/>
              </w:rPr>
            </w:pPr>
          </w:p>
        </w:tc>
        <w:tc>
          <w:tcPr>
            <w:tcW w:w="1778" w:type="dxa"/>
            <w:vAlign w:val="top"/>
          </w:tcPr>
          <w:p w14:paraId="13631C43">
            <w:pPr>
              <w:rPr>
                <w:rFonts w:ascii="Arial"/>
                <w:sz w:val="21"/>
              </w:rPr>
            </w:pPr>
          </w:p>
        </w:tc>
        <w:tc>
          <w:tcPr>
            <w:tcW w:w="5057" w:type="dxa"/>
            <w:vAlign w:val="top"/>
          </w:tcPr>
          <w:p w14:paraId="5B5579D5">
            <w:pPr>
              <w:rPr>
                <w:rFonts w:ascii="Arial"/>
                <w:sz w:val="21"/>
              </w:rPr>
            </w:pPr>
          </w:p>
        </w:tc>
      </w:tr>
      <w:tr w14:paraId="2D25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vAlign w:val="top"/>
          </w:tcPr>
          <w:p w14:paraId="45370474">
            <w:pPr>
              <w:pStyle w:val="11"/>
              <w:spacing w:before="121" w:line="241" w:lineRule="auto"/>
              <w:ind w:left="292"/>
              <w:rPr>
                <w:sz w:val="24"/>
                <w:szCs w:val="24"/>
              </w:rPr>
            </w:pPr>
            <w:r>
              <w:rPr>
                <w:sz w:val="24"/>
                <w:szCs w:val="24"/>
              </w:rPr>
              <w:t>2</w:t>
            </w:r>
          </w:p>
        </w:tc>
        <w:tc>
          <w:tcPr>
            <w:tcW w:w="1547" w:type="dxa"/>
            <w:vAlign w:val="top"/>
          </w:tcPr>
          <w:p w14:paraId="75C28BF2">
            <w:pPr>
              <w:rPr>
                <w:rFonts w:ascii="Arial"/>
                <w:sz w:val="21"/>
              </w:rPr>
            </w:pPr>
          </w:p>
        </w:tc>
        <w:tc>
          <w:tcPr>
            <w:tcW w:w="1778" w:type="dxa"/>
            <w:vAlign w:val="top"/>
          </w:tcPr>
          <w:p w14:paraId="5F6B42B7">
            <w:pPr>
              <w:rPr>
                <w:rFonts w:ascii="Arial"/>
                <w:sz w:val="21"/>
              </w:rPr>
            </w:pPr>
          </w:p>
        </w:tc>
        <w:tc>
          <w:tcPr>
            <w:tcW w:w="5057" w:type="dxa"/>
            <w:vAlign w:val="top"/>
          </w:tcPr>
          <w:p w14:paraId="139E0AA2">
            <w:pPr>
              <w:rPr>
                <w:rFonts w:ascii="Arial"/>
                <w:sz w:val="21"/>
              </w:rPr>
            </w:pPr>
          </w:p>
        </w:tc>
      </w:tr>
      <w:tr w14:paraId="79A9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91" w:type="dxa"/>
            <w:vAlign w:val="top"/>
          </w:tcPr>
          <w:p w14:paraId="1F96A3FD">
            <w:pPr>
              <w:pStyle w:val="11"/>
              <w:spacing w:before="190"/>
              <w:ind w:left="294"/>
              <w:rPr>
                <w:sz w:val="24"/>
                <w:szCs w:val="24"/>
              </w:rPr>
            </w:pPr>
            <w:r>
              <w:rPr>
                <w:sz w:val="24"/>
                <w:szCs w:val="24"/>
              </w:rPr>
              <w:t>3</w:t>
            </w:r>
          </w:p>
        </w:tc>
        <w:tc>
          <w:tcPr>
            <w:tcW w:w="1547" w:type="dxa"/>
            <w:vAlign w:val="top"/>
          </w:tcPr>
          <w:p w14:paraId="1C631C90">
            <w:pPr>
              <w:rPr>
                <w:rFonts w:ascii="Arial"/>
                <w:sz w:val="21"/>
              </w:rPr>
            </w:pPr>
          </w:p>
        </w:tc>
        <w:tc>
          <w:tcPr>
            <w:tcW w:w="1778" w:type="dxa"/>
            <w:vAlign w:val="top"/>
          </w:tcPr>
          <w:p w14:paraId="519DA11D">
            <w:pPr>
              <w:rPr>
                <w:rFonts w:ascii="Arial"/>
                <w:sz w:val="21"/>
              </w:rPr>
            </w:pPr>
          </w:p>
        </w:tc>
        <w:tc>
          <w:tcPr>
            <w:tcW w:w="5057" w:type="dxa"/>
            <w:vAlign w:val="top"/>
          </w:tcPr>
          <w:p w14:paraId="0298AB7B">
            <w:pPr>
              <w:rPr>
                <w:rFonts w:ascii="Arial"/>
                <w:sz w:val="21"/>
              </w:rPr>
            </w:pPr>
          </w:p>
        </w:tc>
      </w:tr>
      <w:tr w14:paraId="6160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3F77F922">
            <w:pPr>
              <w:pStyle w:val="11"/>
              <w:spacing w:before="121" w:line="241" w:lineRule="auto"/>
              <w:ind w:left="289"/>
              <w:rPr>
                <w:sz w:val="24"/>
                <w:szCs w:val="24"/>
              </w:rPr>
            </w:pPr>
            <w:r>
              <w:rPr>
                <w:sz w:val="24"/>
                <w:szCs w:val="24"/>
              </w:rPr>
              <w:t>4</w:t>
            </w:r>
          </w:p>
        </w:tc>
        <w:tc>
          <w:tcPr>
            <w:tcW w:w="1547" w:type="dxa"/>
            <w:vAlign w:val="top"/>
          </w:tcPr>
          <w:p w14:paraId="10E54623">
            <w:pPr>
              <w:rPr>
                <w:rFonts w:ascii="Arial"/>
                <w:sz w:val="21"/>
              </w:rPr>
            </w:pPr>
          </w:p>
        </w:tc>
        <w:tc>
          <w:tcPr>
            <w:tcW w:w="1778" w:type="dxa"/>
            <w:vAlign w:val="top"/>
          </w:tcPr>
          <w:p w14:paraId="73474E1B">
            <w:pPr>
              <w:rPr>
                <w:rFonts w:ascii="Arial"/>
                <w:sz w:val="21"/>
              </w:rPr>
            </w:pPr>
          </w:p>
        </w:tc>
        <w:tc>
          <w:tcPr>
            <w:tcW w:w="5057" w:type="dxa"/>
            <w:vAlign w:val="top"/>
          </w:tcPr>
          <w:p w14:paraId="4ED73E71">
            <w:pPr>
              <w:rPr>
                <w:rFonts w:ascii="Arial"/>
                <w:sz w:val="21"/>
              </w:rPr>
            </w:pPr>
          </w:p>
        </w:tc>
      </w:tr>
      <w:tr w14:paraId="181D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076EF16B">
            <w:pPr>
              <w:pStyle w:val="11"/>
              <w:spacing w:before="121"/>
              <w:ind w:left="294"/>
              <w:rPr>
                <w:sz w:val="24"/>
                <w:szCs w:val="24"/>
              </w:rPr>
            </w:pPr>
            <w:r>
              <w:rPr>
                <w:sz w:val="24"/>
                <w:szCs w:val="24"/>
              </w:rPr>
              <w:t>5</w:t>
            </w:r>
          </w:p>
        </w:tc>
        <w:tc>
          <w:tcPr>
            <w:tcW w:w="1547" w:type="dxa"/>
            <w:vAlign w:val="top"/>
          </w:tcPr>
          <w:p w14:paraId="4DFAE384">
            <w:pPr>
              <w:rPr>
                <w:rFonts w:ascii="Arial"/>
                <w:sz w:val="21"/>
              </w:rPr>
            </w:pPr>
          </w:p>
        </w:tc>
        <w:tc>
          <w:tcPr>
            <w:tcW w:w="1778" w:type="dxa"/>
            <w:vAlign w:val="top"/>
          </w:tcPr>
          <w:p w14:paraId="384E4AFF">
            <w:pPr>
              <w:rPr>
                <w:rFonts w:ascii="Arial"/>
                <w:sz w:val="21"/>
              </w:rPr>
            </w:pPr>
          </w:p>
        </w:tc>
        <w:tc>
          <w:tcPr>
            <w:tcW w:w="5057" w:type="dxa"/>
            <w:vAlign w:val="top"/>
          </w:tcPr>
          <w:p w14:paraId="32CD211B">
            <w:pPr>
              <w:rPr>
                <w:rFonts w:ascii="Arial"/>
                <w:sz w:val="21"/>
              </w:rPr>
            </w:pPr>
          </w:p>
        </w:tc>
      </w:tr>
      <w:tr w14:paraId="0969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67B134FE">
            <w:pPr>
              <w:pStyle w:val="11"/>
              <w:spacing w:before="121"/>
              <w:ind w:left="291"/>
              <w:rPr>
                <w:sz w:val="24"/>
                <w:szCs w:val="24"/>
              </w:rPr>
            </w:pPr>
            <w:r>
              <w:rPr>
                <w:sz w:val="24"/>
                <w:szCs w:val="24"/>
              </w:rPr>
              <w:t>6</w:t>
            </w:r>
          </w:p>
        </w:tc>
        <w:tc>
          <w:tcPr>
            <w:tcW w:w="1547" w:type="dxa"/>
            <w:vAlign w:val="top"/>
          </w:tcPr>
          <w:p w14:paraId="0956416D">
            <w:pPr>
              <w:rPr>
                <w:rFonts w:ascii="Arial"/>
                <w:sz w:val="21"/>
              </w:rPr>
            </w:pPr>
          </w:p>
        </w:tc>
        <w:tc>
          <w:tcPr>
            <w:tcW w:w="1778" w:type="dxa"/>
            <w:vAlign w:val="top"/>
          </w:tcPr>
          <w:p w14:paraId="59C49D00">
            <w:pPr>
              <w:rPr>
                <w:rFonts w:ascii="Arial"/>
                <w:sz w:val="21"/>
              </w:rPr>
            </w:pPr>
          </w:p>
        </w:tc>
        <w:tc>
          <w:tcPr>
            <w:tcW w:w="5057" w:type="dxa"/>
            <w:vAlign w:val="top"/>
          </w:tcPr>
          <w:p w14:paraId="108CC5AC">
            <w:pPr>
              <w:rPr>
                <w:rFonts w:ascii="Arial"/>
                <w:sz w:val="21"/>
              </w:rPr>
            </w:pPr>
          </w:p>
        </w:tc>
      </w:tr>
      <w:tr w14:paraId="302A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91" w:type="dxa"/>
            <w:vAlign w:val="top"/>
          </w:tcPr>
          <w:p w14:paraId="1200DA1D">
            <w:pPr>
              <w:pStyle w:val="11"/>
              <w:spacing w:before="122"/>
              <w:ind w:left="295"/>
              <w:rPr>
                <w:sz w:val="24"/>
                <w:szCs w:val="24"/>
              </w:rPr>
            </w:pPr>
            <w:r>
              <w:rPr>
                <w:sz w:val="24"/>
                <w:szCs w:val="24"/>
              </w:rPr>
              <w:t>7</w:t>
            </w:r>
          </w:p>
        </w:tc>
        <w:tc>
          <w:tcPr>
            <w:tcW w:w="1547" w:type="dxa"/>
            <w:vAlign w:val="top"/>
          </w:tcPr>
          <w:p w14:paraId="2CDA1E2A">
            <w:pPr>
              <w:rPr>
                <w:rFonts w:ascii="Arial"/>
                <w:sz w:val="21"/>
              </w:rPr>
            </w:pPr>
          </w:p>
        </w:tc>
        <w:tc>
          <w:tcPr>
            <w:tcW w:w="1778" w:type="dxa"/>
            <w:vAlign w:val="top"/>
          </w:tcPr>
          <w:p w14:paraId="0B499A75">
            <w:pPr>
              <w:rPr>
                <w:rFonts w:ascii="Arial"/>
                <w:sz w:val="21"/>
              </w:rPr>
            </w:pPr>
          </w:p>
        </w:tc>
        <w:tc>
          <w:tcPr>
            <w:tcW w:w="5057" w:type="dxa"/>
            <w:vAlign w:val="top"/>
          </w:tcPr>
          <w:p w14:paraId="4E615DB7">
            <w:pPr>
              <w:rPr>
                <w:rFonts w:ascii="Arial"/>
                <w:sz w:val="21"/>
              </w:rPr>
            </w:pPr>
          </w:p>
        </w:tc>
      </w:tr>
      <w:tr w14:paraId="2773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91" w:type="dxa"/>
            <w:vAlign w:val="top"/>
          </w:tcPr>
          <w:p w14:paraId="5546C6CB">
            <w:pPr>
              <w:pStyle w:val="11"/>
              <w:spacing w:before="122"/>
              <w:ind w:left="290"/>
              <w:rPr>
                <w:sz w:val="24"/>
                <w:szCs w:val="24"/>
              </w:rPr>
            </w:pPr>
            <w:r>
              <w:rPr>
                <w:sz w:val="24"/>
                <w:szCs w:val="24"/>
              </w:rPr>
              <w:t>8</w:t>
            </w:r>
          </w:p>
        </w:tc>
        <w:tc>
          <w:tcPr>
            <w:tcW w:w="1547" w:type="dxa"/>
            <w:vAlign w:val="top"/>
          </w:tcPr>
          <w:p w14:paraId="316C9F38">
            <w:pPr>
              <w:rPr>
                <w:rFonts w:ascii="Arial"/>
                <w:sz w:val="21"/>
              </w:rPr>
            </w:pPr>
          </w:p>
        </w:tc>
        <w:tc>
          <w:tcPr>
            <w:tcW w:w="1778" w:type="dxa"/>
            <w:vAlign w:val="top"/>
          </w:tcPr>
          <w:p w14:paraId="29F78E91">
            <w:pPr>
              <w:rPr>
                <w:rFonts w:ascii="Arial"/>
                <w:sz w:val="21"/>
              </w:rPr>
            </w:pPr>
          </w:p>
        </w:tc>
        <w:tc>
          <w:tcPr>
            <w:tcW w:w="5057" w:type="dxa"/>
            <w:vAlign w:val="top"/>
          </w:tcPr>
          <w:p w14:paraId="5A25679C">
            <w:pPr>
              <w:rPr>
                <w:rFonts w:ascii="Arial"/>
                <w:sz w:val="21"/>
              </w:rPr>
            </w:pPr>
          </w:p>
        </w:tc>
      </w:tr>
      <w:tr w14:paraId="7D968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1" w:type="dxa"/>
            <w:vAlign w:val="top"/>
          </w:tcPr>
          <w:p w14:paraId="0ECC21B3">
            <w:pPr>
              <w:pStyle w:val="11"/>
              <w:spacing w:before="135" w:line="332" w:lineRule="exact"/>
              <w:ind w:left="256"/>
            </w:pPr>
            <w:r>
              <w:rPr>
                <w:position w:val="2"/>
              </w:rPr>
              <w:t>…</w:t>
            </w:r>
          </w:p>
        </w:tc>
        <w:tc>
          <w:tcPr>
            <w:tcW w:w="1547" w:type="dxa"/>
            <w:vAlign w:val="top"/>
          </w:tcPr>
          <w:p w14:paraId="47044C2C">
            <w:pPr>
              <w:rPr>
                <w:rFonts w:ascii="Arial"/>
                <w:sz w:val="21"/>
              </w:rPr>
            </w:pPr>
          </w:p>
        </w:tc>
        <w:tc>
          <w:tcPr>
            <w:tcW w:w="1778" w:type="dxa"/>
            <w:vAlign w:val="top"/>
          </w:tcPr>
          <w:p w14:paraId="12FD11F4">
            <w:pPr>
              <w:rPr>
                <w:rFonts w:ascii="Arial"/>
                <w:sz w:val="21"/>
              </w:rPr>
            </w:pPr>
          </w:p>
        </w:tc>
        <w:tc>
          <w:tcPr>
            <w:tcW w:w="5057" w:type="dxa"/>
            <w:vAlign w:val="top"/>
          </w:tcPr>
          <w:p w14:paraId="329B86A8">
            <w:pPr>
              <w:rPr>
                <w:rFonts w:ascii="Arial"/>
                <w:sz w:val="21"/>
              </w:rPr>
            </w:pPr>
          </w:p>
        </w:tc>
      </w:tr>
      <w:tr w14:paraId="74F4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9073" w:type="dxa"/>
            <w:gridSpan w:val="4"/>
            <w:vAlign w:val="top"/>
          </w:tcPr>
          <w:p w14:paraId="78847598">
            <w:pPr>
              <w:pStyle w:val="11"/>
              <w:spacing w:before="32" w:line="220" w:lineRule="auto"/>
              <w:ind w:left="115"/>
            </w:pPr>
            <w:r>
              <w:rPr>
                <w:spacing w:val="-1"/>
              </w:rPr>
              <w:t>评标委员会全体成员签名：</w:t>
            </w:r>
          </w:p>
        </w:tc>
      </w:tr>
    </w:tbl>
    <w:p w14:paraId="4486FE79">
      <w:pPr>
        <w:spacing w:before="29" w:line="221" w:lineRule="auto"/>
        <w:ind w:left="6100"/>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61D0FED4">
      <w:pPr>
        <w:spacing w:line="221" w:lineRule="auto"/>
        <w:rPr>
          <w:rFonts w:ascii="宋体" w:hAnsi="宋体" w:eastAsia="宋体" w:cs="宋体"/>
          <w:sz w:val="21"/>
          <w:szCs w:val="21"/>
        </w:rPr>
        <w:sectPr>
          <w:footerReference r:id="rId73" w:type="default"/>
          <w:pgSz w:w="11905" w:h="16843"/>
          <w:pgMar w:top="969" w:right="1355" w:bottom="1026" w:left="1480" w:header="0" w:footer="754" w:gutter="0"/>
          <w:cols w:space="0" w:num="1"/>
          <w:rtlGutter w:val="0"/>
          <w:docGrid w:linePitch="0" w:charSpace="0"/>
        </w:sectPr>
      </w:pPr>
    </w:p>
    <w:p w14:paraId="6A9F0E94">
      <w:pPr>
        <w:pStyle w:val="5"/>
        <w:spacing w:line="267" w:lineRule="auto"/>
      </w:pPr>
    </w:p>
    <w:p w14:paraId="458184CB">
      <w:pPr>
        <w:pStyle w:val="5"/>
        <w:spacing w:line="267" w:lineRule="auto"/>
      </w:pPr>
    </w:p>
    <w:p w14:paraId="2F8AD047">
      <w:pPr>
        <w:pStyle w:val="5"/>
        <w:spacing w:line="268" w:lineRule="auto"/>
      </w:pPr>
    </w:p>
    <w:p w14:paraId="635FDD7E">
      <w:pPr>
        <w:pStyle w:val="5"/>
        <w:spacing w:line="268" w:lineRule="auto"/>
      </w:pPr>
    </w:p>
    <w:p w14:paraId="39C0BEBC">
      <w:pPr>
        <w:spacing w:before="78" w:line="233" w:lineRule="auto"/>
        <w:ind w:left="152"/>
        <w:outlineLvl w:val="2"/>
        <w:rPr>
          <w:rFonts w:ascii="黑体" w:hAnsi="黑体" w:eastAsia="黑体" w:cs="黑体"/>
          <w:sz w:val="24"/>
          <w:szCs w:val="24"/>
        </w:rPr>
      </w:pPr>
      <w:bookmarkStart w:id="170" w:name="bookmark135"/>
      <w:bookmarkEnd w:id="170"/>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A-10</w:t>
      </w:r>
      <w:r>
        <w:rPr>
          <w:rFonts w:ascii="黑体" w:hAnsi="黑体" w:eastAsia="黑体" w:cs="黑体"/>
          <w:spacing w:val="-3"/>
          <w:sz w:val="24"/>
          <w:szCs w:val="24"/>
        </w:rPr>
        <w:t>：经济标评分记录表</w:t>
      </w:r>
    </w:p>
    <w:p w14:paraId="421BC09A">
      <w:pPr>
        <w:spacing w:before="266" w:line="219" w:lineRule="auto"/>
        <w:ind w:left="1664"/>
        <w:rPr>
          <w:rFonts w:ascii="黑体" w:hAnsi="黑体" w:eastAsia="黑体" w:cs="黑体"/>
          <w:sz w:val="36"/>
          <w:szCs w:val="36"/>
        </w:rPr>
      </w:pPr>
      <w:r>
        <w:rPr>
          <w:rFonts w:ascii="黑体" w:hAnsi="黑体" w:eastAsia="黑体" w:cs="黑体"/>
          <w:spacing w:val="-2"/>
          <w:sz w:val="36"/>
          <w:szCs w:val="36"/>
        </w:rPr>
        <w:t>经济标（投标报价）评分记录表</w:t>
      </w:r>
    </w:p>
    <w:p w14:paraId="660728FC">
      <w:pPr>
        <w:spacing w:before="239" w:line="221" w:lineRule="auto"/>
        <w:ind w:left="21"/>
        <w:rPr>
          <w:rFonts w:ascii="宋体" w:hAnsi="宋体" w:eastAsia="宋体" w:cs="宋体"/>
          <w:sz w:val="21"/>
          <w:szCs w:val="21"/>
        </w:rPr>
      </w:pPr>
      <w:r>
        <w:rPr>
          <w:rFonts w:ascii="宋体" w:hAnsi="宋体" w:eastAsia="宋体" w:cs="宋体"/>
          <w:spacing w:val="-7"/>
          <w:sz w:val="21"/>
          <w:szCs w:val="21"/>
        </w:rPr>
        <w:t>标段名称：</w:t>
      </w:r>
    </w:p>
    <w:p w14:paraId="5EACE963">
      <w:pPr>
        <w:spacing w:before="19" w:line="214" w:lineRule="auto"/>
        <w:ind w:left="21"/>
        <w:rPr>
          <w:rFonts w:ascii="宋体" w:hAnsi="宋体" w:eastAsia="宋体" w:cs="宋体"/>
          <w:sz w:val="21"/>
          <w:szCs w:val="21"/>
        </w:rPr>
      </w:pPr>
      <w:r>
        <w:rPr>
          <w:rFonts w:ascii="宋体" w:hAnsi="宋体" w:eastAsia="宋体" w:cs="宋体"/>
          <w:sz w:val="21"/>
          <w:szCs w:val="21"/>
        </w:rPr>
        <w:t>标段唯一标识码：                                                单</w:t>
      </w:r>
      <w:r>
        <w:rPr>
          <w:rFonts w:ascii="宋体" w:hAnsi="宋体" w:eastAsia="宋体" w:cs="宋体"/>
          <w:spacing w:val="-1"/>
          <w:sz w:val="21"/>
          <w:szCs w:val="21"/>
        </w:rPr>
        <w:t>位：人民币元</w:t>
      </w:r>
    </w:p>
    <w:tbl>
      <w:tblPr>
        <w:tblStyle w:val="10"/>
        <w:tblW w:w="830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331"/>
        <w:gridCol w:w="701"/>
        <w:gridCol w:w="995"/>
        <w:gridCol w:w="736"/>
        <w:gridCol w:w="945"/>
        <w:gridCol w:w="842"/>
        <w:gridCol w:w="840"/>
        <w:gridCol w:w="1334"/>
      </w:tblGrid>
      <w:tr w14:paraId="7C636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83" w:type="dxa"/>
            <w:vMerge w:val="restart"/>
            <w:tcBorders>
              <w:bottom w:val="nil"/>
            </w:tcBorders>
            <w:textDirection w:val="tbRlV"/>
            <w:vAlign w:val="top"/>
          </w:tcPr>
          <w:p w14:paraId="727A129B">
            <w:pPr>
              <w:pStyle w:val="11"/>
              <w:spacing w:before="184" w:line="211" w:lineRule="auto"/>
              <w:ind w:left="562"/>
            </w:pPr>
            <w:r>
              <w:rPr>
                <w:spacing w:val="31"/>
              </w:rPr>
              <w:t>序号</w:t>
            </w:r>
          </w:p>
        </w:tc>
        <w:tc>
          <w:tcPr>
            <w:tcW w:w="1331" w:type="dxa"/>
            <w:vMerge w:val="restart"/>
            <w:tcBorders>
              <w:bottom w:val="nil"/>
            </w:tcBorders>
            <w:vAlign w:val="top"/>
          </w:tcPr>
          <w:p w14:paraId="60D10F21">
            <w:pPr>
              <w:spacing w:line="313" w:lineRule="auto"/>
              <w:rPr>
                <w:rFonts w:ascii="Arial"/>
                <w:sz w:val="21"/>
              </w:rPr>
            </w:pPr>
          </w:p>
          <w:p w14:paraId="0DFB1ED7">
            <w:pPr>
              <w:spacing w:line="314" w:lineRule="auto"/>
              <w:rPr>
                <w:rFonts w:ascii="Arial"/>
                <w:sz w:val="21"/>
              </w:rPr>
            </w:pPr>
          </w:p>
          <w:p w14:paraId="2C9524C6">
            <w:pPr>
              <w:pStyle w:val="11"/>
              <w:spacing w:before="68" w:line="221" w:lineRule="auto"/>
              <w:ind w:left="145"/>
            </w:pPr>
            <w:r>
              <w:rPr>
                <w:spacing w:val="-2"/>
              </w:rPr>
              <w:t>投标人名称</w:t>
            </w:r>
          </w:p>
        </w:tc>
        <w:tc>
          <w:tcPr>
            <w:tcW w:w="6393" w:type="dxa"/>
            <w:gridSpan w:val="7"/>
            <w:vAlign w:val="top"/>
          </w:tcPr>
          <w:p w14:paraId="3C3480D4">
            <w:pPr>
              <w:pStyle w:val="11"/>
              <w:spacing w:before="149" w:line="221" w:lineRule="auto"/>
              <w:ind w:left="2991"/>
            </w:pPr>
            <w:r>
              <w:rPr>
                <w:spacing w:val="-3"/>
              </w:rPr>
              <w:t>项目</w:t>
            </w:r>
          </w:p>
        </w:tc>
      </w:tr>
      <w:tr w14:paraId="53293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583" w:type="dxa"/>
            <w:vMerge w:val="continue"/>
            <w:tcBorders>
              <w:top w:val="nil"/>
            </w:tcBorders>
            <w:textDirection w:val="tbRlV"/>
            <w:vAlign w:val="top"/>
          </w:tcPr>
          <w:p w14:paraId="22507F3D">
            <w:pPr>
              <w:rPr>
                <w:rFonts w:ascii="Arial"/>
                <w:sz w:val="21"/>
              </w:rPr>
            </w:pPr>
          </w:p>
        </w:tc>
        <w:tc>
          <w:tcPr>
            <w:tcW w:w="1331" w:type="dxa"/>
            <w:vMerge w:val="continue"/>
            <w:tcBorders>
              <w:top w:val="nil"/>
            </w:tcBorders>
            <w:vAlign w:val="top"/>
          </w:tcPr>
          <w:p w14:paraId="255AB9E7">
            <w:pPr>
              <w:rPr>
                <w:rFonts w:ascii="Arial"/>
                <w:sz w:val="21"/>
              </w:rPr>
            </w:pPr>
          </w:p>
        </w:tc>
        <w:tc>
          <w:tcPr>
            <w:tcW w:w="701" w:type="dxa"/>
            <w:vAlign w:val="top"/>
          </w:tcPr>
          <w:p w14:paraId="7A283CE4">
            <w:pPr>
              <w:pStyle w:val="11"/>
              <w:spacing w:before="303" w:line="242" w:lineRule="auto"/>
              <w:ind w:left="140" w:right="140" w:firstLine="4"/>
            </w:pPr>
            <w:r>
              <w:rPr>
                <w:spacing w:val="-5"/>
              </w:rPr>
              <w:t>投标</w:t>
            </w:r>
            <w:r>
              <w:rPr>
                <w:spacing w:val="-3"/>
              </w:rPr>
              <w:t>报价</w:t>
            </w:r>
          </w:p>
        </w:tc>
        <w:tc>
          <w:tcPr>
            <w:tcW w:w="995" w:type="dxa"/>
            <w:vAlign w:val="top"/>
          </w:tcPr>
          <w:p w14:paraId="07241327">
            <w:pPr>
              <w:pStyle w:val="11"/>
              <w:spacing w:before="32" w:line="221" w:lineRule="auto"/>
              <w:ind w:left="184"/>
            </w:pPr>
            <w:r>
              <w:rPr>
                <w:spacing w:val="-2"/>
              </w:rPr>
              <w:t>修正后</w:t>
            </w:r>
          </w:p>
          <w:p w14:paraId="658AC9B6">
            <w:pPr>
              <w:pStyle w:val="11"/>
              <w:spacing w:before="19" w:line="221" w:lineRule="auto"/>
              <w:ind w:left="187"/>
            </w:pPr>
            <w:r>
              <w:rPr>
                <w:spacing w:val="-2"/>
              </w:rPr>
              <w:t>投标报</w:t>
            </w:r>
          </w:p>
          <w:p w14:paraId="5F3EA711">
            <w:pPr>
              <w:pStyle w:val="11"/>
              <w:spacing w:before="21" w:line="224" w:lineRule="auto"/>
              <w:ind w:left="290" w:right="179" w:hanging="105"/>
            </w:pPr>
            <w:r>
              <w:rPr>
                <w:spacing w:val="-2"/>
              </w:rPr>
              <w:t>价（如</w:t>
            </w:r>
            <w:r>
              <w:rPr>
                <w:spacing w:val="-6"/>
              </w:rPr>
              <w:t>有）</w:t>
            </w:r>
          </w:p>
        </w:tc>
        <w:tc>
          <w:tcPr>
            <w:tcW w:w="736" w:type="dxa"/>
            <w:vAlign w:val="top"/>
          </w:tcPr>
          <w:p w14:paraId="7ED88CCD">
            <w:pPr>
              <w:pStyle w:val="11"/>
              <w:spacing w:before="303" w:line="242" w:lineRule="auto"/>
              <w:ind w:left="267" w:right="155" w:hanging="107"/>
            </w:pPr>
            <w:r>
              <w:rPr>
                <w:spacing w:val="-3"/>
              </w:rPr>
              <w:t>评标</w:t>
            </w:r>
            <w:r>
              <w:t>价</w:t>
            </w:r>
          </w:p>
        </w:tc>
        <w:tc>
          <w:tcPr>
            <w:tcW w:w="945" w:type="dxa"/>
            <w:vAlign w:val="top"/>
          </w:tcPr>
          <w:p w14:paraId="1990B5BA">
            <w:pPr>
              <w:pStyle w:val="11"/>
              <w:spacing w:before="303" w:line="242" w:lineRule="auto"/>
              <w:ind w:left="270" w:right="151" w:hanging="108"/>
            </w:pPr>
            <w:r>
              <w:rPr>
                <w:spacing w:val="-2"/>
              </w:rPr>
              <w:t>评标基准价</w:t>
            </w:r>
          </w:p>
        </w:tc>
        <w:tc>
          <w:tcPr>
            <w:tcW w:w="842" w:type="dxa"/>
            <w:vAlign w:val="top"/>
          </w:tcPr>
          <w:p w14:paraId="563E68D4">
            <w:pPr>
              <w:pStyle w:val="11"/>
              <w:spacing w:before="302" w:line="243" w:lineRule="auto"/>
              <w:ind w:left="323" w:right="206" w:hanging="107"/>
            </w:pPr>
            <w:r>
              <w:rPr>
                <w:spacing w:val="-3"/>
              </w:rPr>
              <w:t>偏差</w:t>
            </w:r>
            <w:r>
              <w:t>率</w:t>
            </w:r>
          </w:p>
        </w:tc>
        <w:tc>
          <w:tcPr>
            <w:tcW w:w="840" w:type="dxa"/>
            <w:vAlign w:val="top"/>
          </w:tcPr>
          <w:p w14:paraId="6B75AD94">
            <w:pPr>
              <w:pStyle w:val="11"/>
              <w:spacing w:before="32" w:line="221" w:lineRule="auto"/>
              <w:ind w:left="214"/>
            </w:pPr>
            <w:r>
              <w:rPr>
                <w:spacing w:val="-2"/>
              </w:rPr>
              <w:t>计算</w:t>
            </w:r>
          </w:p>
          <w:p w14:paraId="5D524514">
            <w:pPr>
              <w:pStyle w:val="11"/>
              <w:spacing w:before="20" w:line="221" w:lineRule="auto"/>
              <w:ind w:left="216"/>
            </w:pPr>
            <w:r>
              <w:rPr>
                <w:spacing w:val="-3"/>
              </w:rPr>
              <w:t>投标</w:t>
            </w:r>
          </w:p>
          <w:p w14:paraId="78938E3A">
            <w:pPr>
              <w:pStyle w:val="11"/>
              <w:spacing w:before="22" w:line="219" w:lineRule="auto"/>
              <w:ind w:left="212"/>
            </w:pPr>
            <w:r>
              <w:rPr>
                <w:spacing w:val="-2"/>
              </w:rPr>
              <w:t>报价</w:t>
            </w:r>
          </w:p>
          <w:p w14:paraId="3242185C">
            <w:pPr>
              <w:pStyle w:val="11"/>
              <w:spacing w:before="22" w:line="208" w:lineRule="auto"/>
              <w:ind w:left="215"/>
            </w:pPr>
            <w:r>
              <w:rPr>
                <w:spacing w:val="-2"/>
              </w:rPr>
              <w:t>得分</w:t>
            </w:r>
          </w:p>
        </w:tc>
        <w:tc>
          <w:tcPr>
            <w:tcW w:w="1334" w:type="dxa"/>
            <w:vAlign w:val="top"/>
          </w:tcPr>
          <w:p w14:paraId="1E7341A5">
            <w:pPr>
              <w:pStyle w:val="11"/>
              <w:spacing w:before="33" w:line="239" w:lineRule="auto"/>
              <w:ind w:left="282" w:right="135" w:hanging="132"/>
            </w:pPr>
            <w:r>
              <w:rPr>
                <w:spacing w:val="-2"/>
              </w:rPr>
              <w:t>投标报价最</w:t>
            </w:r>
            <w:r>
              <w:rPr>
                <w:spacing w:val="-3"/>
              </w:rPr>
              <w:t>终得分</w:t>
            </w:r>
            <w:r>
              <w:rPr>
                <w:spacing w:val="-48"/>
              </w:rPr>
              <w:t xml:space="preserve"> </w:t>
            </w:r>
            <w:r>
              <w:rPr>
                <w:spacing w:val="-3"/>
              </w:rPr>
              <w:t>D</w:t>
            </w:r>
          </w:p>
          <w:p w14:paraId="13BF4B41">
            <w:pPr>
              <w:pStyle w:val="11"/>
              <w:spacing w:before="1" w:line="223" w:lineRule="auto"/>
              <w:ind w:left="463" w:right="356" w:hanging="101"/>
            </w:pPr>
            <w:r>
              <w:rPr>
                <w:spacing w:val="-7"/>
              </w:rPr>
              <w:t>（满分</w:t>
            </w:r>
            <w:r>
              <w:rPr>
                <w:spacing w:val="-5"/>
              </w:rPr>
              <w:t>分）</w:t>
            </w:r>
          </w:p>
        </w:tc>
      </w:tr>
      <w:tr w14:paraId="55079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83" w:type="dxa"/>
            <w:vAlign w:val="top"/>
          </w:tcPr>
          <w:p w14:paraId="2878A465">
            <w:pPr>
              <w:spacing w:before="157" w:line="236" w:lineRule="auto"/>
              <w:ind w:left="25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331" w:type="dxa"/>
            <w:vAlign w:val="top"/>
          </w:tcPr>
          <w:p w14:paraId="71DC2695">
            <w:pPr>
              <w:rPr>
                <w:rFonts w:ascii="Arial"/>
                <w:sz w:val="21"/>
              </w:rPr>
            </w:pPr>
          </w:p>
        </w:tc>
        <w:tc>
          <w:tcPr>
            <w:tcW w:w="701" w:type="dxa"/>
            <w:vAlign w:val="top"/>
          </w:tcPr>
          <w:p w14:paraId="6BA4F776">
            <w:pPr>
              <w:rPr>
                <w:rFonts w:ascii="Arial"/>
                <w:sz w:val="21"/>
              </w:rPr>
            </w:pPr>
          </w:p>
        </w:tc>
        <w:tc>
          <w:tcPr>
            <w:tcW w:w="995" w:type="dxa"/>
            <w:vAlign w:val="top"/>
          </w:tcPr>
          <w:p w14:paraId="62EE3CF5">
            <w:pPr>
              <w:rPr>
                <w:rFonts w:ascii="Arial"/>
                <w:sz w:val="21"/>
              </w:rPr>
            </w:pPr>
          </w:p>
        </w:tc>
        <w:tc>
          <w:tcPr>
            <w:tcW w:w="736" w:type="dxa"/>
            <w:vAlign w:val="top"/>
          </w:tcPr>
          <w:p w14:paraId="30D289A5">
            <w:pPr>
              <w:rPr>
                <w:rFonts w:ascii="Arial"/>
                <w:sz w:val="21"/>
              </w:rPr>
            </w:pPr>
          </w:p>
        </w:tc>
        <w:tc>
          <w:tcPr>
            <w:tcW w:w="945" w:type="dxa"/>
            <w:vMerge w:val="restart"/>
            <w:tcBorders>
              <w:bottom w:val="nil"/>
            </w:tcBorders>
            <w:vAlign w:val="top"/>
          </w:tcPr>
          <w:p w14:paraId="490E1FDC">
            <w:pPr>
              <w:rPr>
                <w:rFonts w:ascii="Arial"/>
                <w:sz w:val="21"/>
              </w:rPr>
            </w:pPr>
          </w:p>
        </w:tc>
        <w:tc>
          <w:tcPr>
            <w:tcW w:w="842" w:type="dxa"/>
            <w:vAlign w:val="top"/>
          </w:tcPr>
          <w:p w14:paraId="79AB1793">
            <w:pPr>
              <w:rPr>
                <w:rFonts w:ascii="Arial"/>
                <w:sz w:val="21"/>
              </w:rPr>
            </w:pPr>
          </w:p>
        </w:tc>
        <w:tc>
          <w:tcPr>
            <w:tcW w:w="840" w:type="dxa"/>
            <w:vAlign w:val="top"/>
          </w:tcPr>
          <w:p w14:paraId="0B53E635">
            <w:pPr>
              <w:rPr>
                <w:rFonts w:ascii="Arial"/>
                <w:sz w:val="21"/>
              </w:rPr>
            </w:pPr>
          </w:p>
        </w:tc>
        <w:tc>
          <w:tcPr>
            <w:tcW w:w="1334" w:type="dxa"/>
            <w:vAlign w:val="top"/>
          </w:tcPr>
          <w:p w14:paraId="302AFF39">
            <w:pPr>
              <w:rPr>
                <w:rFonts w:ascii="Arial"/>
                <w:sz w:val="21"/>
              </w:rPr>
            </w:pPr>
          </w:p>
        </w:tc>
      </w:tr>
      <w:tr w14:paraId="63D8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583" w:type="dxa"/>
            <w:vAlign w:val="top"/>
          </w:tcPr>
          <w:p w14:paraId="102A4B61">
            <w:pPr>
              <w:pStyle w:val="11"/>
              <w:spacing w:before="60" w:line="242" w:lineRule="auto"/>
              <w:ind w:left="245"/>
            </w:pPr>
            <w:r>
              <w:t>2</w:t>
            </w:r>
          </w:p>
        </w:tc>
        <w:tc>
          <w:tcPr>
            <w:tcW w:w="1331" w:type="dxa"/>
            <w:vAlign w:val="top"/>
          </w:tcPr>
          <w:p w14:paraId="6638B881">
            <w:pPr>
              <w:rPr>
                <w:rFonts w:ascii="Arial"/>
                <w:sz w:val="21"/>
              </w:rPr>
            </w:pPr>
          </w:p>
        </w:tc>
        <w:tc>
          <w:tcPr>
            <w:tcW w:w="701" w:type="dxa"/>
            <w:vAlign w:val="top"/>
          </w:tcPr>
          <w:p w14:paraId="46AE4585">
            <w:pPr>
              <w:rPr>
                <w:rFonts w:ascii="Arial"/>
                <w:sz w:val="21"/>
              </w:rPr>
            </w:pPr>
          </w:p>
        </w:tc>
        <w:tc>
          <w:tcPr>
            <w:tcW w:w="995" w:type="dxa"/>
            <w:vAlign w:val="top"/>
          </w:tcPr>
          <w:p w14:paraId="7AD8C1C9">
            <w:pPr>
              <w:rPr>
                <w:rFonts w:ascii="Arial"/>
                <w:sz w:val="21"/>
              </w:rPr>
            </w:pPr>
          </w:p>
        </w:tc>
        <w:tc>
          <w:tcPr>
            <w:tcW w:w="736" w:type="dxa"/>
            <w:vAlign w:val="top"/>
          </w:tcPr>
          <w:p w14:paraId="068C2AAF">
            <w:pPr>
              <w:rPr>
                <w:rFonts w:ascii="Arial"/>
                <w:sz w:val="21"/>
              </w:rPr>
            </w:pPr>
          </w:p>
        </w:tc>
        <w:tc>
          <w:tcPr>
            <w:tcW w:w="945" w:type="dxa"/>
            <w:vMerge w:val="continue"/>
            <w:tcBorders>
              <w:top w:val="nil"/>
              <w:bottom w:val="nil"/>
            </w:tcBorders>
            <w:vAlign w:val="top"/>
          </w:tcPr>
          <w:p w14:paraId="5FFEDF3B">
            <w:pPr>
              <w:rPr>
                <w:rFonts w:ascii="Arial"/>
                <w:sz w:val="21"/>
              </w:rPr>
            </w:pPr>
          </w:p>
        </w:tc>
        <w:tc>
          <w:tcPr>
            <w:tcW w:w="842" w:type="dxa"/>
            <w:vAlign w:val="top"/>
          </w:tcPr>
          <w:p w14:paraId="5BDB6C38">
            <w:pPr>
              <w:rPr>
                <w:rFonts w:ascii="Arial"/>
                <w:sz w:val="21"/>
              </w:rPr>
            </w:pPr>
          </w:p>
        </w:tc>
        <w:tc>
          <w:tcPr>
            <w:tcW w:w="840" w:type="dxa"/>
            <w:vAlign w:val="top"/>
          </w:tcPr>
          <w:p w14:paraId="1B760773">
            <w:pPr>
              <w:rPr>
                <w:rFonts w:ascii="Arial"/>
                <w:sz w:val="21"/>
              </w:rPr>
            </w:pPr>
          </w:p>
        </w:tc>
        <w:tc>
          <w:tcPr>
            <w:tcW w:w="1334" w:type="dxa"/>
            <w:vAlign w:val="top"/>
          </w:tcPr>
          <w:p w14:paraId="420434EA">
            <w:pPr>
              <w:rPr>
                <w:rFonts w:ascii="Arial"/>
                <w:sz w:val="21"/>
              </w:rPr>
            </w:pPr>
          </w:p>
        </w:tc>
      </w:tr>
      <w:tr w14:paraId="2B68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83" w:type="dxa"/>
            <w:vAlign w:val="top"/>
          </w:tcPr>
          <w:p w14:paraId="4B553D00">
            <w:pPr>
              <w:spacing w:before="162" w:line="234" w:lineRule="auto"/>
              <w:ind w:left="24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331" w:type="dxa"/>
            <w:vAlign w:val="top"/>
          </w:tcPr>
          <w:p w14:paraId="6D7E4620">
            <w:pPr>
              <w:rPr>
                <w:rFonts w:ascii="Arial"/>
                <w:sz w:val="21"/>
              </w:rPr>
            </w:pPr>
          </w:p>
        </w:tc>
        <w:tc>
          <w:tcPr>
            <w:tcW w:w="701" w:type="dxa"/>
            <w:vAlign w:val="top"/>
          </w:tcPr>
          <w:p w14:paraId="08DFB1B1">
            <w:pPr>
              <w:rPr>
                <w:rFonts w:ascii="Arial"/>
                <w:sz w:val="21"/>
              </w:rPr>
            </w:pPr>
          </w:p>
        </w:tc>
        <w:tc>
          <w:tcPr>
            <w:tcW w:w="995" w:type="dxa"/>
            <w:vAlign w:val="top"/>
          </w:tcPr>
          <w:p w14:paraId="15A5A5D7">
            <w:pPr>
              <w:rPr>
                <w:rFonts w:ascii="Arial"/>
                <w:sz w:val="21"/>
              </w:rPr>
            </w:pPr>
          </w:p>
        </w:tc>
        <w:tc>
          <w:tcPr>
            <w:tcW w:w="736" w:type="dxa"/>
            <w:vAlign w:val="top"/>
          </w:tcPr>
          <w:p w14:paraId="4787FFE1">
            <w:pPr>
              <w:rPr>
                <w:rFonts w:ascii="Arial"/>
                <w:sz w:val="21"/>
              </w:rPr>
            </w:pPr>
          </w:p>
        </w:tc>
        <w:tc>
          <w:tcPr>
            <w:tcW w:w="945" w:type="dxa"/>
            <w:vMerge w:val="continue"/>
            <w:tcBorders>
              <w:top w:val="nil"/>
              <w:bottom w:val="nil"/>
            </w:tcBorders>
            <w:vAlign w:val="top"/>
          </w:tcPr>
          <w:p w14:paraId="2CA42DFD">
            <w:pPr>
              <w:rPr>
                <w:rFonts w:ascii="Arial"/>
                <w:sz w:val="21"/>
              </w:rPr>
            </w:pPr>
          </w:p>
        </w:tc>
        <w:tc>
          <w:tcPr>
            <w:tcW w:w="842" w:type="dxa"/>
            <w:vAlign w:val="top"/>
          </w:tcPr>
          <w:p w14:paraId="04B0E136">
            <w:pPr>
              <w:rPr>
                <w:rFonts w:ascii="Arial"/>
                <w:sz w:val="21"/>
              </w:rPr>
            </w:pPr>
          </w:p>
        </w:tc>
        <w:tc>
          <w:tcPr>
            <w:tcW w:w="840" w:type="dxa"/>
            <w:vAlign w:val="top"/>
          </w:tcPr>
          <w:p w14:paraId="34A2C0E0">
            <w:pPr>
              <w:rPr>
                <w:rFonts w:ascii="Arial"/>
                <w:sz w:val="21"/>
              </w:rPr>
            </w:pPr>
          </w:p>
        </w:tc>
        <w:tc>
          <w:tcPr>
            <w:tcW w:w="1334" w:type="dxa"/>
            <w:vAlign w:val="top"/>
          </w:tcPr>
          <w:p w14:paraId="55DA8324">
            <w:pPr>
              <w:rPr>
                <w:rFonts w:ascii="Arial"/>
                <w:sz w:val="21"/>
              </w:rPr>
            </w:pPr>
          </w:p>
        </w:tc>
      </w:tr>
      <w:tr w14:paraId="2CD4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14:paraId="537585AB">
            <w:pPr>
              <w:pStyle w:val="11"/>
              <w:spacing w:before="130" w:line="242" w:lineRule="auto"/>
              <w:ind w:left="242"/>
            </w:pPr>
            <w:r>
              <w:t>4</w:t>
            </w:r>
          </w:p>
        </w:tc>
        <w:tc>
          <w:tcPr>
            <w:tcW w:w="1331" w:type="dxa"/>
            <w:vAlign w:val="top"/>
          </w:tcPr>
          <w:p w14:paraId="34E5787A">
            <w:pPr>
              <w:rPr>
                <w:rFonts w:ascii="Arial"/>
                <w:sz w:val="21"/>
              </w:rPr>
            </w:pPr>
          </w:p>
        </w:tc>
        <w:tc>
          <w:tcPr>
            <w:tcW w:w="701" w:type="dxa"/>
            <w:vAlign w:val="top"/>
          </w:tcPr>
          <w:p w14:paraId="06CA5F3C">
            <w:pPr>
              <w:rPr>
                <w:rFonts w:ascii="Arial"/>
                <w:sz w:val="21"/>
              </w:rPr>
            </w:pPr>
          </w:p>
        </w:tc>
        <w:tc>
          <w:tcPr>
            <w:tcW w:w="995" w:type="dxa"/>
            <w:vAlign w:val="top"/>
          </w:tcPr>
          <w:p w14:paraId="401E7951">
            <w:pPr>
              <w:rPr>
                <w:rFonts w:ascii="Arial"/>
                <w:sz w:val="21"/>
              </w:rPr>
            </w:pPr>
          </w:p>
        </w:tc>
        <w:tc>
          <w:tcPr>
            <w:tcW w:w="736" w:type="dxa"/>
            <w:vAlign w:val="top"/>
          </w:tcPr>
          <w:p w14:paraId="22E2EE1F">
            <w:pPr>
              <w:rPr>
                <w:rFonts w:ascii="Arial"/>
                <w:sz w:val="21"/>
              </w:rPr>
            </w:pPr>
          </w:p>
        </w:tc>
        <w:tc>
          <w:tcPr>
            <w:tcW w:w="945" w:type="dxa"/>
            <w:vMerge w:val="continue"/>
            <w:tcBorders>
              <w:top w:val="nil"/>
              <w:bottom w:val="nil"/>
            </w:tcBorders>
            <w:vAlign w:val="top"/>
          </w:tcPr>
          <w:p w14:paraId="7AE9F8E6">
            <w:pPr>
              <w:rPr>
                <w:rFonts w:ascii="Arial"/>
                <w:sz w:val="21"/>
              </w:rPr>
            </w:pPr>
          </w:p>
        </w:tc>
        <w:tc>
          <w:tcPr>
            <w:tcW w:w="842" w:type="dxa"/>
            <w:vAlign w:val="top"/>
          </w:tcPr>
          <w:p w14:paraId="159952CB">
            <w:pPr>
              <w:rPr>
                <w:rFonts w:ascii="Arial"/>
                <w:sz w:val="21"/>
              </w:rPr>
            </w:pPr>
          </w:p>
        </w:tc>
        <w:tc>
          <w:tcPr>
            <w:tcW w:w="840" w:type="dxa"/>
            <w:vAlign w:val="top"/>
          </w:tcPr>
          <w:p w14:paraId="4F24C408">
            <w:pPr>
              <w:rPr>
                <w:rFonts w:ascii="Arial"/>
                <w:sz w:val="21"/>
              </w:rPr>
            </w:pPr>
          </w:p>
        </w:tc>
        <w:tc>
          <w:tcPr>
            <w:tcW w:w="1334" w:type="dxa"/>
            <w:vAlign w:val="top"/>
          </w:tcPr>
          <w:p w14:paraId="6154D523">
            <w:pPr>
              <w:rPr>
                <w:rFonts w:ascii="Arial"/>
                <w:sz w:val="21"/>
              </w:rPr>
            </w:pPr>
          </w:p>
        </w:tc>
      </w:tr>
      <w:tr w14:paraId="17BC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83" w:type="dxa"/>
            <w:vAlign w:val="top"/>
          </w:tcPr>
          <w:p w14:paraId="2EBCA20A">
            <w:pPr>
              <w:spacing w:before="160" w:line="234" w:lineRule="auto"/>
              <w:ind w:left="24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331" w:type="dxa"/>
            <w:vAlign w:val="top"/>
          </w:tcPr>
          <w:p w14:paraId="16A00854">
            <w:pPr>
              <w:rPr>
                <w:rFonts w:ascii="Arial"/>
                <w:sz w:val="21"/>
              </w:rPr>
            </w:pPr>
          </w:p>
        </w:tc>
        <w:tc>
          <w:tcPr>
            <w:tcW w:w="701" w:type="dxa"/>
            <w:vAlign w:val="top"/>
          </w:tcPr>
          <w:p w14:paraId="23AAC43B">
            <w:pPr>
              <w:rPr>
                <w:rFonts w:ascii="Arial"/>
                <w:sz w:val="21"/>
              </w:rPr>
            </w:pPr>
          </w:p>
        </w:tc>
        <w:tc>
          <w:tcPr>
            <w:tcW w:w="995" w:type="dxa"/>
            <w:vAlign w:val="top"/>
          </w:tcPr>
          <w:p w14:paraId="01229144">
            <w:pPr>
              <w:rPr>
                <w:rFonts w:ascii="Arial"/>
                <w:sz w:val="21"/>
              </w:rPr>
            </w:pPr>
          </w:p>
        </w:tc>
        <w:tc>
          <w:tcPr>
            <w:tcW w:w="736" w:type="dxa"/>
            <w:vAlign w:val="top"/>
          </w:tcPr>
          <w:p w14:paraId="314BE9B7">
            <w:pPr>
              <w:rPr>
                <w:rFonts w:ascii="Arial"/>
                <w:sz w:val="21"/>
              </w:rPr>
            </w:pPr>
          </w:p>
        </w:tc>
        <w:tc>
          <w:tcPr>
            <w:tcW w:w="945" w:type="dxa"/>
            <w:vMerge w:val="continue"/>
            <w:tcBorders>
              <w:top w:val="nil"/>
              <w:bottom w:val="nil"/>
            </w:tcBorders>
            <w:vAlign w:val="top"/>
          </w:tcPr>
          <w:p w14:paraId="309221CE">
            <w:pPr>
              <w:rPr>
                <w:rFonts w:ascii="Arial"/>
                <w:sz w:val="21"/>
              </w:rPr>
            </w:pPr>
          </w:p>
        </w:tc>
        <w:tc>
          <w:tcPr>
            <w:tcW w:w="842" w:type="dxa"/>
            <w:vAlign w:val="top"/>
          </w:tcPr>
          <w:p w14:paraId="5770FD41">
            <w:pPr>
              <w:rPr>
                <w:rFonts w:ascii="Arial"/>
                <w:sz w:val="21"/>
              </w:rPr>
            </w:pPr>
          </w:p>
        </w:tc>
        <w:tc>
          <w:tcPr>
            <w:tcW w:w="840" w:type="dxa"/>
            <w:vAlign w:val="top"/>
          </w:tcPr>
          <w:p w14:paraId="06487CEF">
            <w:pPr>
              <w:rPr>
                <w:rFonts w:ascii="Arial"/>
                <w:sz w:val="21"/>
              </w:rPr>
            </w:pPr>
          </w:p>
        </w:tc>
        <w:tc>
          <w:tcPr>
            <w:tcW w:w="1334" w:type="dxa"/>
            <w:vAlign w:val="top"/>
          </w:tcPr>
          <w:p w14:paraId="3EE0BFD2">
            <w:pPr>
              <w:rPr>
                <w:rFonts w:ascii="Arial"/>
                <w:sz w:val="21"/>
              </w:rPr>
            </w:pPr>
          </w:p>
        </w:tc>
      </w:tr>
      <w:tr w14:paraId="1F49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14:paraId="06FEE168">
            <w:pPr>
              <w:spacing w:before="166" w:line="234" w:lineRule="auto"/>
              <w:ind w:left="24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331" w:type="dxa"/>
            <w:vAlign w:val="top"/>
          </w:tcPr>
          <w:p w14:paraId="74D34B7E">
            <w:pPr>
              <w:rPr>
                <w:rFonts w:ascii="Arial"/>
                <w:sz w:val="21"/>
              </w:rPr>
            </w:pPr>
          </w:p>
        </w:tc>
        <w:tc>
          <w:tcPr>
            <w:tcW w:w="701" w:type="dxa"/>
            <w:vAlign w:val="top"/>
          </w:tcPr>
          <w:p w14:paraId="367CCA27">
            <w:pPr>
              <w:rPr>
                <w:rFonts w:ascii="Arial"/>
                <w:sz w:val="21"/>
              </w:rPr>
            </w:pPr>
          </w:p>
        </w:tc>
        <w:tc>
          <w:tcPr>
            <w:tcW w:w="995" w:type="dxa"/>
            <w:vAlign w:val="top"/>
          </w:tcPr>
          <w:p w14:paraId="70E9C6CA">
            <w:pPr>
              <w:rPr>
                <w:rFonts w:ascii="Arial"/>
                <w:sz w:val="21"/>
              </w:rPr>
            </w:pPr>
          </w:p>
        </w:tc>
        <w:tc>
          <w:tcPr>
            <w:tcW w:w="736" w:type="dxa"/>
            <w:vAlign w:val="top"/>
          </w:tcPr>
          <w:p w14:paraId="24535188">
            <w:pPr>
              <w:rPr>
                <w:rFonts w:ascii="Arial"/>
                <w:sz w:val="21"/>
              </w:rPr>
            </w:pPr>
          </w:p>
        </w:tc>
        <w:tc>
          <w:tcPr>
            <w:tcW w:w="945" w:type="dxa"/>
            <w:vMerge w:val="continue"/>
            <w:tcBorders>
              <w:top w:val="nil"/>
              <w:bottom w:val="nil"/>
            </w:tcBorders>
            <w:vAlign w:val="top"/>
          </w:tcPr>
          <w:p w14:paraId="5CE40D37">
            <w:pPr>
              <w:rPr>
                <w:rFonts w:ascii="Arial"/>
                <w:sz w:val="21"/>
              </w:rPr>
            </w:pPr>
          </w:p>
        </w:tc>
        <w:tc>
          <w:tcPr>
            <w:tcW w:w="842" w:type="dxa"/>
            <w:vAlign w:val="top"/>
          </w:tcPr>
          <w:p w14:paraId="2DFE33C2">
            <w:pPr>
              <w:rPr>
                <w:rFonts w:ascii="Arial"/>
                <w:sz w:val="21"/>
              </w:rPr>
            </w:pPr>
          </w:p>
        </w:tc>
        <w:tc>
          <w:tcPr>
            <w:tcW w:w="840" w:type="dxa"/>
            <w:vAlign w:val="top"/>
          </w:tcPr>
          <w:p w14:paraId="4526DAD2">
            <w:pPr>
              <w:rPr>
                <w:rFonts w:ascii="Arial"/>
                <w:sz w:val="21"/>
              </w:rPr>
            </w:pPr>
          </w:p>
        </w:tc>
        <w:tc>
          <w:tcPr>
            <w:tcW w:w="1334" w:type="dxa"/>
            <w:vAlign w:val="top"/>
          </w:tcPr>
          <w:p w14:paraId="74E2FE19">
            <w:pPr>
              <w:rPr>
                <w:rFonts w:ascii="Arial"/>
                <w:sz w:val="21"/>
              </w:rPr>
            </w:pPr>
          </w:p>
        </w:tc>
      </w:tr>
      <w:tr w14:paraId="60AA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83" w:type="dxa"/>
            <w:vAlign w:val="top"/>
          </w:tcPr>
          <w:p w14:paraId="00DDD1DE">
            <w:pPr>
              <w:pStyle w:val="11"/>
              <w:spacing w:before="132" w:line="330" w:lineRule="exact"/>
              <w:ind w:left="203"/>
            </w:pPr>
            <w:r>
              <w:rPr>
                <w:position w:val="2"/>
              </w:rPr>
              <w:t>…</w:t>
            </w:r>
          </w:p>
        </w:tc>
        <w:tc>
          <w:tcPr>
            <w:tcW w:w="1331" w:type="dxa"/>
            <w:vAlign w:val="top"/>
          </w:tcPr>
          <w:p w14:paraId="51650743">
            <w:pPr>
              <w:rPr>
                <w:rFonts w:ascii="Arial"/>
                <w:sz w:val="21"/>
              </w:rPr>
            </w:pPr>
          </w:p>
        </w:tc>
        <w:tc>
          <w:tcPr>
            <w:tcW w:w="701" w:type="dxa"/>
            <w:vAlign w:val="top"/>
          </w:tcPr>
          <w:p w14:paraId="6B8DFA8F">
            <w:pPr>
              <w:rPr>
                <w:rFonts w:ascii="Arial"/>
                <w:sz w:val="21"/>
              </w:rPr>
            </w:pPr>
          </w:p>
        </w:tc>
        <w:tc>
          <w:tcPr>
            <w:tcW w:w="995" w:type="dxa"/>
            <w:vAlign w:val="top"/>
          </w:tcPr>
          <w:p w14:paraId="2C95A8D6">
            <w:pPr>
              <w:rPr>
                <w:rFonts w:ascii="Arial"/>
                <w:sz w:val="21"/>
              </w:rPr>
            </w:pPr>
          </w:p>
        </w:tc>
        <w:tc>
          <w:tcPr>
            <w:tcW w:w="736" w:type="dxa"/>
            <w:vAlign w:val="top"/>
          </w:tcPr>
          <w:p w14:paraId="1897A9F1">
            <w:pPr>
              <w:rPr>
                <w:rFonts w:ascii="Arial"/>
                <w:sz w:val="21"/>
              </w:rPr>
            </w:pPr>
          </w:p>
        </w:tc>
        <w:tc>
          <w:tcPr>
            <w:tcW w:w="945" w:type="dxa"/>
            <w:vMerge w:val="continue"/>
            <w:tcBorders>
              <w:top w:val="nil"/>
            </w:tcBorders>
            <w:vAlign w:val="top"/>
          </w:tcPr>
          <w:p w14:paraId="4D69FC9C">
            <w:pPr>
              <w:rPr>
                <w:rFonts w:ascii="Arial"/>
                <w:sz w:val="21"/>
              </w:rPr>
            </w:pPr>
          </w:p>
        </w:tc>
        <w:tc>
          <w:tcPr>
            <w:tcW w:w="842" w:type="dxa"/>
            <w:vAlign w:val="top"/>
          </w:tcPr>
          <w:p w14:paraId="6A5F2F27">
            <w:pPr>
              <w:rPr>
                <w:rFonts w:ascii="Arial"/>
                <w:sz w:val="21"/>
              </w:rPr>
            </w:pPr>
          </w:p>
        </w:tc>
        <w:tc>
          <w:tcPr>
            <w:tcW w:w="840" w:type="dxa"/>
            <w:vAlign w:val="top"/>
          </w:tcPr>
          <w:p w14:paraId="4D032499">
            <w:pPr>
              <w:rPr>
                <w:rFonts w:ascii="Arial"/>
                <w:sz w:val="21"/>
              </w:rPr>
            </w:pPr>
          </w:p>
        </w:tc>
        <w:tc>
          <w:tcPr>
            <w:tcW w:w="1334" w:type="dxa"/>
            <w:vAlign w:val="top"/>
          </w:tcPr>
          <w:p w14:paraId="1BF91930">
            <w:pPr>
              <w:rPr>
                <w:rFonts w:ascii="Arial"/>
                <w:sz w:val="21"/>
              </w:rPr>
            </w:pPr>
          </w:p>
        </w:tc>
      </w:tr>
      <w:tr w14:paraId="2FB1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8307" w:type="dxa"/>
            <w:gridSpan w:val="9"/>
            <w:vAlign w:val="top"/>
          </w:tcPr>
          <w:p w14:paraId="511DF817">
            <w:pPr>
              <w:pStyle w:val="11"/>
              <w:spacing w:before="276" w:line="221" w:lineRule="auto"/>
              <w:ind w:left="117"/>
            </w:pPr>
            <w:r>
              <w:rPr>
                <w:spacing w:val="-1"/>
              </w:rPr>
              <w:t>经济标评委签名：</w:t>
            </w:r>
          </w:p>
        </w:tc>
      </w:tr>
    </w:tbl>
    <w:p w14:paraId="33DA3B68">
      <w:pPr>
        <w:spacing w:before="29" w:line="221" w:lineRule="auto"/>
        <w:ind w:left="5308"/>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64D68DBE">
      <w:pPr>
        <w:spacing w:line="221" w:lineRule="auto"/>
        <w:rPr>
          <w:rFonts w:ascii="宋体" w:hAnsi="宋体" w:eastAsia="宋体" w:cs="宋体"/>
          <w:sz w:val="21"/>
          <w:szCs w:val="21"/>
        </w:rPr>
        <w:sectPr>
          <w:footerReference r:id="rId74" w:type="default"/>
          <w:pgSz w:w="11905" w:h="16843"/>
          <w:pgMar w:top="969" w:right="1355" w:bottom="1026" w:left="1480" w:header="0" w:footer="754" w:gutter="0"/>
          <w:cols w:space="0" w:num="1"/>
          <w:rtlGutter w:val="0"/>
          <w:docGrid w:linePitch="0" w:charSpace="0"/>
        </w:sectPr>
      </w:pPr>
    </w:p>
    <w:p w14:paraId="2A434EAF">
      <w:pPr>
        <w:pStyle w:val="5"/>
        <w:spacing w:line="277" w:lineRule="auto"/>
      </w:pPr>
    </w:p>
    <w:p w14:paraId="5CBB97AA">
      <w:pPr>
        <w:pStyle w:val="5"/>
        <w:spacing w:line="277" w:lineRule="auto"/>
      </w:pPr>
    </w:p>
    <w:p w14:paraId="4C79825D">
      <w:pPr>
        <w:pStyle w:val="5"/>
        <w:spacing w:line="277" w:lineRule="auto"/>
      </w:pPr>
    </w:p>
    <w:p w14:paraId="320DB661">
      <w:pPr>
        <w:pStyle w:val="5"/>
        <w:spacing w:line="277" w:lineRule="auto"/>
      </w:pPr>
    </w:p>
    <w:p w14:paraId="3C49EF3C">
      <w:pPr>
        <w:pStyle w:val="5"/>
        <w:spacing w:line="278" w:lineRule="auto"/>
      </w:pPr>
    </w:p>
    <w:p w14:paraId="383A5F23">
      <w:pPr>
        <w:pStyle w:val="5"/>
        <w:spacing w:line="278" w:lineRule="auto"/>
      </w:pPr>
    </w:p>
    <w:p w14:paraId="4EDE0777">
      <w:pPr>
        <w:spacing w:before="78" w:line="233" w:lineRule="auto"/>
        <w:ind w:left="131"/>
        <w:outlineLvl w:val="2"/>
        <w:rPr>
          <w:rFonts w:ascii="黑体" w:hAnsi="黑体" w:eastAsia="黑体" w:cs="黑体"/>
          <w:sz w:val="24"/>
          <w:szCs w:val="24"/>
        </w:rPr>
      </w:pPr>
      <w:bookmarkStart w:id="171" w:name="bookmark136"/>
      <w:bookmarkEnd w:id="171"/>
      <w:r>
        <w:rPr>
          <w:rFonts w:ascii="黑体" w:hAnsi="黑体" w:eastAsia="黑体" w:cs="黑体"/>
          <w:spacing w:val="-3"/>
          <w:sz w:val="24"/>
          <w:szCs w:val="24"/>
        </w:rPr>
        <w:t>附表</w:t>
      </w:r>
      <w:r>
        <w:rPr>
          <w:rFonts w:ascii="黑体" w:hAnsi="黑体" w:eastAsia="黑体" w:cs="黑体"/>
          <w:spacing w:val="-57"/>
          <w:sz w:val="24"/>
          <w:szCs w:val="24"/>
        </w:rPr>
        <w:t xml:space="preserve"> </w:t>
      </w:r>
      <w:r>
        <w:rPr>
          <w:rFonts w:ascii="Times New Roman" w:hAnsi="Times New Roman" w:eastAsia="Times New Roman" w:cs="Times New Roman"/>
          <w:spacing w:val="-3"/>
          <w:sz w:val="24"/>
          <w:szCs w:val="24"/>
        </w:rPr>
        <w:t>A-11</w:t>
      </w:r>
      <w:r>
        <w:rPr>
          <w:rFonts w:ascii="黑体" w:hAnsi="黑体" w:eastAsia="黑体" w:cs="黑体"/>
          <w:spacing w:val="-3"/>
          <w:sz w:val="24"/>
          <w:szCs w:val="24"/>
        </w:rPr>
        <w:t>：技术标评审记录表</w:t>
      </w:r>
    </w:p>
    <w:p w14:paraId="1D21FD3F">
      <w:pPr>
        <w:spacing w:before="38" w:line="219" w:lineRule="auto"/>
        <w:ind w:left="5545"/>
        <w:rPr>
          <w:rFonts w:ascii="黑体" w:hAnsi="黑体" w:eastAsia="黑体" w:cs="黑体"/>
          <w:sz w:val="36"/>
          <w:szCs w:val="36"/>
        </w:rPr>
      </w:pPr>
      <w:bookmarkStart w:id="172" w:name="bookmark528"/>
      <w:bookmarkEnd w:id="172"/>
      <w:r>
        <w:rPr>
          <w:rFonts w:ascii="黑体" w:hAnsi="黑体" w:eastAsia="黑体" w:cs="黑体"/>
          <w:spacing w:val="-2"/>
          <w:sz w:val="36"/>
          <w:szCs w:val="36"/>
        </w:rPr>
        <w:t>技术标评审记录表</w:t>
      </w:r>
    </w:p>
    <w:p w14:paraId="4D31822D">
      <w:pPr>
        <w:spacing w:before="255" w:line="221" w:lineRule="auto"/>
        <w:rPr>
          <w:rFonts w:ascii="宋体" w:hAnsi="宋体" w:eastAsia="宋体" w:cs="宋体"/>
          <w:sz w:val="21"/>
          <w:szCs w:val="21"/>
        </w:rPr>
      </w:pPr>
      <w:r>
        <w:rPr>
          <w:rFonts w:ascii="宋体" w:hAnsi="宋体" w:eastAsia="宋体" w:cs="宋体"/>
          <w:spacing w:val="-7"/>
          <w:sz w:val="21"/>
          <w:szCs w:val="21"/>
        </w:rPr>
        <w:t>标段名称：</w:t>
      </w:r>
    </w:p>
    <w:p w14:paraId="162C380E">
      <w:pPr>
        <w:spacing w:before="19" w:line="214" w:lineRule="auto"/>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13756"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790"/>
        <w:gridCol w:w="1342"/>
        <w:gridCol w:w="1341"/>
        <w:gridCol w:w="1341"/>
        <w:gridCol w:w="1341"/>
        <w:gridCol w:w="1341"/>
        <w:gridCol w:w="1342"/>
        <w:gridCol w:w="1351"/>
        <w:gridCol w:w="1778"/>
      </w:tblGrid>
      <w:tr w14:paraId="70B93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89" w:type="dxa"/>
            <w:vMerge w:val="restart"/>
            <w:tcBorders>
              <w:bottom w:val="nil"/>
            </w:tcBorders>
            <w:vAlign w:val="top"/>
          </w:tcPr>
          <w:p w14:paraId="69EAA947">
            <w:pPr>
              <w:spacing w:line="243" w:lineRule="auto"/>
              <w:rPr>
                <w:rFonts w:ascii="Arial"/>
                <w:sz w:val="21"/>
              </w:rPr>
            </w:pPr>
          </w:p>
          <w:p w14:paraId="59B92D6F">
            <w:pPr>
              <w:pStyle w:val="11"/>
              <w:spacing w:before="68" w:line="222" w:lineRule="auto"/>
              <w:ind w:left="189"/>
            </w:pPr>
            <w:r>
              <w:rPr>
                <w:spacing w:val="-2"/>
              </w:rPr>
              <w:t>序号</w:t>
            </w:r>
          </w:p>
        </w:tc>
        <w:tc>
          <w:tcPr>
            <w:tcW w:w="1790" w:type="dxa"/>
            <w:vMerge w:val="restart"/>
            <w:tcBorders>
              <w:bottom w:val="nil"/>
            </w:tcBorders>
            <w:vAlign w:val="top"/>
          </w:tcPr>
          <w:p w14:paraId="706480D8">
            <w:pPr>
              <w:spacing w:line="243" w:lineRule="auto"/>
              <w:rPr>
                <w:rFonts w:ascii="Arial"/>
                <w:sz w:val="21"/>
              </w:rPr>
            </w:pPr>
          </w:p>
          <w:p w14:paraId="5A560585">
            <w:pPr>
              <w:pStyle w:val="11"/>
              <w:spacing w:before="69" w:line="221" w:lineRule="auto"/>
              <w:ind w:left="375"/>
            </w:pPr>
            <w:r>
              <w:rPr>
                <w:spacing w:val="-2"/>
              </w:rPr>
              <w:t>投标人名称</w:t>
            </w:r>
          </w:p>
        </w:tc>
        <w:tc>
          <w:tcPr>
            <w:tcW w:w="9399" w:type="dxa"/>
            <w:gridSpan w:val="7"/>
            <w:vAlign w:val="top"/>
          </w:tcPr>
          <w:p w14:paraId="10CB04A1">
            <w:pPr>
              <w:pStyle w:val="11"/>
              <w:spacing w:before="104" w:line="221" w:lineRule="auto"/>
              <w:ind w:left="3969"/>
            </w:pPr>
            <w:r>
              <w:rPr>
                <w:spacing w:val="-1"/>
              </w:rPr>
              <w:t>评委姓名及得分</w:t>
            </w:r>
          </w:p>
        </w:tc>
        <w:tc>
          <w:tcPr>
            <w:tcW w:w="1778" w:type="dxa"/>
            <w:vMerge w:val="restart"/>
            <w:tcBorders>
              <w:bottom w:val="nil"/>
            </w:tcBorders>
            <w:vAlign w:val="top"/>
          </w:tcPr>
          <w:p w14:paraId="3E157DD5">
            <w:pPr>
              <w:pStyle w:val="11"/>
              <w:spacing w:before="179"/>
              <w:ind w:left="217" w:right="148" w:hanging="58"/>
            </w:pPr>
            <w:r>
              <w:rPr>
                <w:spacing w:val="-1"/>
              </w:rPr>
              <w:t>技术标最终得分</w:t>
            </w:r>
            <w:r>
              <w:rPr>
                <w:spacing w:val="-7"/>
              </w:rPr>
              <w:t>（满分</w:t>
            </w:r>
            <w:r>
              <w:rPr>
                <w:spacing w:val="6"/>
              </w:rPr>
              <w:t xml:space="preserve">   </w:t>
            </w:r>
            <w:r>
              <w:rPr>
                <w:spacing w:val="-7"/>
              </w:rPr>
              <w:t>分）</w:t>
            </w:r>
          </w:p>
        </w:tc>
      </w:tr>
      <w:tr w14:paraId="2E24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89" w:type="dxa"/>
            <w:vMerge w:val="continue"/>
            <w:tcBorders>
              <w:top w:val="nil"/>
            </w:tcBorders>
            <w:vAlign w:val="top"/>
          </w:tcPr>
          <w:p w14:paraId="0062B643">
            <w:pPr>
              <w:rPr>
                <w:rFonts w:ascii="Arial"/>
                <w:sz w:val="21"/>
              </w:rPr>
            </w:pPr>
          </w:p>
        </w:tc>
        <w:tc>
          <w:tcPr>
            <w:tcW w:w="1790" w:type="dxa"/>
            <w:vMerge w:val="continue"/>
            <w:tcBorders>
              <w:top w:val="nil"/>
            </w:tcBorders>
            <w:vAlign w:val="top"/>
          </w:tcPr>
          <w:p w14:paraId="38CD0992">
            <w:pPr>
              <w:rPr>
                <w:rFonts w:ascii="Arial"/>
                <w:sz w:val="21"/>
              </w:rPr>
            </w:pPr>
          </w:p>
        </w:tc>
        <w:tc>
          <w:tcPr>
            <w:tcW w:w="1342" w:type="dxa"/>
            <w:vAlign w:val="top"/>
          </w:tcPr>
          <w:p w14:paraId="5E9DA940">
            <w:pPr>
              <w:pStyle w:val="11"/>
              <w:spacing w:before="99" w:line="221" w:lineRule="auto"/>
              <w:ind w:left="384"/>
            </w:pPr>
            <w:r>
              <w:rPr>
                <w:spacing w:val="-2"/>
              </w:rPr>
              <w:t>评委</w:t>
            </w:r>
            <w:r>
              <w:rPr>
                <w:spacing w:val="-28"/>
              </w:rPr>
              <w:t xml:space="preserve"> </w:t>
            </w:r>
            <w:r>
              <w:rPr>
                <w:spacing w:val="-2"/>
              </w:rPr>
              <w:t>1</w:t>
            </w:r>
          </w:p>
        </w:tc>
        <w:tc>
          <w:tcPr>
            <w:tcW w:w="1341" w:type="dxa"/>
            <w:vAlign w:val="top"/>
          </w:tcPr>
          <w:p w14:paraId="02B61D22">
            <w:pPr>
              <w:pStyle w:val="11"/>
              <w:spacing w:before="99" w:line="221" w:lineRule="auto"/>
              <w:ind w:left="385"/>
            </w:pPr>
            <w:r>
              <w:rPr>
                <w:spacing w:val="-2"/>
              </w:rPr>
              <w:t>评委</w:t>
            </w:r>
            <w:r>
              <w:rPr>
                <w:spacing w:val="-42"/>
              </w:rPr>
              <w:t xml:space="preserve"> </w:t>
            </w:r>
            <w:r>
              <w:rPr>
                <w:spacing w:val="-2"/>
              </w:rPr>
              <w:t>2</w:t>
            </w:r>
          </w:p>
        </w:tc>
        <w:tc>
          <w:tcPr>
            <w:tcW w:w="1341" w:type="dxa"/>
            <w:vAlign w:val="top"/>
          </w:tcPr>
          <w:p w14:paraId="09935DAC">
            <w:pPr>
              <w:pStyle w:val="11"/>
              <w:spacing w:before="99" w:line="305" w:lineRule="exact"/>
              <w:ind w:left="479"/>
            </w:pPr>
            <w:r>
              <w:rPr>
                <w:spacing w:val="-5"/>
                <w:position w:val="2"/>
              </w:rPr>
              <w:t>……</w:t>
            </w:r>
          </w:p>
        </w:tc>
        <w:tc>
          <w:tcPr>
            <w:tcW w:w="1341" w:type="dxa"/>
            <w:vAlign w:val="top"/>
          </w:tcPr>
          <w:p w14:paraId="3E9A9F34">
            <w:pPr>
              <w:rPr>
                <w:rFonts w:ascii="Arial"/>
                <w:sz w:val="21"/>
              </w:rPr>
            </w:pPr>
          </w:p>
        </w:tc>
        <w:tc>
          <w:tcPr>
            <w:tcW w:w="1341" w:type="dxa"/>
            <w:vAlign w:val="top"/>
          </w:tcPr>
          <w:p w14:paraId="74998E10">
            <w:pPr>
              <w:rPr>
                <w:rFonts w:ascii="Arial"/>
                <w:sz w:val="21"/>
              </w:rPr>
            </w:pPr>
          </w:p>
        </w:tc>
        <w:tc>
          <w:tcPr>
            <w:tcW w:w="1342" w:type="dxa"/>
            <w:vAlign w:val="top"/>
          </w:tcPr>
          <w:p w14:paraId="0558BE85">
            <w:pPr>
              <w:rPr>
                <w:rFonts w:ascii="Arial"/>
                <w:sz w:val="21"/>
              </w:rPr>
            </w:pPr>
          </w:p>
        </w:tc>
        <w:tc>
          <w:tcPr>
            <w:tcW w:w="1351" w:type="dxa"/>
            <w:vAlign w:val="top"/>
          </w:tcPr>
          <w:p w14:paraId="32DAC171">
            <w:pPr>
              <w:rPr>
                <w:rFonts w:ascii="Arial"/>
                <w:sz w:val="21"/>
              </w:rPr>
            </w:pPr>
          </w:p>
        </w:tc>
        <w:tc>
          <w:tcPr>
            <w:tcW w:w="1778" w:type="dxa"/>
            <w:vMerge w:val="continue"/>
            <w:tcBorders>
              <w:top w:val="nil"/>
            </w:tcBorders>
            <w:vAlign w:val="top"/>
          </w:tcPr>
          <w:p w14:paraId="7E44EF3F">
            <w:pPr>
              <w:rPr>
                <w:rFonts w:ascii="Arial"/>
                <w:sz w:val="21"/>
              </w:rPr>
            </w:pPr>
          </w:p>
        </w:tc>
      </w:tr>
      <w:tr w14:paraId="1ED6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1F2838CC">
            <w:pPr>
              <w:pStyle w:val="11"/>
              <w:spacing w:before="175" w:line="242" w:lineRule="auto"/>
              <w:ind w:left="362"/>
            </w:pPr>
            <w:r>
              <w:t>1</w:t>
            </w:r>
          </w:p>
        </w:tc>
        <w:tc>
          <w:tcPr>
            <w:tcW w:w="1790" w:type="dxa"/>
            <w:vAlign w:val="top"/>
          </w:tcPr>
          <w:p w14:paraId="53BD2D37">
            <w:pPr>
              <w:rPr>
                <w:rFonts w:ascii="Arial"/>
                <w:sz w:val="21"/>
              </w:rPr>
            </w:pPr>
          </w:p>
        </w:tc>
        <w:tc>
          <w:tcPr>
            <w:tcW w:w="1342" w:type="dxa"/>
            <w:vAlign w:val="top"/>
          </w:tcPr>
          <w:p w14:paraId="072587F0">
            <w:pPr>
              <w:rPr>
                <w:rFonts w:ascii="Arial"/>
                <w:sz w:val="21"/>
              </w:rPr>
            </w:pPr>
          </w:p>
        </w:tc>
        <w:tc>
          <w:tcPr>
            <w:tcW w:w="1341" w:type="dxa"/>
            <w:vAlign w:val="top"/>
          </w:tcPr>
          <w:p w14:paraId="615CAD02">
            <w:pPr>
              <w:rPr>
                <w:rFonts w:ascii="Arial"/>
                <w:sz w:val="21"/>
              </w:rPr>
            </w:pPr>
          </w:p>
        </w:tc>
        <w:tc>
          <w:tcPr>
            <w:tcW w:w="1341" w:type="dxa"/>
            <w:vAlign w:val="top"/>
          </w:tcPr>
          <w:p w14:paraId="5FFC3D75">
            <w:pPr>
              <w:rPr>
                <w:rFonts w:ascii="Arial"/>
                <w:sz w:val="21"/>
              </w:rPr>
            </w:pPr>
          </w:p>
        </w:tc>
        <w:tc>
          <w:tcPr>
            <w:tcW w:w="1341" w:type="dxa"/>
            <w:vAlign w:val="top"/>
          </w:tcPr>
          <w:p w14:paraId="1BC3D516">
            <w:pPr>
              <w:rPr>
                <w:rFonts w:ascii="Arial"/>
                <w:sz w:val="21"/>
              </w:rPr>
            </w:pPr>
          </w:p>
        </w:tc>
        <w:tc>
          <w:tcPr>
            <w:tcW w:w="1341" w:type="dxa"/>
            <w:vAlign w:val="top"/>
          </w:tcPr>
          <w:p w14:paraId="6356FAD5">
            <w:pPr>
              <w:rPr>
                <w:rFonts w:ascii="Arial"/>
                <w:sz w:val="21"/>
              </w:rPr>
            </w:pPr>
          </w:p>
        </w:tc>
        <w:tc>
          <w:tcPr>
            <w:tcW w:w="1342" w:type="dxa"/>
            <w:vAlign w:val="top"/>
          </w:tcPr>
          <w:p w14:paraId="0CBE5EE8">
            <w:pPr>
              <w:rPr>
                <w:rFonts w:ascii="Arial"/>
                <w:sz w:val="21"/>
              </w:rPr>
            </w:pPr>
          </w:p>
        </w:tc>
        <w:tc>
          <w:tcPr>
            <w:tcW w:w="1351" w:type="dxa"/>
            <w:vAlign w:val="top"/>
          </w:tcPr>
          <w:p w14:paraId="6CF25745">
            <w:pPr>
              <w:rPr>
                <w:rFonts w:ascii="Arial"/>
                <w:sz w:val="21"/>
              </w:rPr>
            </w:pPr>
          </w:p>
        </w:tc>
        <w:tc>
          <w:tcPr>
            <w:tcW w:w="1778" w:type="dxa"/>
            <w:vAlign w:val="top"/>
          </w:tcPr>
          <w:p w14:paraId="6D4D3B9A">
            <w:pPr>
              <w:rPr>
                <w:rFonts w:ascii="Arial"/>
                <w:sz w:val="21"/>
              </w:rPr>
            </w:pPr>
          </w:p>
        </w:tc>
      </w:tr>
      <w:tr w14:paraId="0FC5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316010B7">
            <w:pPr>
              <w:pStyle w:val="11"/>
              <w:spacing w:before="173" w:line="242" w:lineRule="auto"/>
              <w:ind w:left="348"/>
            </w:pPr>
            <w:r>
              <w:t>2</w:t>
            </w:r>
          </w:p>
        </w:tc>
        <w:tc>
          <w:tcPr>
            <w:tcW w:w="1790" w:type="dxa"/>
            <w:vAlign w:val="top"/>
          </w:tcPr>
          <w:p w14:paraId="40DAF0F2">
            <w:pPr>
              <w:rPr>
                <w:rFonts w:ascii="Arial"/>
                <w:sz w:val="21"/>
              </w:rPr>
            </w:pPr>
          </w:p>
        </w:tc>
        <w:tc>
          <w:tcPr>
            <w:tcW w:w="1342" w:type="dxa"/>
            <w:vAlign w:val="top"/>
          </w:tcPr>
          <w:p w14:paraId="189529DC">
            <w:pPr>
              <w:rPr>
                <w:rFonts w:ascii="Arial"/>
                <w:sz w:val="21"/>
              </w:rPr>
            </w:pPr>
          </w:p>
        </w:tc>
        <w:tc>
          <w:tcPr>
            <w:tcW w:w="1341" w:type="dxa"/>
            <w:vAlign w:val="top"/>
          </w:tcPr>
          <w:p w14:paraId="10090705">
            <w:pPr>
              <w:rPr>
                <w:rFonts w:ascii="Arial"/>
                <w:sz w:val="21"/>
              </w:rPr>
            </w:pPr>
          </w:p>
        </w:tc>
        <w:tc>
          <w:tcPr>
            <w:tcW w:w="1341" w:type="dxa"/>
            <w:vAlign w:val="top"/>
          </w:tcPr>
          <w:p w14:paraId="65CEF696">
            <w:pPr>
              <w:rPr>
                <w:rFonts w:ascii="Arial"/>
                <w:sz w:val="21"/>
              </w:rPr>
            </w:pPr>
          </w:p>
        </w:tc>
        <w:tc>
          <w:tcPr>
            <w:tcW w:w="1341" w:type="dxa"/>
            <w:vAlign w:val="top"/>
          </w:tcPr>
          <w:p w14:paraId="2A62A924">
            <w:pPr>
              <w:rPr>
                <w:rFonts w:ascii="Arial"/>
                <w:sz w:val="21"/>
              </w:rPr>
            </w:pPr>
          </w:p>
        </w:tc>
        <w:tc>
          <w:tcPr>
            <w:tcW w:w="1341" w:type="dxa"/>
            <w:vAlign w:val="top"/>
          </w:tcPr>
          <w:p w14:paraId="2AECC607">
            <w:pPr>
              <w:rPr>
                <w:rFonts w:ascii="Arial"/>
                <w:sz w:val="21"/>
              </w:rPr>
            </w:pPr>
          </w:p>
        </w:tc>
        <w:tc>
          <w:tcPr>
            <w:tcW w:w="1342" w:type="dxa"/>
            <w:vAlign w:val="top"/>
          </w:tcPr>
          <w:p w14:paraId="0B4D4384">
            <w:pPr>
              <w:rPr>
                <w:rFonts w:ascii="Arial"/>
                <w:sz w:val="21"/>
              </w:rPr>
            </w:pPr>
          </w:p>
        </w:tc>
        <w:tc>
          <w:tcPr>
            <w:tcW w:w="1351" w:type="dxa"/>
            <w:vAlign w:val="top"/>
          </w:tcPr>
          <w:p w14:paraId="45F9D39C">
            <w:pPr>
              <w:rPr>
                <w:rFonts w:ascii="Arial"/>
                <w:sz w:val="21"/>
              </w:rPr>
            </w:pPr>
          </w:p>
        </w:tc>
        <w:tc>
          <w:tcPr>
            <w:tcW w:w="1778" w:type="dxa"/>
            <w:vAlign w:val="top"/>
          </w:tcPr>
          <w:p w14:paraId="55DB410E">
            <w:pPr>
              <w:rPr>
                <w:rFonts w:ascii="Arial"/>
                <w:sz w:val="21"/>
              </w:rPr>
            </w:pPr>
          </w:p>
        </w:tc>
      </w:tr>
      <w:tr w14:paraId="2982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170A4891">
            <w:pPr>
              <w:pStyle w:val="11"/>
              <w:spacing w:before="173" w:line="241" w:lineRule="auto"/>
              <w:ind w:left="350"/>
            </w:pPr>
            <w:r>
              <w:t>3</w:t>
            </w:r>
          </w:p>
        </w:tc>
        <w:tc>
          <w:tcPr>
            <w:tcW w:w="1790" w:type="dxa"/>
            <w:vAlign w:val="top"/>
          </w:tcPr>
          <w:p w14:paraId="1F55CB09">
            <w:pPr>
              <w:rPr>
                <w:rFonts w:ascii="Arial"/>
                <w:sz w:val="21"/>
              </w:rPr>
            </w:pPr>
          </w:p>
        </w:tc>
        <w:tc>
          <w:tcPr>
            <w:tcW w:w="1342" w:type="dxa"/>
            <w:vAlign w:val="top"/>
          </w:tcPr>
          <w:p w14:paraId="522BD377">
            <w:pPr>
              <w:rPr>
                <w:rFonts w:ascii="Arial"/>
                <w:sz w:val="21"/>
              </w:rPr>
            </w:pPr>
          </w:p>
        </w:tc>
        <w:tc>
          <w:tcPr>
            <w:tcW w:w="1341" w:type="dxa"/>
            <w:vAlign w:val="top"/>
          </w:tcPr>
          <w:p w14:paraId="4CCC9B43">
            <w:pPr>
              <w:rPr>
                <w:rFonts w:ascii="Arial"/>
                <w:sz w:val="21"/>
              </w:rPr>
            </w:pPr>
          </w:p>
        </w:tc>
        <w:tc>
          <w:tcPr>
            <w:tcW w:w="1341" w:type="dxa"/>
            <w:vAlign w:val="top"/>
          </w:tcPr>
          <w:p w14:paraId="49DBE837">
            <w:pPr>
              <w:rPr>
                <w:rFonts w:ascii="Arial"/>
                <w:sz w:val="21"/>
              </w:rPr>
            </w:pPr>
          </w:p>
        </w:tc>
        <w:tc>
          <w:tcPr>
            <w:tcW w:w="1341" w:type="dxa"/>
            <w:vAlign w:val="top"/>
          </w:tcPr>
          <w:p w14:paraId="4063D06F">
            <w:pPr>
              <w:rPr>
                <w:rFonts w:ascii="Arial"/>
                <w:sz w:val="21"/>
              </w:rPr>
            </w:pPr>
          </w:p>
        </w:tc>
        <w:tc>
          <w:tcPr>
            <w:tcW w:w="1341" w:type="dxa"/>
            <w:vAlign w:val="top"/>
          </w:tcPr>
          <w:p w14:paraId="5CC240AC">
            <w:pPr>
              <w:rPr>
                <w:rFonts w:ascii="Arial"/>
                <w:sz w:val="21"/>
              </w:rPr>
            </w:pPr>
          </w:p>
        </w:tc>
        <w:tc>
          <w:tcPr>
            <w:tcW w:w="1342" w:type="dxa"/>
            <w:vAlign w:val="top"/>
          </w:tcPr>
          <w:p w14:paraId="6187F8CD">
            <w:pPr>
              <w:rPr>
                <w:rFonts w:ascii="Arial"/>
                <w:sz w:val="21"/>
              </w:rPr>
            </w:pPr>
          </w:p>
        </w:tc>
        <w:tc>
          <w:tcPr>
            <w:tcW w:w="1351" w:type="dxa"/>
            <w:vAlign w:val="top"/>
          </w:tcPr>
          <w:p w14:paraId="4E889EF7">
            <w:pPr>
              <w:rPr>
                <w:rFonts w:ascii="Arial"/>
                <w:sz w:val="21"/>
              </w:rPr>
            </w:pPr>
          </w:p>
        </w:tc>
        <w:tc>
          <w:tcPr>
            <w:tcW w:w="1778" w:type="dxa"/>
            <w:vAlign w:val="top"/>
          </w:tcPr>
          <w:p w14:paraId="67110F79">
            <w:pPr>
              <w:rPr>
                <w:rFonts w:ascii="Arial"/>
                <w:sz w:val="21"/>
              </w:rPr>
            </w:pPr>
          </w:p>
        </w:tc>
      </w:tr>
      <w:tr w14:paraId="3157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7733B956">
            <w:pPr>
              <w:pStyle w:val="11"/>
              <w:spacing w:before="174" w:line="242" w:lineRule="auto"/>
              <w:ind w:left="345"/>
            </w:pPr>
            <w:r>
              <w:t>4</w:t>
            </w:r>
          </w:p>
        </w:tc>
        <w:tc>
          <w:tcPr>
            <w:tcW w:w="1790" w:type="dxa"/>
            <w:vAlign w:val="top"/>
          </w:tcPr>
          <w:p w14:paraId="41E3AA87">
            <w:pPr>
              <w:rPr>
                <w:rFonts w:ascii="Arial"/>
                <w:sz w:val="21"/>
              </w:rPr>
            </w:pPr>
          </w:p>
        </w:tc>
        <w:tc>
          <w:tcPr>
            <w:tcW w:w="1342" w:type="dxa"/>
            <w:vAlign w:val="top"/>
          </w:tcPr>
          <w:p w14:paraId="1476B117">
            <w:pPr>
              <w:rPr>
                <w:rFonts w:ascii="Arial"/>
                <w:sz w:val="21"/>
              </w:rPr>
            </w:pPr>
          </w:p>
        </w:tc>
        <w:tc>
          <w:tcPr>
            <w:tcW w:w="1341" w:type="dxa"/>
            <w:vAlign w:val="top"/>
          </w:tcPr>
          <w:p w14:paraId="50FF4711">
            <w:pPr>
              <w:rPr>
                <w:rFonts w:ascii="Arial"/>
                <w:sz w:val="21"/>
              </w:rPr>
            </w:pPr>
          </w:p>
        </w:tc>
        <w:tc>
          <w:tcPr>
            <w:tcW w:w="1341" w:type="dxa"/>
            <w:vAlign w:val="top"/>
          </w:tcPr>
          <w:p w14:paraId="00232BC2">
            <w:pPr>
              <w:rPr>
                <w:rFonts w:ascii="Arial"/>
                <w:sz w:val="21"/>
              </w:rPr>
            </w:pPr>
          </w:p>
        </w:tc>
        <w:tc>
          <w:tcPr>
            <w:tcW w:w="1341" w:type="dxa"/>
            <w:vAlign w:val="top"/>
          </w:tcPr>
          <w:p w14:paraId="5A677BCB">
            <w:pPr>
              <w:rPr>
                <w:rFonts w:ascii="Arial"/>
                <w:sz w:val="21"/>
              </w:rPr>
            </w:pPr>
          </w:p>
        </w:tc>
        <w:tc>
          <w:tcPr>
            <w:tcW w:w="1341" w:type="dxa"/>
            <w:vAlign w:val="top"/>
          </w:tcPr>
          <w:p w14:paraId="677D3090">
            <w:pPr>
              <w:rPr>
                <w:rFonts w:ascii="Arial"/>
                <w:sz w:val="21"/>
              </w:rPr>
            </w:pPr>
          </w:p>
        </w:tc>
        <w:tc>
          <w:tcPr>
            <w:tcW w:w="1342" w:type="dxa"/>
            <w:vAlign w:val="top"/>
          </w:tcPr>
          <w:p w14:paraId="60204260">
            <w:pPr>
              <w:rPr>
                <w:rFonts w:ascii="Arial"/>
                <w:sz w:val="21"/>
              </w:rPr>
            </w:pPr>
          </w:p>
        </w:tc>
        <w:tc>
          <w:tcPr>
            <w:tcW w:w="1351" w:type="dxa"/>
            <w:vAlign w:val="top"/>
          </w:tcPr>
          <w:p w14:paraId="1B454F04">
            <w:pPr>
              <w:rPr>
                <w:rFonts w:ascii="Arial"/>
                <w:sz w:val="21"/>
              </w:rPr>
            </w:pPr>
          </w:p>
        </w:tc>
        <w:tc>
          <w:tcPr>
            <w:tcW w:w="1778" w:type="dxa"/>
            <w:vAlign w:val="top"/>
          </w:tcPr>
          <w:p w14:paraId="2ACAD6F6">
            <w:pPr>
              <w:rPr>
                <w:rFonts w:ascii="Arial"/>
                <w:sz w:val="21"/>
              </w:rPr>
            </w:pPr>
          </w:p>
        </w:tc>
      </w:tr>
      <w:tr w14:paraId="7BA6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1300BFB9">
            <w:pPr>
              <w:pStyle w:val="11"/>
              <w:spacing w:before="174" w:line="241" w:lineRule="auto"/>
              <w:ind w:left="350"/>
            </w:pPr>
            <w:r>
              <w:t>5</w:t>
            </w:r>
          </w:p>
        </w:tc>
        <w:tc>
          <w:tcPr>
            <w:tcW w:w="1790" w:type="dxa"/>
            <w:vAlign w:val="top"/>
          </w:tcPr>
          <w:p w14:paraId="135191B1">
            <w:pPr>
              <w:rPr>
                <w:rFonts w:ascii="Arial"/>
                <w:sz w:val="21"/>
              </w:rPr>
            </w:pPr>
          </w:p>
        </w:tc>
        <w:tc>
          <w:tcPr>
            <w:tcW w:w="1342" w:type="dxa"/>
            <w:vAlign w:val="top"/>
          </w:tcPr>
          <w:p w14:paraId="07668C3A">
            <w:pPr>
              <w:rPr>
                <w:rFonts w:ascii="Arial"/>
                <w:sz w:val="21"/>
              </w:rPr>
            </w:pPr>
          </w:p>
        </w:tc>
        <w:tc>
          <w:tcPr>
            <w:tcW w:w="1341" w:type="dxa"/>
            <w:vAlign w:val="top"/>
          </w:tcPr>
          <w:p w14:paraId="0FA92BEA">
            <w:pPr>
              <w:rPr>
                <w:rFonts w:ascii="Arial"/>
                <w:sz w:val="21"/>
              </w:rPr>
            </w:pPr>
          </w:p>
        </w:tc>
        <w:tc>
          <w:tcPr>
            <w:tcW w:w="1341" w:type="dxa"/>
            <w:vAlign w:val="top"/>
          </w:tcPr>
          <w:p w14:paraId="758F9789">
            <w:pPr>
              <w:rPr>
                <w:rFonts w:ascii="Arial"/>
                <w:sz w:val="21"/>
              </w:rPr>
            </w:pPr>
          </w:p>
        </w:tc>
        <w:tc>
          <w:tcPr>
            <w:tcW w:w="1341" w:type="dxa"/>
            <w:vAlign w:val="top"/>
          </w:tcPr>
          <w:p w14:paraId="5B5F96A7">
            <w:pPr>
              <w:rPr>
                <w:rFonts w:ascii="Arial"/>
                <w:sz w:val="21"/>
              </w:rPr>
            </w:pPr>
          </w:p>
        </w:tc>
        <w:tc>
          <w:tcPr>
            <w:tcW w:w="1341" w:type="dxa"/>
            <w:vAlign w:val="top"/>
          </w:tcPr>
          <w:p w14:paraId="78D36FCB">
            <w:pPr>
              <w:rPr>
                <w:rFonts w:ascii="Arial"/>
                <w:sz w:val="21"/>
              </w:rPr>
            </w:pPr>
          </w:p>
        </w:tc>
        <w:tc>
          <w:tcPr>
            <w:tcW w:w="1342" w:type="dxa"/>
            <w:vAlign w:val="top"/>
          </w:tcPr>
          <w:p w14:paraId="27FD129A">
            <w:pPr>
              <w:rPr>
                <w:rFonts w:ascii="Arial"/>
                <w:sz w:val="21"/>
              </w:rPr>
            </w:pPr>
          </w:p>
        </w:tc>
        <w:tc>
          <w:tcPr>
            <w:tcW w:w="1351" w:type="dxa"/>
            <w:vAlign w:val="top"/>
          </w:tcPr>
          <w:p w14:paraId="35F29F08">
            <w:pPr>
              <w:rPr>
                <w:rFonts w:ascii="Arial"/>
                <w:sz w:val="21"/>
              </w:rPr>
            </w:pPr>
          </w:p>
        </w:tc>
        <w:tc>
          <w:tcPr>
            <w:tcW w:w="1778" w:type="dxa"/>
            <w:vAlign w:val="top"/>
          </w:tcPr>
          <w:p w14:paraId="187D8A0A">
            <w:pPr>
              <w:rPr>
                <w:rFonts w:ascii="Arial"/>
                <w:sz w:val="21"/>
              </w:rPr>
            </w:pPr>
          </w:p>
        </w:tc>
      </w:tr>
      <w:tr w14:paraId="5577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89" w:type="dxa"/>
            <w:vAlign w:val="top"/>
          </w:tcPr>
          <w:p w14:paraId="595319F7">
            <w:pPr>
              <w:pStyle w:val="11"/>
              <w:spacing w:before="174" w:line="241" w:lineRule="auto"/>
              <w:ind w:left="348"/>
            </w:pPr>
            <w:r>
              <w:t>6</w:t>
            </w:r>
          </w:p>
        </w:tc>
        <w:tc>
          <w:tcPr>
            <w:tcW w:w="1790" w:type="dxa"/>
            <w:vAlign w:val="top"/>
          </w:tcPr>
          <w:p w14:paraId="220E96CE">
            <w:pPr>
              <w:rPr>
                <w:rFonts w:ascii="Arial"/>
                <w:sz w:val="21"/>
              </w:rPr>
            </w:pPr>
          </w:p>
        </w:tc>
        <w:tc>
          <w:tcPr>
            <w:tcW w:w="1342" w:type="dxa"/>
            <w:vAlign w:val="top"/>
          </w:tcPr>
          <w:p w14:paraId="00D416BD">
            <w:pPr>
              <w:rPr>
                <w:rFonts w:ascii="Arial"/>
                <w:sz w:val="21"/>
              </w:rPr>
            </w:pPr>
          </w:p>
        </w:tc>
        <w:tc>
          <w:tcPr>
            <w:tcW w:w="1341" w:type="dxa"/>
            <w:vAlign w:val="top"/>
          </w:tcPr>
          <w:p w14:paraId="7E5C911F">
            <w:pPr>
              <w:rPr>
                <w:rFonts w:ascii="Arial"/>
                <w:sz w:val="21"/>
              </w:rPr>
            </w:pPr>
          </w:p>
        </w:tc>
        <w:tc>
          <w:tcPr>
            <w:tcW w:w="1341" w:type="dxa"/>
            <w:vAlign w:val="top"/>
          </w:tcPr>
          <w:p w14:paraId="7666FA88">
            <w:pPr>
              <w:rPr>
                <w:rFonts w:ascii="Arial"/>
                <w:sz w:val="21"/>
              </w:rPr>
            </w:pPr>
          </w:p>
        </w:tc>
        <w:tc>
          <w:tcPr>
            <w:tcW w:w="1341" w:type="dxa"/>
            <w:vAlign w:val="top"/>
          </w:tcPr>
          <w:p w14:paraId="2C52A9E7">
            <w:pPr>
              <w:rPr>
                <w:rFonts w:ascii="Arial"/>
                <w:sz w:val="21"/>
              </w:rPr>
            </w:pPr>
          </w:p>
        </w:tc>
        <w:tc>
          <w:tcPr>
            <w:tcW w:w="1341" w:type="dxa"/>
            <w:vAlign w:val="top"/>
          </w:tcPr>
          <w:p w14:paraId="49BAF5CE">
            <w:pPr>
              <w:rPr>
                <w:rFonts w:ascii="Arial"/>
                <w:sz w:val="21"/>
              </w:rPr>
            </w:pPr>
          </w:p>
        </w:tc>
        <w:tc>
          <w:tcPr>
            <w:tcW w:w="1342" w:type="dxa"/>
            <w:vAlign w:val="top"/>
          </w:tcPr>
          <w:p w14:paraId="6D92AA81">
            <w:pPr>
              <w:rPr>
                <w:rFonts w:ascii="Arial"/>
                <w:sz w:val="21"/>
              </w:rPr>
            </w:pPr>
          </w:p>
        </w:tc>
        <w:tc>
          <w:tcPr>
            <w:tcW w:w="1351" w:type="dxa"/>
            <w:vAlign w:val="top"/>
          </w:tcPr>
          <w:p w14:paraId="6131E208">
            <w:pPr>
              <w:rPr>
                <w:rFonts w:ascii="Arial"/>
                <w:sz w:val="21"/>
              </w:rPr>
            </w:pPr>
          </w:p>
        </w:tc>
        <w:tc>
          <w:tcPr>
            <w:tcW w:w="1778" w:type="dxa"/>
            <w:vAlign w:val="top"/>
          </w:tcPr>
          <w:p w14:paraId="1BBDE53B">
            <w:pPr>
              <w:rPr>
                <w:rFonts w:ascii="Arial"/>
                <w:sz w:val="21"/>
              </w:rPr>
            </w:pPr>
          </w:p>
        </w:tc>
      </w:tr>
      <w:tr w14:paraId="61DA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89" w:type="dxa"/>
            <w:vAlign w:val="top"/>
          </w:tcPr>
          <w:p w14:paraId="157E8D9F">
            <w:pPr>
              <w:pStyle w:val="11"/>
              <w:spacing w:before="178" w:line="332" w:lineRule="exact"/>
              <w:ind w:left="203"/>
            </w:pPr>
            <w:r>
              <w:rPr>
                <w:spacing w:val="-10"/>
                <w:position w:val="2"/>
              </w:rPr>
              <w:t>……</w:t>
            </w:r>
          </w:p>
        </w:tc>
        <w:tc>
          <w:tcPr>
            <w:tcW w:w="1790" w:type="dxa"/>
            <w:vAlign w:val="top"/>
          </w:tcPr>
          <w:p w14:paraId="0BF0E4E4">
            <w:pPr>
              <w:rPr>
                <w:rFonts w:ascii="Arial"/>
                <w:sz w:val="21"/>
              </w:rPr>
            </w:pPr>
          </w:p>
        </w:tc>
        <w:tc>
          <w:tcPr>
            <w:tcW w:w="1342" w:type="dxa"/>
            <w:vAlign w:val="top"/>
          </w:tcPr>
          <w:p w14:paraId="5941BE0B">
            <w:pPr>
              <w:rPr>
                <w:rFonts w:ascii="Arial"/>
                <w:sz w:val="21"/>
              </w:rPr>
            </w:pPr>
          </w:p>
        </w:tc>
        <w:tc>
          <w:tcPr>
            <w:tcW w:w="1341" w:type="dxa"/>
            <w:vAlign w:val="top"/>
          </w:tcPr>
          <w:p w14:paraId="60FC247C">
            <w:pPr>
              <w:rPr>
                <w:rFonts w:ascii="Arial"/>
                <w:sz w:val="21"/>
              </w:rPr>
            </w:pPr>
          </w:p>
        </w:tc>
        <w:tc>
          <w:tcPr>
            <w:tcW w:w="1341" w:type="dxa"/>
            <w:vAlign w:val="top"/>
          </w:tcPr>
          <w:p w14:paraId="2C8D4613">
            <w:pPr>
              <w:rPr>
                <w:rFonts w:ascii="Arial"/>
                <w:sz w:val="21"/>
              </w:rPr>
            </w:pPr>
          </w:p>
        </w:tc>
        <w:tc>
          <w:tcPr>
            <w:tcW w:w="1341" w:type="dxa"/>
            <w:vAlign w:val="top"/>
          </w:tcPr>
          <w:p w14:paraId="6E6D91A0">
            <w:pPr>
              <w:rPr>
                <w:rFonts w:ascii="Arial"/>
                <w:sz w:val="21"/>
              </w:rPr>
            </w:pPr>
          </w:p>
        </w:tc>
        <w:tc>
          <w:tcPr>
            <w:tcW w:w="1341" w:type="dxa"/>
            <w:vAlign w:val="top"/>
          </w:tcPr>
          <w:p w14:paraId="60A21B76">
            <w:pPr>
              <w:rPr>
                <w:rFonts w:ascii="Arial"/>
                <w:sz w:val="21"/>
              </w:rPr>
            </w:pPr>
          </w:p>
        </w:tc>
        <w:tc>
          <w:tcPr>
            <w:tcW w:w="1342" w:type="dxa"/>
            <w:vAlign w:val="top"/>
          </w:tcPr>
          <w:p w14:paraId="3605412F">
            <w:pPr>
              <w:rPr>
                <w:rFonts w:ascii="Arial"/>
                <w:sz w:val="21"/>
              </w:rPr>
            </w:pPr>
          </w:p>
        </w:tc>
        <w:tc>
          <w:tcPr>
            <w:tcW w:w="1351" w:type="dxa"/>
            <w:vAlign w:val="top"/>
          </w:tcPr>
          <w:p w14:paraId="22BCF1C9">
            <w:pPr>
              <w:rPr>
                <w:rFonts w:ascii="Arial"/>
                <w:sz w:val="21"/>
              </w:rPr>
            </w:pPr>
          </w:p>
        </w:tc>
        <w:tc>
          <w:tcPr>
            <w:tcW w:w="1778" w:type="dxa"/>
            <w:vAlign w:val="top"/>
          </w:tcPr>
          <w:p w14:paraId="66BB6358">
            <w:pPr>
              <w:rPr>
                <w:rFonts w:ascii="Arial"/>
                <w:sz w:val="21"/>
              </w:rPr>
            </w:pPr>
          </w:p>
        </w:tc>
      </w:tr>
      <w:tr w14:paraId="2D7E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3756" w:type="dxa"/>
            <w:gridSpan w:val="10"/>
            <w:vAlign w:val="top"/>
          </w:tcPr>
          <w:p w14:paraId="53B0645B">
            <w:pPr>
              <w:pStyle w:val="11"/>
              <w:spacing w:before="34" w:line="221" w:lineRule="auto"/>
              <w:ind w:left="116"/>
            </w:pPr>
            <w:r>
              <w:rPr>
                <w:spacing w:val="-1"/>
              </w:rPr>
              <w:t>技术标评委签名：</w:t>
            </w:r>
          </w:p>
        </w:tc>
      </w:tr>
    </w:tbl>
    <w:p w14:paraId="3941EC6C">
      <w:pPr>
        <w:spacing w:before="29"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2"/>
          <w:sz w:val="21"/>
          <w:szCs w:val="21"/>
        </w:rPr>
        <w:t xml:space="preserve">    </w:t>
      </w:r>
      <w:r>
        <w:rPr>
          <w:rFonts w:ascii="宋体" w:hAnsi="宋体" w:eastAsia="宋体" w:cs="宋体"/>
          <w:spacing w:val="-18"/>
          <w:sz w:val="21"/>
          <w:szCs w:val="21"/>
        </w:rPr>
        <w:t>年</w:t>
      </w:r>
      <w:r>
        <w:rPr>
          <w:rFonts w:ascii="宋体" w:hAnsi="宋体" w:eastAsia="宋体" w:cs="宋体"/>
          <w:spacing w:val="2"/>
          <w:sz w:val="21"/>
          <w:szCs w:val="21"/>
        </w:rPr>
        <w:t xml:space="preserve">     </w:t>
      </w:r>
      <w:r>
        <w:rPr>
          <w:rFonts w:ascii="宋体" w:hAnsi="宋体" w:eastAsia="宋体" w:cs="宋体"/>
          <w:spacing w:val="-18"/>
          <w:sz w:val="21"/>
          <w:szCs w:val="21"/>
        </w:rPr>
        <w:t>月</w:t>
      </w:r>
      <w:r>
        <w:rPr>
          <w:rFonts w:ascii="宋体" w:hAnsi="宋体" w:eastAsia="宋体" w:cs="宋体"/>
          <w:spacing w:val="11"/>
          <w:sz w:val="21"/>
          <w:szCs w:val="21"/>
        </w:rPr>
        <w:t xml:space="preserve">    </w:t>
      </w:r>
      <w:r>
        <w:rPr>
          <w:rFonts w:ascii="宋体" w:hAnsi="宋体" w:eastAsia="宋体" w:cs="宋体"/>
          <w:spacing w:val="-18"/>
          <w:sz w:val="21"/>
          <w:szCs w:val="21"/>
        </w:rPr>
        <w:t>日</w:t>
      </w:r>
    </w:p>
    <w:p w14:paraId="470C79FF">
      <w:pPr>
        <w:spacing w:line="221" w:lineRule="auto"/>
        <w:rPr>
          <w:rFonts w:ascii="宋体" w:hAnsi="宋体" w:eastAsia="宋体" w:cs="宋体"/>
          <w:sz w:val="21"/>
          <w:szCs w:val="21"/>
        </w:rPr>
        <w:sectPr>
          <w:footerReference r:id="rId75" w:type="default"/>
          <w:pgSz w:w="11905" w:h="16843"/>
          <w:pgMar w:top="969" w:right="1355" w:bottom="1026" w:left="1480" w:header="0" w:footer="754" w:gutter="0"/>
          <w:cols w:space="0" w:num="1"/>
          <w:rtlGutter w:val="0"/>
          <w:docGrid w:linePitch="0" w:charSpace="0"/>
        </w:sectPr>
      </w:pPr>
    </w:p>
    <w:p w14:paraId="05757628">
      <w:pPr>
        <w:pStyle w:val="5"/>
        <w:spacing w:line="284" w:lineRule="auto"/>
      </w:pPr>
    </w:p>
    <w:p w14:paraId="526FC778">
      <w:pPr>
        <w:pStyle w:val="5"/>
        <w:spacing w:line="284" w:lineRule="auto"/>
      </w:pPr>
    </w:p>
    <w:p w14:paraId="3F3E02B5">
      <w:pPr>
        <w:pStyle w:val="5"/>
        <w:spacing w:line="285" w:lineRule="auto"/>
      </w:pPr>
    </w:p>
    <w:p w14:paraId="77298CB5">
      <w:pPr>
        <w:pStyle w:val="5"/>
        <w:spacing w:line="285" w:lineRule="auto"/>
      </w:pPr>
    </w:p>
    <w:p w14:paraId="7CD4DE47">
      <w:pPr>
        <w:pStyle w:val="5"/>
        <w:spacing w:line="285" w:lineRule="auto"/>
      </w:pPr>
    </w:p>
    <w:p w14:paraId="65E8EE40">
      <w:pPr>
        <w:spacing w:before="78" w:line="233" w:lineRule="auto"/>
        <w:ind w:left="143"/>
        <w:outlineLvl w:val="2"/>
        <w:rPr>
          <w:rFonts w:ascii="黑体" w:hAnsi="黑体" w:eastAsia="黑体" w:cs="黑体"/>
          <w:sz w:val="24"/>
          <w:szCs w:val="24"/>
        </w:rPr>
      </w:pPr>
      <w:bookmarkStart w:id="173" w:name="bookmark137"/>
      <w:bookmarkEnd w:id="173"/>
      <w:r>
        <w:rPr>
          <w:rFonts w:ascii="黑体" w:hAnsi="黑体" w:eastAsia="黑体" w:cs="黑体"/>
          <w:spacing w:val="-3"/>
          <w:sz w:val="24"/>
          <w:szCs w:val="24"/>
        </w:rPr>
        <w:t>附表</w:t>
      </w:r>
      <w:r>
        <w:rPr>
          <w:rFonts w:ascii="黑体" w:hAnsi="黑体" w:eastAsia="黑体" w:cs="黑体"/>
          <w:spacing w:val="-49"/>
          <w:sz w:val="24"/>
          <w:szCs w:val="24"/>
        </w:rPr>
        <w:t xml:space="preserve"> </w:t>
      </w:r>
      <w:r>
        <w:rPr>
          <w:rFonts w:ascii="Times New Roman" w:hAnsi="Times New Roman" w:eastAsia="Times New Roman" w:cs="Times New Roman"/>
          <w:spacing w:val="-3"/>
          <w:sz w:val="24"/>
          <w:szCs w:val="24"/>
        </w:rPr>
        <w:t>A-12</w:t>
      </w:r>
      <w:r>
        <w:rPr>
          <w:rFonts w:ascii="黑体" w:hAnsi="黑体" w:eastAsia="黑体" w:cs="黑体"/>
          <w:spacing w:val="-3"/>
          <w:sz w:val="24"/>
          <w:szCs w:val="24"/>
        </w:rPr>
        <w:t>：技术标评审记录表（个人）</w:t>
      </w:r>
    </w:p>
    <w:p w14:paraId="13E8F5ED">
      <w:pPr>
        <w:spacing w:before="38" w:line="219" w:lineRule="auto"/>
        <w:ind w:left="4836"/>
        <w:rPr>
          <w:rFonts w:ascii="黑体" w:hAnsi="黑体" w:eastAsia="黑体" w:cs="黑体"/>
          <w:sz w:val="36"/>
          <w:szCs w:val="36"/>
        </w:rPr>
      </w:pPr>
      <w:bookmarkStart w:id="174" w:name="bookmark529"/>
      <w:bookmarkEnd w:id="174"/>
      <w:r>
        <w:rPr>
          <w:rFonts w:ascii="黑体" w:hAnsi="黑体" w:eastAsia="黑体" w:cs="黑体"/>
          <w:spacing w:val="-4"/>
          <w:sz w:val="36"/>
          <w:szCs w:val="36"/>
        </w:rPr>
        <w:t>技术标评审记录表（个人）</w:t>
      </w:r>
    </w:p>
    <w:p w14:paraId="68955178">
      <w:pPr>
        <w:spacing w:before="255" w:line="221" w:lineRule="auto"/>
        <w:ind w:left="11"/>
        <w:rPr>
          <w:rFonts w:ascii="宋体" w:hAnsi="宋体" w:eastAsia="宋体" w:cs="宋体"/>
          <w:sz w:val="21"/>
          <w:szCs w:val="21"/>
        </w:rPr>
      </w:pPr>
      <w:r>
        <w:rPr>
          <w:rFonts w:ascii="宋体" w:hAnsi="宋体" w:eastAsia="宋体" w:cs="宋体"/>
          <w:spacing w:val="-7"/>
          <w:sz w:val="21"/>
          <w:szCs w:val="21"/>
        </w:rPr>
        <w:t>标段名称：</w:t>
      </w:r>
    </w:p>
    <w:p w14:paraId="1776EB89">
      <w:pPr>
        <w:spacing w:before="19" w:line="214" w:lineRule="auto"/>
        <w:ind w:left="11"/>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13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2186"/>
        <w:gridCol w:w="555"/>
        <w:gridCol w:w="554"/>
        <w:gridCol w:w="557"/>
        <w:gridCol w:w="554"/>
        <w:gridCol w:w="557"/>
        <w:gridCol w:w="554"/>
        <w:gridCol w:w="557"/>
        <w:gridCol w:w="554"/>
        <w:gridCol w:w="557"/>
        <w:gridCol w:w="554"/>
        <w:gridCol w:w="554"/>
        <w:gridCol w:w="556"/>
        <w:gridCol w:w="555"/>
        <w:gridCol w:w="554"/>
        <w:gridCol w:w="557"/>
        <w:gridCol w:w="554"/>
        <w:gridCol w:w="557"/>
        <w:gridCol w:w="504"/>
        <w:gridCol w:w="1197"/>
      </w:tblGrid>
      <w:tr w14:paraId="6A61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36" w:type="dxa"/>
            <w:vMerge w:val="restart"/>
            <w:tcBorders>
              <w:bottom w:val="nil"/>
            </w:tcBorders>
            <w:textDirection w:val="tbRlV"/>
            <w:vAlign w:val="top"/>
          </w:tcPr>
          <w:p w14:paraId="2C78209A">
            <w:pPr>
              <w:pStyle w:val="11"/>
              <w:spacing w:before="210" w:line="211" w:lineRule="auto"/>
              <w:ind w:left="800"/>
            </w:pPr>
            <w:r>
              <w:rPr>
                <w:spacing w:val="31"/>
              </w:rPr>
              <w:t>序号</w:t>
            </w:r>
          </w:p>
        </w:tc>
        <w:tc>
          <w:tcPr>
            <w:tcW w:w="2186" w:type="dxa"/>
            <w:vMerge w:val="restart"/>
            <w:tcBorders>
              <w:bottom w:val="nil"/>
            </w:tcBorders>
            <w:vAlign w:val="top"/>
          </w:tcPr>
          <w:p w14:paraId="0FDE41C4">
            <w:pPr>
              <w:spacing w:line="287" w:lineRule="auto"/>
              <w:rPr>
                <w:rFonts w:ascii="Arial"/>
                <w:sz w:val="21"/>
              </w:rPr>
            </w:pPr>
          </w:p>
          <w:p w14:paraId="6EDAC373">
            <w:pPr>
              <w:spacing w:line="287" w:lineRule="auto"/>
              <w:rPr>
                <w:rFonts w:ascii="Arial"/>
                <w:sz w:val="21"/>
              </w:rPr>
            </w:pPr>
          </w:p>
          <w:p w14:paraId="6CF06C15">
            <w:pPr>
              <w:spacing w:line="287" w:lineRule="auto"/>
              <w:rPr>
                <w:rFonts w:ascii="Arial"/>
                <w:sz w:val="21"/>
              </w:rPr>
            </w:pPr>
          </w:p>
          <w:p w14:paraId="2852DD2A">
            <w:pPr>
              <w:pStyle w:val="11"/>
              <w:spacing w:before="69" w:line="221" w:lineRule="auto"/>
              <w:ind w:left="572"/>
            </w:pPr>
            <w:r>
              <w:rPr>
                <w:spacing w:val="-2"/>
              </w:rPr>
              <w:t>投标人名称</w:t>
            </w:r>
          </w:p>
        </w:tc>
        <w:tc>
          <w:tcPr>
            <w:tcW w:w="9944" w:type="dxa"/>
            <w:gridSpan w:val="18"/>
            <w:vAlign w:val="top"/>
          </w:tcPr>
          <w:p w14:paraId="4BBB900A">
            <w:pPr>
              <w:pStyle w:val="11"/>
              <w:spacing w:before="33" w:line="221" w:lineRule="auto"/>
              <w:ind w:left="4028"/>
            </w:pPr>
            <w:r>
              <w:rPr>
                <w:spacing w:val="-1"/>
              </w:rPr>
              <w:t>评审因素及评审得分</w:t>
            </w:r>
          </w:p>
        </w:tc>
        <w:tc>
          <w:tcPr>
            <w:tcW w:w="1197" w:type="dxa"/>
            <w:vMerge w:val="restart"/>
            <w:tcBorders>
              <w:bottom w:val="nil"/>
            </w:tcBorders>
            <w:vAlign w:val="top"/>
          </w:tcPr>
          <w:p w14:paraId="362E9A47">
            <w:pPr>
              <w:spacing w:line="242" w:lineRule="auto"/>
              <w:rPr>
                <w:rFonts w:ascii="Arial"/>
                <w:sz w:val="21"/>
              </w:rPr>
            </w:pPr>
          </w:p>
          <w:p w14:paraId="390A7BF7">
            <w:pPr>
              <w:spacing w:line="242" w:lineRule="auto"/>
              <w:rPr>
                <w:rFonts w:ascii="Arial"/>
                <w:sz w:val="21"/>
              </w:rPr>
            </w:pPr>
          </w:p>
          <w:p w14:paraId="6FEF59C2">
            <w:pPr>
              <w:spacing w:line="243" w:lineRule="auto"/>
              <w:rPr>
                <w:rFonts w:ascii="Arial"/>
                <w:sz w:val="21"/>
              </w:rPr>
            </w:pPr>
          </w:p>
          <w:p w14:paraId="1E4A4773">
            <w:pPr>
              <w:pStyle w:val="11"/>
              <w:spacing w:before="68" w:line="241" w:lineRule="auto"/>
              <w:ind w:left="132" w:right="136" w:firstLine="51"/>
            </w:pPr>
            <w:r>
              <w:rPr>
                <w:spacing w:val="-2"/>
              </w:rPr>
              <w:t>得分（满</w:t>
            </w:r>
            <w:r>
              <w:rPr>
                <w:spacing w:val="-11"/>
              </w:rPr>
              <w:t>分</w:t>
            </w:r>
            <w:r>
              <w:rPr>
                <w:spacing w:val="3"/>
              </w:rPr>
              <w:t xml:space="preserve">   </w:t>
            </w:r>
            <w:r>
              <w:rPr>
                <w:spacing w:val="-11"/>
              </w:rPr>
              <w:t>分）</w:t>
            </w:r>
          </w:p>
        </w:tc>
      </w:tr>
      <w:tr w14:paraId="37F2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6" w:type="dxa"/>
            <w:vMerge w:val="continue"/>
            <w:tcBorders>
              <w:top w:val="nil"/>
              <w:bottom w:val="nil"/>
            </w:tcBorders>
            <w:textDirection w:val="tbRlV"/>
            <w:vAlign w:val="top"/>
          </w:tcPr>
          <w:p w14:paraId="15B02D8B">
            <w:pPr>
              <w:rPr>
                <w:rFonts w:ascii="Arial"/>
                <w:sz w:val="21"/>
              </w:rPr>
            </w:pPr>
          </w:p>
        </w:tc>
        <w:tc>
          <w:tcPr>
            <w:tcW w:w="2186" w:type="dxa"/>
            <w:vMerge w:val="continue"/>
            <w:tcBorders>
              <w:top w:val="nil"/>
              <w:bottom w:val="nil"/>
            </w:tcBorders>
            <w:vAlign w:val="top"/>
          </w:tcPr>
          <w:p w14:paraId="674E5C8A">
            <w:pPr>
              <w:rPr>
                <w:rFonts w:ascii="Arial"/>
                <w:sz w:val="21"/>
              </w:rPr>
            </w:pPr>
          </w:p>
        </w:tc>
        <w:tc>
          <w:tcPr>
            <w:tcW w:w="1109" w:type="dxa"/>
            <w:gridSpan w:val="2"/>
            <w:vAlign w:val="top"/>
          </w:tcPr>
          <w:p w14:paraId="55356AFE">
            <w:pPr>
              <w:pStyle w:val="11"/>
              <w:spacing w:before="303" w:line="207" w:lineRule="auto"/>
              <w:ind w:left="142"/>
            </w:pPr>
            <w:r>
              <w:rPr>
                <w:spacing w:val="-9"/>
              </w:rPr>
              <w:t>（</w:t>
            </w:r>
            <w:r>
              <w:rPr>
                <w:spacing w:val="6"/>
              </w:rPr>
              <w:t xml:space="preserve">  </w:t>
            </w:r>
            <w:r>
              <w:rPr>
                <w:spacing w:val="-9"/>
              </w:rPr>
              <w:t>分）</w:t>
            </w:r>
          </w:p>
        </w:tc>
        <w:tc>
          <w:tcPr>
            <w:tcW w:w="1111" w:type="dxa"/>
            <w:gridSpan w:val="2"/>
            <w:vAlign w:val="top"/>
          </w:tcPr>
          <w:p w14:paraId="34EE1CE8">
            <w:pPr>
              <w:pStyle w:val="11"/>
              <w:spacing w:before="303" w:line="207" w:lineRule="auto"/>
              <w:ind w:left="145"/>
            </w:pPr>
            <w:r>
              <w:rPr>
                <w:spacing w:val="-9"/>
              </w:rPr>
              <w:t>（</w:t>
            </w:r>
            <w:r>
              <w:rPr>
                <w:spacing w:val="6"/>
              </w:rPr>
              <w:t xml:space="preserve">  </w:t>
            </w:r>
            <w:r>
              <w:rPr>
                <w:spacing w:val="-9"/>
              </w:rPr>
              <w:t>分）</w:t>
            </w:r>
          </w:p>
        </w:tc>
        <w:tc>
          <w:tcPr>
            <w:tcW w:w="1111" w:type="dxa"/>
            <w:gridSpan w:val="2"/>
            <w:vAlign w:val="top"/>
          </w:tcPr>
          <w:p w14:paraId="4A68AB4F">
            <w:pPr>
              <w:pStyle w:val="11"/>
              <w:spacing w:before="303" w:line="207" w:lineRule="auto"/>
              <w:ind w:left="145"/>
            </w:pPr>
            <w:r>
              <w:rPr>
                <w:spacing w:val="-9"/>
              </w:rPr>
              <w:t>（</w:t>
            </w:r>
            <w:r>
              <w:rPr>
                <w:spacing w:val="6"/>
              </w:rPr>
              <w:t xml:space="preserve">  </w:t>
            </w:r>
            <w:r>
              <w:rPr>
                <w:spacing w:val="-9"/>
              </w:rPr>
              <w:t>分）</w:t>
            </w:r>
          </w:p>
        </w:tc>
        <w:tc>
          <w:tcPr>
            <w:tcW w:w="1111" w:type="dxa"/>
            <w:gridSpan w:val="2"/>
            <w:vAlign w:val="top"/>
          </w:tcPr>
          <w:p w14:paraId="0227D77D">
            <w:pPr>
              <w:pStyle w:val="11"/>
              <w:spacing w:before="303" w:line="207" w:lineRule="auto"/>
              <w:ind w:left="145"/>
            </w:pPr>
            <w:r>
              <w:rPr>
                <w:spacing w:val="-9"/>
              </w:rPr>
              <w:t>（</w:t>
            </w:r>
            <w:r>
              <w:rPr>
                <w:spacing w:val="6"/>
              </w:rPr>
              <w:t xml:space="preserve">  </w:t>
            </w:r>
            <w:r>
              <w:rPr>
                <w:spacing w:val="-9"/>
              </w:rPr>
              <w:t>分）</w:t>
            </w:r>
          </w:p>
        </w:tc>
        <w:tc>
          <w:tcPr>
            <w:tcW w:w="1111" w:type="dxa"/>
            <w:gridSpan w:val="2"/>
            <w:vAlign w:val="top"/>
          </w:tcPr>
          <w:p w14:paraId="6796F620">
            <w:pPr>
              <w:pStyle w:val="11"/>
              <w:spacing w:before="303" w:line="207" w:lineRule="auto"/>
              <w:ind w:left="146"/>
            </w:pPr>
            <w:r>
              <w:rPr>
                <w:spacing w:val="-9"/>
              </w:rPr>
              <w:t>（</w:t>
            </w:r>
            <w:r>
              <w:rPr>
                <w:spacing w:val="6"/>
              </w:rPr>
              <w:t xml:space="preserve">  </w:t>
            </w:r>
            <w:r>
              <w:rPr>
                <w:spacing w:val="-9"/>
              </w:rPr>
              <w:t>分）</w:t>
            </w:r>
          </w:p>
        </w:tc>
        <w:tc>
          <w:tcPr>
            <w:tcW w:w="1110" w:type="dxa"/>
            <w:gridSpan w:val="2"/>
            <w:vAlign w:val="top"/>
          </w:tcPr>
          <w:p w14:paraId="188C1CD6">
            <w:pPr>
              <w:pStyle w:val="11"/>
              <w:spacing w:before="303" w:line="207" w:lineRule="auto"/>
              <w:ind w:left="146"/>
            </w:pPr>
            <w:r>
              <w:rPr>
                <w:spacing w:val="-9"/>
              </w:rPr>
              <w:t>（</w:t>
            </w:r>
            <w:r>
              <w:rPr>
                <w:spacing w:val="6"/>
              </w:rPr>
              <w:t xml:space="preserve">  </w:t>
            </w:r>
            <w:r>
              <w:rPr>
                <w:spacing w:val="-9"/>
              </w:rPr>
              <w:t>分）</w:t>
            </w:r>
          </w:p>
        </w:tc>
        <w:tc>
          <w:tcPr>
            <w:tcW w:w="1109" w:type="dxa"/>
            <w:gridSpan w:val="2"/>
            <w:vAlign w:val="top"/>
          </w:tcPr>
          <w:p w14:paraId="10E74F6C">
            <w:pPr>
              <w:pStyle w:val="11"/>
              <w:spacing w:before="303" w:line="207" w:lineRule="auto"/>
              <w:ind w:left="145"/>
            </w:pPr>
            <w:r>
              <w:rPr>
                <w:spacing w:val="-9"/>
              </w:rPr>
              <w:t>（</w:t>
            </w:r>
            <w:r>
              <w:rPr>
                <w:spacing w:val="6"/>
              </w:rPr>
              <w:t xml:space="preserve">  </w:t>
            </w:r>
            <w:r>
              <w:rPr>
                <w:spacing w:val="-9"/>
              </w:rPr>
              <w:t>分）</w:t>
            </w:r>
          </w:p>
        </w:tc>
        <w:tc>
          <w:tcPr>
            <w:tcW w:w="1111" w:type="dxa"/>
            <w:gridSpan w:val="2"/>
            <w:vAlign w:val="top"/>
          </w:tcPr>
          <w:p w14:paraId="23CED805">
            <w:pPr>
              <w:pStyle w:val="11"/>
              <w:spacing w:before="303" w:line="207" w:lineRule="auto"/>
              <w:ind w:left="147"/>
            </w:pPr>
            <w:r>
              <w:rPr>
                <w:spacing w:val="-9"/>
              </w:rPr>
              <w:t>（</w:t>
            </w:r>
            <w:r>
              <w:rPr>
                <w:spacing w:val="6"/>
              </w:rPr>
              <w:t xml:space="preserve">  </w:t>
            </w:r>
            <w:r>
              <w:rPr>
                <w:spacing w:val="-9"/>
              </w:rPr>
              <w:t>分）</w:t>
            </w:r>
          </w:p>
        </w:tc>
        <w:tc>
          <w:tcPr>
            <w:tcW w:w="1061" w:type="dxa"/>
            <w:gridSpan w:val="2"/>
            <w:vAlign w:val="top"/>
          </w:tcPr>
          <w:p w14:paraId="4F715476">
            <w:pPr>
              <w:pStyle w:val="11"/>
              <w:spacing w:before="303" w:line="207" w:lineRule="auto"/>
              <w:ind w:left="124"/>
            </w:pPr>
            <w:r>
              <w:rPr>
                <w:spacing w:val="-9"/>
              </w:rPr>
              <w:t>（</w:t>
            </w:r>
            <w:r>
              <w:rPr>
                <w:spacing w:val="6"/>
              </w:rPr>
              <w:t xml:space="preserve">  </w:t>
            </w:r>
            <w:r>
              <w:rPr>
                <w:spacing w:val="-9"/>
              </w:rPr>
              <w:t>分）</w:t>
            </w:r>
          </w:p>
        </w:tc>
        <w:tc>
          <w:tcPr>
            <w:tcW w:w="1197" w:type="dxa"/>
            <w:vMerge w:val="continue"/>
            <w:tcBorders>
              <w:top w:val="nil"/>
              <w:bottom w:val="nil"/>
            </w:tcBorders>
            <w:vAlign w:val="top"/>
          </w:tcPr>
          <w:p w14:paraId="3C53B1A5">
            <w:pPr>
              <w:rPr>
                <w:rFonts w:ascii="Arial"/>
                <w:sz w:val="21"/>
              </w:rPr>
            </w:pPr>
          </w:p>
        </w:tc>
      </w:tr>
      <w:tr w14:paraId="34541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36" w:type="dxa"/>
            <w:vMerge w:val="continue"/>
            <w:tcBorders>
              <w:top w:val="nil"/>
            </w:tcBorders>
            <w:textDirection w:val="tbRlV"/>
            <w:vAlign w:val="top"/>
          </w:tcPr>
          <w:p w14:paraId="6857C474">
            <w:pPr>
              <w:rPr>
                <w:rFonts w:ascii="Arial"/>
                <w:sz w:val="21"/>
              </w:rPr>
            </w:pPr>
          </w:p>
        </w:tc>
        <w:tc>
          <w:tcPr>
            <w:tcW w:w="2186" w:type="dxa"/>
            <w:vMerge w:val="continue"/>
            <w:tcBorders>
              <w:top w:val="nil"/>
            </w:tcBorders>
            <w:vAlign w:val="top"/>
          </w:tcPr>
          <w:p w14:paraId="26B70032">
            <w:pPr>
              <w:rPr>
                <w:rFonts w:ascii="Arial"/>
                <w:sz w:val="21"/>
              </w:rPr>
            </w:pPr>
          </w:p>
        </w:tc>
        <w:tc>
          <w:tcPr>
            <w:tcW w:w="555" w:type="dxa"/>
            <w:textDirection w:val="tbRlV"/>
            <w:vAlign w:val="top"/>
          </w:tcPr>
          <w:p w14:paraId="4B2145C0">
            <w:pPr>
              <w:pStyle w:val="11"/>
              <w:spacing w:before="175"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796FE032">
            <w:pPr>
              <w:pStyle w:val="11"/>
              <w:spacing w:before="171" w:line="208" w:lineRule="auto"/>
              <w:ind w:left="303"/>
            </w:pPr>
            <w:r>
              <w:rPr>
                <w:spacing w:val="31"/>
              </w:rPr>
              <w:t>得分</w:t>
            </w:r>
          </w:p>
        </w:tc>
        <w:tc>
          <w:tcPr>
            <w:tcW w:w="557" w:type="dxa"/>
            <w:textDirection w:val="tbRlV"/>
            <w:vAlign w:val="top"/>
          </w:tcPr>
          <w:p w14:paraId="5B148598">
            <w:pPr>
              <w:pStyle w:val="11"/>
              <w:spacing w:before="171"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42EB63DA">
            <w:pPr>
              <w:pStyle w:val="11"/>
              <w:spacing w:before="171" w:line="208" w:lineRule="auto"/>
              <w:ind w:left="303"/>
            </w:pPr>
            <w:r>
              <w:rPr>
                <w:spacing w:val="31"/>
              </w:rPr>
              <w:t>得分</w:t>
            </w:r>
          </w:p>
        </w:tc>
        <w:tc>
          <w:tcPr>
            <w:tcW w:w="557" w:type="dxa"/>
            <w:textDirection w:val="tbRlV"/>
            <w:vAlign w:val="top"/>
          </w:tcPr>
          <w:p w14:paraId="17E87EC3">
            <w:pPr>
              <w:pStyle w:val="11"/>
              <w:spacing w:before="171"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00F85677">
            <w:pPr>
              <w:pStyle w:val="11"/>
              <w:spacing w:before="173" w:line="208" w:lineRule="auto"/>
              <w:ind w:left="303"/>
            </w:pPr>
            <w:r>
              <w:rPr>
                <w:spacing w:val="31"/>
              </w:rPr>
              <w:t>得分</w:t>
            </w:r>
          </w:p>
        </w:tc>
        <w:tc>
          <w:tcPr>
            <w:tcW w:w="557" w:type="dxa"/>
            <w:textDirection w:val="tbRlV"/>
            <w:vAlign w:val="top"/>
          </w:tcPr>
          <w:p w14:paraId="31A67517">
            <w:pPr>
              <w:pStyle w:val="11"/>
              <w:spacing w:before="171"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3525667D">
            <w:pPr>
              <w:pStyle w:val="11"/>
              <w:spacing w:before="173" w:line="208" w:lineRule="auto"/>
              <w:ind w:left="303"/>
            </w:pPr>
            <w:r>
              <w:rPr>
                <w:spacing w:val="31"/>
              </w:rPr>
              <w:t>得分</w:t>
            </w:r>
          </w:p>
        </w:tc>
        <w:tc>
          <w:tcPr>
            <w:tcW w:w="557" w:type="dxa"/>
            <w:textDirection w:val="tbRlV"/>
            <w:vAlign w:val="top"/>
          </w:tcPr>
          <w:p w14:paraId="0CD94D1B">
            <w:pPr>
              <w:pStyle w:val="11"/>
              <w:spacing w:before="170"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515D49C5">
            <w:pPr>
              <w:pStyle w:val="11"/>
              <w:spacing w:before="172" w:line="208" w:lineRule="auto"/>
              <w:ind w:left="303"/>
            </w:pPr>
            <w:r>
              <w:rPr>
                <w:spacing w:val="31"/>
              </w:rPr>
              <w:t>得分</w:t>
            </w:r>
          </w:p>
        </w:tc>
        <w:tc>
          <w:tcPr>
            <w:tcW w:w="554" w:type="dxa"/>
            <w:textDirection w:val="tbRlV"/>
            <w:vAlign w:val="top"/>
          </w:tcPr>
          <w:p w14:paraId="44386AA3">
            <w:pPr>
              <w:pStyle w:val="11"/>
              <w:spacing w:before="170"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6" w:type="dxa"/>
            <w:textDirection w:val="tbRlV"/>
            <w:vAlign w:val="top"/>
          </w:tcPr>
          <w:p w14:paraId="416AFE7F">
            <w:pPr>
              <w:pStyle w:val="11"/>
              <w:spacing w:before="171" w:line="208" w:lineRule="auto"/>
              <w:ind w:left="303"/>
            </w:pPr>
            <w:r>
              <w:rPr>
                <w:spacing w:val="31"/>
              </w:rPr>
              <w:t>得分</w:t>
            </w:r>
          </w:p>
        </w:tc>
        <w:tc>
          <w:tcPr>
            <w:tcW w:w="555" w:type="dxa"/>
            <w:textDirection w:val="tbRlV"/>
            <w:vAlign w:val="top"/>
          </w:tcPr>
          <w:p w14:paraId="18613297">
            <w:pPr>
              <w:pStyle w:val="11"/>
              <w:spacing w:before="169"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38A6E4B1">
            <w:pPr>
              <w:pStyle w:val="11"/>
              <w:spacing w:before="168" w:line="208" w:lineRule="auto"/>
              <w:ind w:left="303"/>
            </w:pPr>
            <w:r>
              <w:rPr>
                <w:spacing w:val="31"/>
              </w:rPr>
              <w:t>得分</w:t>
            </w:r>
          </w:p>
        </w:tc>
        <w:tc>
          <w:tcPr>
            <w:tcW w:w="557" w:type="dxa"/>
            <w:textDirection w:val="tbRlV"/>
            <w:vAlign w:val="top"/>
          </w:tcPr>
          <w:p w14:paraId="2110C222">
            <w:pPr>
              <w:pStyle w:val="11"/>
              <w:spacing w:before="169"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54" w:type="dxa"/>
            <w:textDirection w:val="tbRlV"/>
            <w:vAlign w:val="top"/>
          </w:tcPr>
          <w:p w14:paraId="67FE694C">
            <w:pPr>
              <w:pStyle w:val="11"/>
              <w:spacing w:before="168" w:line="208" w:lineRule="auto"/>
              <w:ind w:left="303"/>
            </w:pPr>
            <w:r>
              <w:rPr>
                <w:spacing w:val="31"/>
              </w:rPr>
              <w:t>得分</w:t>
            </w:r>
          </w:p>
        </w:tc>
        <w:tc>
          <w:tcPr>
            <w:tcW w:w="557" w:type="dxa"/>
            <w:textDirection w:val="tbRlV"/>
            <w:vAlign w:val="top"/>
          </w:tcPr>
          <w:p w14:paraId="3992D376">
            <w:pPr>
              <w:pStyle w:val="11"/>
              <w:spacing w:before="168" w:line="208" w:lineRule="auto"/>
              <w:ind w:left="29"/>
            </w:pPr>
            <w:r>
              <w:rPr>
                <w:spacing w:val="1"/>
              </w:rPr>
              <w:t>暗</w:t>
            </w:r>
            <w:r>
              <w:rPr>
                <w:spacing w:val="-43"/>
              </w:rPr>
              <w:t xml:space="preserve"> </w:t>
            </w:r>
            <w:r>
              <w:rPr>
                <w:spacing w:val="1"/>
              </w:rPr>
              <w:t>标</w:t>
            </w:r>
            <w:r>
              <w:rPr>
                <w:spacing w:val="-45"/>
              </w:rPr>
              <w:t xml:space="preserve"> </w:t>
            </w:r>
            <w:r>
              <w:rPr>
                <w:spacing w:val="1"/>
              </w:rPr>
              <w:t>编</w:t>
            </w:r>
            <w:r>
              <w:rPr>
                <w:spacing w:val="-43"/>
              </w:rPr>
              <w:t xml:space="preserve"> </w:t>
            </w:r>
            <w:r>
              <w:rPr>
                <w:spacing w:val="1"/>
              </w:rPr>
              <w:t>号</w:t>
            </w:r>
          </w:p>
        </w:tc>
        <w:tc>
          <w:tcPr>
            <w:tcW w:w="504" w:type="dxa"/>
            <w:textDirection w:val="tbRlV"/>
            <w:vAlign w:val="top"/>
          </w:tcPr>
          <w:p w14:paraId="18393B5B">
            <w:pPr>
              <w:pStyle w:val="11"/>
              <w:spacing w:before="142" w:line="208" w:lineRule="auto"/>
              <w:ind w:left="303"/>
            </w:pPr>
            <w:r>
              <w:rPr>
                <w:spacing w:val="31"/>
              </w:rPr>
              <w:t>得分</w:t>
            </w:r>
          </w:p>
        </w:tc>
        <w:tc>
          <w:tcPr>
            <w:tcW w:w="1197" w:type="dxa"/>
            <w:vMerge w:val="continue"/>
            <w:tcBorders>
              <w:top w:val="nil"/>
            </w:tcBorders>
            <w:vAlign w:val="top"/>
          </w:tcPr>
          <w:p w14:paraId="4FC305E4">
            <w:pPr>
              <w:rPr>
                <w:rFonts w:ascii="Arial"/>
                <w:sz w:val="21"/>
              </w:rPr>
            </w:pPr>
          </w:p>
        </w:tc>
      </w:tr>
      <w:tr w14:paraId="3F59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top"/>
          </w:tcPr>
          <w:p w14:paraId="5734C851">
            <w:pPr>
              <w:pStyle w:val="11"/>
              <w:spacing w:before="180" w:line="242" w:lineRule="auto"/>
              <w:ind w:left="285"/>
            </w:pPr>
            <w:r>
              <w:t>1</w:t>
            </w:r>
          </w:p>
        </w:tc>
        <w:tc>
          <w:tcPr>
            <w:tcW w:w="2186" w:type="dxa"/>
            <w:vAlign w:val="top"/>
          </w:tcPr>
          <w:p w14:paraId="2CAA764F">
            <w:pPr>
              <w:rPr>
                <w:rFonts w:ascii="Arial"/>
                <w:sz w:val="21"/>
              </w:rPr>
            </w:pPr>
          </w:p>
        </w:tc>
        <w:tc>
          <w:tcPr>
            <w:tcW w:w="555" w:type="dxa"/>
            <w:vAlign w:val="top"/>
          </w:tcPr>
          <w:p w14:paraId="0F08116E">
            <w:pPr>
              <w:rPr>
                <w:rFonts w:ascii="Arial"/>
                <w:sz w:val="21"/>
              </w:rPr>
            </w:pPr>
          </w:p>
        </w:tc>
        <w:tc>
          <w:tcPr>
            <w:tcW w:w="554" w:type="dxa"/>
            <w:vAlign w:val="top"/>
          </w:tcPr>
          <w:p w14:paraId="01BCCF1F">
            <w:pPr>
              <w:rPr>
                <w:rFonts w:ascii="Arial"/>
                <w:sz w:val="21"/>
              </w:rPr>
            </w:pPr>
          </w:p>
        </w:tc>
        <w:tc>
          <w:tcPr>
            <w:tcW w:w="557" w:type="dxa"/>
            <w:vAlign w:val="top"/>
          </w:tcPr>
          <w:p w14:paraId="3CE89970">
            <w:pPr>
              <w:rPr>
                <w:rFonts w:ascii="Arial"/>
                <w:sz w:val="21"/>
              </w:rPr>
            </w:pPr>
          </w:p>
        </w:tc>
        <w:tc>
          <w:tcPr>
            <w:tcW w:w="554" w:type="dxa"/>
            <w:vAlign w:val="top"/>
          </w:tcPr>
          <w:p w14:paraId="67645430">
            <w:pPr>
              <w:rPr>
                <w:rFonts w:ascii="Arial"/>
                <w:sz w:val="21"/>
              </w:rPr>
            </w:pPr>
          </w:p>
        </w:tc>
        <w:tc>
          <w:tcPr>
            <w:tcW w:w="557" w:type="dxa"/>
            <w:vAlign w:val="top"/>
          </w:tcPr>
          <w:p w14:paraId="7EB9FA17">
            <w:pPr>
              <w:rPr>
                <w:rFonts w:ascii="Arial"/>
                <w:sz w:val="21"/>
              </w:rPr>
            </w:pPr>
          </w:p>
        </w:tc>
        <w:tc>
          <w:tcPr>
            <w:tcW w:w="554" w:type="dxa"/>
            <w:vAlign w:val="top"/>
          </w:tcPr>
          <w:p w14:paraId="08E04F92">
            <w:pPr>
              <w:rPr>
                <w:rFonts w:ascii="Arial"/>
                <w:sz w:val="21"/>
              </w:rPr>
            </w:pPr>
          </w:p>
        </w:tc>
        <w:tc>
          <w:tcPr>
            <w:tcW w:w="557" w:type="dxa"/>
            <w:vAlign w:val="top"/>
          </w:tcPr>
          <w:p w14:paraId="55D4FBB2">
            <w:pPr>
              <w:rPr>
                <w:rFonts w:ascii="Arial"/>
                <w:sz w:val="21"/>
              </w:rPr>
            </w:pPr>
          </w:p>
        </w:tc>
        <w:tc>
          <w:tcPr>
            <w:tcW w:w="554" w:type="dxa"/>
            <w:vAlign w:val="top"/>
          </w:tcPr>
          <w:p w14:paraId="4244D735">
            <w:pPr>
              <w:rPr>
                <w:rFonts w:ascii="Arial"/>
                <w:sz w:val="21"/>
              </w:rPr>
            </w:pPr>
          </w:p>
        </w:tc>
        <w:tc>
          <w:tcPr>
            <w:tcW w:w="557" w:type="dxa"/>
            <w:vAlign w:val="top"/>
          </w:tcPr>
          <w:p w14:paraId="54AE2789">
            <w:pPr>
              <w:rPr>
                <w:rFonts w:ascii="Arial"/>
                <w:sz w:val="21"/>
              </w:rPr>
            </w:pPr>
          </w:p>
        </w:tc>
        <w:tc>
          <w:tcPr>
            <w:tcW w:w="554" w:type="dxa"/>
            <w:vAlign w:val="top"/>
          </w:tcPr>
          <w:p w14:paraId="1F566473">
            <w:pPr>
              <w:rPr>
                <w:rFonts w:ascii="Arial"/>
                <w:sz w:val="21"/>
              </w:rPr>
            </w:pPr>
          </w:p>
        </w:tc>
        <w:tc>
          <w:tcPr>
            <w:tcW w:w="554" w:type="dxa"/>
            <w:vAlign w:val="top"/>
          </w:tcPr>
          <w:p w14:paraId="27A5DE86">
            <w:pPr>
              <w:rPr>
                <w:rFonts w:ascii="Arial"/>
                <w:sz w:val="21"/>
              </w:rPr>
            </w:pPr>
          </w:p>
        </w:tc>
        <w:tc>
          <w:tcPr>
            <w:tcW w:w="556" w:type="dxa"/>
            <w:vAlign w:val="top"/>
          </w:tcPr>
          <w:p w14:paraId="2ED804BC">
            <w:pPr>
              <w:rPr>
                <w:rFonts w:ascii="Arial"/>
                <w:sz w:val="21"/>
              </w:rPr>
            </w:pPr>
          </w:p>
        </w:tc>
        <w:tc>
          <w:tcPr>
            <w:tcW w:w="555" w:type="dxa"/>
            <w:vAlign w:val="top"/>
          </w:tcPr>
          <w:p w14:paraId="4D2AD1E5">
            <w:pPr>
              <w:rPr>
                <w:rFonts w:ascii="Arial"/>
                <w:sz w:val="21"/>
              </w:rPr>
            </w:pPr>
          </w:p>
        </w:tc>
        <w:tc>
          <w:tcPr>
            <w:tcW w:w="554" w:type="dxa"/>
            <w:vAlign w:val="top"/>
          </w:tcPr>
          <w:p w14:paraId="0C3BF52C">
            <w:pPr>
              <w:rPr>
                <w:rFonts w:ascii="Arial"/>
                <w:sz w:val="21"/>
              </w:rPr>
            </w:pPr>
          </w:p>
        </w:tc>
        <w:tc>
          <w:tcPr>
            <w:tcW w:w="557" w:type="dxa"/>
            <w:vAlign w:val="top"/>
          </w:tcPr>
          <w:p w14:paraId="418ECAB5">
            <w:pPr>
              <w:rPr>
                <w:rFonts w:ascii="Arial"/>
                <w:sz w:val="21"/>
              </w:rPr>
            </w:pPr>
          </w:p>
        </w:tc>
        <w:tc>
          <w:tcPr>
            <w:tcW w:w="554" w:type="dxa"/>
            <w:vAlign w:val="top"/>
          </w:tcPr>
          <w:p w14:paraId="7C985F62">
            <w:pPr>
              <w:rPr>
                <w:rFonts w:ascii="Arial"/>
                <w:sz w:val="21"/>
              </w:rPr>
            </w:pPr>
          </w:p>
        </w:tc>
        <w:tc>
          <w:tcPr>
            <w:tcW w:w="557" w:type="dxa"/>
            <w:vAlign w:val="top"/>
          </w:tcPr>
          <w:p w14:paraId="124BE134">
            <w:pPr>
              <w:rPr>
                <w:rFonts w:ascii="Arial"/>
                <w:sz w:val="21"/>
              </w:rPr>
            </w:pPr>
          </w:p>
        </w:tc>
        <w:tc>
          <w:tcPr>
            <w:tcW w:w="504" w:type="dxa"/>
            <w:vAlign w:val="top"/>
          </w:tcPr>
          <w:p w14:paraId="42961F2B">
            <w:pPr>
              <w:rPr>
                <w:rFonts w:ascii="Arial"/>
                <w:sz w:val="21"/>
              </w:rPr>
            </w:pPr>
          </w:p>
        </w:tc>
        <w:tc>
          <w:tcPr>
            <w:tcW w:w="1197" w:type="dxa"/>
            <w:vAlign w:val="top"/>
          </w:tcPr>
          <w:p w14:paraId="4BDD5A52">
            <w:pPr>
              <w:rPr>
                <w:rFonts w:ascii="Arial"/>
                <w:sz w:val="21"/>
              </w:rPr>
            </w:pPr>
          </w:p>
        </w:tc>
      </w:tr>
      <w:tr w14:paraId="63DF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6" w:type="dxa"/>
            <w:vAlign w:val="top"/>
          </w:tcPr>
          <w:p w14:paraId="3E7F2D30">
            <w:pPr>
              <w:pStyle w:val="11"/>
              <w:spacing w:before="178" w:line="242" w:lineRule="auto"/>
              <w:ind w:left="272"/>
            </w:pPr>
            <w:r>
              <w:t>2</w:t>
            </w:r>
          </w:p>
        </w:tc>
        <w:tc>
          <w:tcPr>
            <w:tcW w:w="2186" w:type="dxa"/>
            <w:vAlign w:val="top"/>
          </w:tcPr>
          <w:p w14:paraId="75B34E59">
            <w:pPr>
              <w:rPr>
                <w:rFonts w:ascii="Arial"/>
                <w:sz w:val="21"/>
              </w:rPr>
            </w:pPr>
          </w:p>
        </w:tc>
        <w:tc>
          <w:tcPr>
            <w:tcW w:w="555" w:type="dxa"/>
            <w:vAlign w:val="top"/>
          </w:tcPr>
          <w:p w14:paraId="5158AB41">
            <w:pPr>
              <w:rPr>
                <w:rFonts w:ascii="Arial"/>
                <w:sz w:val="21"/>
              </w:rPr>
            </w:pPr>
          </w:p>
        </w:tc>
        <w:tc>
          <w:tcPr>
            <w:tcW w:w="554" w:type="dxa"/>
            <w:vAlign w:val="top"/>
          </w:tcPr>
          <w:p w14:paraId="7A450337">
            <w:pPr>
              <w:rPr>
                <w:rFonts w:ascii="Arial"/>
                <w:sz w:val="21"/>
              </w:rPr>
            </w:pPr>
          </w:p>
        </w:tc>
        <w:tc>
          <w:tcPr>
            <w:tcW w:w="557" w:type="dxa"/>
            <w:vAlign w:val="top"/>
          </w:tcPr>
          <w:p w14:paraId="1973E105">
            <w:pPr>
              <w:rPr>
                <w:rFonts w:ascii="Arial"/>
                <w:sz w:val="21"/>
              </w:rPr>
            </w:pPr>
          </w:p>
        </w:tc>
        <w:tc>
          <w:tcPr>
            <w:tcW w:w="554" w:type="dxa"/>
            <w:vAlign w:val="top"/>
          </w:tcPr>
          <w:p w14:paraId="4549C9D0">
            <w:pPr>
              <w:rPr>
                <w:rFonts w:ascii="Arial"/>
                <w:sz w:val="21"/>
              </w:rPr>
            </w:pPr>
          </w:p>
        </w:tc>
        <w:tc>
          <w:tcPr>
            <w:tcW w:w="557" w:type="dxa"/>
            <w:vAlign w:val="top"/>
          </w:tcPr>
          <w:p w14:paraId="56699DA0">
            <w:pPr>
              <w:rPr>
                <w:rFonts w:ascii="Arial"/>
                <w:sz w:val="21"/>
              </w:rPr>
            </w:pPr>
          </w:p>
        </w:tc>
        <w:tc>
          <w:tcPr>
            <w:tcW w:w="554" w:type="dxa"/>
            <w:vAlign w:val="top"/>
          </w:tcPr>
          <w:p w14:paraId="7CB7AA44">
            <w:pPr>
              <w:rPr>
                <w:rFonts w:ascii="Arial"/>
                <w:sz w:val="21"/>
              </w:rPr>
            </w:pPr>
          </w:p>
        </w:tc>
        <w:tc>
          <w:tcPr>
            <w:tcW w:w="557" w:type="dxa"/>
            <w:vAlign w:val="top"/>
          </w:tcPr>
          <w:p w14:paraId="2E2E8853">
            <w:pPr>
              <w:rPr>
                <w:rFonts w:ascii="Arial"/>
                <w:sz w:val="21"/>
              </w:rPr>
            </w:pPr>
          </w:p>
        </w:tc>
        <w:tc>
          <w:tcPr>
            <w:tcW w:w="554" w:type="dxa"/>
            <w:vAlign w:val="top"/>
          </w:tcPr>
          <w:p w14:paraId="63A3C7E9">
            <w:pPr>
              <w:rPr>
                <w:rFonts w:ascii="Arial"/>
                <w:sz w:val="21"/>
              </w:rPr>
            </w:pPr>
          </w:p>
        </w:tc>
        <w:tc>
          <w:tcPr>
            <w:tcW w:w="557" w:type="dxa"/>
            <w:vAlign w:val="top"/>
          </w:tcPr>
          <w:p w14:paraId="1FC554C8">
            <w:pPr>
              <w:rPr>
                <w:rFonts w:ascii="Arial"/>
                <w:sz w:val="21"/>
              </w:rPr>
            </w:pPr>
          </w:p>
        </w:tc>
        <w:tc>
          <w:tcPr>
            <w:tcW w:w="554" w:type="dxa"/>
            <w:vAlign w:val="top"/>
          </w:tcPr>
          <w:p w14:paraId="64A94BA2">
            <w:pPr>
              <w:rPr>
                <w:rFonts w:ascii="Arial"/>
                <w:sz w:val="21"/>
              </w:rPr>
            </w:pPr>
          </w:p>
        </w:tc>
        <w:tc>
          <w:tcPr>
            <w:tcW w:w="554" w:type="dxa"/>
            <w:vAlign w:val="top"/>
          </w:tcPr>
          <w:p w14:paraId="76C5AEE0">
            <w:pPr>
              <w:rPr>
                <w:rFonts w:ascii="Arial"/>
                <w:sz w:val="21"/>
              </w:rPr>
            </w:pPr>
          </w:p>
        </w:tc>
        <w:tc>
          <w:tcPr>
            <w:tcW w:w="556" w:type="dxa"/>
            <w:vAlign w:val="top"/>
          </w:tcPr>
          <w:p w14:paraId="50618DB6">
            <w:pPr>
              <w:rPr>
                <w:rFonts w:ascii="Arial"/>
                <w:sz w:val="21"/>
              </w:rPr>
            </w:pPr>
          </w:p>
        </w:tc>
        <w:tc>
          <w:tcPr>
            <w:tcW w:w="555" w:type="dxa"/>
            <w:vAlign w:val="top"/>
          </w:tcPr>
          <w:p w14:paraId="69C20F48">
            <w:pPr>
              <w:rPr>
                <w:rFonts w:ascii="Arial"/>
                <w:sz w:val="21"/>
              </w:rPr>
            </w:pPr>
          </w:p>
        </w:tc>
        <w:tc>
          <w:tcPr>
            <w:tcW w:w="554" w:type="dxa"/>
            <w:vAlign w:val="top"/>
          </w:tcPr>
          <w:p w14:paraId="4AD24518">
            <w:pPr>
              <w:rPr>
                <w:rFonts w:ascii="Arial"/>
                <w:sz w:val="21"/>
              </w:rPr>
            </w:pPr>
          </w:p>
        </w:tc>
        <w:tc>
          <w:tcPr>
            <w:tcW w:w="557" w:type="dxa"/>
            <w:vAlign w:val="top"/>
          </w:tcPr>
          <w:p w14:paraId="5AD48755">
            <w:pPr>
              <w:rPr>
                <w:rFonts w:ascii="Arial"/>
                <w:sz w:val="21"/>
              </w:rPr>
            </w:pPr>
          </w:p>
        </w:tc>
        <w:tc>
          <w:tcPr>
            <w:tcW w:w="554" w:type="dxa"/>
            <w:vAlign w:val="top"/>
          </w:tcPr>
          <w:p w14:paraId="29493488">
            <w:pPr>
              <w:rPr>
                <w:rFonts w:ascii="Arial"/>
                <w:sz w:val="21"/>
              </w:rPr>
            </w:pPr>
          </w:p>
        </w:tc>
        <w:tc>
          <w:tcPr>
            <w:tcW w:w="557" w:type="dxa"/>
            <w:vAlign w:val="top"/>
          </w:tcPr>
          <w:p w14:paraId="70BB3C57">
            <w:pPr>
              <w:rPr>
                <w:rFonts w:ascii="Arial"/>
                <w:sz w:val="21"/>
              </w:rPr>
            </w:pPr>
          </w:p>
        </w:tc>
        <w:tc>
          <w:tcPr>
            <w:tcW w:w="504" w:type="dxa"/>
            <w:vAlign w:val="top"/>
          </w:tcPr>
          <w:p w14:paraId="272E8275">
            <w:pPr>
              <w:rPr>
                <w:rFonts w:ascii="Arial"/>
                <w:sz w:val="21"/>
              </w:rPr>
            </w:pPr>
          </w:p>
        </w:tc>
        <w:tc>
          <w:tcPr>
            <w:tcW w:w="1197" w:type="dxa"/>
            <w:vAlign w:val="top"/>
          </w:tcPr>
          <w:p w14:paraId="40C03EEC">
            <w:pPr>
              <w:rPr>
                <w:rFonts w:ascii="Arial"/>
                <w:sz w:val="21"/>
              </w:rPr>
            </w:pPr>
          </w:p>
        </w:tc>
      </w:tr>
      <w:tr w14:paraId="5AB1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top"/>
          </w:tcPr>
          <w:p w14:paraId="46988037">
            <w:pPr>
              <w:pStyle w:val="11"/>
              <w:spacing w:before="180" w:line="241" w:lineRule="auto"/>
              <w:ind w:left="274"/>
            </w:pPr>
            <w:r>
              <w:t>3</w:t>
            </w:r>
          </w:p>
        </w:tc>
        <w:tc>
          <w:tcPr>
            <w:tcW w:w="2186" w:type="dxa"/>
            <w:vAlign w:val="top"/>
          </w:tcPr>
          <w:p w14:paraId="1804491A">
            <w:pPr>
              <w:rPr>
                <w:rFonts w:ascii="Arial"/>
                <w:sz w:val="21"/>
              </w:rPr>
            </w:pPr>
          </w:p>
        </w:tc>
        <w:tc>
          <w:tcPr>
            <w:tcW w:w="555" w:type="dxa"/>
            <w:vAlign w:val="top"/>
          </w:tcPr>
          <w:p w14:paraId="3E76DCE0">
            <w:pPr>
              <w:rPr>
                <w:rFonts w:ascii="Arial"/>
                <w:sz w:val="21"/>
              </w:rPr>
            </w:pPr>
          </w:p>
        </w:tc>
        <w:tc>
          <w:tcPr>
            <w:tcW w:w="554" w:type="dxa"/>
            <w:vAlign w:val="top"/>
          </w:tcPr>
          <w:p w14:paraId="5C7DBAF5">
            <w:pPr>
              <w:rPr>
                <w:rFonts w:ascii="Arial"/>
                <w:sz w:val="21"/>
              </w:rPr>
            </w:pPr>
          </w:p>
        </w:tc>
        <w:tc>
          <w:tcPr>
            <w:tcW w:w="557" w:type="dxa"/>
            <w:vAlign w:val="top"/>
          </w:tcPr>
          <w:p w14:paraId="2F375AA7">
            <w:pPr>
              <w:rPr>
                <w:rFonts w:ascii="Arial"/>
                <w:sz w:val="21"/>
              </w:rPr>
            </w:pPr>
          </w:p>
        </w:tc>
        <w:tc>
          <w:tcPr>
            <w:tcW w:w="554" w:type="dxa"/>
            <w:vAlign w:val="top"/>
          </w:tcPr>
          <w:p w14:paraId="591F2C3E">
            <w:pPr>
              <w:rPr>
                <w:rFonts w:ascii="Arial"/>
                <w:sz w:val="21"/>
              </w:rPr>
            </w:pPr>
          </w:p>
        </w:tc>
        <w:tc>
          <w:tcPr>
            <w:tcW w:w="557" w:type="dxa"/>
            <w:vAlign w:val="top"/>
          </w:tcPr>
          <w:p w14:paraId="4105F8E1">
            <w:pPr>
              <w:rPr>
                <w:rFonts w:ascii="Arial"/>
                <w:sz w:val="21"/>
              </w:rPr>
            </w:pPr>
          </w:p>
        </w:tc>
        <w:tc>
          <w:tcPr>
            <w:tcW w:w="554" w:type="dxa"/>
            <w:vAlign w:val="top"/>
          </w:tcPr>
          <w:p w14:paraId="6A1CB22B">
            <w:pPr>
              <w:rPr>
                <w:rFonts w:ascii="Arial"/>
                <w:sz w:val="21"/>
              </w:rPr>
            </w:pPr>
          </w:p>
        </w:tc>
        <w:tc>
          <w:tcPr>
            <w:tcW w:w="557" w:type="dxa"/>
            <w:vAlign w:val="top"/>
          </w:tcPr>
          <w:p w14:paraId="11A015B8">
            <w:pPr>
              <w:rPr>
                <w:rFonts w:ascii="Arial"/>
                <w:sz w:val="21"/>
              </w:rPr>
            </w:pPr>
          </w:p>
        </w:tc>
        <w:tc>
          <w:tcPr>
            <w:tcW w:w="554" w:type="dxa"/>
            <w:vAlign w:val="top"/>
          </w:tcPr>
          <w:p w14:paraId="53CA15B4">
            <w:pPr>
              <w:rPr>
                <w:rFonts w:ascii="Arial"/>
                <w:sz w:val="21"/>
              </w:rPr>
            </w:pPr>
          </w:p>
        </w:tc>
        <w:tc>
          <w:tcPr>
            <w:tcW w:w="557" w:type="dxa"/>
            <w:vAlign w:val="top"/>
          </w:tcPr>
          <w:p w14:paraId="706F768F">
            <w:pPr>
              <w:rPr>
                <w:rFonts w:ascii="Arial"/>
                <w:sz w:val="21"/>
              </w:rPr>
            </w:pPr>
          </w:p>
        </w:tc>
        <w:tc>
          <w:tcPr>
            <w:tcW w:w="554" w:type="dxa"/>
            <w:vAlign w:val="top"/>
          </w:tcPr>
          <w:p w14:paraId="560FD5B9">
            <w:pPr>
              <w:rPr>
                <w:rFonts w:ascii="Arial"/>
                <w:sz w:val="21"/>
              </w:rPr>
            </w:pPr>
          </w:p>
        </w:tc>
        <w:tc>
          <w:tcPr>
            <w:tcW w:w="554" w:type="dxa"/>
            <w:vAlign w:val="top"/>
          </w:tcPr>
          <w:p w14:paraId="3FB29D8E">
            <w:pPr>
              <w:rPr>
                <w:rFonts w:ascii="Arial"/>
                <w:sz w:val="21"/>
              </w:rPr>
            </w:pPr>
          </w:p>
        </w:tc>
        <w:tc>
          <w:tcPr>
            <w:tcW w:w="556" w:type="dxa"/>
            <w:vAlign w:val="top"/>
          </w:tcPr>
          <w:p w14:paraId="62812BDD">
            <w:pPr>
              <w:rPr>
                <w:rFonts w:ascii="Arial"/>
                <w:sz w:val="21"/>
              </w:rPr>
            </w:pPr>
          </w:p>
        </w:tc>
        <w:tc>
          <w:tcPr>
            <w:tcW w:w="555" w:type="dxa"/>
            <w:vAlign w:val="top"/>
          </w:tcPr>
          <w:p w14:paraId="6B2F8168">
            <w:pPr>
              <w:rPr>
                <w:rFonts w:ascii="Arial"/>
                <w:sz w:val="21"/>
              </w:rPr>
            </w:pPr>
          </w:p>
        </w:tc>
        <w:tc>
          <w:tcPr>
            <w:tcW w:w="554" w:type="dxa"/>
            <w:vAlign w:val="top"/>
          </w:tcPr>
          <w:p w14:paraId="5504D74B">
            <w:pPr>
              <w:rPr>
                <w:rFonts w:ascii="Arial"/>
                <w:sz w:val="21"/>
              </w:rPr>
            </w:pPr>
          </w:p>
        </w:tc>
        <w:tc>
          <w:tcPr>
            <w:tcW w:w="557" w:type="dxa"/>
            <w:vAlign w:val="top"/>
          </w:tcPr>
          <w:p w14:paraId="2D8EC007">
            <w:pPr>
              <w:rPr>
                <w:rFonts w:ascii="Arial"/>
                <w:sz w:val="21"/>
              </w:rPr>
            </w:pPr>
          </w:p>
        </w:tc>
        <w:tc>
          <w:tcPr>
            <w:tcW w:w="554" w:type="dxa"/>
            <w:vAlign w:val="top"/>
          </w:tcPr>
          <w:p w14:paraId="468BE102">
            <w:pPr>
              <w:rPr>
                <w:rFonts w:ascii="Arial"/>
                <w:sz w:val="21"/>
              </w:rPr>
            </w:pPr>
          </w:p>
        </w:tc>
        <w:tc>
          <w:tcPr>
            <w:tcW w:w="557" w:type="dxa"/>
            <w:vAlign w:val="top"/>
          </w:tcPr>
          <w:p w14:paraId="38C37D6E">
            <w:pPr>
              <w:rPr>
                <w:rFonts w:ascii="Arial"/>
                <w:sz w:val="21"/>
              </w:rPr>
            </w:pPr>
          </w:p>
        </w:tc>
        <w:tc>
          <w:tcPr>
            <w:tcW w:w="504" w:type="dxa"/>
            <w:vAlign w:val="top"/>
          </w:tcPr>
          <w:p w14:paraId="7048CC82">
            <w:pPr>
              <w:rPr>
                <w:rFonts w:ascii="Arial"/>
                <w:sz w:val="21"/>
              </w:rPr>
            </w:pPr>
          </w:p>
        </w:tc>
        <w:tc>
          <w:tcPr>
            <w:tcW w:w="1197" w:type="dxa"/>
            <w:vAlign w:val="top"/>
          </w:tcPr>
          <w:p w14:paraId="5883ED25">
            <w:pPr>
              <w:rPr>
                <w:rFonts w:ascii="Arial"/>
                <w:sz w:val="21"/>
              </w:rPr>
            </w:pPr>
          </w:p>
        </w:tc>
      </w:tr>
      <w:tr w14:paraId="032A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top"/>
          </w:tcPr>
          <w:p w14:paraId="416BBBD4">
            <w:pPr>
              <w:pStyle w:val="11"/>
              <w:spacing w:before="179" w:line="242" w:lineRule="auto"/>
              <w:ind w:left="269"/>
            </w:pPr>
            <w:r>
              <w:t>4</w:t>
            </w:r>
          </w:p>
        </w:tc>
        <w:tc>
          <w:tcPr>
            <w:tcW w:w="2186" w:type="dxa"/>
            <w:vAlign w:val="top"/>
          </w:tcPr>
          <w:p w14:paraId="3E11C67B">
            <w:pPr>
              <w:rPr>
                <w:rFonts w:ascii="Arial"/>
                <w:sz w:val="21"/>
              </w:rPr>
            </w:pPr>
          </w:p>
        </w:tc>
        <w:tc>
          <w:tcPr>
            <w:tcW w:w="555" w:type="dxa"/>
            <w:vAlign w:val="top"/>
          </w:tcPr>
          <w:p w14:paraId="534F4A3D">
            <w:pPr>
              <w:rPr>
                <w:rFonts w:ascii="Arial"/>
                <w:sz w:val="21"/>
              </w:rPr>
            </w:pPr>
          </w:p>
        </w:tc>
        <w:tc>
          <w:tcPr>
            <w:tcW w:w="554" w:type="dxa"/>
            <w:vAlign w:val="top"/>
          </w:tcPr>
          <w:p w14:paraId="2E548767">
            <w:pPr>
              <w:rPr>
                <w:rFonts w:ascii="Arial"/>
                <w:sz w:val="21"/>
              </w:rPr>
            </w:pPr>
          </w:p>
        </w:tc>
        <w:tc>
          <w:tcPr>
            <w:tcW w:w="557" w:type="dxa"/>
            <w:vAlign w:val="top"/>
          </w:tcPr>
          <w:p w14:paraId="0510B03D">
            <w:pPr>
              <w:rPr>
                <w:rFonts w:ascii="Arial"/>
                <w:sz w:val="21"/>
              </w:rPr>
            </w:pPr>
          </w:p>
        </w:tc>
        <w:tc>
          <w:tcPr>
            <w:tcW w:w="554" w:type="dxa"/>
            <w:vAlign w:val="top"/>
          </w:tcPr>
          <w:p w14:paraId="21506EC2">
            <w:pPr>
              <w:rPr>
                <w:rFonts w:ascii="Arial"/>
                <w:sz w:val="21"/>
              </w:rPr>
            </w:pPr>
          </w:p>
        </w:tc>
        <w:tc>
          <w:tcPr>
            <w:tcW w:w="557" w:type="dxa"/>
            <w:vAlign w:val="top"/>
          </w:tcPr>
          <w:p w14:paraId="75E760CF">
            <w:pPr>
              <w:rPr>
                <w:rFonts w:ascii="Arial"/>
                <w:sz w:val="21"/>
              </w:rPr>
            </w:pPr>
          </w:p>
        </w:tc>
        <w:tc>
          <w:tcPr>
            <w:tcW w:w="554" w:type="dxa"/>
            <w:vAlign w:val="top"/>
          </w:tcPr>
          <w:p w14:paraId="2CBF1715">
            <w:pPr>
              <w:rPr>
                <w:rFonts w:ascii="Arial"/>
                <w:sz w:val="21"/>
              </w:rPr>
            </w:pPr>
          </w:p>
        </w:tc>
        <w:tc>
          <w:tcPr>
            <w:tcW w:w="557" w:type="dxa"/>
            <w:vAlign w:val="top"/>
          </w:tcPr>
          <w:p w14:paraId="665A17D9">
            <w:pPr>
              <w:rPr>
                <w:rFonts w:ascii="Arial"/>
                <w:sz w:val="21"/>
              </w:rPr>
            </w:pPr>
          </w:p>
        </w:tc>
        <w:tc>
          <w:tcPr>
            <w:tcW w:w="554" w:type="dxa"/>
            <w:vAlign w:val="top"/>
          </w:tcPr>
          <w:p w14:paraId="5F2725FA">
            <w:pPr>
              <w:rPr>
                <w:rFonts w:ascii="Arial"/>
                <w:sz w:val="21"/>
              </w:rPr>
            </w:pPr>
          </w:p>
        </w:tc>
        <w:tc>
          <w:tcPr>
            <w:tcW w:w="557" w:type="dxa"/>
            <w:vAlign w:val="top"/>
          </w:tcPr>
          <w:p w14:paraId="6BF2B7E2">
            <w:pPr>
              <w:rPr>
                <w:rFonts w:ascii="Arial"/>
                <w:sz w:val="21"/>
              </w:rPr>
            </w:pPr>
          </w:p>
        </w:tc>
        <w:tc>
          <w:tcPr>
            <w:tcW w:w="554" w:type="dxa"/>
            <w:vAlign w:val="top"/>
          </w:tcPr>
          <w:p w14:paraId="6505AEEA">
            <w:pPr>
              <w:rPr>
                <w:rFonts w:ascii="Arial"/>
                <w:sz w:val="21"/>
              </w:rPr>
            </w:pPr>
          </w:p>
        </w:tc>
        <w:tc>
          <w:tcPr>
            <w:tcW w:w="554" w:type="dxa"/>
            <w:vAlign w:val="top"/>
          </w:tcPr>
          <w:p w14:paraId="5FFB61E6">
            <w:pPr>
              <w:rPr>
                <w:rFonts w:ascii="Arial"/>
                <w:sz w:val="21"/>
              </w:rPr>
            </w:pPr>
          </w:p>
        </w:tc>
        <w:tc>
          <w:tcPr>
            <w:tcW w:w="556" w:type="dxa"/>
            <w:vAlign w:val="top"/>
          </w:tcPr>
          <w:p w14:paraId="75199CD7">
            <w:pPr>
              <w:rPr>
                <w:rFonts w:ascii="Arial"/>
                <w:sz w:val="21"/>
              </w:rPr>
            </w:pPr>
          </w:p>
        </w:tc>
        <w:tc>
          <w:tcPr>
            <w:tcW w:w="555" w:type="dxa"/>
            <w:vAlign w:val="top"/>
          </w:tcPr>
          <w:p w14:paraId="727A75F1">
            <w:pPr>
              <w:rPr>
                <w:rFonts w:ascii="Arial"/>
                <w:sz w:val="21"/>
              </w:rPr>
            </w:pPr>
          </w:p>
        </w:tc>
        <w:tc>
          <w:tcPr>
            <w:tcW w:w="554" w:type="dxa"/>
            <w:vAlign w:val="top"/>
          </w:tcPr>
          <w:p w14:paraId="623EA779">
            <w:pPr>
              <w:rPr>
                <w:rFonts w:ascii="Arial"/>
                <w:sz w:val="21"/>
              </w:rPr>
            </w:pPr>
          </w:p>
        </w:tc>
        <w:tc>
          <w:tcPr>
            <w:tcW w:w="557" w:type="dxa"/>
            <w:vAlign w:val="top"/>
          </w:tcPr>
          <w:p w14:paraId="091D3037">
            <w:pPr>
              <w:rPr>
                <w:rFonts w:ascii="Arial"/>
                <w:sz w:val="21"/>
              </w:rPr>
            </w:pPr>
          </w:p>
        </w:tc>
        <w:tc>
          <w:tcPr>
            <w:tcW w:w="554" w:type="dxa"/>
            <w:vAlign w:val="top"/>
          </w:tcPr>
          <w:p w14:paraId="205611FD">
            <w:pPr>
              <w:rPr>
                <w:rFonts w:ascii="Arial"/>
                <w:sz w:val="21"/>
              </w:rPr>
            </w:pPr>
          </w:p>
        </w:tc>
        <w:tc>
          <w:tcPr>
            <w:tcW w:w="557" w:type="dxa"/>
            <w:vAlign w:val="top"/>
          </w:tcPr>
          <w:p w14:paraId="4AA1767F">
            <w:pPr>
              <w:rPr>
                <w:rFonts w:ascii="Arial"/>
                <w:sz w:val="21"/>
              </w:rPr>
            </w:pPr>
          </w:p>
        </w:tc>
        <w:tc>
          <w:tcPr>
            <w:tcW w:w="504" w:type="dxa"/>
            <w:vAlign w:val="top"/>
          </w:tcPr>
          <w:p w14:paraId="7166D00A">
            <w:pPr>
              <w:rPr>
                <w:rFonts w:ascii="Arial"/>
                <w:sz w:val="21"/>
              </w:rPr>
            </w:pPr>
          </w:p>
        </w:tc>
        <w:tc>
          <w:tcPr>
            <w:tcW w:w="1197" w:type="dxa"/>
            <w:vAlign w:val="top"/>
          </w:tcPr>
          <w:p w14:paraId="76311E66">
            <w:pPr>
              <w:rPr>
                <w:rFonts w:ascii="Arial"/>
                <w:sz w:val="21"/>
              </w:rPr>
            </w:pPr>
          </w:p>
        </w:tc>
      </w:tr>
      <w:tr w14:paraId="0AE8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top"/>
          </w:tcPr>
          <w:p w14:paraId="4FB7018B">
            <w:pPr>
              <w:pStyle w:val="11"/>
              <w:spacing w:before="179" w:line="241" w:lineRule="auto"/>
              <w:ind w:left="274"/>
            </w:pPr>
            <w:r>
              <w:t>5</w:t>
            </w:r>
          </w:p>
        </w:tc>
        <w:tc>
          <w:tcPr>
            <w:tcW w:w="2186" w:type="dxa"/>
            <w:vAlign w:val="top"/>
          </w:tcPr>
          <w:p w14:paraId="6C2C3B33">
            <w:pPr>
              <w:rPr>
                <w:rFonts w:ascii="Arial"/>
                <w:sz w:val="21"/>
              </w:rPr>
            </w:pPr>
          </w:p>
        </w:tc>
        <w:tc>
          <w:tcPr>
            <w:tcW w:w="555" w:type="dxa"/>
            <w:vAlign w:val="top"/>
          </w:tcPr>
          <w:p w14:paraId="0174860B">
            <w:pPr>
              <w:rPr>
                <w:rFonts w:ascii="Arial"/>
                <w:sz w:val="21"/>
              </w:rPr>
            </w:pPr>
          </w:p>
        </w:tc>
        <w:tc>
          <w:tcPr>
            <w:tcW w:w="554" w:type="dxa"/>
            <w:vAlign w:val="top"/>
          </w:tcPr>
          <w:p w14:paraId="73119CCC">
            <w:pPr>
              <w:rPr>
                <w:rFonts w:ascii="Arial"/>
                <w:sz w:val="21"/>
              </w:rPr>
            </w:pPr>
          </w:p>
        </w:tc>
        <w:tc>
          <w:tcPr>
            <w:tcW w:w="557" w:type="dxa"/>
            <w:vAlign w:val="top"/>
          </w:tcPr>
          <w:p w14:paraId="53AD94B1">
            <w:pPr>
              <w:rPr>
                <w:rFonts w:ascii="Arial"/>
                <w:sz w:val="21"/>
              </w:rPr>
            </w:pPr>
          </w:p>
        </w:tc>
        <w:tc>
          <w:tcPr>
            <w:tcW w:w="554" w:type="dxa"/>
            <w:vAlign w:val="top"/>
          </w:tcPr>
          <w:p w14:paraId="6EDF5906">
            <w:pPr>
              <w:rPr>
                <w:rFonts w:ascii="Arial"/>
                <w:sz w:val="21"/>
              </w:rPr>
            </w:pPr>
          </w:p>
        </w:tc>
        <w:tc>
          <w:tcPr>
            <w:tcW w:w="557" w:type="dxa"/>
            <w:vAlign w:val="top"/>
          </w:tcPr>
          <w:p w14:paraId="52A3CD68">
            <w:pPr>
              <w:rPr>
                <w:rFonts w:ascii="Arial"/>
                <w:sz w:val="21"/>
              </w:rPr>
            </w:pPr>
          </w:p>
        </w:tc>
        <w:tc>
          <w:tcPr>
            <w:tcW w:w="554" w:type="dxa"/>
            <w:vAlign w:val="top"/>
          </w:tcPr>
          <w:p w14:paraId="6D59E594">
            <w:pPr>
              <w:rPr>
                <w:rFonts w:ascii="Arial"/>
                <w:sz w:val="21"/>
              </w:rPr>
            </w:pPr>
          </w:p>
        </w:tc>
        <w:tc>
          <w:tcPr>
            <w:tcW w:w="557" w:type="dxa"/>
            <w:vAlign w:val="top"/>
          </w:tcPr>
          <w:p w14:paraId="2EE1FCC5">
            <w:pPr>
              <w:rPr>
                <w:rFonts w:ascii="Arial"/>
                <w:sz w:val="21"/>
              </w:rPr>
            </w:pPr>
          </w:p>
        </w:tc>
        <w:tc>
          <w:tcPr>
            <w:tcW w:w="554" w:type="dxa"/>
            <w:vAlign w:val="top"/>
          </w:tcPr>
          <w:p w14:paraId="3AA08ECB">
            <w:pPr>
              <w:rPr>
                <w:rFonts w:ascii="Arial"/>
                <w:sz w:val="21"/>
              </w:rPr>
            </w:pPr>
          </w:p>
        </w:tc>
        <w:tc>
          <w:tcPr>
            <w:tcW w:w="557" w:type="dxa"/>
            <w:vAlign w:val="top"/>
          </w:tcPr>
          <w:p w14:paraId="52207CBE">
            <w:pPr>
              <w:rPr>
                <w:rFonts w:ascii="Arial"/>
                <w:sz w:val="21"/>
              </w:rPr>
            </w:pPr>
          </w:p>
        </w:tc>
        <w:tc>
          <w:tcPr>
            <w:tcW w:w="554" w:type="dxa"/>
            <w:vAlign w:val="top"/>
          </w:tcPr>
          <w:p w14:paraId="55FD6657">
            <w:pPr>
              <w:rPr>
                <w:rFonts w:ascii="Arial"/>
                <w:sz w:val="21"/>
              </w:rPr>
            </w:pPr>
          </w:p>
        </w:tc>
        <w:tc>
          <w:tcPr>
            <w:tcW w:w="554" w:type="dxa"/>
            <w:vAlign w:val="top"/>
          </w:tcPr>
          <w:p w14:paraId="41D1AAAF">
            <w:pPr>
              <w:rPr>
                <w:rFonts w:ascii="Arial"/>
                <w:sz w:val="21"/>
              </w:rPr>
            </w:pPr>
          </w:p>
        </w:tc>
        <w:tc>
          <w:tcPr>
            <w:tcW w:w="556" w:type="dxa"/>
            <w:vAlign w:val="top"/>
          </w:tcPr>
          <w:p w14:paraId="22580886">
            <w:pPr>
              <w:rPr>
                <w:rFonts w:ascii="Arial"/>
                <w:sz w:val="21"/>
              </w:rPr>
            </w:pPr>
          </w:p>
        </w:tc>
        <w:tc>
          <w:tcPr>
            <w:tcW w:w="555" w:type="dxa"/>
            <w:vAlign w:val="top"/>
          </w:tcPr>
          <w:p w14:paraId="7637BDA7">
            <w:pPr>
              <w:rPr>
                <w:rFonts w:ascii="Arial"/>
                <w:sz w:val="21"/>
              </w:rPr>
            </w:pPr>
          </w:p>
        </w:tc>
        <w:tc>
          <w:tcPr>
            <w:tcW w:w="554" w:type="dxa"/>
            <w:vAlign w:val="top"/>
          </w:tcPr>
          <w:p w14:paraId="3B33AD1E">
            <w:pPr>
              <w:rPr>
                <w:rFonts w:ascii="Arial"/>
                <w:sz w:val="21"/>
              </w:rPr>
            </w:pPr>
          </w:p>
        </w:tc>
        <w:tc>
          <w:tcPr>
            <w:tcW w:w="557" w:type="dxa"/>
            <w:vAlign w:val="top"/>
          </w:tcPr>
          <w:p w14:paraId="7E43D94C">
            <w:pPr>
              <w:rPr>
                <w:rFonts w:ascii="Arial"/>
                <w:sz w:val="21"/>
              </w:rPr>
            </w:pPr>
          </w:p>
        </w:tc>
        <w:tc>
          <w:tcPr>
            <w:tcW w:w="554" w:type="dxa"/>
            <w:vAlign w:val="top"/>
          </w:tcPr>
          <w:p w14:paraId="41B4E096">
            <w:pPr>
              <w:rPr>
                <w:rFonts w:ascii="Arial"/>
                <w:sz w:val="21"/>
              </w:rPr>
            </w:pPr>
          </w:p>
        </w:tc>
        <w:tc>
          <w:tcPr>
            <w:tcW w:w="557" w:type="dxa"/>
            <w:vAlign w:val="top"/>
          </w:tcPr>
          <w:p w14:paraId="3160A54B">
            <w:pPr>
              <w:rPr>
                <w:rFonts w:ascii="Arial"/>
                <w:sz w:val="21"/>
              </w:rPr>
            </w:pPr>
          </w:p>
        </w:tc>
        <w:tc>
          <w:tcPr>
            <w:tcW w:w="504" w:type="dxa"/>
            <w:vAlign w:val="top"/>
          </w:tcPr>
          <w:p w14:paraId="3475CC2D">
            <w:pPr>
              <w:rPr>
                <w:rFonts w:ascii="Arial"/>
                <w:sz w:val="21"/>
              </w:rPr>
            </w:pPr>
          </w:p>
        </w:tc>
        <w:tc>
          <w:tcPr>
            <w:tcW w:w="1197" w:type="dxa"/>
            <w:vAlign w:val="top"/>
          </w:tcPr>
          <w:p w14:paraId="135FBA95">
            <w:pPr>
              <w:rPr>
                <w:rFonts w:ascii="Arial"/>
                <w:sz w:val="21"/>
              </w:rPr>
            </w:pPr>
          </w:p>
        </w:tc>
      </w:tr>
      <w:tr w14:paraId="6CF9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36" w:type="dxa"/>
            <w:vAlign w:val="top"/>
          </w:tcPr>
          <w:p w14:paraId="793CBF6B">
            <w:pPr>
              <w:spacing w:before="183" w:line="332" w:lineRule="exact"/>
              <w:ind w:left="228"/>
              <w:rPr>
                <w:rFonts w:ascii="黑体" w:hAnsi="黑体" w:eastAsia="黑体" w:cs="黑体"/>
                <w:sz w:val="21"/>
                <w:szCs w:val="21"/>
              </w:rPr>
            </w:pPr>
            <w:r>
              <w:rPr>
                <w:rFonts w:ascii="黑体" w:hAnsi="黑体" w:eastAsia="黑体" w:cs="黑体"/>
                <w:position w:val="2"/>
                <w:sz w:val="21"/>
                <w:szCs w:val="21"/>
              </w:rPr>
              <w:t>…</w:t>
            </w:r>
          </w:p>
        </w:tc>
        <w:tc>
          <w:tcPr>
            <w:tcW w:w="2186" w:type="dxa"/>
            <w:vAlign w:val="top"/>
          </w:tcPr>
          <w:p w14:paraId="4A15C6D4">
            <w:pPr>
              <w:rPr>
                <w:rFonts w:ascii="Arial"/>
                <w:sz w:val="21"/>
              </w:rPr>
            </w:pPr>
          </w:p>
        </w:tc>
        <w:tc>
          <w:tcPr>
            <w:tcW w:w="555" w:type="dxa"/>
            <w:vAlign w:val="top"/>
          </w:tcPr>
          <w:p w14:paraId="7A4DFE6D">
            <w:pPr>
              <w:rPr>
                <w:rFonts w:ascii="Arial"/>
                <w:sz w:val="21"/>
              </w:rPr>
            </w:pPr>
          </w:p>
        </w:tc>
        <w:tc>
          <w:tcPr>
            <w:tcW w:w="554" w:type="dxa"/>
            <w:vAlign w:val="top"/>
          </w:tcPr>
          <w:p w14:paraId="407C83B5">
            <w:pPr>
              <w:rPr>
                <w:rFonts w:ascii="Arial"/>
                <w:sz w:val="21"/>
              </w:rPr>
            </w:pPr>
          </w:p>
        </w:tc>
        <w:tc>
          <w:tcPr>
            <w:tcW w:w="557" w:type="dxa"/>
            <w:vAlign w:val="top"/>
          </w:tcPr>
          <w:p w14:paraId="7387991F">
            <w:pPr>
              <w:rPr>
                <w:rFonts w:ascii="Arial"/>
                <w:sz w:val="21"/>
              </w:rPr>
            </w:pPr>
          </w:p>
        </w:tc>
        <w:tc>
          <w:tcPr>
            <w:tcW w:w="554" w:type="dxa"/>
            <w:vAlign w:val="top"/>
          </w:tcPr>
          <w:p w14:paraId="1F70B94E">
            <w:pPr>
              <w:rPr>
                <w:rFonts w:ascii="Arial"/>
                <w:sz w:val="21"/>
              </w:rPr>
            </w:pPr>
          </w:p>
        </w:tc>
        <w:tc>
          <w:tcPr>
            <w:tcW w:w="557" w:type="dxa"/>
            <w:vAlign w:val="top"/>
          </w:tcPr>
          <w:p w14:paraId="67D6D150">
            <w:pPr>
              <w:rPr>
                <w:rFonts w:ascii="Arial"/>
                <w:sz w:val="21"/>
              </w:rPr>
            </w:pPr>
          </w:p>
        </w:tc>
        <w:tc>
          <w:tcPr>
            <w:tcW w:w="554" w:type="dxa"/>
            <w:vAlign w:val="top"/>
          </w:tcPr>
          <w:p w14:paraId="6C4BE95A">
            <w:pPr>
              <w:rPr>
                <w:rFonts w:ascii="Arial"/>
                <w:sz w:val="21"/>
              </w:rPr>
            </w:pPr>
          </w:p>
        </w:tc>
        <w:tc>
          <w:tcPr>
            <w:tcW w:w="557" w:type="dxa"/>
            <w:vAlign w:val="top"/>
          </w:tcPr>
          <w:p w14:paraId="43C1CD5A">
            <w:pPr>
              <w:rPr>
                <w:rFonts w:ascii="Arial"/>
                <w:sz w:val="21"/>
              </w:rPr>
            </w:pPr>
          </w:p>
        </w:tc>
        <w:tc>
          <w:tcPr>
            <w:tcW w:w="554" w:type="dxa"/>
            <w:vAlign w:val="top"/>
          </w:tcPr>
          <w:p w14:paraId="0315404A">
            <w:pPr>
              <w:rPr>
                <w:rFonts w:ascii="Arial"/>
                <w:sz w:val="21"/>
              </w:rPr>
            </w:pPr>
          </w:p>
        </w:tc>
        <w:tc>
          <w:tcPr>
            <w:tcW w:w="557" w:type="dxa"/>
            <w:vAlign w:val="top"/>
          </w:tcPr>
          <w:p w14:paraId="367B4A9C">
            <w:pPr>
              <w:rPr>
                <w:rFonts w:ascii="Arial"/>
                <w:sz w:val="21"/>
              </w:rPr>
            </w:pPr>
          </w:p>
        </w:tc>
        <w:tc>
          <w:tcPr>
            <w:tcW w:w="554" w:type="dxa"/>
            <w:vAlign w:val="top"/>
          </w:tcPr>
          <w:p w14:paraId="28C49783">
            <w:pPr>
              <w:rPr>
                <w:rFonts w:ascii="Arial"/>
                <w:sz w:val="21"/>
              </w:rPr>
            </w:pPr>
          </w:p>
        </w:tc>
        <w:tc>
          <w:tcPr>
            <w:tcW w:w="554" w:type="dxa"/>
            <w:vAlign w:val="top"/>
          </w:tcPr>
          <w:p w14:paraId="5E2B30E1">
            <w:pPr>
              <w:rPr>
                <w:rFonts w:ascii="Arial"/>
                <w:sz w:val="21"/>
              </w:rPr>
            </w:pPr>
          </w:p>
        </w:tc>
        <w:tc>
          <w:tcPr>
            <w:tcW w:w="556" w:type="dxa"/>
            <w:vAlign w:val="top"/>
          </w:tcPr>
          <w:p w14:paraId="42ECAC27">
            <w:pPr>
              <w:rPr>
                <w:rFonts w:ascii="Arial"/>
                <w:sz w:val="21"/>
              </w:rPr>
            </w:pPr>
          </w:p>
        </w:tc>
        <w:tc>
          <w:tcPr>
            <w:tcW w:w="555" w:type="dxa"/>
            <w:vAlign w:val="top"/>
          </w:tcPr>
          <w:p w14:paraId="261E5AAF">
            <w:pPr>
              <w:rPr>
                <w:rFonts w:ascii="Arial"/>
                <w:sz w:val="21"/>
              </w:rPr>
            </w:pPr>
          </w:p>
        </w:tc>
        <w:tc>
          <w:tcPr>
            <w:tcW w:w="554" w:type="dxa"/>
            <w:vAlign w:val="top"/>
          </w:tcPr>
          <w:p w14:paraId="6E486449">
            <w:pPr>
              <w:rPr>
                <w:rFonts w:ascii="Arial"/>
                <w:sz w:val="21"/>
              </w:rPr>
            </w:pPr>
          </w:p>
        </w:tc>
        <w:tc>
          <w:tcPr>
            <w:tcW w:w="557" w:type="dxa"/>
            <w:vAlign w:val="top"/>
          </w:tcPr>
          <w:p w14:paraId="36E0A6BF">
            <w:pPr>
              <w:rPr>
                <w:rFonts w:ascii="Arial"/>
                <w:sz w:val="21"/>
              </w:rPr>
            </w:pPr>
          </w:p>
        </w:tc>
        <w:tc>
          <w:tcPr>
            <w:tcW w:w="554" w:type="dxa"/>
            <w:vAlign w:val="top"/>
          </w:tcPr>
          <w:p w14:paraId="5D5BF87A">
            <w:pPr>
              <w:rPr>
                <w:rFonts w:ascii="Arial"/>
                <w:sz w:val="21"/>
              </w:rPr>
            </w:pPr>
          </w:p>
        </w:tc>
        <w:tc>
          <w:tcPr>
            <w:tcW w:w="557" w:type="dxa"/>
            <w:vAlign w:val="top"/>
          </w:tcPr>
          <w:p w14:paraId="38752DC4">
            <w:pPr>
              <w:rPr>
                <w:rFonts w:ascii="Arial"/>
                <w:sz w:val="21"/>
              </w:rPr>
            </w:pPr>
          </w:p>
        </w:tc>
        <w:tc>
          <w:tcPr>
            <w:tcW w:w="504" w:type="dxa"/>
            <w:vAlign w:val="top"/>
          </w:tcPr>
          <w:p w14:paraId="768EECA8">
            <w:pPr>
              <w:rPr>
                <w:rFonts w:ascii="Arial"/>
                <w:sz w:val="21"/>
              </w:rPr>
            </w:pPr>
          </w:p>
        </w:tc>
        <w:tc>
          <w:tcPr>
            <w:tcW w:w="1197" w:type="dxa"/>
            <w:vAlign w:val="top"/>
          </w:tcPr>
          <w:p w14:paraId="0A9EA3CF">
            <w:pPr>
              <w:rPr>
                <w:rFonts w:ascii="Arial"/>
                <w:sz w:val="21"/>
              </w:rPr>
            </w:pPr>
          </w:p>
        </w:tc>
      </w:tr>
    </w:tbl>
    <w:p w14:paraId="0F73BDC7">
      <w:pPr>
        <w:spacing w:before="272" w:line="221" w:lineRule="auto"/>
        <w:ind w:left="11"/>
        <w:rPr>
          <w:rFonts w:ascii="宋体" w:hAnsi="宋体" w:eastAsia="宋体" w:cs="宋体"/>
          <w:sz w:val="21"/>
          <w:szCs w:val="21"/>
        </w:rPr>
      </w:pPr>
      <w:r>
        <w:rPr>
          <w:rFonts w:ascii="宋体" w:hAnsi="宋体" w:eastAsia="宋体" w:cs="宋体"/>
          <w:spacing w:val="-2"/>
          <w:sz w:val="21"/>
          <w:szCs w:val="21"/>
        </w:rPr>
        <w:t xml:space="preserve">技术标评委签名：                                                      </w:t>
      </w:r>
      <w:r>
        <w:rPr>
          <w:rFonts w:ascii="宋体" w:hAnsi="宋体" w:eastAsia="宋体" w:cs="宋体"/>
          <w:spacing w:val="-3"/>
          <w:sz w:val="21"/>
          <w:szCs w:val="21"/>
        </w:rPr>
        <w:t xml:space="preserve">                             日期：        年    月     日</w:t>
      </w:r>
    </w:p>
    <w:p w14:paraId="167C5EEB">
      <w:pPr>
        <w:spacing w:line="221" w:lineRule="auto"/>
        <w:rPr>
          <w:rFonts w:ascii="宋体" w:hAnsi="宋体" w:eastAsia="宋体" w:cs="宋体"/>
          <w:sz w:val="21"/>
          <w:szCs w:val="21"/>
        </w:rPr>
        <w:sectPr>
          <w:footerReference r:id="rId76" w:type="default"/>
          <w:pgSz w:w="11905" w:h="16843"/>
          <w:pgMar w:top="969" w:right="1355" w:bottom="1026" w:left="1480" w:header="0" w:footer="754" w:gutter="0"/>
          <w:cols w:space="0" w:num="1"/>
          <w:rtlGutter w:val="0"/>
          <w:docGrid w:linePitch="0" w:charSpace="0"/>
        </w:sectPr>
      </w:pPr>
    </w:p>
    <w:p w14:paraId="5DB950B5">
      <w:pPr>
        <w:pStyle w:val="5"/>
        <w:spacing w:line="284" w:lineRule="auto"/>
      </w:pPr>
    </w:p>
    <w:p w14:paraId="0DBD2562">
      <w:pPr>
        <w:pStyle w:val="5"/>
        <w:spacing w:line="284" w:lineRule="auto"/>
      </w:pPr>
    </w:p>
    <w:p w14:paraId="7F3D924C">
      <w:pPr>
        <w:pStyle w:val="5"/>
        <w:spacing w:line="285" w:lineRule="auto"/>
      </w:pPr>
    </w:p>
    <w:p w14:paraId="6D54C1E5">
      <w:pPr>
        <w:pStyle w:val="5"/>
        <w:spacing w:line="285" w:lineRule="auto"/>
      </w:pPr>
    </w:p>
    <w:p w14:paraId="666829B8">
      <w:pPr>
        <w:pStyle w:val="5"/>
        <w:spacing w:line="285" w:lineRule="auto"/>
      </w:pPr>
    </w:p>
    <w:p w14:paraId="30105720">
      <w:pPr>
        <w:spacing w:before="78" w:line="233" w:lineRule="auto"/>
        <w:ind w:left="131"/>
        <w:outlineLvl w:val="2"/>
        <w:rPr>
          <w:rFonts w:ascii="黑体" w:hAnsi="黑体" w:eastAsia="黑体" w:cs="黑体"/>
          <w:sz w:val="24"/>
          <w:szCs w:val="24"/>
        </w:rPr>
      </w:pPr>
      <w:bookmarkStart w:id="175" w:name="bookmark138"/>
      <w:bookmarkEnd w:id="175"/>
      <w:r>
        <w:rPr>
          <w:rFonts w:ascii="黑体" w:hAnsi="黑体" w:eastAsia="黑体" w:cs="黑体"/>
          <w:spacing w:val="-3"/>
          <w:sz w:val="24"/>
          <w:szCs w:val="24"/>
        </w:rPr>
        <w:t>附表</w:t>
      </w:r>
      <w:r>
        <w:rPr>
          <w:rFonts w:ascii="黑体" w:hAnsi="黑体" w:eastAsia="黑体" w:cs="黑体"/>
          <w:spacing w:val="-48"/>
          <w:sz w:val="24"/>
          <w:szCs w:val="24"/>
        </w:rPr>
        <w:t xml:space="preserve"> </w:t>
      </w:r>
      <w:r>
        <w:rPr>
          <w:rFonts w:ascii="Times New Roman" w:hAnsi="Times New Roman" w:eastAsia="Times New Roman" w:cs="Times New Roman"/>
          <w:spacing w:val="-3"/>
          <w:sz w:val="24"/>
          <w:szCs w:val="24"/>
        </w:rPr>
        <w:t>A-13</w:t>
      </w:r>
      <w:r>
        <w:rPr>
          <w:rFonts w:ascii="黑体" w:hAnsi="黑体" w:eastAsia="黑体" w:cs="黑体"/>
          <w:spacing w:val="-3"/>
          <w:sz w:val="24"/>
          <w:szCs w:val="24"/>
        </w:rPr>
        <w:t>：综合标评审记录表</w:t>
      </w:r>
    </w:p>
    <w:p w14:paraId="56CA406F">
      <w:pPr>
        <w:spacing w:before="38" w:line="219" w:lineRule="auto"/>
        <w:ind w:left="5542"/>
        <w:rPr>
          <w:rFonts w:ascii="黑体" w:hAnsi="黑体" w:eastAsia="黑体" w:cs="黑体"/>
          <w:sz w:val="36"/>
          <w:szCs w:val="36"/>
        </w:rPr>
      </w:pPr>
      <w:bookmarkStart w:id="176" w:name="bookmark530"/>
      <w:bookmarkEnd w:id="176"/>
      <w:r>
        <w:rPr>
          <w:rFonts w:ascii="黑体" w:hAnsi="黑体" w:eastAsia="黑体" w:cs="黑体"/>
          <w:spacing w:val="-2"/>
          <w:sz w:val="36"/>
          <w:szCs w:val="36"/>
        </w:rPr>
        <w:t>综合标评审记录表</w:t>
      </w:r>
    </w:p>
    <w:p w14:paraId="4716CE70">
      <w:pPr>
        <w:spacing w:before="255" w:line="221" w:lineRule="auto"/>
        <w:rPr>
          <w:rFonts w:ascii="宋体" w:hAnsi="宋体" w:eastAsia="宋体" w:cs="宋体"/>
          <w:sz w:val="21"/>
          <w:szCs w:val="21"/>
        </w:rPr>
      </w:pPr>
      <w:r>
        <w:rPr>
          <w:rFonts w:ascii="宋体" w:hAnsi="宋体" w:eastAsia="宋体" w:cs="宋体"/>
          <w:spacing w:val="-7"/>
          <w:sz w:val="21"/>
          <w:szCs w:val="21"/>
        </w:rPr>
        <w:t>标段名称：</w:t>
      </w:r>
    </w:p>
    <w:p w14:paraId="77E01E57">
      <w:pPr>
        <w:spacing w:before="19" w:line="214" w:lineRule="auto"/>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1390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11"/>
        <w:gridCol w:w="1356"/>
        <w:gridCol w:w="1355"/>
        <w:gridCol w:w="1358"/>
        <w:gridCol w:w="1356"/>
        <w:gridCol w:w="1356"/>
        <w:gridCol w:w="1356"/>
        <w:gridCol w:w="1365"/>
        <w:gridCol w:w="1797"/>
      </w:tblGrid>
      <w:tr w14:paraId="1A1F3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97" w:type="dxa"/>
            <w:vMerge w:val="restart"/>
            <w:tcBorders>
              <w:bottom w:val="nil"/>
            </w:tcBorders>
            <w:vAlign w:val="top"/>
          </w:tcPr>
          <w:p w14:paraId="71565BAA">
            <w:pPr>
              <w:spacing w:line="262" w:lineRule="auto"/>
              <w:rPr>
                <w:rFonts w:ascii="Arial"/>
                <w:sz w:val="21"/>
              </w:rPr>
            </w:pPr>
          </w:p>
          <w:p w14:paraId="6FA23B25">
            <w:pPr>
              <w:pStyle w:val="11"/>
              <w:spacing w:before="68" w:line="222" w:lineRule="auto"/>
              <w:ind w:left="192"/>
            </w:pPr>
            <w:r>
              <w:rPr>
                <w:spacing w:val="-2"/>
              </w:rPr>
              <w:t>序号</w:t>
            </w:r>
          </w:p>
        </w:tc>
        <w:tc>
          <w:tcPr>
            <w:tcW w:w="1811" w:type="dxa"/>
            <w:vMerge w:val="restart"/>
            <w:tcBorders>
              <w:bottom w:val="nil"/>
            </w:tcBorders>
            <w:vAlign w:val="top"/>
          </w:tcPr>
          <w:p w14:paraId="61A3A7DC">
            <w:pPr>
              <w:spacing w:line="263" w:lineRule="auto"/>
              <w:rPr>
                <w:rFonts w:ascii="Arial"/>
                <w:sz w:val="21"/>
              </w:rPr>
            </w:pPr>
          </w:p>
          <w:p w14:paraId="6F525A17">
            <w:pPr>
              <w:pStyle w:val="11"/>
              <w:spacing w:before="68" w:line="221" w:lineRule="auto"/>
              <w:ind w:left="385"/>
            </w:pPr>
            <w:r>
              <w:rPr>
                <w:spacing w:val="-2"/>
              </w:rPr>
              <w:t>投标人名称</w:t>
            </w:r>
          </w:p>
        </w:tc>
        <w:tc>
          <w:tcPr>
            <w:tcW w:w="9502" w:type="dxa"/>
            <w:gridSpan w:val="7"/>
            <w:vAlign w:val="top"/>
          </w:tcPr>
          <w:p w14:paraId="2340DEFB">
            <w:pPr>
              <w:pStyle w:val="11"/>
              <w:spacing w:before="111" w:line="221" w:lineRule="auto"/>
              <w:ind w:left="4019"/>
            </w:pPr>
            <w:r>
              <w:rPr>
                <w:spacing w:val="-1"/>
              </w:rPr>
              <w:t>评委姓名及得分</w:t>
            </w:r>
          </w:p>
        </w:tc>
        <w:tc>
          <w:tcPr>
            <w:tcW w:w="1797" w:type="dxa"/>
            <w:vMerge w:val="restart"/>
            <w:tcBorders>
              <w:bottom w:val="nil"/>
            </w:tcBorders>
            <w:vAlign w:val="top"/>
          </w:tcPr>
          <w:p w14:paraId="10EBCEB3">
            <w:pPr>
              <w:pStyle w:val="11"/>
              <w:spacing w:before="196"/>
              <w:ind w:left="227" w:right="157" w:hanging="56"/>
            </w:pPr>
            <w:r>
              <w:rPr>
                <w:spacing w:val="-2"/>
              </w:rPr>
              <w:t>综合标最终得分</w:t>
            </w:r>
            <w:r>
              <w:rPr>
                <w:spacing w:val="-7"/>
              </w:rPr>
              <w:t>（满分</w:t>
            </w:r>
            <w:r>
              <w:rPr>
                <w:spacing w:val="6"/>
              </w:rPr>
              <w:t xml:space="preserve">   </w:t>
            </w:r>
            <w:r>
              <w:rPr>
                <w:spacing w:val="-7"/>
              </w:rPr>
              <w:t>分）</w:t>
            </w:r>
          </w:p>
        </w:tc>
      </w:tr>
      <w:tr w14:paraId="72CB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97" w:type="dxa"/>
            <w:vMerge w:val="continue"/>
            <w:tcBorders>
              <w:top w:val="nil"/>
            </w:tcBorders>
            <w:vAlign w:val="top"/>
          </w:tcPr>
          <w:p w14:paraId="366F00D1">
            <w:pPr>
              <w:rPr>
                <w:rFonts w:ascii="Arial"/>
                <w:sz w:val="21"/>
              </w:rPr>
            </w:pPr>
          </w:p>
        </w:tc>
        <w:tc>
          <w:tcPr>
            <w:tcW w:w="1811" w:type="dxa"/>
            <w:vMerge w:val="continue"/>
            <w:tcBorders>
              <w:top w:val="nil"/>
            </w:tcBorders>
            <w:vAlign w:val="top"/>
          </w:tcPr>
          <w:p w14:paraId="29C67831">
            <w:pPr>
              <w:rPr>
                <w:rFonts w:ascii="Arial"/>
                <w:sz w:val="21"/>
              </w:rPr>
            </w:pPr>
          </w:p>
        </w:tc>
        <w:tc>
          <w:tcPr>
            <w:tcW w:w="1356" w:type="dxa"/>
            <w:vAlign w:val="top"/>
          </w:tcPr>
          <w:p w14:paraId="33FB4038">
            <w:pPr>
              <w:pStyle w:val="11"/>
              <w:spacing w:before="109" w:line="221" w:lineRule="auto"/>
              <w:ind w:left="392"/>
            </w:pPr>
            <w:r>
              <w:rPr>
                <w:spacing w:val="-2"/>
              </w:rPr>
              <w:t>评委</w:t>
            </w:r>
            <w:r>
              <w:rPr>
                <w:spacing w:val="-28"/>
              </w:rPr>
              <w:t xml:space="preserve"> </w:t>
            </w:r>
            <w:r>
              <w:rPr>
                <w:spacing w:val="-2"/>
              </w:rPr>
              <w:t>1</w:t>
            </w:r>
          </w:p>
        </w:tc>
        <w:tc>
          <w:tcPr>
            <w:tcW w:w="1355" w:type="dxa"/>
            <w:vAlign w:val="top"/>
          </w:tcPr>
          <w:p w14:paraId="60283F7F">
            <w:pPr>
              <w:pStyle w:val="11"/>
              <w:spacing w:before="109" w:line="221" w:lineRule="auto"/>
              <w:ind w:left="392"/>
            </w:pPr>
            <w:r>
              <w:rPr>
                <w:spacing w:val="-2"/>
              </w:rPr>
              <w:t>评委</w:t>
            </w:r>
            <w:r>
              <w:rPr>
                <w:spacing w:val="-42"/>
              </w:rPr>
              <w:t xml:space="preserve"> </w:t>
            </w:r>
            <w:r>
              <w:rPr>
                <w:spacing w:val="-2"/>
              </w:rPr>
              <w:t>2</w:t>
            </w:r>
          </w:p>
        </w:tc>
        <w:tc>
          <w:tcPr>
            <w:tcW w:w="1358" w:type="dxa"/>
            <w:vAlign w:val="top"/>
          </w:tcPr>
          <w:p w14:paraId="4A4A271A">
            <w:pPr>
              <w:pStyle w:val="11"/>
              <w:spacing w:before="108" w:line="316" w:lineRule="exact"/>
              <w:ind w:left="487"/>
            </w:pPr>
            <w:r>
              <w:rPr>
                <w:spacing w:val="-5"/>
                <w:position w:val="2"/>
              </w:rPr>
              <w:t>……</w:t>
            </w:r>
          </w:p>
        </w:tc>
        <w:tc>
          <w:tcPr>
            <w:tcW w:w="1356" w:type="dxa"/>
            <w:vAlign w:val="top"/>
          </w:tcPr>
          <w:p w14:paraId="417FDD69">
            <w:pPr>
              <w:rPr>
                <w:rFonts w:ascii="Arial"/>
                <w:sz w:val="21"/>
              </w:rPr>
            </w:pPr>
          </w:p>
        </w:tc>
        <w:tc>
          <w:tcPr>
            <w:tcW w:w="1356" w:type="dxa"/>
            <w:vAlign w:val="top"/>
          </w:tcPr>
          <w:p w14:paraId="6A284C47">
            <w:pPr>
              <w:rPr>
                <w:rFonts w:ascii="Arial"/>
                <w:sz w:val="21"/>
              </w:rPr>
            </w:pPr>
          </w:p>
        </w:tc>
        <w:tc>
          <w:tcPr>
            <w:tcW w:w="1356" w:type="dxa"/>
            <w:vAlign w:val="top"/>
          </w:tcPr>
          <w:p w14:paraId="31DCC3EB">
            <w:pPr>
              <w:rPr>
                <w:rFonts w:ascii="Arial"/>
                <w:sz w:val="21"/>
              </w:rPr>
            </w:pPr>
          </w:p>
        </w:tc>
        <w:tc>
          <w:tcPr>
            <w:tcW w:w="1365" w:type="dxa"/>
            <w:vAlign w:val="top"/>
          </w:tcPr>
          <w:p w14:paraId="6D34D97D">
            <w:pPr>
              <w:rPr>
                <w:rFonts w:ascii="Arial"/>
                <w:sz w:val="21"/>
              </w:rPr>
            </w:pPr>
          </w:p>
        </w:tc>
        <w:tc>
          <w:tcPr>
            <w:tcW w:w="1797" w:type="dxa"/>
            <w:vMerge w:val="continue"/>
            <w:tcBorders>
              <w:top w:val="nil"/>
            </w:tcBorders>
            <w:vAlign w:val="top"/>
          </w:tcPr>
          <w:p w14:paraId="586F3966">
            <w:pPr>
              <w:rPr>
                <w:rFonts w:ascii="Arial"/>
                <w:sz w:val="21"/>
              </w:rPr>
            </w:pPr>
          </w:p>
        </w:tc>
      </w:tr>
      <w:tr w14:paraId="29744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97" w:type="dxa"/>
            <w:vAlign w:val="top"/>
          </w:tcPr>
          <w:p w14:paraId="4266A725">
            <w:pPr>
              <w:pStyle w:val="11"/>
              <w:spacing w:before="183" w:line="242" w:lineRule="auto"/>
              <w:ind w:left="367"/>
            </w:pPr>
            <w:r>
              <w:t>1</w:t>
            </w:r>
          </w:p>
        </w:tc>
        <w:tc>
          <w:tcPr>
            <w:tcW w:w="1811" w:type="dxa"/>
            <w:vAlign w:val="top"/>
          </w:tcPr>
          <w:p w14:paraId="22F6D365">
            <w:pPr>
              <w:rPr>
                <w:rFonts w:ascii="Arial"/>
                <w:sz w:val="21"/>
              </w:rPr>
            </w:pPr>
          </w:p>
        </w:tc>
        <w:tc>
          <w:tcPr>
            <w:tcW w:w="1356" w:type="dxa"/>
            <w:vAlign w:val="top"/>
          </w:tcPr>
          <w:p w14:paraId="761C283A">
            <w:pPr>
              <w:rPr>
                <w:rFonts w:ascii="Arial"/>
                <w:sz w:val="21"/>
              </w:rPr>
            </w:pPr>
          </w:p>
        </w:tc>
        <w:tc>
          <w:tcPr>
            <w:tcW w:w="1355" w:type="dxa"/>
            <w:vAlign w:val="top"/>
          </w:tcPr>
          <w:p w14:paraId="116DCE9D">
            <w:pPr>
              <w:rPr>
                <w:rFonts w:ascii="Arial"/>
                <w:sz w:val="21"/>
              </w:rPr>
            </w:pPr>
          </w:p>
        </w:tc>
        <w:tc>
          <w:tcPr>
            <w:tcW w:w="1358" w:type="dxa"/>
            <w:vAlign w:val="top"/>
          </w:tcPr>
          <w:p w14:paraId="1B593747">
            <w:pPr>
              <w:rPr>
                <w:rFonts w:ascii="Arial"/>
                <w:sz w:val="21"/>
              </w:rPr>
            </w:pPr>
          </w:p>
        </w:tc>
        <w:tc>
          <w:tcPr>
            <w:tcW w:w="1356" w:type="dxa"/>
            <w:vAlign w:val="top"/>
          </w:tcPr>
          <w:p w14:paraId="5ACB3C9B">
            <w:pPr>
              <w:rPr>
                <w:rFonts w:ascii="Arial"/>
                <w:sz w:val="21"/>
              </w:rPr>
            </w:pPr>
          </w:p>
        </w:tc>
        <w:tc>
          <w:tcPr>
            <w:tcW w:w="1356" w:type="dxa"/>
            <w:vAlign w:val="top"/>
          </w:tcPr>
          <w:p w14:paraId="228D170A">
            <w:pPr>
              <w:rPr>
                <w:rFonts w:ascii="Arial"/>
                <w:sz w:val="21"/>
              </w:rPr>
            </w:pPr>
          </w:p>
        </w:tc>
        <w:tc>
          <w:tcPr>
            <w:tcW w:w="1356" w:type="dxa"/>
            <w:vAlign w:val="top"/>
          </w:tcPr>
          <w:p w14:paraId="6D75EA19">
            <w:pPr>
              <w:rPr>
                <w:rFonts w:ascii="Arial"/>
                <w:sz w:val="21"/>
              </w:rPr>
            </w:pPr>
          </w:p>
        </w:tc>
        <w:tc>
          <w:tcPr>
            <w:tcW w:w="1365" w:type="dxa"/>
            <w:vAlign w:val="top"/>
          </w:tcPr>
          <w:p w14:paraId="4E21A6FC">
            <w:pPr>
              <w:rPr>
                <w:rFonts w:ascii="Arial"/>
                <w:sz w:val="21"/>
              </w:rPr>
            </w:pPr>
          </w:p>
        </w:tc>
        <w:tc>
          <w:tcPr>
            <w:tcW w:w="1797" w:type="dxa"/>
            <w:vAlign w:val="top"/>
          </w:tcPr>
          <w:p w14:paraId="705DCF2E">
            <w:pPr>
              <w:rPr>
                <w:rFonts w:ascii="Arial"/>
                <w:sz w:val="21"/>
              </w:rPr>
            </w:pPr>
          </w:p>
        </w:tc>
      </w:tr>
      <w:tr w14:paraId="151D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4F6BC089">
            <w:pPr>
              <w:pStyle w:val="11"/>
              <w:spacing w:before="184" w:line="242" w:lineRule="auto"/>
              <w:ind w:left="354"/>
            </w:pPr>
            <w:r>
              <w:t>2</w:t>
            </w:r>
          </w:p>
        </w:tc>
        <w:tc>
          <w:tcPr>
            <w:tcW w:w="1811" w:type="dxa"/>
            <w:vAlign w:val="top"/>
          </w:tcPr>
          <w:p w14:paraId="436F38C2">
            <w:pPr>
              <w:rPr>
                <w:rFonts w:ascii="Arial"/>
                <w:sz w:val="21"/>
              </w:rPr>
            </w:pPr>
          </w:p>
        </w:tc>
        <w:tc>
          <w:tcPr>
            <w:tcW w:w="1356" w:type="dxa"/>
            <w:vAlign w:val="top"/>
          </w:tcPr>
          <w:p w14:paraId="58344A22">
            <w:pPr>
              <w:rPr>
                <w:rFonts w:ascii="Arial"/>
                <w:sz w:val="21"/>
              </w:rPr>
            </w:pPr>
          </w:p>
        </w:tc>
        <w:tc>
          <w:tcPr>
            <w:tcW w:w="1355" w:type="dxa"/>
            <w:vAlign w:val="top"/>
          </w:tcPr>
          <w:p w14:paraId="21D2ECAD">
            <w:pPr>
              <w:rPr>
                <w:rFonts w:ascii="Arial"/>
                <w:sz w:val="21"/>
              </w:rPr>
            </w:pPr>
          </w:p>
        </w:tc>
        <w:tc>
          <w:tcPr>
            <w:tcW w:w="1358" w:type="dxa"/>
            <w:vAlign w:val="top"/>
          </w:tcPr>
          <w:p w14:paraId="2770E27D">
            <w:pPr>
              <w:rPr>
                <w:rFonts w:ascii="Arial"/>
                <w:sz w:val="21"/>
              </w:rPr>
            </w:pPr>
          </w:p>
        </w:tc>
        <w:tc>
          <w:tcPr>
            <w:tcW w:w="1356" w:type="dxa"/>
            <w:vAlign w:val="top"/>
          </w:tcPr>
          <w:p w14:paraId="3BF39288">
            <w:pPr>
              <w:rPr>
                <w:rFonts w:ascii="Arial"/>
                <w:sz w:val="21"/>
              </w:rPr>
            </w:pPr>
          </w:p>
        </w:tc>
        <w:tc>
          <w:tcPr>
            <w:tcW w:w="1356" w:type="dxa"/>
            <w:vAlign w:val="top"/>
          </w:tcPr>
          <w:p w14:paraId="17FFF759">
            <w:pPr>
              <w:rPr>
                <w:rFonts w:ascii="Arial"/>
                <w:sz w:val="21"/>
              </w:rPr>
            </w:pPr>
          </w:p>
        </w:tc>
        <w:tc>
          <w:tcPr>
            <w:tcW w:w="1356" w:type="dxa"/>
            <w:vAlign w:val="top"/>
          </w:tcPr>
          <w:p w14:paraId="41807166">
            <w:pPr>
              <w:rPr>
                <w:rFonts w:ascii="Arial"/>
                <w:sz w:val="21"/>
              </w:rPr>
            </w:pPr>
          </w:p>
        </w:tc>
        <w:tc>
          <w:tcPr>
            <w:tcW w:w="1365" w:type="dxa"/>
            <w:vAlign w:val="top"/>
          </w:tcPr>
          <w:p w14:paraId="0DA053B9">
            <w:pPr>
              <w:rPr>
                <w:rFonts w:ascii="Arial"/>
                <w:sz w:val="21"/>
              </w:rPr>
            </w:pPr>
          </w:p>
        </w:tc>
        <w:tc>
          <w:tcPr>
            <w:tcW w:w="1797" w:type="dxa"/>
            <w:vAlign w:val="top"/>
          </w:tcPr>
          <w:p w14:paraId="51C294AB">
            <w:pPr>
              <w:rPr>
                <w:rFonts w:ascii="Arial"/>
                <w:sz w:val="21"/>
              </w:rPr>
            </w:pPr>
          </w:p>
        </w:tc>
      </w:tr>
      <w:tr w14:paraId="0C1D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97" w:type="dxa"/>
            <w:vAlign w:val="top"/>
          </w:tcPr>
          <w:p w14:paraId="772BC0DA">
            <w:pPr>
              <w:pStyle w:val="11"/>
              <w:spacing w:before="184" w:line="241" w:lineRule="auto"/>
              <w:ind w:left="355"/>
            </w:pPr>
            <w:r>
              <w:t>3</w:t>
            </w:r>
          </w:p>
        </w:tc>
        <w:tc>
          <w:tcPr>
            <w:tcW w:w="1811" w:type="dxa"/>
            <w:vAlign w:val="top"/>
          </w:tcPr>
          <w:p w14:paraId="39F0B956">
            <w:pPr>
              <w:rPr>
                <w:rFonts w:ascii="Arial"/>
                <w:sz w:val="21"/>
              </w:rPr>
            </w:pPr>
          </w:p>
        </w:tc>
        <w:tc>
          <w:tcPr>
            <w:tcW w:w="1356" w:type="dxa"/>
            <w:vAlign w:val="top"/>
          </w:tcPr>
          <w:p w14:paraId="57473C78">
            <w:pPr>
              <w:rPr>
                <w:rFonts w:ascii="Arial"/>
                <w:sz w:val="21"/>
              </w:rPr>
            </w:pPr>
          </w:p>
        </w:tc>
        <w:tc>
          <w:tcPr>
            <w:tcW w:w="1355" w:type="dxa"/>
            <w:vAlign w:val="top"/>
          </w:tcPr>
          <w:p w14:paraId="0D76BFE6">
            <w:pPr>
              <w:rPr>
                <w:rFonts w:ascii="Arial"/>
                <w:sz w:val="21"/>
              </w:rPr>
            </w:pPr>
          </w:p>
        </w:tc>
        <w:tc>
          <w:tcPr>
            <w:tcW w:w="1358" w:type="dxa"/>
            <w:vAlign w:val="top"/>
          </w:tcPr>
          <w:p w14:paraId="285450FB">
            <w:pPr>
              <w:rPr>
                <w:rFonts w:ascii="Arial"/>
                <w:sz w:val="21"/>
              </w:rPr>
            </w:pPr>
          </w:p>
        </w:tc>
        <w:tc>
          <w:tcPr>
            <w:tcW w:w="1356" w:type="dxa"/>
            <w:vAlign w:val="top"/>
          </w:tcPr>
          <w:p w14:paraId="09F97AC2">
            <w:pPr>
              <w:rPr>
                <w:rFonts w:ascii="Arial"/>
                <w:sz w:val="21"/>
              </w:rPr>
            </w:pPr>
          </w:p>
        </w:tc>
        <w:tc>
          <w:tcPr>
            <w:tcW w:w="1356" w:type="dxa"/>
            <w:vAlign w:val="top"/>
          </w:tcPr>
          <w:p w14:paraId="26142F62">
            <w:pPr>
              <w:rPr>
                <w:rFonts w:ascii="Arial"/>
                <w:sz w:val="21"/>
              </w:rPr>
            </w:pPr>
          </w:p>
        </w:tc>
        <w:tc>
          <w:tcPr>
            <w:tcW w:w="1356" w:type="dxa"/>
            <w:vAlign w:val="top"/>
          </w:tcPr>
          <w:p w14:paraId="6D0CBC58">
            <w:pPr>
              <w:rPr>
                <w:rFonts w:ascii="Arial"/>
                <w:sz w:val="21"/>
              </w:rPr>
            </w:pPr>
          </w:p>
        </w:tc>
        <w:tc>
          <w:tcPr>
            <w:tcW w:w="1365" w:type="dxa"/>
            <w:vAlign w:val="top"/>
          </w:tcPr>
          <w:p w14:paraId="3EA45544">
            <w:pPr>
              <w:rPr>
                <w:rFonts w:ascii="Arial"/>
                <w:sz w:val="21"/>
              </w:rPr>
            </w:pPr>
          </w:p>
        </w:tc>
        <w:tc>
          <w:tcPr>
            <w:tcW w:w="1797" w:type="dxa"/>
            <w:vAlign w:val="top"/>
          </w:tcPr>
          <w:p w14:paraId="719AD3BC">
            <w:pPr>
              <w:rPr>
                <w:rFonts w:ascii="Arial"/>
                <w:sz w:val="21"/>
              </w:rPr>
            </w:pPr>
          </w:p>
        </w:tc>
      </w:tr>
      <w:tr w14:paraId="3AB1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7921EFDE">
            <w:pPr>
              <w:pStyle w:val="11"/>
              <w:spacing w:before="186" w:line="242" w:lineRule="auto"/>
              <w:ind w:left="350"/>
            </w:pPr>
            <w:r>
              <w:t>4</w:t>
            </w:r>
          </w:p>
        </w:tc>
        <w:tc>
          <w:tcPr>
            <w:tcW w:w="1811" w:type="dxa"/>
            <w:vAlign w:val="top"/>
          </w:tcPr>
          <w:p w14:paraId="767177F0">
            <w:pPr>
              <w:rPr>
                <w:rFonts w:ascii="Arial"/>
                <w:sz w:val="21"/>
              </w:rPr>
            </w:pPr>
          </w:p>
        </w:tc>
        <w:tc>
          <w:tcPr>
            <w:tcW w:w="1356" w:type="dxa"/>
            <w:vAlign w:val="top"/>
          </w:tcPr>
          <w:p w14:paraId="568A0E36">
            <w:pPr>
              <w:rPr>
                <w:rFonts w:ascii="Arial"/>
                <w:sz w:val="21"/>
              </w:rPr>
            </w:pPr>
          </w:p>
        </w:tc>
        <w:tc>
          <w:tcPr>
            <w:tcW w:w="1355" w:type="dxa"/>
            <w:vAlign w:val="top"/>
          </w:tcPr>
          <w:p w14:paraId="062E283C">
            <w:pPr>
              <w:rPr>
                <w:rFonts w:ascii="Arial"/>
                <w:sz w:val="21"/>
              </w:rPr>
            </w:pPr>
          </w:p>
        </w:tc>
        <w:tc>
          <w:tcPr>
            <w:tcW w:w="1358" w:type="dxa"/>
            <w:vAlign w:val="top"/>
          </w:tcPr>
          <w:p w14:paraId="2F3B16D7">
            <w:pPr>
              <w:rPr>
                <w:rFonts w:ascii="Arial"/>
                <w:sz w:val="21"/>
              </w:rPr>
            </w:pPr>
          </w:p>
        </w:tc>
        <w:tc>
          <w:tcPr>
            <w:tcW w:w="1356" w:type="dxa"/>
            <w:vAlign w:val="top"/>
          </w:tcPr>
          <w:p w14:paraId="6F35EB43">
            <w:pPr>
              <w:rPr>
                <w:rFonts w:ascii="Arial"/>
                <w:sz w:val="21"/>
              </w:rPr>
            </w:pPr>
          </w:p>
        </w:tc>
        <w:tc>
          <w:tcPr>
            <w:tcW w:w="1356" w:type="dxa"/>
            <w:vAlign w:val="top"/>
          </w:tcPr>
          <w:p w14:paraId="01A158A5">
            <w:pPr>
              <w:rPr>
                <w:rFonts w:ascii="Arial"/>
                <w:sz w:val="21"/>
              </w:rPr>
            </w:pPr>
          </w:p>
        </w:tc>
        <w:tc>
          <w:tcPr>
            <w:tcW w:w="1356" w:type="dxa"/>
            <w:vAlign w:val="top"/>
          </w:tcPr>
          <w:p w14:paraId="11E33358">
            <w:pPr>
              <w:rPr>
                <w:rFonts w:ascii="Arial"/>
                <w:sz w:val="21"/>
              </w:rPr>
            </w:pPr>
          </w:p>
        </w:tc>
        <w:tc>
          <w:tcPr>
            <w:tcW w:w="1365" w:type="dxa"/>
            <w:vAlign w:val="top"/>
          </w:tcPr>
          <w:p w14:paraId="644A3C8A">
            <w:pPr>
              <w:rPr>
                <w:rFonts w:ascii="Arial"/>
                <w:sz w:val="21"/>
              </w:rPr>
            </w:pPr>
          </w:p>
        </w:tc>
        <w:tc>
          <w:tcPr>
            <w:tcW w:w="1797" w:type="dxa"/>
            <w:vAlign w:val="top"/>
          </w:tcPr>
          <w:p w14:paraId="16AAD304">
            <w:pPr>
              <w:rPr>
                <w:rFonts w:ascii="Arial"/>
                <w:sz w:val="21"/>
              </w:rPr>
            </w:pPr>
          </w:p>
        </w:tc>
      </w:tr>
      <w:tr w14:paraId="6F674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97" w:type="dxa"/>
            <w:vAlign w:val="top"/>
          </w:tcPr>
          <w:p w14:paraId="7ACEE77A">
            <w:pPr>
              <w:pStyle w:val="11"/>
              <w:spacing w:before="186" w:line="241" w:lineRule="auto"/>
              <w:ind w:left="355"/>
            </w:pPr>
            <w:r>
              <w:t>5</w:t>
            </w:r>
          </w:p>
        </w:tc>
        <w:tc>
          <w:tcPr>
            <w:tcW w:w="1811" w:type="dxa"/>
            <w:vAlign w:val="top"/>
          </w:tcPr>
          <w:p w14:paraId="34CA6296">
            <w:pPr>
              <w:rPr>
                <w:rFonts w:ascii="Arial"/>
                <w:sz w:val="21"/>
              </w:rPr>
            </w:pPr>
          </w:p>
        </w:tc>
        <w:tc>
          <w:tcPr>
            <w:tcW w:w="1356" w:type="dxa"/>
            <w:vAlign w:val="top"/>
          </w:tcPr>
          <w:p w14:paraId="7B6979C0">
            <w:pPr>
              <w:rPr>
                <w:rFonts w:ascii="Arial"/>
                <w:sz w:val="21"/>
              </w:rPr>
            </w:pPr>
          </w:p>
        </w:tc>
        <w:tc>
          <w:tcPr>
            <w:tcW w:w="1355" w:type="dxa"/>
            <w:vAlign w:val="top"/>
          </w:tcPr>
          <w:p w14:paraId="3F34D375">
            <w:pPr>
              <w:rPr>
                <w:rFonts w:ascii="Arial"/>
                <w:sz w:val="21"/>
              </w:rPr>
            </w:pPr>
          </w:p>
        </w:tc>
        <w:tc>
          <w:tcPr>
            <w:tcW w:w="1358" w:type="dxa"/>
            <w:vAlign w:val="top"/>
          </w:tcPr>
          <w:p w14:paraId="61147452">
            <w:pPr>
              <w:rPr>
                <w:rFonts w:ascii="Arial"/>
                <w:sz w:val="21"/>
              </w:rPr>
            </w:pPr>
          </w:p>
        </w:tc>
        <w:tc>
          <w:tcPr>
            <w:tcW w:w="1356" w:type="dxa"/>
            <w:vAlign w:val="top"/>
          </w:tcPr>
          <w:p w14:paraId="22366A5E">
            <w:pPr>
              <w:rPr>
                <w:rFonts w:ascii="Arial"/>
                <w:sz w:val="21"/>
              </w:rPr>
            </w:pPr>
          </w:p>
        </w:tc>
        <w:tc>
          <w:tcPr>
            <w:tcW w:w="1356" w:type="dxa"/>
            <w:vAlign w:val="top"/>
          </w:tcPr>
          <w:p w14:paraId="460A5309">
            <w:pPr>
              <w:rPr>
                <w:rFonts w:ascii="Arial"/>
                <w:sz w:val="21"/>
              </w:rPr>
            </w:pPr>
          </w:p>
        </w:tc>
        <w:tc>
          <w:tcPr>
            <w:tcW w:w="1356" w:type="dxa"/>
            <w:vAlign w:val="top"/>
          </w:tcPr>
          <w:p w14:paraId="5381A197">
            <w:pPr>
              <w:rPr>
                <w:rFonts w:ascii="Arial"/>
                <w:sz w:val="21"/>
              </w:rPr>
            </w:pPr>
          </w:p>
        </w:tc>
        <w:tc>
          <w:tcPr>
            <w:tcW w:w="1365" w:type="dxa"/>
            <w:vAlign w:val="top"/>
          </w:tcPr>
          <w:p w14:paraId="2E92B5E5">
            <w:pPr>
              <w:rPr>
                <w:rFonts w:ascii="Arial"/>
                <w:sz w:val="21"/>
              </w:rPr>
            </w:pPr>
          </w:p>
        </w:tc>
        <w:tc>
          <w:tcPr>
            <w:tcW w:w="1797" w:type="dxa"/>
            <w:vAlign w:val="top"/>
          </w:tcPr>
          <w:p w14:paraId="11B452FF">
            <w:pPr>
              <w:rPr>
                <w:rFonts w:ascii="Arial"/>
                <w:sz w:val="21"/>
              </w:rPr>
            </w:pPr>
          </w:p>
        </w:tc>
      </w:tr>
      <w:tr w14:paraId="27495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7" w:type="dxa"/>
            <w:vAlign w:val="top"/>
          </w:tcPr>
          <w:p w14:paraId="0061FFFD">
            <w:pPr>
              <w:pStyle w:val="11"/>
              <w:spacing w:before="187" w:line="241" w:lineRule="auto"/>
              <w:ind w:left="353"/>
            </w:pPr>
            <w:r>
              <w:t>6</w:t>
            </w:r>
          </w:p>
        </w:tc>
        <w:tc>
          <w:tcPr>
            <w:tcW w:w="1811" w:type="dxa"/>
            <w:vAlign w:val="top"/>
          </w:tcPr>
          <w:p w14:paraId="66A15387">
            <w:pPr>
              <w:rPr>
                <w:rFonts w:ascii="Arial"/>
                <w:sz w:val="21"/>
              </w:rPr>
            </w:pPr>
          </w:p>
        </w:tc>
        <w:tc>
          <w:tcPr>
            <w:tcW w:w="1356" w:type="dxa"/>
            <w:vAlign w:val="top"/>
          </w:tcPr>
          <w:p w14:paraId="698458C1">
            <w:pPr>
              <w:rPr>
                <w:rFonts w:ascii="Arial"/>
                <w:sz w:val="21"/>
              </w:rPr>
            </w:pPr>
          </w:p>
        </w:tc>
        <w:tc>
          <w:tcPr>
            <w:tcW w:w="1355" w:type="dxa"/>
            <w:vAlign w:val="top"/>
          </w:tcPr>
          <w:p w14:paraId="7168BA16">
            <w:pPr>
              <w:rPr>
                <w:rFonts w:ascii="Arial"/>
                <w:sz w:val="21"/>
              </w:rPr>
            </w:pPr>
          </w:p>
        </w:tc>
        <w:tc>
          <w:tcPr>
            <w:tcW w:w="1358" w:type="dxa"/>
            <w:vAlign w:val="top"/>
          </w:tcPr>
          <w:p w14:paraId="3377EE0B">
            <w:pPr>
              <w:rPr>
                <w:rFonts w:ascii="Arial"/>
                <w:sz w:val="21"/>
              </w:rPr>
            </w:pPr>
          </w:p>
        </w:tc>
        <w:tc>
          <w:tcPr>
            <w:tcW w:w="1356" w:type="dxa"/>
            <w:vAlign w:val="top"/>
          </w:tcPr>
          <w:p w14:paraId="258ADE35">
            <w:pPr>
              <w:rPr>
                <w:rFonts w:ascii="Arial"/>
                <w:sz w:val="21"/>
              </w:rPr>
            </w:pPr>
          </w:p>
        </w:tc>
        <w:tc>
          <w:tcPr>
            <w:tcW w:w="1356" w:type="dxa"/>
            <w:vAlign w:val="top"/>
          </w:tcPr>
          <w:p w14:paraId="39B6FB19">
            <w:pPr>
              <w:rPr>
                <w:rFonts w:ascii="Arial"/>
                <w:sz w:val="21"/>
              </w:rPr>
            </w:pPr>
          </w:p>
        </w:tc>
        <w:tc>
          <w:tcPr>
            <w:tcW w:w="1356" w:type="dxa"/>
            <w:vAlign w:val="top"/>
          </w:tcPr>
          <w:p w14:paraId="04DB4D41">
            <w:pPr>
              <w:rPr>
                <w:rFonts w:ascii="Arial"/>
                <w:sz w:val="21"/>
              </w:rPr>
            </w:pPr>
          </w:p>
        </w:tc>
        <w:tc>
          <w:tcPr>
            <w:tcW w:w="1365" w:type="dxa"/>
            <w:vAlign w:val="top"/>
          </w:tcPr>
          <w:p w14:paraId="36CAA3CD">
            <w:pPr>
              <w:rPr>
                <w:rFonts w:ascii="Arial"/>
                <w:sz w:val="21"/>
              </w:rPr>
            </w:pPr>
          </w:p>
        </w:tc>
        <w:tc>
          <w:tcPr>
            <w:tcW w:w="1797" w:type="dxa"/>
            <w:vAlign w:val="top"/>
          </w:tcPr>
          <w:p w14:paraId="66DCEA52">
            <w:pPr>
              <w:rPr>
                <w:rFonts w:ascii="Arial"/>
                <w:sz w:val="21"/>
              </w:rPr>
            </w:pPr>
          </w:p>
        </w:tc>
      </w:tr>
      <w:tr w14:paraId="523D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97" w:type="dxa"/>
            <w:vAlign w:val="top"/>
          </w:tcPr>
          <w:p w14:paraId="5CE30D90">
            <w:pPr>
              <w:pStyle w:val="11"/>
              <w:spacing w:before="187" w:line="332" w:lineRule="exact"/>
              <w:ind w:left="206"/>
            </w:pPr>
            <w:r>
              <w:rPr>
                <w:spacing w:val="-10"/>
                <w:position w:val="2"/>
              </w:rPr>
              <w:t>……</w:t>
            </w:r>
          </w:p>
        </w:tc>
        <w:tc>
          <w:tcPr>
            <w:tcW w:w="1811" w:type="dxa"/>
            <w:vAlign w:val="top"/>
          </w:tcPr>
          <w:p w14:paraId="24C411C1">
            <w:pPr>
              <w:rPr>
                <w:rFonts w:ascii="Arial"/>
                <w:sz w:val="21"/>
              </w:rPr>
            </w:pPr>
          </w:p>
        </w:tc>
        <w:tc>
          <w:tcPr>
            <w:tcW w:w="1356" w:type="dxa"/>
            <w:vAlign w:val="top"/>
          </w:tcPr>
          <w:p w14:paraId="6A0F6600">
            <w:pPr>
              <w:rPr>
                <w:rFonts w:ascii="Arial"/>
                <w:sz w:val="21"/>
              </w:rPr>
            </w:pPr>
          </w:p>
        </w:tc>
        <w:tc>
          <w:tcPr>
            <w:tcW w:w="1355" w:type="dxa"/>
            <w:vAlign w:val="top"/>
          </w:tcPr>
          <w:p w14:paraId="1FF9E15F">
            <w:pPr>
              <w:rPr>
                <w:rFonts w:ascii="Arial"/>
                <w:sz w:val="21"/>
              </w:rPr>
            </w:pPr>
          </w:p>
        </w:tc>
        <w:tc>
          <w:tcPr>
            <w:tcW w:w="1358" w:type="dxa"/>
            <w:vAlign w:val="top"/>
          </w:tcPr>
          <w:p w14:paraId="3A96E1AD">
            <w:pPr>
              <w:rPr>
                <w:rFonts w:ascii="Arial"/>
                <w:sz w:val="21"/>
              </w:rPr>
            </w:pPr>
          </w:p>
        </w:tc>
        <w:tc>
          <w:tcPr>
            <w:tcW w:w="1356" w:type="dxa"/>
            <w:vAlign w:val="top"/>
          </w:tcPr>
          <w:p w14:paraId="5CDC6A11">
            <w:pPr>
              <w:rPr>
                <w:rFonts w:ascii="Arial"/>
                <w:sz w:val="21"/>
              </w:rPr>
            </w:pPr>
          </w:p>
        </w:tc>
        <w:tc>
          <w:tcPr>
            <w:tcW w:w="1356" w:type="dxa"/>
            <w:vAlign w:val="top"/>
          </w:tcPr>
          <w:p w14:paraId="709C862F">
            <w:pPr>
              <w:rPr>
                <w:rFonts w:ascii="Arial"/>
                <w:sz w:val="21"/>
              </w:rPr>
            </w:pPr>
          </w:p>
        </w:tc>
        <w:tc>
          <w:tcPr>
            <w:tcW w:w="1356" w:type="dxa"/>
            <w:vAlign w:val="top"/>
          </w:tcPr>
          <w:p w14:paraId="37CEBCBE">
            <w:pPr>
              <w:rPr>
                <w:rFonts w:ascii="Arial"/>
                <w:sz w:val="21"/>
              </w:rPr>
            </w:pPr>
          </w:p>
        </w:tc>
        <w:tc>
          <w:tcPr>
            <w:tcW w:w="1365" w:type="dxa"/>
            <w:vAlign w:val="top"/>
          </w:tcPr>
          <w:p w14:paraId="6A8CB3B3">
            <w:pPr>
              <w:rPr>
                <w:rFonts w:ascii="Arial"/>
                <w:sz w:val="21"/>
              </w:rPr>
            </w:pPr>
          </w:p>
        </w:tc>
        <w:tc>
          <w:tcPr>
            <w:tcW w:w="1797" w:type="dxa"/>
            <w:vAlign w:val="top"/>
          </w:tcPr>
          <w:p w14:paraId="72E2BBE3">
            <w:pPr>
              <w:rPr>
                <w:rFonts w:ascii="Arial"/>
                <w:sz w:val="21"/>
              </w:rPr>
            </w:pPr>
          </w:p>
        </w:tc>
      </w:tr>
      <w:tr w14:paraId="3817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3907" w:type="dxa"/>
            <w:gridSpan w:val="10"/>
            <w:vAlign w:val="top"/>
          </w:tcPr>
          <w:p w14:paraId="07F26FF6">
            <w:pPr>
              <w:pStyle w:val="11"/>
              <w:spacing w:before="34" w:line="221" w:lineRule="auto"/>
              <w:ind w:left="119"/>
            </w:pPr>
            <w:r>
              <w:rPr>
                <w:spacing w:val="-1"/>
              </w:rPr>
              <w:t>综合标评委签名：</w:t>
            </w:r>
          </w:p>
        </w:tc>
      </w:tr>
    </w:tbl>
    <w:p w14:paraId="1AEC04ED">
      <w:pPr>
        <w:spacing w:before="303"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1"/>
          <w:sz w:val="21"/>
          <w:szCs w:val="21"/>
        </w:rPr>
        <w:t xml:space="preserve">        </w:t>
      </w:r>
      <w:r>
        <w:rPr>
          <w:rFonts w:ascii="宋体" w:hAnsi="宋体" w:eastAsia="宋体" w:cs="宋体"/>
          <w:spacing w:val="-18"/>
          <w:sz w:val="21"/>
          <w:szCs w:val="21"/>
        </w:rPr>
        <w:t>年</w:t>
      </w:r>
      <w:r>
        <w:rPr>
          <w:rFonts w:ascii="宋体" w:hAnsi="宋体" w:eastAsia="宋体" w:cs="宋体"/>
          <w:spacing w:val="3"/>
          <w:sz w:val="21"/>
          <w:szCs w:val="21"/>
        </w:rPr>
        <w:t xml:space="preserve">    </w:t>
      </w:r>
      <w:r>
        <w:rPr>
          <w:rFonts w:ascii="宋体" w:hAnsi="宋体" w:eastAsia="宋体" w:cs="宋体"/>
          <w:spacing w:val="-18"/>
          <w:sz w:val="21"/>
          <w:szCs w:val="21"/>
        </w:rPr>
        <w:t>月</w:t>
      </w:r>
      <w:r>
        <w:rPr>
          <w:rFonts w:ascii="宋体" w:hAnsi="宋体" w:eastAsia="宋体" w:cs="宋体"/>
          <w:spacing w:val="11"/>
          <w:sz w:val="21"/>
          <w:szCs w:val="21"/>
        </w:rPr>
        <w:t xml:space="preserve">    </w:t>
      </w:r>
      <w:r>
        <w:rPr>
          <w:rFonts w:ascii="宋体" w:hAnsi="宋体" w:eastAsia="宋体" w:cs="宋体"/>
          <w:spacing w:val="-18"/>
          <w:sz w:val="21"/>
          <w:szCs w:val="21"/>
        </w:rPr>
        <w:t>日</w:t>
      </w:r>
    </w:p>
    <w:p w14:paraId="21B07383">
      <w:pPr>
        <w:spacing w:line="221" w:lineRule="auto"/>
        <w:rPr>
          <w:rFonts w:ascii="宋体" w:hAnsi="宋体" w:eastAsia="宋体" w:cs="宋体"/>
          <w:sz w:val="21"/>
          <w:szCs w:val="21"/>
        </w:rPr>
        <w:sectPr>
          <w:footerReference r:id="rId77" w:type="default"/>
          <w:pgSz w:w="11905" w:h="16843"/>
          <w:pgMar w:top="969" w:right="1355" w:bottom="1026" w:left="1480" w:header="0" w:footer="754" w:gutter="0"/>
          <w:cols w:space="0" w:num="1"/>
          <w:rtlGutter w:val="0"/>
          <w:docGrid w:linePitch="0" w:charSpace="0"/>
        </w:sectPr>
      </w:pPr>
    </w:p>
    <w:p w14:paraId="50447ECE">
      <w:pPr>
        <w:pStyle w:val="5"/>
        <w:spacing w:line="277" w:lineRule="auto"/>
      </w:pPr>
    </w:p>
    <w:p w14:paraId="4118B6AA">
      <w:pPr>
        <w:pStyle w:val="5"/>
        <w:spacing w:line="277" w:lineRule="auto"/>
      </w:pPr>
    </w:p>
    <w:p w14:paraId="6D932502">
      <w:pPr>
        <w:pStyle w:val="5"/>
        <w:spacing w:line="277" w:lineRule="auto"/>
      </w:pPr>
    </w:p>
    <w:p w14:paraId="34611564">
      <w:pPr>
        <w:pStyle w:val="5"/>
        <w:spacing w:line="277" w:lineRule="auto"/>
      </w:pPr>
    </w:p>
    <w:p w14:paraId="504C5714">
      <w:pPr>
        <w:pStyle w:val="5"/>
        <w:spacing w:line="278" w:lineRule="auto"/>
      </w:pPr>
    </w:p>
    <w:p w14:paraId="314E8B6B">
      <w:pPr>
        <w:pStyle w:val="5"/>
        <w:spacing w:line="278" w:lineRule="auto"/>
      </w:pPr>
    </w:p>
    <w:p w14:paraId="1898579A">
      <w:pPr>
        <w:spacing w:before="78" w:line="233" w:lineRule="auto"/>
        <w:ind w:left="131"/>
        <w:outlineLvl w:val="2"/>
        <w:rPr>
          <w:rFonts w:ascii="黑体" w:hAnsi="黑体" w:eastAsia="黑体" w:cs="黑体"/>
          <w:sz w:val="24"/>
          <w:szCs w:val="24"/>
        </w:rPr>
      </w:pPr>
      <w:bookmarkStart w:id="177" w:name="bookmark139"/>
      <w:bookmarkEnd w:id="177"/>
      <w:r>
        <w:rPr>
          <w:rFonts w:ascii="黑体" w:hAnsi="黑体" w:eastAsia="黑体" w:cs="黑体"/>
          <w:spacing w:val="-3"/>
          <w:sz w:val="24"/>
          <w:szCs w:val="24"/>
        </w:rPr>
        <w:t>附表</w:t>
      </w:r>
      <w:r>
        <w:rPr>
          <w:rFonts w:ascii="黑体" w:hAnsi="黑体" w:eastAsia="黑体" w:cs="黑体"/>
          <w:spacing w:val="-45"/>
          <w:sz w:val="24"/>
          <w:szCs w:val="24"/>
        </w:rPr>
        <w:t xml:space="preserve"> </w:t>
      </w:r>
      <w:r>
        <w:rPr>
          <w:rFonts w:ascii="Times New Roman" w:hAnsi="Times New Roman" w:eastAsia="Times New Roman" w:cs="Times New Roman"/>
          <w:spacing w:val="-3"/>
          <w:sz w:val="24"/>
          <w:szCs w:val="24"/>
        </w:rPr>
        <w:t>A-14</w:t>
      </w:r>
      <w:r>
        <w:rPr>
          <w:rFonts w:ascii="黑体" w:hAnsi="黑体" w:eastAsia="黑体" w:cs="黑体"/>
          <w:spacing w:val="-3"/>
          <w:sz w:val="24"/>
          <w:szCs w:val="24"/>
        </w:rPr>
        <w:t>：其他因素评审记录表</w:t>
      </w:r>
    </w:p>
    <w:p w14:paraId="1EF04677">
      <w:pPr>
        <w:spacing w:before="266" w:line="219" w:lineRule="auto"/>
        <w:ind w:left="5369"/>
        <w:rPr>
          <w:rFonts w:ascii="黑体" w:hAnsi="黑体" w:eastAsia="黑体" w:cs="黑体"/>
          <w:sz w:val="36"/>
          <w:szCs w:val="36"/>
        </w:rPr>
      </w:pPr>
      <w:bookmarkStart w:id="178" w:name="bookmark531"/>
      <w:bookmarkEnd w:id="178"/>
      <w:r>
        <w:rPr>
          <w:rFonts w:ascii="黑体" w:hAnsi="黑体" w:eastAsia="黑体" w:cs="黑体"/>
          <w:spacing w:val="-2"/>
          <w:sz w:val="36"/>
          <w:szCs w:val="36"/>
        </w:rPr>
        <w:t>其他因素评审记录表</w:t>
      </w:r>
    </w:p>
    <w:p w14:paraId="18D8BE72">
      <w:pPr>
        <w:spacing w:before="239" w:line="221" w:lineRule="auto"/>
        <w:rPr>
          <w:rFonts w:ascii="宋体" w:hAnsi="宋体" w:eastAsia="宋体" w:cs="宋体"/>
          <w:sz w:val="21"/>
          <w:szCs w:val="21"/>
        </w:rPr>
      </w:pPr>
      <w:r>
        <w:rPr>
          <w:rFonts w:ascii="宋体" w:hAnsi="宋体" w:eastAsia="宋体" w:cs="宋体"/>
          <w:spacing w:val="-7"/>
          <w:sz w:val="21"/>
          <w:szCs w:val="21"/>
        </w:rPr>
        <w:t>标段名称：</w:t>
      </w:r>
    </w:p>
    <w:p w14:paraId="3B42CBDF">
      <w:pPr>
        <w:spacing w:before="22" w:line="212" w:lineRule="auto"/>
        <w:rPr>
          <w:rFonts w:ascii="宋体" w:hAnsi="宋体" w:eastAsia="宋体" w:cs="宋体"/>
          <w:sz w:val="21"/>
          <w:szCs w:val="21"/>
        </w:rPr>
      </w:pPr>
      <w:r>
        <w:rPr>
          <w:rFonts w:ascii="宋体" w:hAnsi="宋体" w:eastAsia="宋体" w:cs="宋体"/>
          <w:spacing w:val="-1"/>
          <w:sz w:val="21"/>
          <w:szCs w:val="21"/>
        </w:rPr>
        <w:t>标段唯一标识码：</w:t>
      </w:r>
    </w:p>
    <w:tbl>
      <w:tblPr>
        <w:tblStyle w:val="10"/>
        <w:tblW w:w="13472" w:type="dxa"/>
        <w:tblInd w:w="2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751"/>
        <w:gridCol w:w="1313"/>
        <w:gridCol w:w="1314"/>
        <w:gridCol w:w="1313"/>
        <w:gridCol w:w="1312"/>
        <w:gridCol w:w="1315"/>
        <w:gridCol w:w="1313"/>
        <w:gridCol w:w="1324"/>
        <w:gridCol w:w="1742"/>
      </w:tblGrid>
      <w:tr w14:paraId="0313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5" w:type="dxa"/>
            <w:vMerge w:val="restart"/>
            <w:tcBorders>
              <w:bottom w:val="nil"/>
            </w:tcBorders>
            <w:vAlign w:val="top"/>
          </w:tcPr>
          <w:p w14:paraId="3C399D9A">
            <w:pPr>
              <w:spacing w:line="266" w:lineRule="auto"/>
              <w:rPr>
                <w:rFonts w:ascii="Arial"/>
                <w:sz w:val="21"/>
              </w:rPr>
            </w:pPr>
          </w:p>
          <w:p w14:paraId="2850B955">
            <w:pPr>
              <w:pStyle w:val="11"/>
              <w:spacing w:before="69" w:line="222" w:lineRule="auto"/>
              <w:ind w:left="179"/>
            </w:pPr>
            <w:r>
              <w:rPr>
                <w:spacing w:val="-2"/>
              </w:rPr>
              <w:t>序号</w:t>
            </w:r>
          </w:p>
        </w:tc>
        <w:tc>
          <w:tcPr>
            <w:tcW w:w="1751" w:type="dxa"/>
            <w:vMerge w:val="restart"/>
            <w:tcBorders>
              <w:bottom w:val="nil"/>
            </w:tcBorders>
            <w:vAlign w:val="top"/>
          </w:tcPr>
          <w:p w14:paraId="6AC5FFB9">
            <w:pPr>
              <w:spacing w:line="267" w:lineRule="auto"/>
              <w:rPr>
                <w:rFonts w:ascii="Arial"/>
                <w:sz w:val="21"/>
              </w:rPr>
            </w:pPr>
          </w:p>
          <w:p w14:paraId="3BD097F9">
            <w:pPr>
              <w:pStyle w:val="11"/>
              <w:spacing w:before="68" w:line="221" w:lineRule="auto"/>
              <w:ind w:left="356"/>
            </w:pPr>
            <w:r>
              <w:rPr>
                <w:spacing w:val="-2"/>
              </w:rPr>
              <w:t>投标人名称</w:t>
            </w:r>
          </w:p>
        </w:tc>
        <w:tc>
          <w:tcPr>
            <w:tcW w:w="9204" w:type="dxa"/>
            <w:gridSpan w:val="7"/>
            <w:vAlign w:val="top"/>
          </w:tcPr>
          <w:p w14:paraId="75553A06">
            <w:pPr>
              <w:pStyle w:val="11"/>
              <w:spacing w:before="115" w:line="221" w:lineRule="auto"/>
              <w:ind w:left="3870"/>
            </w:pPr>
            <w:r>
              <w:rPr>
                <w:spacing w:val="-1"/>
              </w:rPr>
              <w:t>评委姓名及得分</w:t>
            </w:r>
          </w:p>
        </w:tc>
        <w:tc>
          <w:tcPr>
            <w:tcW w:w="1742" w:type="dxa"/>
            <w:vMerge w:val="restart"/>
            <w:tcBorders>
              <w:bottom w:val="nil"/>
            </w:tcBorders>
            <w:vAlign w:val="top"/>
          </w:tcPr>
          <w:p w14:paraId="1EF4F504">
            <w:pPr>
              <w:pStyle w:val="11"/>
              <w:spacing w:before="65" w:line="221" w:lineRule="auto"/>
              <w:ind w:left="141"/>
            </w:pPr>
            <w:r>
              <w:rPr>
                <w:spacing w:val="-1"/>
              </w:rPr>
              <w:t>其他因素最终得</w:t>
            </w:r>
          </w:p>
          <w:p w14:paraId="6C9B91B8">
            <w:pPr>
              <w:pStyle w:val="11"/>
              <w:spacing w:before="19" w:line="221" w:lineRule="auto"/>
              <w:ind w:left="457"/>
            </w:pPr>
            <w:r>
              <w:rPr>
                <w:spacing w:val="-2"/>
              </w:rPr>
              <w:t>分（满分</w:t>
            </w:r>
          </w:p>
          <w:p w14:paraId="647E1861">
            <w:pPr>
              <w:pStyle w:val="11"/>
              <w:spacing w:before="23" w:line="221" w:lineRule="auto"/>
              <w:ind w:left="668"/>
            </w:pPr>
            <w:r>
              <w:rPr>
                <w:spacing w:val="-6"/>
              </w:rPr>
              <w:t>分）</w:t>
            </w:r>
          </w:p>
        </w:tc>
      </w:tr>
      <w:tr w14:paraId="3DA9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75" w:type="dxa"/>
            <w:vMerge w:val="continue"/>
            <w:tcBorders>
              <w:top w:val="nil"/>
            </w:tcBorders>
            <w:vAlign w:val="top"/>
          </w:tcPr>
          <w:p w14:paraId="1FACD603">
            <w:pPr>
              <w:rPr>
                <w:rFonts w:ascii="Arial"/>
                <w:sz w:val="21"/>
              </w:rPr>
            </w:pPr>
          </w:p>
        </w:tc>
        <w:tc>
          <w:tcPr>
            <w:tcW w:w="1751" w:type="dxa"/>
            <w:vMerge w:val="continue"/>
            <w:tcBorders>
              <w:top w:val="nil"/>
            </w:tcBorders>
            <w:vAlign w:val="top"/>
          </w:tcPr>
          <w:p w14:paraId="2727998A">
            <w:pPr>
              <w:rPr>
                <w:rFonts w:ascii="Arial"/>
                <w:sz w:val="21"/>
              </w:rPr>
            </w:pPr>
          </w:p>
        </w:tc>
        <w:tc>
          <w:tcPr>
            <w:tcW w:w="1313" w:type="dxa"/>
            <w:vAlign w:val="top"/>
          </w:tcPr>
          <w:p w14:paraId="58434AB0">
            <w:pPr>
              <w:pStyle w:val="11"/>
              <w:spacing w:before="112" w:line="221" w:lineRule="auto"/>
              <w:ind w:left="370"/>
            </w:pPr>
            <w:r>
              <w:rPr>
                <w:spacing w:val="-2"/>
              </w:rPr>
              <w:t>评委</w:t>
            </w:r>
            <w:r>
              <w:rPr>
                <w:spacing w:val="-28"/>
              </w:rPr>
              <w:t xml:space="preserve"> </w:t>
            </w:r>
            <w:r>
              <w:rPr>
                <w:spacing w:val="-2"/>
              </w:rPr>
              <w:t>1</w:t>
            </w:r>
          </w:p>
        </w:tc>
        <w:tc>
          <w:tcPr>
            <w:tcW w:w="1314" w:type="dxa"/>
            <w:vAlign w:val="top"/>
          </w:tcPr>
          <w:p w14:paraId="0BD02C45">
            <w:pPr>
              <w:pStyle w:val="11"/>
              <w:spacing w:before="112" w:line="221" w:lineRule="auto"/>
              <w:ind w:left="371"/>
            </w:pPr>
            <w:r>
              <w:rPr>
                <w:spacing w:val="-2"/>
              </w:rPr>
              <w:t>评委</w:t>
            </w:r>
            <w:r>
              <w:rPr>
                <w:spacing w:val="-42"/>
              </w:rPr>
              <w:t xml:space="preserve"> </w:t>
            </w:r>
            <w:r>
              <w:rPr>
                <w:spacing w:val="-2"/>
              </w:rPr>
              <w:t>2</w:t>
            </w:r>
          </w:p>
        </w:tc>
        <w:tc>
          <w:tcPr>
            <w:tcW w:w="1313" w:type="dxa"/>
            <w:vAlign w:val="top"/>
          </w:tcPr>
          <w:p w14:paraId="1AA39D44">
            <w:pPr>
              <w:pStyle w:val="11"/>
              <w:spacing w:before="111" w:line="314" w:lineRule="exact"/>
              <w:ind w:left="465"/>
            </w:pPr>
            <w:r>
              <w:rPr>
                <w:spacing w:val="-5"/>
                <w:position w:val="2"/>
              </w:rPr>
              <w:t>……</w:t>
            </w:r>
          </w:p>
        </w:tc>
        <w:tc>
          <w:tcPr>
            <w:tcW w:w="1312" w:type="dxa"/>
            <w:vAlign w:val="top"/>
          </w:tcPr>
          <w:p w14:paraId="40D860BC">
            <w:pPr>
              <w:rPr>
                <w:rFonts w:ascii="Arial"/>
                <w:sz w:val="21"/>
              </w:rPr>
            </w:pPr>
          </w:p>
        </w:tc>
        <w:tc>
          <w:tcPr>
            <w:tcW w:w="1315" w:type="dxa"/>
            <w:vAlign w:val="top"/>
          </w:tcPr>
          <w:p w14:paraId="2306A168">
            <w:pPr>
              <w:rPr>
                <w:rFonts w:ascii="Arial"/>
                <w:sz w:val="21"/>
              </w:rPr>
            </w:pPr>
          </w:p>
        </w:tc>
        <w:tc>
          <w:tcPr>
            <w:tcW w:w="1313" w:type="dxa"/>
            <w:vAlign w:val="top"/>
          </w:tcPr>
          <w:p w14:paraId="278D80A9">
            <w:pPr>
              <w:rPr>
                <w:rFonts w:ascii="Arial"/>
                <w:sz w:val="21"/>
              </w:rPr>
            </w:pPr>
          </w:p>
        </w:tc>
        <w:tc>
          <w:tcPr>
            <w:tcW w:w="1324" w:type="dxa"/>
            <w:vAlign w:val="top"/>
          </w:tcPr>
          <w:p w14:paraId="5E10FD2C">
            <w:pPr>
              <w:rPr>
                <w:rFonts w:ascii="Arial"/>
                <w:sz w:val="21"/>
              </w:rPr>
            </w:pPr>
          </w:p>
        </w:tc>
        <w:tc>
          <w:tcPr>
            <w:tcW w:w="1742" w:type="dxa"/>
            <w:vMerge w:val="continue"/>
            <w:tcBorders>
              <w:top w:val="nil"/>
            </w:tcBorders>
            <w:vAlign w:val="top"/>
          </w:tcPr>
          <w:p w14:paraId="2AD04E7F">
            <w:pPr>
              <w:rPr>
                <w:rFonts w:ascii="Arial"/>
                <w:sz w:val="21"/>
              </w:rPr>
            </w:pPr>
          </w:p>
        </w:tc>
      </w:tr>
      <w:tr w14:paraId="18C5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vAlign w:val="top"/>
          </w:tcPr>
          <w:p w14:paraId="4A8F732D">
            <w:pPr>
              <w:pStyle w:val="11"/>
              <w:spacing w:before="189" w:line="242" w:lineRule="auto"/>
              <w:ind w:left="354"/>
            </w:pPr>
            <w:r>
              <w:t>1</w:t>
            </w:r>
          </w:p>
        </w:tc>
        <w:tc>
          <w:tcPr>
            <w:tcW w:w="1751" w:type="dxa"/>
            <w:vAlign w:val="top"/>
          </w:tcPr>
          <w:p w14:paraId="0486E724">
            <w:pPr>
              <w:rPr>
                <w:rFonts w:ascii="Arial"/>
                <w:sz w:val="21"/>
              </w:rPr>
            </w:pPr>
          </w:p>
        </w:tc>
        <w:tc>
          <w:tcPr>
            <w:tcW w:w="1313" w:type="dxa"/>
            <w:vAlign w:val="top"/>
          </w:tcPr>
          <w:p w14:paraId="5DF15EA9">
            <w:pPr>
              <w:rPr>
                <w:rFonts w:ascii="Arial"/>
                <w:sz w:val="21"/>
              </w:rPr>
            </w:pPr>
          </w:p>
        </w:tc>
        <w:tc>
          <w:tcPr>
            <w:tcW w:w="1314" w:type="dxa"/>
            <w:vAlign w:val="top"/>
          </w:tcPr>
          <w:p w14:paraId="16A2A3C8">
            <w:pPr>
              <w:rPr>
                <w:rFonts w:ascii="Arial"/>
                <w:sz w:val="21"/>
              </w:rPr>
            </w:pPr>
          </w:p>
        </w:tc>
        <w:tc>
          <w:tcPr>
            <w:tcW w:w="1313" w:type="dxa"/>
            <w:vAlign w:val="top"/>
          </w:tcPr>
          <w:p w14:paraId="206AD198">
            <w:pPr>
              <w:rPr>
                <w:rFonts w:ascii="Arial"/>
                <w:sz w:val="21"/>
              </w:rPr>
            </w:pPr>
          </w:p>
        </w:tc>
        <w:tc>
          <w:tcPr>
            <w:tcW w:w="1312" w:type="dxa"/>
            <w:vAlign w:val="top"/>
          </w:tcPr>
          <w:p w14:paraId="1BB671FF">
            <w:pPr>
              <w:rPr>
                <w:rFonts w:ascii="Arial"/>
                <w:sz w:val="21"/>
              </w:rPr>
            </w:pPr>
          </w:p>
        </w:tc>
        <w:tc>
          <w:tcPr>
            <w:tcW w:w="1315" w:type="dxa"/>
            <w:vAlign w:val="top"/>
          </w:tcPr>
          <w:p w14:paraId="11FE1520">
            <w:pPr>
              <w:rPr>
                <w:rFonts w:ascii="Arial"/>
                <w:sz w:val="21"/>
              </w:rPr>
            </w:pPr>
          </w:p>
        </w:tc>
        <w:tc>
          <w:tcPr>
            <w:tcW w:w="1313" w:type="dxa"/>
            <w:vAlign w:val="top"/>
          </w:tcPr>
          <w:p w14:paraId="5F6C9A8D">
            <w:pPr>
              <w:rPr>
                <w:rFonts w:ascii="Arial"/>
                <w:sz w:val="21"/>
              </w:rPr>
            </w:pPr>
          </w:p>
        </w:tc>
        <w:tc>
          <w:tcPr>
            <w:tcW w:w="1324" w:type="dxa"/>
            <w:vAlign w:val="top"/>
          </w:tcPr>
          <w:p w14:paraId="39840DFE">
            <w:pPr>
              <w:rPr>
                <w:rFonts w:ascii="Arial"/>
                <w:sz w:val="21"/>
              </w:rPr>
            </w:pPr>
          </w:p>
        </w:tc>
        <w:tc>
          <w:tcPr>
            <w:tcW w:w="1742" w:type="dxa"/>
            <w:vAlign w:val="top"/>
          </w:tcPr>
          <w:p w14:paraId="2B094968">
            <w:pPr>
              <w:rPr>
                <w:rFonts w:ascii="Arial"/>
                <w:sz w:val="21"/>
              </w:rPr>
            </w:pPr>
          </w:p>
        </w:tc>
      </w:tr>
      <w:tr w14:paraId="39907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vAlign w:val="top"/>
          </w:tcPr>
          <w:p w14:paraId="375EEA3F">
            <w:pPr>
              <w:pStyle w:val="11"/>
              <w:spacing w:before="187" w:line="242" w:lineRule="auto"/>
              <w:ind w:left="341"/>
            </w:pPr>
            <w:r>
              <w:t>2</w:t>
            </w:r>
          </w:p>
        </w:tc>
        <w:tc>
          <w:tcPr>
            <w:tcW w:w="1751" w:type="dxa"/>
            <w:vAlign w:val="top"/>
          </w:tcPr>
          <w:p w14:paraId="5C5544F6">
            <w:pPr>
              <w:rPr>
                <w:rFonts w:ascii="Arial"/>
                <w:sz w:val="21"/>
              </w:rPr>
            </w:pPr>
          </w:p>
        </w:tc>
        <w:tc>
          <w:tcPr>
            <w:tcW w:w="1313" w:type="dxa"/>
            <w:vAlign w:val="top"/>
          </w:tcPr>
          <w:p w14:paraId="6EC27C82">
            <w:pPr>
              <w:rPr>
                <w:rFonts w:ascii="Arial"/>
                <w:sz w:val="21"/>
              </w:rPr>
            </w:pPr>
          </w:p>
        </w:tc>
        <w:tc>
          <w:tcPr>
            <w:tcW w:w="1314" w:type="dxa"/>
            <w:vAlign w:val="top"/>
          </w:tcPr>
          <w:p w14:paraId="257862A5">
            <w:pPr>
              <w:rPr>
                <w:rFonts w:ascii="Arial"/>
                <w:sz w:val="21"/>
              </w:rPr>
            </w:pPr>
          </w:p>
        </w:tc>
        <w:tc>
          <w:tcPr>
            <w:tcW w:w="1313" w:type="dxa"/>
            <w:vAlign w:val="top"/>
          </w:tcPr>
          <w:p w14:paraId="33F6369B">
            <w:pPr>
              <w:rPr>
                <w:rFonts w:ascii="Arial"/>
                <w:sz w:val="21"/>
              </w:rPr>
            </w:pPr>
          </w:p>
        </w:tc>
        <w:tc>
          <w:tcPr>
            <w:tcW w:w="1312" w:type="dxa"/>
            <w:vAlign w:val="top"/>
          </w:tcPr>
          <w:p w14:paraId="07A06A6D">
            <w:pPr>
              <w:rPr>
                <w:rFonts w:ascii="Arial"/>
                <w:sz w:val="21"/>
              </w:rPr>
            </w:pPr>
          </w:p>
        </w:tc>
        <w:tc>
          <w:tcPr>
            <w:tcW w:w="1315" w:type="dxa"/>
            <w:vAlign w:val="top"/>
          </w:tcPr>
          <w:p w14:paraId="20905336">
            <w:pPr>
              <w:rPr>
                <w:rFonts w:ascii="Arial"/>
                <w:sz w:val="21"/>
              </w:rPr>
            </w:pPr>
          </w:p>
        </w:tc>
        <w:tc>
          <w:tcPr>
            <w:tcW w:w="1313" w:type="dxa"/>
            <w:vAlign w:val="top"/>
          </w:tcPr>
          <w:p w14:paraId="7E55D745">
            <w:pPr>
              <w:rPr>
                <w:rFonts w:ascii="Arial"/>
                <w:sz w:val="21"/>
              </w:rPr>
            </w:pPr>
          </w:p>
        </w:tc>
        <w:tc>
          <w:tcPr>
            <w:tcW w:w="1324" w:type="dxa"/>
            <w:vAlign w:val="top"/>
          </w:tcPr>
          <w:p w14:paraId="6D7AF166">
            <w:pPr>
              <w:rPr>
                <w:rFonts w:ascii="Arial"/>
                <w:sz w:val="21"/>
              </w:rPr>
            </w:pPr>
          </w:p>
        </w:tc>
        <w:tc>
          <w:tcPr>
            <w:tcW w:w="1742" w:type="dxa"/>
            <w:vAlign w:val="top"/>
          </w:tcPr>
          <w:p w14:paraId="08DBEB67">
            <w:pPr>
              <w:rPr>
                <w:rFonts w:ascii="Arial"/>
                <w:sz w:val="21"/>
              </w:rPr>
            </w:pPr>
          </w:p>
        </w:tc>
      </w:tr>
      <w:tr w14:paraId="59BE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vAlign w:val="top"/>
          </w:tcPr>
          <w:p w14:paraId="526AEE28">
            <w:pPr>
              <w:pStyle w:val="11"/>
              <w:spacing w:before="190" w:line="241" w:lineRule="auto"/>
              <w:ind w:left="343"/>
            </w:pPr>
            <w:r>
              <w:t>3</w:t>
            </w:r>
          </w:p>
        </w:tc>
        <w:tc>
          <w:tcPr>
            <w:tcW w:w="1751" w:type="dxa"/>
            <w:vAlign w:val="top"/>
          </w:tcPr>
          <w:p w14:paraId="2E56CD9C">
            <w:pPr>
              <w:rPr>
                <w:rFonts w:ascii="Arial"/>
                <w:sz w:val="21"/>
              </w:rPr>
            </w:pPr>
          </w:p>
        </w:tc>
        <w:tc>
          <w:tcPr>
            <w:tcW w:w="1313" w:type="dxa"/>
            <w:vAlign w:val="top"/>
          </w:tcPr>
          <w:p w14:paraId="173D3A00">
            <w:pPr>
              <w:rPr>
                <w:rFonts w:ascii="Arial"/>
                <w:sz w:val="21"/>
              </w:rPr>
            </w:pPr>
          </w:p>
        </w:tc>
        <w:tc>
          <w:tcPr>
            <w:tcW w:w="1314" w:type="dxa"/>
            <w:vAlign w:val="top"/>
          </w:tcPr>
          <w:p w14:paraId="70A85BDB">
            <w:pPr>
              <w:rPr>
                <w:rFonts w:ascii="Arial"/>
                <w:sz w:val="21"/>
              </w:rPr>
            </w:pPr>
          </w:p>
        </w:tc>
        <w:tc>
          <w:tcPr>
            <w:tcW w:w="1313" w:type="dxa"/>
            <w:vAlign w:val="top"/>
          </w:tcPr>
          <w:p w14:paraId="45287B43">
            <w:pPr>
              <w:rPr>
                <w:rFonts w:ascii="Arial"/>
                <w:sz w:val="21"/>
              </w:rPr>
            </w:pPr>
          </w:p>
        </w:tc>
        <w:tc>
          <w:tcPr>
            <w:tcW w:w="1312" w:type="dxa"/>
            <w:vAlign w:val="top"/>
          </w:tcPr>
          <w:p w14:paraId="56BDBDE7">
            <w:pPr>
              <w:rPr>
                <w:rFonts w:ascii="Arial"/>
                <w:sz w:val="21"/>
              </w:rPr>
            </w:pPr>
          </w:p>
        </w:tc>
        <w:tc>
          <w:tcPr>
            <w:tcW w:w="1315" w:type="dxa"/>
            <w:vAlign w:val="top"/>
          </w:tcPr>
          <w:p w14:paraId="6F57C5B1">
            <w:pPr>
              <w:rPr>
                <w:rFonts w:ascii="Arial"/>
                <w:sz w:val="21"/>
              </w:rPr>
            </w:pPr>
          </w:p>
        </w:tc>
        <w:tc>
          <w:tcPr>
            <w:tcW w:w="1313" w:type="dxa"/>
            <w:vAlign w:val="top"/>
          </w:tcPr>
          <w:p w14:paraId="694CFAB5">
            <w:pPr>
              <w:rPr>
                <w:rFonts w:ascii="Arial"/>
                <w:sz w:val="21"/>
              </w:rPr>
            </w:pPr>
          </w:p>
        </w:tc>
        <w:tc>
          <w:tcPr>
            <w:tcW w:w="1324" w:type="dxa"/>
            <w:vAlign w:val="top"/>
          </w:tcPr>
          <w:p w14:paraId="4869CAAE">
            <w:pPr>
              <w:rPr>
                <w:rFonts w:ascii="Arial"/>
                <w:sz w:val="21"/>
              </w:rPr>
            </w:pPr>
          </w:p>
        </w:tc>
        <w:tc>
          <w:tcPr>
            <w:tcW w:w="1742" w:type="dxa"/>
            <w:vAlign w:val="top"/>
          </w:tcPr>
          <w:p w14:paraId="2F64B205">
            <w:pPr>
              <w:rPr>
                <w:rFonts w:ascii="Arial"/>
                <w:sz w:val="21"/>
              </w:rPr>
            </w:pPr>
          </w:p>
        </w:tc>
      </w:tr>
      <w:tr w14:paraId="26C1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vAlign w:val="top"/>
          </w:tcPr>
          <w:p w14:paraId="53AC236C">
            <w:pPr>
              <w:pStyle w:val="11"/>
              <w:spacing w:before="188" w:line="242" w:lineRule="auto"/>
              <w:ind w:left="338"/>
            </w:pPr>
            <w:r>
              <w:t>4</w:t>
            </w:r>
          </w:p>
        </w:tc>
        <w:tc>
          <w:tcPr>
            <w:tcW w:w="1751" w:type="dxa"/>
            <w:vAlign w:val="top"/>
          </w:tcPr>
          <w:p w14:paraId="392758EF">
            <w:pPr>
              <w:rPr>
                <w:rFonts w:ascii="Arial"/>
                <w:sz w:val="21"/>
              </w:rPr>
            </w:pPr>
          </w:p>
        </w:tc>
        <w:tc>
          <w:tcPr>
            <w:tcW w:w="1313" w:type="dxa"/>
            <w:vAlign w:val="top"/>
          </w:tcPr>
          <w:p w14:paraId="0A69C711">
            <w:pPr>
              <w:rPr>
                <w:rFonts w:ascii="Arial"/>
                <w:sz w:val="21"/>
              </w:rPr>
            </w:pPr>
          </w:p>
        </w:tc>
        <w:tc>
          <w:tcPr>
            <w:tcW w:w="1314" w:type="dxa"/>
            <w:vAlign w:val="top"/>
          </w:tcPr>
          <w:p w14:paraId="11D040D8">
            <w:pPr>
              <w:rPr>
                <w:rFonts w:ascii="Arial"/>
                <w:sz w:val="21"/>
              </w:rPr>
            </w:pPr>
          </w:p>
        </w:tc>
        <w:tc>
          <w:tcPr>
            <w:tcW w:w="1313" w:type="dxa"/>
            <w:vAlign w:val="top"/>
          </w:tcPr>
          <w:p w14:paraId="70A00FF9">
            <w:pPr>
              <w:rPr>
                <w:rFonts w:ascii="Arial"/>
                <w:sz w:val="21"/>
              </w:rPr>
            </w:pPr>
          </w:p>
        </w:tc>
        <w:tc>
          <w:tcPr>
            <w:tcW w:w="1312" w:type="dxa"/>
            <w:vAlign w:val="top"/>
          </w:tcPr>
          <w:p w14:paraId="19E46B4A">
            <w:pPr>
              <w:rPr>
                <w:rFonts w:ascii="Arial"/>
                <w:sz w:val="21"/>
              </w:rPr>
            </w:pPr>
          </w:p>
        </w:tc>
        <w:tc>
          <w:tcPr>
            <w:tcW w:w="1315" w:type="dxa"/>
            <w:vAlign w:val="top"/>
          </w:tcPr>
          <w:p w14:paraId="5033302B">
            <w:pPr>
              <w:rPr>
                <w:rFonts w:ascii="Arial"/>
                <w:sz w:val="21"/>
              </w:rPr>
            </w:pPr>
          </w:p>
        </w:tc>
        <w:tc>
          <w:tcPr>
            <w:tcW w:w="1313" w:type="dxa"/>
            <w:vAlign w:val="top"/>
          </w:tcPr>
          <w:p w14:paraId="49EC74E9">
            <w:pPr>
              <w:rPr>
                <w:rFonts w:ascii="Arial"/>
                <w:sz w:val="21"/>
              </w:rPr>
            </w:pPr>
          </w:p>
        </w:tc>
        <w:tc>
          <w:tcPr>
            <w:tcW w:w="1324" w:type="dxa"/>
            <w:vAlign w:val="top"/>
          </w:tcPr>
          <w:p w14:paraId="03294429">
            <w:pPr>
              <w:rPr>
                <w:rFonts w:ascii="Arial"/>
                <w:sz w:val="21"/>
              </w:rPr>
            </w:pPr>
          </w:p>
        </w:tc>
        <w:tc>
          <w:tcPr>
            <w:tcW w:w="1742" w:type="dxa"/>
            <w:vAlign w:val="top"/>
          </w:tcPr>
          <w:p w14:paraId="73AF1BA0">
            <w:pPr>
              <w:rPr>
                <w:rFonts w:ascii="Arial"/>
                <w:sz w:val="21"/>
              </w:rPr>
            </w:pPr>
          </w:p>
        </w:tc>
      </w:tr>
      <w:tr w14:paraId="6026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5" w:type="dxa"/>
            <w:vAlign w:val="top"/>
          </w:tcPr>
          <w:p w14:paraId="1C103770">
            <w:pPr>
              <w:pStyle w:val="11"/>
              <w:spacing w:before="191" w:line="241" w:lineRule="auto"/>
              <w:ind w:left="343"/>
            </w:pPr>
            <w:r>
              <w:t>5</w:t>
            </w:r>
          </w:p>
        </w:tc>
        <w:tc>
          <w:tcPr>
            <w:tcW w:w="1751" w:type="dxa"/>
            <w:vAlign w:val="top"/>
          </w:tcPr>
          <w:p w14:paraId="276CB85C">
            <w:pPr>
              <w:rPr>
                <w:rFonts w:ascii="Arial"/>
                <w:sz w:val="21"/>
              </w:rPr>
            </w:pPr>
          </w:p>
        </w:tc>
        <w:tc>
          <w:tcPr>
            <w:tcW w:w="1313" w:type="dxa"/>
            <w:vAlign w:val="top"/>
          </w:tcPr>
          <w:p w14:paraId="29D3F48D">
            <w:pPr>
              <w:rPr>
                <w:rFonts w:ascii="Arial"/>
                <w:sz w:val="21"/>
              </w:rPr>
            </w:pPr>
          </w:p>
        </w:tc>
        <w:tc>
          <w:tcPr>
            <w:tcW w:w="1314" w:type="dxa"/>
            <w:vAlign w:val="top"/>
          </w:tcPr>
          <w:p w14:paraId="53571029">
            <w:pPr>
              <w:rPr>
                <w:rFonts w:ascii="Arial"/>
                <w:sz w:val="21"/>
              </w:rPr>
            </w:pPr>
          </w:p>
        </w:tc>
        <w:tc>
          <w:tcPr>
            <w:tcW w:w="1313" w:type="dxa"/>
            <w:vAlign w:val="top"/>
          </w:tcPr>
          <w:p w14:paraId="58B9947F">
            <w:pPr>
              <w:rPr>
                <w:rFonts w:ascii="Arial"/>
                <w:sz w:val="21"/>
              </w:rPr>
            </w:pPr>
          </w:p>
        </w:tc>
        <w:tc>
          <w:tcPr>
            <w:tcW w:w="1312" w:type="dxa"/>
            <w:vAlign w:val="top"/>
          </w:tcPr>
          <w:p w14:paraId="05339B69">
            <w:pPr>
              <w:rPr>
                <w:rFonts w:ascii="Arial"/>
                <w:sz w:val="21"/>
              </w:rPr>
            </w:pPr>
          </w:p>
        </w:tc>
        <w:tc>
          <w:tcPr>
            <w:tcW w:w="1315" w:type="dxa"/>
            <w:vAlign w:val="top"/>
          </w:tcPr>
          <w:p w14:paraId="428E7526">
            <w:pPr>
              <w:rPr>
                <w:rFonts w:ascii="Arial"/>
                <w:sz w:val="21"/>
              </w:rPr>
            </w:pPr>
          </w:p>
        </w:tc>
        <w:tc>
          <w:tcPr>
            <w:tcW w:w="1313" w:type="dxa"/>
            <w:vAlign w:val="top"/>
          </w:tcPr>
          <w:p w14:paraId="6B4B0848">
            <w:pPr>
              <w:rPr>
                <w:rFonts w:ascii="Arial"/>
                <w:sz w:val="21"/>
              </w:rPr>
            </w:pPr>
          </w:p>
        </w:tc>
        <w:tc>
          <w:tcPr>
            <w:tcW w:w="1324" w:type="dxa"/>
            <w:vAlign w:val="top"/>
          </w:tcPr>
          <w:p w14:paraId="26DD6D2D">
            <w:pPr>
              <w:rPr>
                <w:rFonts w:ascii="Arial"/>
                <w:sz w:val="21"/>
              </w:rPr>
            </w:pPr>
          </w:p>
        </w:tc>
        <w:tc>
          <w:tcPr>
            <w:tcW w:w="1742" w:type="dxa"/>
            <w:vAlign w:val="top"/>
          </w:tcPr>
          <w:p w14:paraId="379D39BB">
            <w:pPr>
              <w:rPr>
                <w:rFonts w:ascii="Arial"/>
                <w:sz w:val="21"/>
              </w:rPr>
            </w:pPr>
          </w:p>
        </w:tc>
      </w:tr>
      <w:tr w14:paraId="2E3B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5" w:type="dxa"/>
            <w:vAlign w:val="top"/>
          </w:tcPr>
          <w:p w14:paraId="7803708F">
            <w:pPr>
              <w:pStyle w:val="11"/>
              <w:spacing w:before="189" w:line="332" w:lineRule="exact"/>
              <w:ind w:left="194"/>
            </w:pPr>
            <w:r>
              <w:rPr>
                <w:spacing w:val="-10"/>
                <w:position w:val="2"/>
              </w:rPr>
              <w:t>……</w:t>
            </w:r>
          </w:p>
        </w:tc>
        <w:tc>
          <w:tcPr>
            <w:tcW w:w="1751" w:type="dxa"/>
            <w:vAlign w:val="top"/>
          </w:tcPr>
          <w:p w14:paraId="6DA26956">
            <w:pPr>
              <w:rPr>
                <w:rFonts w:ascii="Arial"/>
                <w:sz w:val="21"/>
              </w:rPr>
            </w:pPr>
          </w:p>
        </w:tc>
        <w:tc>
          <w:tcPr>
            <w:tcW w:w="1313" w:type="dxa"/>
            <w:vAlign w:val="top"/>
          </w:tcPr>
          <w:p w14:paraId="2856F186">
            <w:pPr>
              <w:rPr>
                <w:rFonts w:ascii="Arial"/>
                <w:sz w:val="21"/>
              </w:rPr>
            </w:pPr>
          </w:p>
        </w:tc>
        <w:tc>
          <w:tcPr>
            <w:tcW w:w="1314" w:type="dxa"/>
            <w:vAlign w:val="top"/>
          </w:tcPr>
          <w:p w14:paraId="23DBCD61">
            <w:pPr>
              <w:rPr>
                <w:rFonts w:ascii="Arial"/>
                <w:sz w:val="21"/>
              </w:rPr>
            </w:pPr>
          </w:p>
        </w:tc>
        <w:tc>
          <w:tcPr>
            <w:tcW w:w="1313" w:type="dxa"/>
            <w:vAlign w:val="top"/>
          </w:tcPr>
          <w:p w14:paraId="37FB1BB0">
            <w:pPr>
              <w:rPr>
                <w:rFonts w:ascii="Arial"/>
                <w:sz w:val="21"/>
              </w:rPr>
            </w:pPr>
          </w:p>
        </w:tc>
        <w:tc>
          <w:tcPr>
            <w:tcW w:w="1312" w:type="dxa"/>
            <w:vAlign w:val="top"/>
          </w:tcPr>
          <w:p w14:paraId="40D7716B">
            <w:pPr>
              <w:rPr>
                <w:rFonts w:ascii="Arial"/>
                <w:sz w:val="21"/>
              </w:rPr>
            </w:pPr>
          </w:p>
        </w:tc>
        <w:tc>
          <w:tcPr>
            <w:tcW w:w="1315" w:type="dxa"/>
            <w:vAlign w:val="top"/>
          </w:tcPr>
          <w:p w14:paraId="797F00AE">
            <w:pPr>
              <w:rPr>
                <w:rFonts w:ascii="Arial"/>
                <w:sz w:val="21"/>
              </w:rPr>
            </w:pPr>
          </w:p>
        </w:tc>
        <w:tc>
          <w:tcPr>
            <w:tcW w:w="1313" w:type="dxa"/>
            <w:vAlign w:val="top"/>
          </w:tcPr>
          <w:p w14:paraId="206AD6F4">
            <w:pPr>
              <w:rPr>
                <w:rFonts w:ascii="Arial"/>
                <w:sz w:val="21"/>
              </w:rPr>
            </w:pPr>
          </w:p>
        </w:tc>
        <w:tc>
          <w:tcPr>
            <w:tcW w:w="1324" w:type="dxa"/>
            <w:vAlign w:val="top"/>
          </w:tcPr>
          <w:p w14:paraId="6C8FAB82">
            <w:pPr>
              <w:rPr>
                <w:rFonts w:ascii="Arial"/>
                <w:sz w:val="21"/>
              </w:rPr>
            </w:pPr>
          </w:p>
        </w:tc>
        <w:tc>
          <w:tcPr>
            <w:tcW w:w="1742" w:type="dxa"/>
            <w:vAlign w:val="top"/>
          </w:tcPr>
          <w:p w14:paraId="17EDAA6B">
            <w:pPr>
              <w:rPr>
                <w:rFonts w:ascii="Arial"/>
                <w:sz w:val="21"/>
              </w:rPr>
            </w:pPr>
          </w:p>
        </w:tc>
      </w:tr>
      <w:tr w14:paraId="1618E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3472" w:type="dxa"/>
            <w:gridSpan w:val="10"/>
            <w:vAlign w:val="top"/>
          </w:tcPr>
          <w:p w14:paraId="200EF07D">
            <w:pPr>
              <w:pStyle w:val="11"/>
              <w:spacing w:before="36" w:line="220" w:lineRule="auto"/>
              <w:ind w:left="115"/>
            </w:pPr>
            <w:r>
              <w:rPr>
                <w:spacing w:val="-1"/>
              </w:rPr>
              <w:t>评标委员会全体成员签名：</w:t>
            </w:r>
          </w:p>
        </w:tc>
      </w:tr>
    </w:tbl>
    <w:p w14:paraId="1BDD63DA">
      <w:pPr>
        <w:spacing w:before="29" w:line="221" w:lineRule="auto"/>
        <w:ind w:left="10643"/>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3"/>
          <w:sz w:val="21"/>
          <w:szCs w:val="21"/>
        </w:rPr>
        <w:t xml:space="preserve">    </w:t>
      </w:r>
      <w:r>
        <w:rPr>
          <w:rFonts w:ascii="宋体" w:hAnsi="宋体" w:eastAsia="宋体" w:cs="宋体"/>
          <w:spacing w:val="-11"/>
          <w:sz w:val="21"/>
          <w:szCs w:val="21"/>
        </w:rPr>
        <w:t>月</w:t>
      </w:r>
      <w:r>
        <w:rPr>
          <w:rFonts w:ascii="宋体" w:hAnsi="宋体" w:eastAsia="宋体" w:cs="宋体"/>
          <w:spacing w:val="11"/>
          <w:sz w:val="21"/>
          <w:szCs w:val="21"/>
        </w:rPr>
        <w:t xml:space="preserve">    </w:t>
      </w:r>
      <w:r>
        <w:rPr>
          <w:rFonts w:ascii="宋体" w:hAnsi="宋体" w:eastAsia="宋体" w:cs="宋体"/>
          <w:spacing w:val="-11"/>
          <w:sz w:val="21"/>
          <w:szCs w:val="21"/>
        </w:rPr>
        <w:t>日</w:t>
      </w:r>
    </w:p>
    <w:p w14:paraId="201D9207">
      <w:pPr>
        <w:spacing w:line="221" w:lineRule="auto"/>
        <w:rPr>
          <w:rFonts w:ascii="宋体" w:hAnsi="宋体" w:eastAsia="宋体" w:cs="宋体"/>
          <w:sz w:val="21"/>
          <w:szCs w:val="21"/>
        </w:rPr>
        <w:sectPr>
          <w:footerReference r:id="rId78" w:type="default"/>
          <w:pgSz w:w="11905" w:h="16843"/>
          <w:pgMar w:top="969" w:right="1355" w:bottom="1026" w:left="1480" w:header="0" w:footer="754" w:gutter="0"/>
          <w:cols w:space="0" w:num="1"/>
          <w:rtlGutter w:val="0"/>
          <w:docGrid w:linePitch="0" w:charSpace="0"/>
        </w:sectPr>
      </w:pPr>
    </w:p>
    <w:p w14:paraId="5306A4D2">
      <w:pPr>
        <w:pStyle w:val="5"/>
        <w:spacing w:line="284" w:lineRule="auto"/>
      </w:pPr>
    </w:p>
    <w:p w14:paraId="0604C403">
      <w:pPr>
        <w:pStyle w:val="5"/>
        <w:spacing w:line="284" w:lineRule="auto"/>
      </w:pPr>
    </w:p>
    <w:p w14:paraId="6455A514">
      <w:pPr>
        <w:pStyle w:val="5"/>
        <w:spacing w:line="285" w:lineRule="auto"/>
      </w:pPr>
    </w:p>
    <w:p w14:paraId="0FD210D7">
      <w:pPr>
        <w:pStyle w:val="5"/>
        <w:spacing w:line="285" w:lineRule="auto"/>
      </w:pPr>
    </w:p>
    <w:p w14:paraId="57E15592">
      <w:pPr>
        <w:pStyle w:val="5"/>
        <w:spacing w:line="285" w:lineRule="auto"/>
      </w:pPr>
    </w:p>
    <w:p w14:paraId="7884BF4C">
      <w:pPr>
        <w:spacing w:before="78" w:line="233" w:lineRule="auto"/>
        <w:ind w:left="191"/>
        <w:outlineLvl w:val="2"/>
        <w:rPr>
          <w:rFonts w:ascii="黑体" w:hAnsi="黑体" w:eastAsia="黑体" w:cs="黑体"/>
          <w:sz w:val="24"/>
          <w:szCs w:val="24"/>
        </w:rPr>
      </w:pPr>
      <w:bookmarkStart w:id="179" w:name="bookmark140"/>
      <w:bookmarkEnd w:id="179"/>
      <w:r>
        <w:rPr>
          <w:rFonts w:ascii="黑体" w:hAnsi="黑体" w:eastAsia="黑体" w:cs="黑体"/>
          <w:spacing w:val="-3"/>
          <w:sz w:val="24"/>
          <w:szCs w:val="24"/>
        </w:rPr>
        <w:t>附表</w:t>
      </w:r>
      <w:r>
        <w:rPr>
          <w:rFonts w:ascii="黑体" w:hAnsi="黑体" w:eastAsia="黑体" w:cs="黑体"/>
          <w:spacing w:val="-45"/>
          <w:sz w:val="24"/>
          <w:szCs w:val="24"/>
        </w:rPr>
        <w:t xml:space="preserve"> </w:t>
      </w:r>
      <w:r>
        <w:rPr>
          <w:rFonts w:ascii="Times New Roman" w:hAnsi="Times New Roman" w:eastAsia="Times New Roman" w:cs="Times New Roman"/>
          <w:spacing w:val="-3"/>
          <w:sz w:val="24"/>
          <w:szCs w:val="24"/>
        </w:rPr>
        <w:t>A-15</w:t>
      </w:r>
      <w:r>
        <w:rPr>
          <w:rFonts w:ascii="黑体" w:hAnsi="黑体" w:eastAsia="黑体" w:cs="黑体"/>
          <w:spacing w:val="-3"/>
          <w:sz w:val="24"/>
          <w:szCs w:val="24"/>
        </w:rPr>
        <w:t>：详细评审评分汇总表</w:t>
      </w:r>
    </w:p>
    <w:p w14:paraId="072B062C">
      <w:pPr>
        <w:spacing w:before="38" w:line="219" w:lineRule="auto"/>
        <w:ind w:left="5423"/>
        <w:rPr>
          <w:rFonts w:ascii="黑体" w:hAnsi="黑体" w:eastAsia="黑体" w:cs="黑体"/>
          <w:sz w:val="36"/>
          <w:szCs w:val="36"/>
        </w:rPr>
      </w:pPr>
      <w:bookmarkStart w:id="180" w:name="bookmark532"/>
      <w:bookmarkEnd w:id="180"/>
      <w:r>
        <w:rPr>
          <w:rFonts w:ascii="黑体" w:hAnsi="黑体" w:eastAsia="黑体" w:cs="黑体"/>
          <w:spacing w:val="-2"/>
          <w:sz w:val="36"/>
          <w:szCs w:val="36"/>
        </w:rPr>
        <w:t>详细评审评分汇总表</w:t>
      </w:r>
    </w:p>
    <w:p w14:paraId="1DC7A844">
      <w:pPr>
        <w:spacing w:before="255" w:line="221" w:lineRule="auto"/>
        <w:ind w:left="59"/>
        <w:rPr>
          <w:rFonts w:ascii="宋体" w:hAnsi="宋体" w:eastAsia="宋体" w:cs="宋体"/>
          <w:sz w:val="21"/>
          <w:szCs w:val="21"/>
        </w:rPr>
      </w:pPr>
      <w:r>
        <w:rPr>
          <w:rFonts w:ascii="宋体" w:hAnsi="宋体" w:eastAsia="宋体" w:cs="宋体"/>
          <w:spacing w:val="-7"/>
          <w:sz w:val="21"/>
          <w:szCs w:val="21"/>
        </w:rPr>
        <w:t>标段名称：</w:t>
      </w:r>
    </w:p>
    <w:p w14:paraId="1DEBA550">
      <w:pPr>
        <w:spacing w:before="19" w:line="221" w:lineRule="auto"/>
        <w:ind w:left="59"/>
        <w:rPr>
          <w:rFonts w:ascii="宋体" w:hAnsi="宋体" w:eastAsia="宋体" w:cs="宋体"/>
          <w:sz w:val="21"/>
          <w:szCs w:val="21"/>
        </w:rPr>
      </w:pPr>
      <w:r>
        <w:rPr>
          <w:rFonts w:ascii="宋体" w:hAnsi="宋体" w:eastAsia="宋体" w:cs="宋体"/>
          <w:spacing w:val="-1"/>
          <w:sz w:val="21"/>
          <w:szCs w:val="21"/>
        </w:rPr>
        <w:t>标段唯一标识码：</w:t>
      </w:r>
    </w:p>
    <w:p w14:paraId="056E1DA8">
      <w:pPr>
        <w:spacing w:line="235" w:lineRule="exact"/>
      </w:pPr>
    </w:p>
    <w:tbl>
      <w:tblPr>
        <w:tblStyle w:val="10"/>
        <w:tblW w:w="14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2964"/>
        <w:gridCol w:w="1890"/>
        <w:gridCol w:w="1891"/>
        <w:gridCol w:w="1893"/>
        <w:gridCol w:w="1891"/>
        <w:gridCol w:w="1221"/>
        <w:gridCol w:w="1303"/>
      </w:tblGrid>
      <w:tr w14:paraId="540F8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6" w:type="dxa"/>
            <w:vMerge w:val="restart"/>
            <w:tcBorders>
              <w:bottom w:val="nil"/>
            </w:tcBorders>
            <w:vAlign w:val="top"/>
          </w:tcPr>
          <w:p w14:paraId="7DD4981B">
            <w:pPr>
              <w:pStyle w:val="11"/>
              <w:spacing w:before="188" w:line="222" w:lineRule="auto"/>
              <w:ind w:left="298"/>
            </w:pPr>
            <w:r>
              <w:rPr>
                <w:spacing w:val="-2"/>
              </w:rPr>
              <w:t>序号</w:t>
            </w:r>
          </w:p>
        </w:tc>
        <w:tc>
          <w:tcPr>
            <w:tcW w:w="2964" w:type="dxa"/>
            <w:vMerge w:val="restart"/>
            <w:tcBorders>
              <w:bottom w:val="nil"/>
            </w:tcBorders>
            <w:vAlign w:val="top"/>
          </w:tcPr>
          <w:p w14:paraId="4A4D166F">
            <w:pPr>
              <w:pStyle w:val="11"/>
              <w:spacing w:before="188" w:line="221" w:lineRule="auto"/>
              <w:ind w:left="960"/>
            </w:pPr>
            <w:r>
              <w:rPr>
                <w:spacing w:val="-2"/>
              </w:rPr>
              <w:t>投标人名称</w:t>
            </w:r>
          </w:p>
        </w:tc>
        <w:tc>
          <w:tcPr>
            <w:tcW w:w="7565" w:type="dxa"/>
            <w:gridSpan w:val="4"/>
            <w:vAlign w:val="top"/>
          </w:tcPr>
          <w:p w14:paraId="52BBFD0A">
            <w:pPr>
              <w:pStyle w:val="11"/>
              <w:spacing w:before="42" w:line="213" w:lineRule="auto"/>
              <w:ind w:left="2943"/>
            </w:pPr>
            <w:r>
              <w:rPr>
                <w:spacing w:val="-1"/>
              </w:rPr>
              <w:t>评审类别评审得分</w:t>
            </w:r>
          </w:p>
        </w:tc>
        <w:tc>
          <w:tcPr>
            <w:tcW w:w="1221" w:type="dxa"/>
            <w:vMerge w:val="restart"/>
            <w:tcBorders>
              <w:bottom w:val="nil"/>
            </w:tcBorders>
            <w:vAlign w:val="top"/>
          </w:tcPr>
          <w:p w14:paraId="45EBB3B9">
            <w:pPr>
              <w:pStyle w:val="11"/>
              <w:spacing w:before="52" w:line="232" w:lineRule="auto"/>
              <w:ind w:left="407" w:right="185" w:hanging="212"/>
            </w:pPr>
            <w:r>
              <w:rPr>
                <w:spacing w:val="-2"/>
              </w:rPr>
              <w:t>评审得分汇总</w:t>
            </w:r>
          </w:p>
        </w:tc>
        <w:tc>
          <w:tcPr>
            <w:tcW w:w="1303" w:type="dxa"/>
            <w:vMerge w:val="restart"/>
            <w:tcBorders>
              <w:bottom w:val="nil"/>
            </w:tcBorders>
            <w:vAlign w:val="top"/>
          </w:tcPr>
          <w:p w14:paraId="5ADECD87">
            <w:pPr>
              <w:pStyle w:val="11"/>
              <w:spacing w:before="188" w:line="221" w:lineRule="auto"/>
              <w:ind w:left="130"/>
            </w:pPr>
            <w:r>
              <w:rPr>
                <w:spacing w:val="-2"/>
              </w:rPr>
              <w:t>投标人排名</w:t>
            </w:r>
          </w:p>
        </w:tc>
      </w:tr>
      <w:tr w14:paraId="3D3B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006" w:type="dxa"/>
            <w:vMerge w:val="continue"/>
            <w:tcBorders>
              <w:top w:val="nil"/>
            </w:tcBorders>
            <w:vAlign w:val="top"/>
          </w:tcPr>
          <w:p w14:paraId="14926A5D">
            <w:pPr>
              <w:rPr>
                <w:rFonts w:ascii="Arial"/>
                <w:sz w:val="21"/>
              </w:rPr>
            </w:pPr>
          </w:p>
        </w:tc>
        <w:tc>
          <w:tcPr>
            <w:tcW w:w="2964" w:type="dxa"/>
            <w:vMerge w:val="continue"/>
            <w:tcBorders>
              <w:top w:val="nil"/>
            </w:tcBorders>
            <w:vAlign w:val="top"/>
          </w:tcPr>
          <w:p w14:paraId="3E5B3E2F">
            <w:pPr>
              <w:rPr>
                <w:rFonts w:ascii="Arial"/>
                <w:sz w:val="21"/>
              </w:rPr>
            </w:pPr>
          </w:p>
        </w:tc>
        <w:tc>
          <w:tcPr>
            <w:tcW w:w="1890" w:type="dxa"/>
            <w:vAlign w:val="top"/>
          </w:tcPr>
          <w:p w14:paraId="20F6CF54">
            <w:pPr>
              <w:pStyle w:val="11"/>
              <w:spacing w:before="37" w:line="213" w:lineRule="auto"/>
              <w:ind w:left="529"/>
            </w:pPr>
            <w:r>
              <w:rPr>
                <w:spacing w:val="-2"/>
              </w:rPr>
              <w:t>投标报价</w:t>
            </w:r>
          </w:p>
        </w:tc>
        <w:tc>
          <w:tcPr>
            <w:tcW w:w="1891" w:type="dxa"/>
            <w:vAlign w:val="top"/>
          </w:tcPr>
          <w:p w14:paraId="6826EC26">
            <w:pPr>
              <w:pStyle w:val="11"/>
              <w:spacing w:before="37" w:line="213" w:lineRule="auto"/>
              <w:ind w:left="634"/>
            </w:pPr>
            <w:r>
              <w:rPr>
                <w:spacing w:val="-2"/>
              </w:rPr>
              <w:t>技术标</w:t>
            </w:r>
          </w:p>
        </w:tc>
        <w:tc>
          <w:tcPr>
            <w:tcW w:w="1893" w:type="dxa"/>
            <w:vAlign w:val="top"/>
          </w:tcPr>
          <w:p w14:paraId="2C5EB17A">
            <w:pPr>
              <w:pStyle w:val="11"/>
              <w:spacing w:before="37" w:line="213" w:lineRule="auto"/>
              <w:ind w:left="636"/>
            </w:pPr>
            <w:r>
              <w:rPr>
                <w:spacing w:val="-2"/>
              </w:rPr>
              <w:t>综合标</w:t>
            </w:r>
          </w:p>
        </w:tc>
        <w:tc>
          <w:tcPr>
            <w:tcW w:w="1891" w:type="dxa"/>
            <w:vAlign w:val="top"/>
          </w:tcPr>
          <w:p w14:paraId="61463F6C">
            <w:pPr>
              <w:pStyle w:val="11"/>
              <w:spacing w:before="37" w:line="213" w:lineRule="auto"/>
              <w:ind w:left="530"/>
            </w:pPr>
            <w:r>
              <w:rPr>
                <w:spacing w:val="-2"/>
              </w:rPr>
              <w:t>其他因素</w:t>
            </w:r>
          </w:p>
        </w:tc>
        <w:tc>
          <w:tcPr>
            <w:tcW w:w="1221" w:type="dxa"/>
            <w:vMerge w:val="continue"/>
            <w:tcBorders>
              <w:top w:val="nil"/>
            </w:tcBorders>
            <w:vAlign w:val="top"/>
          </w:tcPr>
          <w:p w14:paraId="7FAEEAD4">
            <w:pPr>
              <w:rPr>
                <w:rFonts w:ascii="Arial"/>
                <w:sz w:val="21"/>
              </w:rPr>
            </w:pPr>
          </w:p>
        </w:tc>
        <w:tc>
          <w:tcPr>
            <w:tcW w:w="1303" w:type="dxa"/>
            <w:vMerge w:val="continue"/>
            <w:tcBorders>
              <w:top w:val="nil"/>
            </w:tcBorders>
            <w:vAlign w:val="top"/>
          </w:tcPr>
          <w:p w14:paraId="20D46E22">
            <w:pPr>
              <w:rPr>
                <w:rFonts w:ascii="Arial"/>
                <w:sz w:val="21"/>
              </w:rPr>
            </w:pPr>
          </w:p>
        </w:tc>
      </w:tr>
      <w:tr w14:paraId="1191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73B1BD5E">
            <w:pPr>
              <w:pStyle w:val="11"/>
              <w:spacing w:before="88" w:line="242" w:lineRule="auto"/>
              <w:ind w:left="470"/>
            </w:pPr>
            <w:r>
              <w:t>1</w:t>
            </w:r>
          </w:p>
        </w:tc>
        <w:tc>
          <w:tcPr>
            <w:tcW w:w="2964" w:type="dxa"/>
            <w:vAlign w:val="top"/>
          </w:tcPr>
          <w:p w14:paraId="1D722906">
            <w:pPr>
              <w:rPr>
                <w:rFonts w:ascii="Arial"/>
                <w:sz w:val="21"/>
              </w:rPr>
            </w:pPr>
          </w:p>
        </w:tc>
        <w:tc>
          <w:tcPr>
            <w:tcW w:w="1890" w:type="dxa"/>
            <w:vAlign w:val="top"/>
          </w:tcPr>
          <w:p w14:paraId="291D9AFB">
            <w:pPr>
              <w:rPr>
                <w:rFonts w:ascii="Arial"/>
                <w:sz w:val="21"/>
              </w:rPr>
            </w:pPr>
          </w:p>
        </w:tc>
        <w:tc>
          <w:tcPr>
            <w:tcW w:w="1891" w:type="dxa"/>
            <w:vAlign w:val="top"/>
          </w:tcPr>
          <w:p w14:paraId="493E78BF">
            <w:pPr>
              <w:rPr>
                <w:rFonts w:ascii="Arial"/>
                <w:sz w:val="21"/>
              </w:rPr>
            </w:pPr>
          </w:p>
        </w:tc>
        <w:tc>
          <w:tcPr>
            <w:tcW w:w="1893" w:type="dxa"/>
            <w:vAlign w:val="top"/>
          </w:tcPr>
          <w:p w14:paraId="154B3A72">
            <w:pPr>
              <w:rPr>
                <w:rFonts w:ascii="Arial"/>
                <w:sz w:val="21"/>
              </w:rPr>
            </w:pPr>
          </w:p>
        </w:tc>
        <w:tc>
          <w:tcPr>
            <w:tcW w:w="1891" w:type="dxa"/>
            <w:vAlign w:val="top"/>
          </w:tcPr>
          <w:p w14:paraId="4A00FA68">
            <w:pPr>
              <w:rPr>
                <w:rFonts w:ascii="Arial"/>
                <w:sz w:val="21"/>
              </w:rPr>
            </w:pPr>
          </w:p>
        </w:tc>
        <w:tc>
          <w:tcPr>
            <w:tcW w:w="1221" w:type="dxa"/>
            <w:vAlign w:val="top"/>
          </w:tcPr>
          <w:p w14:paraId="2A17607A">
            <w:pPr>
              <w:rPr>
                <w:rFonts w:ascii="Arial"/>
                <w:sz w:val="21"/>
              </w:rPr>
            </w:pPr>
          </w:p>
        </w:tc>
        <w:tc>
          <w:tcPr>
            <w:tcW w:w="1303" w:type="dxa"/>
            <w:vAlign w:val="top"/>
          </w:tcPr>
          <w:p w14:paraId="4997D6A6">
            <w:pPr>
              <w:rPr>
                <w:rFonts w:ascii="Arial"/>
                <w:sz w:val="21"/>
              </w:rPr>
            </w:pPr>
          </w:p>
        </w:tc>
      </w:tr>
      <w:tr w14:paraId="6623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vAlign w:val="top"/>
          </w:tcPr>
          <w:p w14:paraId="1152DDCE">
            <w:pPr>
              <w:pStyle w:val="11"/>
              <w:spacing w:before="88" w:line="242" w:lineRule="auto"/>
              <w:ind w:left="457"/>
            </w:pPr>
            <w:r>
              <w:t>2</w:t>
            </w:r>
          </w:p>
        </w:tc>
        <w:tc>
          <w:tcPr>
            <w:tcW w:w="2964" w:type="dxa"/>
            <w:vAlign w:val="top"/>
          </w:tcPr>
          <w:p w14:paraId="49ED2005">
            <w:pPr>
              <w:rPr>
                <w:rFonts w:ascii="Arial"/>
                <w:sz w:val="21"/>
              </w:rPr>
            </w:pPr>
          </w:p>
        </w:tc>
        <w:tc>
          <w:tcPr>
            <w:tcW w:w="1890" w:type="dxa"/>
            <w:vAlign w:val="top"/>
          </w:tcPr>
          <w:p w14:paraId="3A0EA777">
            <w:pPr>
              <w:rPr>
                <w:rFonts w:ascii="Arial"/>
                <w:sz w:val="21"/>
              </w:rPr>
            </w:pPr>
          </w:p>
        </w:tc>
        <w:tc>
          <w:tcPr>
            <w:tcW w:w="1891" w:type="dxa"/>
            <w:vAlign w:val="top"/>
          </w:tcPr>
          <w:p w14:paraId="0CAC5315">
            <w:pPr>
              <w:rPr>
                <w:rFonts w:ascii="Arial"/>
                <w:sz w:val="21"/>
              </w:rPr>
            </w:pPr>
          </w:p>
        </w:tc>
        <w:tc>
          <w:tcPr>
            <w:tcW w:w="1893" w:type="dxa"/>
            <w:vAlign w:val="top"/>
          </w:tcPr>
          <w:p w14:paraId="61271354">
            <w:pPr>
              <w:rPr>
                <w:rFonts w:ascii="Arial"/>
                <w:sz w:val="21"/>
              </w:rPr>
            </w:pPr>
          </w:p>
        </w:tc>
        <w:tc>
          <w:tcPr>
            <w:tcW w:w="1891" w:type="dxa"/>
            <w:vAlign w:val="top"/>
          </w:tcPr>
          <w:p w14:paraId="2F580EC5">
            <w:pPr>
              <w:rPr>
                <w:rFonts w:ascii="Arial"/>
                <w:sz w:val="21"/>
              </w:rPr>
            </w:pPr>
          </w:p>
        </w:tc>
        <w:tc>
          <w:tcPr>
            <w:tcW w:w="1221" w:type="dxa"/>
            <w:vAlign w:val="top"/>
          </w:tcPr>
          <w:p w14:paraId="655C853D">
            <w:pPr>
              <w:rPr>
                <w:rFonts w:ascii="Arial"/>
                <w:sz w:val="21"/>
              </w:rPr>
            </w:pPr>
          </w:p>
        </w:tc>
        <w:tc>
          <w:tcPr>
            <w:tcW w:w="1303" w:type="dxa"/>
            <w:vAlign w:val="top"/>
          </w:tcPr>
          <w:p w14:paraId="1070ECF3">
            <w:pPr>
              <w:rPr>
                <w:rFonts w:ascii="Arial"/>
                <w:sz w:val="21"/>
              </w:rPr>
            </w:pPr>
          </w:p>
        </w:tc>
      </w:tr>
      <w:tr w14:paraId="4F3B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06" w:type="dxa"/>
            <w:vAlign w:val="top"/>
          </w:tcPr>
          <w:p w14:paraId="1D79DE00">
            <w:pPr>
              <w:pStyle w:val="11"/>
              <w:spacing w:before="88" w:line="241" w:lineRule="auto"/>
              <w:ind w:left="459"/>
            </w:pPr>
            <w:r>
              <w:t>3</w:t>
            </w:r>
          </w:p>
        </w:tc>
        <w:tc>
          <w:tcPr>
            <w:tcW w:w="2964" w:type="dxa"/>
            <w:vAlign w:val="top"/>
          </w:tcPr>
          <w:p w14:paraId="4B2A1862">
            <w:pPr>
              <w:rPr>
                <w:rFonts w:ascii="Arial"/>
                <w:sz w:val="21"/>
              </w:rPr>
            </w:pPr>
          </w:p>
        </w:tc>
        <w:tc>
          <w:tcPr>
            <w:tcW w:w="1890" w:type="dxa"/>
            <w:vAlign w:val="top"/>
          </w:tcPr>
          <w:p w14:paraId="3ED26DC4">
            <w:pPr>
              <w:rPr>
                <w:rFonts w:ascii="Arial"/>
                <w:sz w:val="21"/>
              </w:rPr>
            </w:pPr>
          </w:p>
        </w:tc>
        <w:tc>
          <w:tcPr>
            <w:tcW w:w="1891" w:type="dxa"/>
            <w:vAlign w:val="top"/>
          </w:tcPr>
          <w:p w14:paraId="18CC71E4">
            <w:pPr>
              <w:rPr>
                <w:rFonts w:ascii="Arial"/>
                <w:sz w:val="21"/>
              </w:rPr>
            </w:pPr>
          </w:p>
        </w:tc>
        <w:tc>
          <w:tcPr>
            <w:tcW w:w="1893" w:type="dxa"/>
            <w:vAlign w:val="top"/>
          </w:tcPr>
          <w:p w14:paraId="135C1440">
            <w:pPr>
              <w:rPr>
                <w:rFonts w:ascii="Arial"/>
                <w:sz w:val="21"/>
              </w:rPr>
            </w:pPr>
          </w:p>
        </w:tc>
        <w:tc>
          <w:tcPr>
            <w:tcW w:w="1891" w:type="dxa"/>
            <w:vAlign w:val="top"/>
          </w:tcPr>
          <w:p w14:paraId="25F399E1">
            <w:pPr>
              <w:rPr>
                <w:rFonts w:ascii="Arial"/>
                <w:sz w:val="21"/>
              </w:rPr>
            </w:pPr>
          </w:p>
        </w:tc>
        <w:tc>
          <w:tcPr>
            <w:tcW w:w="1221" w:type="dxa"/>
            <w:vAlign w:val="top"/>
          </w:tcPr>
          <w:p w14:paraId="63EA9E01">
            <w:pPr>
              <w:rPr>
                <w:rFonts w:ascii="Arial"/>
                <w:sz w:val="21"/>
              </w:rPr>
            </w:pPr>
          </w:p>
        </w:tc>
        <w:tc>
          <w:tcPr>
            <w:tcW w:w="1303" w:type="dxa"/>
            <w:vAlign w:val="top"/>
          </w:tcPr>
          <w:p w14:paraId="3CFC76E6">
            <w:pPr>
              <w:rPr>
                <w:rFonts w:ascii="Arial"/>
                <w:sz w:val="21"/>
              </w:rPr>
            </w:pPr>
          </w:p>
        </w:tc>
      </w:tr>
      <w:tr w14:paraId="7798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3434D0B0">
            <w:pPr>
              <w:pStyle w:val="11"/>
              <w:spacing w:before="89" w:line="242" w:lineRule="auto"/>
              <w:ind w:left="454"/>
            </w:pPr>
            <w:r>
              <w:t>4</w:t>
            </w:r>
          </w:p>
        </w:tc>
        <w:tc>
          <w:tcPr>
            <w:tcW w:w="2964" w:type="dxa"/>
            <w:vAlign w:val="top"/>
          </w:tcPr>
          <w:p w14:paraId="1478DC2E">
            <w:pPr>
              <w:rPr>
                <w:rFonts w:ascii="Arial"/>
                <w:sz w:val="21"/>
              </w:rPr>
            </w:pPr>
          </w:p>
        </w:tc>
        <w:tc>
          <w:tcPr>
            <w:tcW w:w="1890" w:type="dxa"/>
            <w:vAlign w:val="top"/>
          </w:tcPr>
          <w:p w14:paraId="02E346CB">
            <w:pPr>
              <w:rPr>
                <w:rFonts w:ascii="Arial"/>
                <w:sz w:val="21"/>
              </w:rPr>
            </w:pPr>
          </w:p>
        </w:tc>
        <w:tc>
          <w:tcPr>
            <w:tcW w:w="1891" w:type="dxa"/>
            <w:vAlign w:val="top"/>
          </w:tcPr>
          <w:p w14:paraId="7EAB40E2">
            <w:pPr>
              <w:rPr>
                <w:rFonts w:ascii="Arial"/>
                <w:sz w:val="21"/>
              </w:rPr>
            </w:pPr>
          </w:p>
        </w:tc>
        <w:tc>
          <w:tcPr>
            <w:tcW w:w="1893" w:type="dxa"/>
            <w:vAlign w:val="top"/>
          </w:tcPr>
          <w:p w14:paraId="6C402EFA">
            <w:pPr>
              <w:rPr>
                <w:rFonts w:ascii="Arial"/>
                <w:sz w:val="21"/>
              </w:rPr>
            </w:pPr>
          </w:p>
        </w:tc>
        <w:tc>
          <w:tcPr>
            <w:tcW w:w="1891" w:type="dxa"/>
            <w:vAlign w:val="top"/>
          </w:tcPr>
          <w:p w14:paraId="6D516B34">
            <w:pPr>
              <w:rPr>
                <w:rFonts w:ascii="Arial"/>
                <w:sz w:val="21"/>
              </w:rPr>
            </w:pPr>
          </w:p>
        </w:tc>
        <w:tc>
          <w:tcPr>
            <w:tcW w:w="1221" w:type="dxa"/>
            <w:vAlign w:val="top"/>
          </w:tcPr>
          <w:p w14:paraId="1FB0C69E">
            <w:pPr>
              <w:rPr>
                <w:rFonts w:ascii="Arial"/>
                <w:sz w:val="21"/>
              </w:rPr>
            </w:pPr>
          </w:p>
        </w:tc>
        <w:tc>
          <w:tcPr>
            <w:tcW w:w="1303" w:type="dxa"/>
            <w:vAlign w:val="top"/>
          </w:tcPr>
          <w:p w14:paraId="46E68F6B">
            <w:pPr>
              <w:rPr>
                <w:rFonts w:ascii="Arial"/>
                <w:sz w:val="21"/>
              </w:rPr>
            </w:pPr>
          </w:p>
        </w:tc>
      </w:tr>
      <w:tr w14:paraId="0DF6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06" w:type="dxa"/>
            <w:vAlign w:val="top"/>
          </w:tcPr>
          <w:p w14:paraId="6F715AF1">
            <w:pPr>
              <w:pStyle w:val="11"/>
              <w:spacing w:before="89" w:line="241" w:lineRule="auto"/>
              <w:ind w:left="459"/>
            </w:pPr>
            <w:r>
              <w:t>5</w:t>
            </w:r>
          </w:p>
        </w:tc>
        <w:tc>
          <w:tcPr>
            <w:tcW w:w="2964" w:type="dxa"/>
            <w:vAlign w:val="top"/>
          </w:tcPr>
          <w:p w14:paraId="339E3853">
            <w:pPr>
              <w:rPr>
                <w:rFonts w:ascii="Arial"/>
                <w:sz w:val="21"/>
              </w:rPr>
            </w:pPr>
          </w:p>
        </w:tc>
        <w:tc>
          <w:tcPr>
            <w:tcW w:w="1890" w:type="dxa"/>
            <w:vAlign w:val="top"/>
          </w:tcPr>
          <w:p w14:paraId="7173F828">
            <w:pPr>
              <w:rPr>
                <w:rFonts w:ascii="Arial"/>
                <w:sz w:val="21"/>
              </w:rPr>
            </w:pPr>
          </w:p>
        </w:tc>
        <w:tc>
          <w:tcPr>
            <w:tcW w:w="1891" w:type="dxa"/>
            <w:vAlign w:val="top"/>
          </w:tcPr>
          <w:p w14:paraId="7C1B6E58">
            <w:pPr>
              <w:rPr>
                <w:rFonts w:ascii="Arial"/>
                <w:sz w:val="21"/>
              </w:rPr>
            </w:pPr>
          </w:p>
        </w:tc>
        <w:tc>
          <w:tcPr>
            <w:tcW w:w="1893" w:type="dxa"/>
            <w:vAlign w:val="top"/>
          </w:tcPr>
          <w:p w14:paraId="0AC4ECC8">
            <w:pPr>
              <w:rPr>
                <w:rFonts w:ascii="Arial"/>
                <w:sz w:val="21"/>
              </w:rPr>
            </w:pPr>
          </w:p>
        </w:tc>
        <w:tc>
          <w:tcPr>
            <w:tcW w:w="1891" w:type="dxa"/>
            <w:vAlign w:val="top"/>
          </w:tcPr>
          <w:p w14:paraId="661128AB">
            <w:pPr>
              <w:rPr>
                <w:rFonts w:ascii="Arial"/>
                <w:sz w:val="21"/>
              </w:rPr>
            </w:pPr>
          </w:p>
        </w:tc>
        <w:tc>
          <w:tcPr>
            <w:tcW w:w="1221" w:type="dxa"/>
            <w:vAlign w:val="top"/>
          </w:tcPr>
          <w:p w14:paraId="10391B1F">
            <w:pPr>
              <w:rPr>
                <w:rFonts w:ascii="Arial"/>
                <w:sz w:val="21"/>
              </w:rPr>
            </w:pPr>
          </w:p>
        </w:tc>
        <w:tc>
          <w:tcPr>
            <w:tcW w:w="1303" w:type="dxa"/>
            <w:vAlign w:val="top"/>
          </w:tcPr>
          <w:p w14:paraId="7BB4EEFD">
            <w:pPr>
              <w:rPr>
                <w:rFonts w:ascii="Arial"/>
                <w:sz w:val="21"/>
              </w:rPr>
            </w:pPr>
          </w:p>
        </w:tc>
      </w:tr>
      <w:tr w14:paraId="6D22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6" w:type="dxa"/>
            <w:vAlign w:val="top"/>
          </w:tcPr>
          <w:p w14:paraId="3D9ADB58">
            <w:pPr>
              <w:pStyle w:val="11"/>
              <w:spacing w:before="90" w:line="292" w:lineRule="exact"/>
              <w:ind w:left="415"/>
            </w:pPr>
            <w:r>
              <w:rPr>
                <w:position w:val="1"/>
              </w:rPr>
              <w:t>…</w:t>
            </w:r>
          </w:p>
        </w:tc>
        <w:tc>
          <w:tcPr>
            <w:tcW w:w="2964" w:type="dxa"/>
            <w:vAlign w:val="top"/>
          </w:tcPr>
          <w:p w14:paraId="7C9F3B7C">
            <w:pPr>
              <w:rPr>
                <w:rFonts w:ascii="Arial"/>
                <w:sz w:val="21"/>
              </w:rPr>
            </w:pPr>
          </w:p>
        </w:tc>
        <w:tc>
          <w:tcPr>
            <w:tcW w:w="1890" w:type="dxa"/>
            <w:vAlign w:val="top"/>
          </w:tcPr>
          <w:p w14:paraId="2EE1FDEA">
            <w:pPr>
              <w:rPr>
                <w:rFonts w:ascii="Arial"/>
                <w:sz w:val="21"/>
              </w:rPr>
            </w:pPr>
          </w:p>
        </w:tc>
        <w:tc>
          <w:tcPr>
            <w:tcW w:w="1891" w:type="dxa"/>
            <w:vAlign w:val="top"/>
          </w:tcPr>
          <w:p w14:paraId="00BD21C0">
            <w:pPr>
              <w:rPr>
                <w:rFonts w:ascii="Arial"/>
                <w:sz w:val="21"/>
              </w:rPr>
            </w:pPr>
          </w:p>
        </w:tc>
        <w:tc>
          <w:tcPr>
            <w:tcW w:w="1893" w:type="dxa"/>
            <w:vAlign w:val="top"/>
          </w:tcPr>
          <w:p w14:paraId="7A6E72F3">
            <w:pPr>
              <w:rPr>
                <w:rFonts w:ascii="Arial"/>
                <w:sz w:val="21"/>
              </w:rPr>
            </w:pPr>
          </w:p>
        </w:tc>
        <w:tc>
          <w:tcPr>
            <w:tcW w:w="1891" w:type="dxa"/>
            <w:vAlign w:val="top"/>
          </w:tcPr>
          <w:p w14:paraId="463C723A">
            <w:pPr>
              <w:rPr>
                <w:rFonts w:ascii="Arial"/>
                <w:sz w:val="21"/>
              </w:rPr>
            </w:pPr>
          </w:p>
        </w:tc>
        <w:tc>
          <w:tcPr>
            <w:tcW w:w="1221" w:type="dxa"/>
            <w:vAlign w:val="top"/>
          </w:tcPr>
          <w:p w14:paraId="752F7C4E">
            <w:pPr>
              <w:rPr>
                <w:rFonts w:ascii="Arial"/>
                <w:sz w:val="21"/>
              </w:rPr>
            </w:pPr>
          </w:p>
        </w:tc>
        <w:tc>
          <w:tcPr>
            <w:tcW w:w="1303" w:type="dxa"/>
            <w:vAlign w:val="top"/>
          </w:tcPr>
          <w:p w14:paraId="1B1BEBB6">
            <w:pPr>
              <w:rPr>
                <w:rFonts w:ascii="Arial"/>
                <w:sz w:val="21"/>
              </w:rPr>
            </w:pPr>
          </w:p>
        </w:tc>
      </w:tr>
      <w:tr w14:paraId="3265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14059" w:type="dxa"/>
            <w:gridSpan w:val="8"/>
            <w:vAlign w:val="top"/>
          </w:tcPr>
          <w:p w14:paraId="782D362A">
            <w:pPr>
              <w:pStyle w:val="11"/>
              <w:spacing w:before="32" w:line="220" w:lineRule="auto"/>
              <w:ind w:left="115"/>
            </w:pPr>
            <w:r>
              <w:rPr>
                <w:spacing w:val="-1"/>
              </w:rPr>
              <w:t>评标委员会全体成员签名：</w:t>
            </w:r>
          </w:p>
        </w:tc>
      </w:tr>
    </w:tbl>
    <w:p w14:paraId="22D4F01C">
      <w:pPr>
        <w:spacing w:before="271" w:line="221" w:lineRule="auto"/>
        <w:ind w:left="11439"/>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2"/>
          <w:sz w:val="21"/>
          <w:szCs w:val="21"/>
        </w:rPr>
        <w:t xml:space="preserve">    </w:t>
      </w:r>
      <w:r>
        <w:rPr>
          <w:rFonts w:ascii="宋体" w:hAnsi="宋体" w:eastAsia="宋体" w:cs="宋体"/>
          <w:spacing w:val="-11"/>
          <w:sz w:val="21"/>
          <w:szCs w:val="21"/>
        </w:rPr>
        <w:t>年</w:t>
      </w:r>
      <w:r>
        <w:rPr>
          <w:rFonts w:ascii="宋体" w:hAnsi="宋体" w:eastAsia="宋体" w:cs="宋体"/>
          <w:spacing w:val="4"/>
          <w:sz w:val="21"/>
          <w:szCs w:val="21"/>
        </w:rPr>
        <w:t xml:space="preserve">   </w:t>
      </w:r>
      <w:r>
        <w:rPr>
          <w:rFonts w:ascii="宋体" w:hAnsi="宋体" w:eastAsia="宋体" w:cs="宋体"/>
          <w:spacing w:val="-11"/>
          <w:sz w:val="21"/>
          <w:szCs w:val="21"/>
        </w:rPr>
        <w:t>月</w:t>
      </w:r>
      <w:r>
        <w:rPr>
          <w:rFonts w:ascii="宋体" w:hAnsi="宋体" w:eastAsia="宋体" w:cs="宋体"/>
          <w:spacing w:val="22"/>
          <w:sz w:val="21"/>
          <w:szCs w:val="21"/>
        </w:rPr>
        <w:t xml:space="preserve">  </w:t>
      </w:r>
      <w:r>
        <w:rPr>
          <w:rFonts w:ascii="宋体" w:hAnsi="宋体" w:eastAsia="宋体" w:cs="宋体"/>
          <w:spacing w:val="-11"/>
          <w:sz w:val="21"/>
          <w:szCs w:val="21"/>
        </w:rPr>
        <w:t>日</w:t>
      </w:r>
    </w:p>
    <w:p w14:paraId="66FC6635">
      <w:pPr>
        <w:spacing w:line="221" w:lineRule="auto"/>
        <w:rPr>
          <w:rFonts w:ascii="宋体" w:hAnsi="宋体" w:eastAsia="宋体" w:cs="宋体"/>
          <w:sz w:val="21"/>
          <w:szCs w:val="21"/>
        </w:rPr>
        <w:sectPr>
          <w:footerReference r:id="rId79" w:type="default"/>
          <w:pgSz w:w="11905" w:h="16843"/>
          <w:pgMar w:top="969" w:right="1355" w:bottom="1026" w:left="1480" w:header="0" w:footer="754" w:gutter="0"/>
          <w:cols w:space="0" w:num="1"/>
          <w:rtlGutter w:val="0"/>
          <w:docGrid w:linePitch="0" w:charSpace="0"/>
        </w:sectPr>
      </w:pPr>
    </w:p>
    <w:p w14:paraId="547FCAF2">
      <w:pPr>
        <w:pStyle w:val="5"/>
        <w:spacing w:line="261" w:lineRule="auto"/>
      </w:pPr>
    </w:p>
    <w:p w14:paraId="7D9293AB">
      <w:pPr>
        <w:pStyle w:val="5"/>
        <w:spacing w:line="261" w:lineRule="auto"/>
      </w:pPr>
    </w:p>
    <w:p w14:paraId="61F05961">
      <w:pPr>
        <w:pStyle w:val="5"/>
        <w:spacing w:line="262" w:lineRule="auto"/>
      </w:pPr>
    </w:p>
    <w:p w14:paraId="113B1B8C">
      <w:pPr>
        <w:pStyle w:val="5"/>
        <w:spacing w:line="262" w:lineRule="auto"/>
      </w:pPr>
    </w:p>
    <w:p w14:paraId="288F0C6D">
      <w:pPr>
        <w:spacing w:before="78" w:line="233" w:lineRule="auto"/>
        <w:ind w:left="149"/>
        <w:outlineLvl w:val="2"/>
        <w:rPr>
          <w:rFonts w:ascii="黑体" w:hAnsi="黑体" w:eastAsia="黑体" w:cs="黑体"/>
          <w:sz w:val="24"/>
          <w:szCs w:val="24"/>
        </w:rPr>
      </w:pPr>
      <w:bookmarkStart w:id="181" w:name="bookmark141"/>
      <w:bookmarkEnd w:id="181"/>
      <w:r>
        <w:rPr>
          <w:rFonts w:ascii="黑体" w:hAnsi="黑体" w:eastAsia="黑体" w:cs="黑体"/>
          <w:spacing w:val="-3"/>
          <w:sz w:val="24"/>
          <w:szCs w:val="24"/>
        </w:rPr>
        <w:t>附表</w:t>
      </w:r>
      <w:r>
        <w:rPr>
          <w:rFonts w:ascii="黑体" w:hAnsi="黑体" w:eastAsia="黑体" w:cs="黑体"/>
          <w:spacing w:val="-51"/>
          <w:sz w:val="24"/>
          <w:szCs w:val="24"/>
        </w:rPr>
        <w:t xml:space="preserve"> </w:t>
      </w:r>
      <w:r>
        <w:rPr>
          <w:rFonts w:ascii="Times New Roman" w:hAnsi="Times New Roman" w:eastAsia="Times New Roman" w:cs="Times New Roman"/>
          <w:spacing w:val="-3"/>
          <w:sz w:val="24"/>
          <w:szCs w:val="24"/>
        </w:rPr>
        <w:t>A-16</w:t>
      </w:r>
      <w:r>
        <w:rPr>
          <w:rFonts w:ascii="黑体" w:hAnsi="黑体" w:eastAsia="黑体" w:cs="黑体"/>
          <w:spacing w:val="-3"/>
          <w:sz w:val="24"/>
          <w:szCs w:val="24"/>
        </w:rPr>
        <w:t>：评标结果汇总表</w:t>
      </w:r>
    </w:p>
    <w:p w14:paraId="1FE46B08">
      <w:pPr>
        <w:pStyle w:val="5"/>
        <w:spacing w:line="279" w:lineRule="auto"/>
      </w:pPr>
    </w:p>
    <w:p w14:paraId="06D9551E">
      <w:pPr>
        <w:pStyle w:val="5"/>
        <w:spacing w:line="280" w:lineRule="auto"/>
      </w:pPr>
    </w:p>
    <w:p w14:paraId="3580D7F2">
      <w:pPr>
        <w:pStyle w:val="5"/>
        <w:spacing w:line="280" w:lineRule="auto"/>
      </w:pPr>
    </w:p>
    <w:p w14:paraId="51AF1EC6">
      <w:pPr>
        <w:spacing w:before="117" w:line="219" w:lineRule="auto"/>
        <w:ind w:left="3289"/>
        <w:rPr>
          <w:rFonts w:ascii="黑体" w:hAnsi="黑体" w:eastAsia="黑体" w:cs="黑体"/>
          <w:sz w:val="36"/>
          <w:szCs w:val="36"/>
        </w:rPr>
      </w:pPr>
      <w:bookmarkStart w:id="182" w:name="bookmark533"/>
      <w:bookmarkEnd w:id="182"/>
      <w:r>
        <w:rPr>
          <w:rFonts w:ascii="黑体" w:hAnsi="黑体" w:eastAsia="黑体" w:cs="黑体"/>
          <w:spacing w:val="-2"/>
          <w:sz w:val="36"/>
          <w:szCs w:val="36"/>
        </w:rPr>
        <w:t>评标结果汇总表</w:t>
      </w:r>
    </w:p>
    <w:p w14:paraId="4D693AA9">
      <w:pPr>
        <w:spacing w:before="294"/>
        <w:ind w:left="136" w:right="1879" w:firstLine="1737"/>
        <w:rPr>
          <w:rFonts w:ascii="宋体" w:hAnsi="宋体" w:eastAsia="宋体" w:cs="宋体"/>
          <w:sz w:val="21"/>
          <w:szCs w:val="21"/>
        </w:rPr>
      </w:pPr>
      <w:r>
        <w:rPr>
          <w:rFonts w:ascii="黑体" w:hAnsi="黑体" w:eastAsia="黑体" w:cs="黑体"/>
          <w:spacing w:val="-5"/>
          <w:sz w:val="36"/>
          <w:szCs w:val="36"/>
        </w:rPr>
        <w:t>（适用于经评审的最低投标价法）</w:t>
      </w:r>
      <w:r>
        <w:rPr>
          <w:rFonts w:ascii="宋体" w:hAnsi="宋体" w:eastAsia="宋体" w:cs="宋体"/>
          <w:spacing w:val="-7"/>
          <w:sz w:val="21"/>
          <w:szCs w:val="21"/>
        </w:rPr>
        <w:t>标段名称：</w:t>
      </w:r>
    </w:p>
    <w:p w14:paraId="0CAE2F8D">
      <w:pPr>
        <w:spacing w:before="9" w:line="220" w:lineRule="auto"/>
        <w:ind w:left="136"/>
        <w:rPr>
          <w:rFonts w:ascii="宋体" w:hAnsi="宋体" w:eastAsia="宋体" w:cs="宋体"/>
          <w:sz w:val="21"/>
          <w:szCs w:val="21"/>
        </w:rPr>
      </w:pPr>
      <w:r>
        <w:rPr>
          <w:rFonts w:ascii="宋体" w:hAnsi="宋体" w:eastAsia="宋体" w:cs="宋体"/>
          <w:sz w:val="21"/>
          <w:szCs w:val="21"/>
        </w:rPr>
        <w:t xml:space="preserve">标段唯一标识码：                                              </w:t>
      </w:r>
      <w:r>
        <w:rPr>
          <w:rFonts w:ascii="宋体" w:hAnsi="宋体" w:eastAsia="宋体" w:cs="宋体"/>
          <w:spacing w:val="-1"/>
          <w:sz w:val="21"/>
          <w:szCs w:val="21"/>
        </w:rPr>
        <w:t xml:space="preserve"> 单位：人民币元</w:t>
      </w:r>
    </w:p>
    <w:p w14:paraId="027285B9">
      <w:pPr>
        <w:spacing w:line="118" w:lineRule="auto"/>
        <w:rPr>
          <w:rFonts w:ascii="Arial"/>
          <w:sz w:val="2"/>
        </w:rPr>
      </w:pPr>
    </w:p>
    <w:tbl>
      <w:tblPr>
        <w:tblStyle w:val="10"/>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979"/>
        <w:gridCol w:w="1559"/>
        <w:gridCol w:w="1274"/>
        <w:gridCol w:w="993"/>
        <w:gridCol w:w="1195"/>
        <w:gridCol w:w="1401"/>
      </w:tblGrid>
      <w:tr w14:paraId="787D8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72" w:type="dxa"/>
            <w:vMerge w:val="restart"/>
            <w:tcBorders>
              <w:bottom w:val="nil"/>
            </w:tcBorders>
            <w:vAlign w:val="top"/>
          </w:tcPr>
          <w:p w14:paraId="30C15E5D">
            <w:pPr>
              <w:spacing w:line="399" w:lineRule="auto"/>
              <w:rPr>
                <w:rFonts w:ascii="Arial"/>
                <w:sz w:val="21"/>
              </w:rPr>
            </w:pPr>
          </w:p>
          <w:p w14:paraId="5AEE969B">
            <w:pPr>
              <w:pStyle w:val="11"/>
              <w:spacing w:before="68" w:line="221" w:lineRule="auto"/>
              <w:ind w:left="317"/>
            </w:pPr>
            <w:r>
              <w:rPr>
                <w:spacing w:val="-2"/>
              </w:rPr>
              <w:t>投标人名称</w:t>
            </w:r>
          </w:p>
        </w:tc>
        <w:tc>
          <w:tcPr>
            <w:tcW w:w="7401" w:type="dxa"/>
            <w:gridSpan w:val="6"/>
            <w:vAlign w:val="top"/>
          </w:tcPr>
          <w:p w14:paraId="2C9CB0BC">
            <w:pPr>
              <w:pStyle w:val="11"/>
              <w:spacing w:before="152" w:line="221" w:lineRule="auto"/>
              <w:ind w:left="3282"/>
            </w:pPr>
            <w:r>
              <w:rPr>
                <w:spacing w:val="-1"/>
              </w:rPr>
              <w:t>评审项目</w:t>
            </w:r>
          </w:p>
        </w:tc>
      </w:tr>
      <w:tr w14:paraId="0A47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72" w:type="dxa"/>
            <w:vMerge w:val="continue"/>
            <w:tcBorders>
              <w:top w:val="nil"/>
            </w:tcBorders>
            <w:vAlign w:val="top"/>
          </w:tcPr>
          <w:p w14:paraId="38F6EBF7">
            <w:pPr>
              <w:rPr>
                <w:rFonts w:ascii="Arial"/>
                <w:sz w:val="21"/>
              </w:rPr>
            </w:pPr>
          </w:p>
        </w:tc>
        <w:tc>
          <w:tcPr>
            <w:tcW w:w="979" w:type="dxa"/>
            <w:vAlign w:val="top"/>
          </w:tcPr>
          <w:p w14:paraId="6EC45945">
            <w:pPr>
              <w:pStyle w:val="11"/>
              <w:spacing w:before="51" w:line="249" w:lineRule="auto"/>
              <w:ind w:left="388" w:right="171" w:hanging="209"/>
            </w:pPr>
            <w:r>
              <w:rPr>
                <w:spacing w:val="-3"/>
              </w:rPr>
              <w:t>投标报</w:t>
            </w:r>
            <w:r>
              <w:t>价</w:t>
            </w:r>
          </w:p>
        </w:tc>
        <w:tc>
          <w:tcPr>
            <w:tcW w:w="1559" w:type="dxa"/>
            <w:vAlign w:val="top"/>
          </w:tcPr>
          <w:p w14:paraId="3993E104">
            <w:pPr>
              <w:pStyle w:val="11"/>
              <w:spacing w:before="51" w:line="249" w:lineRule="auto"/>
              <w:ind w:left="257" w:right="148" w:hanging="106"/>
            </w:pPr>
            <w:r>
              <w:rPr>
                <w:spacing w:val="-1"/>
              </w:rPr>
              <w:t>修正后投标报</w:t>
            </w:r>
            <w:r>
              <w:rPr>
                <w:spacing w:val="-3"/>
              </w:rPr>
              <w:t>价（如有）</w:t>
            </w:r>
          </w:p>
        </w:tc>
        <w:tc>
          <w:tcPr>
            <w:tcW w:w="1274" w:type="dxa"/>
            <w:vAlign w:val="top"/>
          </w:tcPr>
          <w:p w14:paraId="36AB0E5D">
            <w:pPr>
              <w:pStyle w:val="11"/>
              <w:spacing w:before="207" w:line="219" w:lineRule="auto"/>
              <w:ind w:left="324"/>
            </w:pPr>
            <w:r>
              <w:rPr>
                <w:spacing w:val="-1"/>
              </w:rPr>
              <w:t>评标价</w:t>
            </w:r>
          </w:p>
        </w:tc>
        <w:tc>
          <w:tcPr>
            <w:tcW w:w="993" w:type="dxa"/>
            <w:vAlign w:val="top"/>
          </w:tcPr>
          <w:p w14:paraId="2D60CBC7">
            <w:pPr>
              <w:pStyle w:val="11"/>
              <w:spacing w:before="51" w:line="249" w:lineRule="auto"/>
              <w:ind w:left="290" w:right="178" w:hanging="105"/>
            </w:pPr>
            <w:r>
              <w:rPr>
                <w:spacing w:val="-2"/>
              </w:rPr>
              <w:t>招标控制价</w:t>
            </w:r>
          </w:p>
        </w:tc>
        <w:tc>
          <w:tcPr>
            <w:tcW w:w="1195" w:type="dxa"/>
            <w:vAlign w:val="top"/>
          </w:tcPr>
          <w:p w14:paraId="0F782997">
            <w:pPr>
              <w:pStyle w:val="11"/>
              <w:spacing w:before="51" w:line="249" w:lineRule="auto"/>
              <w:ind w:left="284" w:right="173" w:hanging="102"/>
            </w:pPr>
            <w:r>
              <w:rPr>
                <w:spacing w:val="-2"/>
              </w:rPr>
              <w:t>确定有效</w:t>
            </w:r>
            <w:r>
              <w:rPr>
                <w:spacing w:val="-1"/>
              </w:rPr>
              <w:t>评标价</w:t>
            </w:r>
          </w:p>
        </w:tc>
        <w:tc>
          <w:tcPr>
            <w:tcW w:w="1401" w:type="dxa"/>
            <w:vAlign w:val="top"/>
          </w:tcPr>
          <w:p w14:paraId="1F872B85">
            <w:pPr>
              <w:pStyle w:val="11"/>
              <w:spacing w:before="51" w:line="249" w:lineRule="auto"/>
              <w:ind w:left="494" w:right="169" w:hanging="313"/>
            </w:pPr>
            <w:r>
              <w:rPr>
                <w:spacing w:val="-2"/>
              </w:rPr>
              <w:t>有效评标价排序</w:t>
            </w:r>
          </w:p>
        </w:tc>
      </w:tr>
      <w:tr w14:paraId="2BD8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72" w:type="dxa"/>
            <w:vAlign w:val="top"/>
          </w:tcPr>
          <w:p w14:paraId="05694120">
            <w:pPr>
              <w:rPr>
                <w:rFonts w:ascii="Arial"/>
                <w:sz w:val="21"/>
              </w:rPr>
            </w:pPr>
          </w:p>
        </w:tc>
        <w:tc>
          <w:tcPr>
            <w:tcW w:w="979" w:type="dxa"/>
            <w:vAlign w:val="top"/>
          </w:tcPr>
          <w:p w14:paraId="17BD802D">
            <w:pPr>
              <w:rPr>
                <w:rFonts w:ascii="Arial"/>
                <w:sz w:val="21"/>
              </w:rPr>
            </w:pPr>
          </w:p>
        </w:tc>
        <w:tc>
          <w:tcPr>
            <w:tcW w:w="1559" w:type="dxa"/>
            <w:vAlign w:val="top"/>
          </w:tcPr>
          <w:p w14:paraId="52874A00">
            <w:pPr>
              <w:rPr>
                <w:rFonts w:ascii="Arial"/>
                <w:sz w:val="21"/>
              </w:rPr>
            </w:pPr>
          </w:p>
        </w:tc>
        <w:tc>
          <w:tcPr>
            <w:tcW w:w="1274" w:type="dxa"/>
            <w:vAlign w:val="top"/>
          </w:tcPr>
          <w:p w14:paraId="78DDFC08">
            <w:pPr>
              <w:rPr>
                <w:rFonts w:ascii="Arial"/>
                <w:sz w:val="21"/>
              </w:rPr>
            </w:pPr>
          </w:p>
        </w:tc>
        <w:tc>
          <w:tcPr>
            <w:tcW w:w="993" w:type="dxa"/>
            <w:vMerge w:val="restart"/>
            <w:tcBorders>
              <w:bottom w:val="nil"/>
            </w:tcBorders>
            <w:vAlign w:val="top"/>
          </w:tcPr>
          <w:p w14:paraId="581B62E9">
            <w:pPr>
              <w:rPr>
                <w:rFonts w:ascii="Arial"/>
                <w:sz w:val="21"/>
              </w:rPr>
            </w:pPr>
          </w:p>
        </w:tc>
        <w:tc>
          <w:tcPr>
            <w:tcW w:w="1195" w:type="dxa"/>
            <w:vMerge w:val="restart"/>
            <w:tcBorders>
              <w:bottom w:val="nil"/>
            </w:tcBorders>
            <w:vAlign w:val="top"/>
          </w:tcPr>
          <w:p w14:paraId="7E5C7646">
            <w:pPr>
              <w:rPr>
                <w:rFonts w:ascii="Arial"/>
                <w:sz w:val="21"/>
              </w:rPr>
            </w:pPr>
          </w:p>
        </w:tc>
        <w:tc>
          <w:tcPr>
            <w:tcW w:w="1401" w:type="dxa"/>
            <w:vAlign w:val="top"/>
          </w:tcPr>
          <w:p w14:paraId="650D3D22">
            <w:pPr>
              <w:rPr>
                <w:rFonts w:ascii="Arial"/>
                <w:sz w:val="21"/>
              </w:rPr>
            </w:pPr>
          </w:p>
        </w:tc>
      </w:tr>
      <w:tr w14:paraId="4395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top"/>
          </w:tcPr>
          <w:p w14:paraId="243352C7">
            <w:pPr>
              <w:rPr>
                <w:rFonts w:ascii="Arial"/>
                <w:sz w:val="21"/>
              </w:rPr>
            </w:pPr>
          </w:p>
        </w:tc>
        <w:tc>
          <w:tcPr>
            <w:tcW w:w="979" w:type="dxa"/>
            <w:vAlign w:val="top"/>
          </w:tcPr>
          <w:p w14:paraId="0D31D020">
            <w:pPr>
              <w:rPr>
                <w:rFonts w:ascii="Arial"/>
                <w:sz w:val="21"/>
              </w:rPr>
            </w:pPr>
          </w:p>
        </w:tc>
        <w:tc>
          <w:tcPr>
            <w:tcW w:w="1559" w:type="dxa"/>
            <w:vAlign w:val="top"/>
          </w:tcPr>
          <w:p w14:paraId="171850F1">
            <w:pPr>
              <w:rPr>
                <w:rFonts w:ascii="Arial"/>
                <w:sz w:val="21"/>
              </w:rPr>
            </w:pPr>
          </w:p>
        </w:tc>
        <w:tc>
          <w:tcPr>
            <w:tcW w:w="1274" w:type="dxa"/>
            <w:vAlign w:val="top"/>
          </w:tcPr>
          <w:p w14:paraId="595CB01A">
            <w:pPr>
              <w:rPr>
                <w:rFonts w:ascii="Arial"/>
                <w:sz w:val="21"/>
              </w:rPr>
            </w:pPr>
          </w:p>
        </w:tc>
        <w:tc>
          <w:tcPr>
            <w:tcW w:w="993" w:type="dxa"/>
            <w:vMerge w:val="continue"/>
            <w:tcBorders>
              <w:top w:val="nil"/>
              <w:bottom w:val="nil"/>
            </w:tcBorders>
            <w:vAlign w:val="top"/>
          </w:tcPr>
          <w:p w14:paraId="1CE3BDF7">
            <w:pPr>
              <w:rPr>
                <w:rFonts w:ascii="Arial"/>
                <w:sz w:val="21"/>
              </w:rPr>
            </w:pPr>
          </w:p>
        </w:tc>
        <w:tc>
          <w:tcPr>
            <w:tcW w:w="1195" w:type="dxa"/>
            <w:vMerge w:val="continue"/>
            <w:tcBorders>
              <w:top w:val="nil"/>
              <w:bottom w:val="nil"/>
            </w:tcBorders>
            <w:vAlign w:val="top"/>
          </w:tcPr>
          <w:p w14:paraId="4256154F">
            <w:pPr>
              <w:rPr>
                <w:rFonts w:ascii="Arial"/>
                <w:sz w:val="21"/>
              </w:rPr>
            </w:pPr>
          </w:p>
        </w:tc>
        <w:tc>
          <w:tcPr>
            <w:tcW w:w="1401" w:type="dxa"/>
            <w:vAlign w:val="top"/>
          </w:tcPr>
          <w:p w14:paraId="51376946">
            <w:pPr>
              <w:rPr>
                <w:rFonts w:ascii="Arial"/>
                <w:sz w:val="21"/>
              </w:rPr>
            </w:pPr>
          </w:p>
        </w:tc>
      </w:tr>
      <w:tr w14:paraId="788E1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top"/>
          </w:tcPr>
          <w:p w14:paraId="2AFFBDB1">
            <w:pPr>
              <w:rPr>
                <w:rFonts w:ascii="Arial"/>
                <w:sz w:val="21"/>
              </w:rPr>
            </w:pPr>
          </w:p>
        </w:tc>
        <w:tc>
          <w:tcPr>
            <w:tcW w:w="979" w:type="dxa"/>
            <w:vAlign w:val="top"/>
          </w:tcPr>
          <w:p w14:paraId="62931422">
            <w:pPr>
              <w:rPr>
                <w:rFonts w:ascii="Arial"/>
                <w:sz w:val="21"/>
              </w:rPr>
            </w:pPr>
          </w:p>
        </w:tc>
        <w:tc>
          <w:tcPr>
            <w:tcW w:w="1559" w:type="dxa"/>
            <w:vAlign w:val="top"/>
          </w:tcPr>
          <w:p w14:paraId="26216FDE">
            <w:pPr>
              <w:rPr>
                <w:rFonts w:ascii="Arial"/>
                <w:sz w:val="21"/>
              </w:rPr>
            </w:pPr>
          </w:p>
        </w:tc>
        <w:tc>
          <w:tcPr>
            <w:tcW w:w="1274" w:type="dxa"/>
            <w:vAlign w:val="top"/>
          </w:tcPr>
          <w:p w14:paraId="4AD3BDA5">
            <w:pPr>
              <w:rPr>
                <w:rFonts w:ascii="Arial"/>
                <w:sz w:val="21"/>
              </w:rPr>
            </w:pPr>
          </w:p>
        </w:tc>
        <w:tc>
          <w:tcPr>
            <w:tcW w:w="993" w:type="dxa"/>
            <w:vMerge w:val="continue"/>
            <w:tcBorders>
              <w:top w:val="nil"/>
              <w:bottom w:val="nil"/>
            </w:tcBorders>
            <w:vAlign w:val="top"/>
          </w:tcPr>
          <w:p w14:paraId="6FBD17E8">
            <w:pPr>
              <w:rPr>
                <w:rFonts w:ascii="Arial"/>
                <w:sz w:val="21"/>
              </w:rPr>
            </w:pPr>
          </w:p>
        </w:tc>
        <w:tc>
          <w:tcPr>
            <w:tcW w:w="1195" w:type="dxa"/>
            <w:vMerge w:val="continue"/>
            <w:tcBorders>
              <w:top w:val="nil"/>
              <w:bottom w:val="nil"/>
            </w:tcBorders>
            <w:vAlign w:val="top"/>
          </w:tcPr>
          <w:p w14:paraId="2D03C295">
            <w:pPr>
              <w:rPr>
                <w:rFonts w:ascii="Arial"/>
                <w:sz w:val="21"/>
              </w:rPr>
            </w:pPr>
          </w:p>
        </w:tc>
        <w:tc>
          <w:tcPr>
            <w:tcW w:w="1401" w:type="dxa"/>
            <w:vAlign w:val="top"/>
          </w:tcPr>
          <w:p w14:paraId="00068E09">
            <w:pPr>
              <w:rPr>
                <w:rFonts w:ascii="Arial"/>
                <w:sz w:val="21"/>
              </w:rPr>
            </w:pPr>
          </w:p>
        </w:tc>
      </w:tr>
      <w:tr w14:paraId="4B72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2" w:type="dxa"/>
            <w:vAlign w:val="top"/>
          </w:tcPr>
          <w:p w14:paraId="0136724A">
            <w:pPr>
              <w:rPr>
                <w:rFonts w:ascii="Arial"/>
                <w:sz w:val="21"/>
              </w:rPr>
            </w:pPr>
          </w:p>
        </w:tc>
        <w:tc>
          <w:tcPr>
            <w:tcW w:w="979" w:type="dxa"/>
            <w:vAlign w:val="top"/>
          </w:tcPr>
          <w:p w14:paraId="1324DCB1">
            <w:pPr>
              <w:rPr>
                <w:rFonts w:ascii="Arial"/>
                <w:sz w:val="21"/>
              </w:rPr>
            </w:pPr>
          </w:p>
        </w:tc>
        <w:tc>
          <w:tcPr>
            <w:tcW w:w="1559" w:type="dxa"/>
            <w:vAlign w:val="top"/>
          </w:tcPr>
          <w:p w14:paraId="60DC80C7">
            <w:pPr>
              <w:rPr>
                <w:rFonts w:ascii="Arial"/>
                <w:sz w:val="21"/>
              </w:rPr>
            </w:pPr>
          </w:p>
        </w:tc>
        <w:tc>
          <w:tcPr>
            <w:tcW w:w="1274" w:type="dxa"/>
            <w:vAlign w:val="top"/>
          </w:tcPr>
          <w:p w14:paraId="18DCA403">
            <w:pPr>
              <w:rPr>
                <w:rFonts w:ascii="Arial"/>
                <w:sz w:val="21"/>
              </w:rPr>
            </w:pPr>
          </w:p>
        </w:tc>
        <w:tc>
          <w:tcPr>
            <w:tcW w:w="993" w:type="dxa"/>
            <w:vMerge w:val="continue"/>
            <w:tcBorders>
              <w:top w:val="nil"/>
              <w:bottom w:val="nil"/>
            </w:tcBorders>
            <w:vAlign w:val="top"/>
          </w:tcPr>
          <w:p w14:paraId="0E306186">
            <w:pPr>
              <w:rPr>
                <w:rFonts w:ascii="Arial"/>
                <w:sz w:val="21"/>
              </w:rPr>
            </w:pPr>
          </w:p>
        </w:tc>
        <w:tc>
          <w:tcPr>
            <w:tcW w:w="1195" w:type="dxa"/>
            <w:vMerge w:val="continue"/>
            <w:tcBorders>
              <w:top w:val="nil"/>
              <w:bottom w:val="nil"/>
            </w:tcBorders>
            <w:vAlign w:val="top"/>
          </w:tcPr>
          <w:p w14:paraId="787095EA">
            <w:pPr>
              <w:rPr>
                <w:rFonts w:ascii="Arial"/>
                <w:sz w:val="21"/>
              </w:rPr>
            </w:pPr>
          </w:p>
        </w:tc>
        <w:tc>
          <w:tcPr>
            <w:tcW w:w="1401" w:type="dxa"/>
            <w:vAlign w:val="top"/>
          </w:tcPr>
          <w:p w14:paraId="77801F24">
            <w:pPr>
              <w:rPr>
                <w:rFonts w:ascii="Arial"/>
                <w:sz w:val="21"/>
              </w:rPr>
            </w:pPr>
          </w:p>
        </w:tc>
      </w:tr>
      <w:tr w14:paraId="5D29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top"/>
          </w:tcPr>
          <w:p w14:paraId="17225C23">
            <w:pPr>
              <w:rPr>
                <w:rFonts w:ascii="Arial"/>
                <w:sz w:val="21"/>
              </w:rPr>
            </w:pPr>
          </w:p>
        </w:tc>
        <w:tc>
          <w:tcPr>
            <w:tcW w:w="979" w:type="dxa"/>
            <w:vAlign w:val="top"/>
          </w:tcPr>
          <w:p w14:paraId="6A890DF2">
            <w:pPr>
              <w:rPr>
                <w:rFonts w:ascii="Arial"/>
                <w:sz w:val="21"/>
              </w:rPr>
            </w:pPr>
          </w:p>
        </w:tc>
        <w:tc>
          <w:tcPr>
            <w:tcW w:w="1559" w:type="dxa"/>
            <w:vAlign w:val="top"/>
          </w:tcPr>
          <w:p w14:paraId="0986B826">
            <w:pPr>
              <w:rPr>
                <w:rFonts w:ascii="Arial"/>
                <w:sz w:val="21"/>
              </w:rPr>
            </w:pPr>
          </w:p>
        </w:tc>
        <w:tc>
          <w:tcPr>
            <w:tcW w:w="1274" w:type="dxa"/>
            <w:vAlign w:val="top"/>
          </w:tcPr>
          <w:p w14:paraId="118C4EB5">
            <w:pPr>
              <w:rPr>
                <w:rFonts w:ascii="Arial"/>
                <w:sz w:val="21"/>
              </w:rPr>
            </w:pPr>
          </w:p>
        </w:tc>
        <w:tc>
          <w:tcPr>
            <w:tcW w:w="993" w:type="dxa"/>
            <w:vMerge w:val="continue"/>
            <w:tcBorders>
              <w:top w:val="nil"/>
            </w:tcBorders>
            <w:vAlign w:val="top"/>
          </w:tcPr>
          <w:p w14:paraId="3DA513F2">
            <w:pPr>
              <w:rPr>
                <w:rFonts w:ascii="Arial"/>
                <w:sz w:val="21"/>
              </w:rPr>
            </w:pPr>
          </w:p>
        </w:tc>
        <w:tc>
          <w:tcPr>
            <w:tcW w:w="1195" w:type="dxa"/>
            <w:vMerge w:val="continue"/>
            <w:tcBorders>
              <w:top w:val="nil"/>
            </w:tcBorders>
            <w:vAlign w:val="top"/>
          </w:tcPr>
          <w:p w14:paraId="217FDF23">
            <w:pPr>
              <w:rPr>
                <w:rFonts w:ascii="Arial"/>
                <w:sz w:val="21"/>
              </w:rPr>
            </w:pPr>
          </w:p>
        </w:tc>
        <w:tc>
          <w:tcPr>
            <w:tcW w:w="1401" w:type="dxa"/>
            <w:vAlign w:val="top"/>
          </w:tcPr>
          <w:p w14:paraId="231F55F0">
            <w:pPr>
              <w:rPr>
                <w:rFonts w:ascii="Arial"/>
                <w:sz w:val="21"/>
              </w:rPr>
            </w:pPr>
          </w:p>
        </w:tc>
      </w:tr>
      <w:tr w14:paraId="37D7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9073" w:type="dxa"/>
            <w:gridSpan w:val="7"/>
            <w:vAlign w:val="top"/>
          </w:tcPr>
          <w:p w14:paraId="45E23C87">
            <w:pPr>
              <w:pStyle w:val="11"/>
              <w:spacing w:before="57" w:line="220" w:lineRule="auto"/>
              <w:ind w:left="115"/>
            </w:pPr>
            <w:r>
              <w:rPr>
                <w:spacing w:val="-1"/>
              </w:rPr>
              <w:t>评标委员会成员签名：</w:t>
            </w:r>
          </w:p>
        </w:tc>
      </w:tr>
    </w:tbl>
    <w:p w14:paraId="026D75A2">
      <w:pPr>
        <w:spacing w:before="50" w:line="221" w:lineRule="auto"/>
        <w:ind w:left="5527"/>
        <w:rPr>
          <w:rFonts w:ascii="宋体" w:hAnsi="宋体" w:eastAsia="宋体" w:cs="宋体"/>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1"/>
          <w:sz w:val="21"/>
          <w:szCs w:val="21"/>
        </w:rPr>
        <w:t xml:space="preserve">       </w:t>
      </w:r>
      <w:r>
        <w:rPr>
          <w:rFonts w:ascii="宋体" w:hAnsi="宋体" w:eastAsia="宋体" w:cs="宋体"/>
          <w:spacing w:val="-11"/>
          <w:sz w:val="21"/>
          <w:szCs w:val="21"/>
        </w:rPr>
        <w:t>月</w:t>
      </w:r>
      <w:r>
        <w:rPr>
          <w:rFonts w:ascii="宋体" w:hAnsi="宋体" w:eastAsia="宋体" w:cs="宋体"/>
          <w:spacing w:val="8"/>
          <w:sz w:val="21"/>
          <w:szCs w:val="21"/>
        </w:rPr>
        <w:t xml:space="preserve">      </w:t>
      </w:r>
      <w:r>
        <w:rPr>
          <w:rFonts w:ascii="宋体" w:hAnsi="宋体" w:eastAsia="宋体" w:cs="宋体"/>
          <w:spacing w:val="-11"/>
          <w:sz w:val="21"/>
          <w:szCs w:val="21"/>
        </w:rPr>
        <w:t>日</w:t>
      </w:r>
    </w:p>
    <w:p w14:paraId="09DB14F7">
      <w:pPr>
        <w:spacing w:line="221" w:lineRule="auto"/>
        <w:rPr>
          <w:rFonts w:ascii="宋体" w:hAnsi="宋体" w:eastAsia="宋体" w:cs="宋体"/>
          <w:sz w:val="21"/>
          <w:szCs w:val="21"/>
        </w:rPr>
        <w:sectPr>
          <w:footerReference r:id="rId80" w:type="default"/>
          <w:pgSz w:w="11905" w:h="16843"/>
          <w:pgMar w:top="969" w:right="1355" w:bottom="1026" w:left="1480" w:header="0" w:footer="754" w:gutter="0"/>
          <w:cols w:space="0" w:num="1"/>
          <w:rtlGutter w:val="0"/>
          <w:docGrid w:linePitch="0" w:charSpace="0"/>
        </w:sectPr>
      </w:pPr>
    </w:p>
    <w:p w14:paraId="7B685EB5">
      <w:pPr>
        <w:pStyle w:val="5"/>
        <w:spacing w:line="261" w:lineRule="auto"/>
      </w:pPr>
    </w:p>
    <w:p w14:paraId="1A1CABFB">
      <w:pPr>
        <w:pStyle w:val="5"/>
        <w:spacing w:line="262" w:lineRule="auto"/>
      </w:pPr>
    </w:p>
    <w:p w14:paraId="2527DBBD">
      <w:pPr>
        <w:pStyle w:val="5"/>
        <w:spacing w:line="262" w:lineRule="auto"/>
      </w:pPr>
    </w:p>
    <w:p w14:paraId="5A6D03A8">
      <w:pPr>
        <w:pStyle w:val="5"/>
        <w:spacing w:line="262" w:lineRule="auto"/>
      </w:pPr>
    </w:p>
    <w:p w14:paraId="3E897E27">
      <w:pPr>
        <w:spacing w:before="78" w:line="233" w:lineRule="auto"/>
        <w:ind w:left="140"/>
        <w:outlineLvl w:val="2"/>
        <w:rPr>
          <w:rFonts w:ascii="黑体" w:hAnsi="黑体" w:eastAsia="黑体" w:cs="黑体"/>
          <w:sz w:val="24"/>
          <w:szCs w:val="24"/>
        </w:rPr>
      </w:pPr>
      <w:bookmarkStart w:id="183" w:name="bookmark142"/>
      <w:bookmarkEnd w:id="183"/>
      <w:r>
        <w:rPr>
          <w:rFonts w:ascii="黑体" w:hAnsi="黑体" w:eastAsia="黑体" w:cs="黑体"/>
          <w:spacing w:val="-2"/>
          <w:sz w:val="24"/>
          <w:szCs w:val="24"/>
        </w:rPr>
        <w:t>附表</w:t>
      </w:r>
      <w:r>
        <w:rPr>
          <w:rFonts w:ascii="黑体" w:hAnsi="黑体" w:eastAsia="黑体" w:cs="黑体"/>
          <w:spacing w:val="-49"/>
          <w:sz w:val="24"/>
          <w:szCs w:val="24"/>
        </w:rPr>
        <w:t xml:space="preserve"> </w:t>
      </w:r>
      <w:r>
        <w:rPr>
          <w:rFonts w:ascii="Times New Roman" w:hAnsi="Times New Roman" w:eastAsia="Times New Roman" w:cs="Times New Roman"/>
          <w:spacing w:val="-2"/>
          <w:sz w:val="24"/>
          <w:szCs w:val="24"/>
        </w:rPr>
        <w:t>A-17</w:t>
      </w:r>
      <w:r>
        <w:rPr>
          <w:rFonts w:ascii="黑体" w:hAnsi="黑体" w:eastAsia="黑体" w:cs="黑体"/>
          <w:spacing w:val="-2"/>
          <w:sz w:val="24"/>
          <w:szCs w:val="24"/>
        </w:rPr>
        <w:t>：推荐中标候选人一览表</w:t>
      </w:r>
    </w:p>
    <w:p w14:paraId="6D37771E">
      <w:pPr>
        <w:pStyle w:val="5"/>
        <w:spacing w:line="308" w:lineRule="auto"/>
      </w:pPr>
    </w:p>
    <w:p w14:paraId="563FBAF2">
      <w:pPr>
        <w:pStyle w:val="5"/>
        <w:spacing w:line="309" w:lineRule="auto"/>
      </w:pPr>
    </w:p>
    <w:p w14:paraId="63FD6D0F">
      <w:pPr>
        <w:pStyle w:val="5"/>
        <w:spacing w:line="309" w:lineRule="auto"/>
      </w:pPr>
    </w:p>
    <w:p w14:paraId="28DAE960">
      <w:pPr>
        <w:spacing w:before="117" w:line="220" w:lineRule="auto"/>
        <w:ind w:left="2620"/>
        <w:rPr>
          <w:rFonts w:ascii="黑体" w:hAnsi="黑体" w:eastAsia="黑体" w:cs="黑体"/>
          <w:sz w:val="36"/>
          <w:szCs w:val="36"/>
        </w:rPr>
      </w:pPr>
      <w:bookmarkStart w:id="184" w:name="bookmark534"/>
      <w:bookmarkEnd w:id="184"/>
      <w:r>
        <w:rPr>
          <w:rFonts w:ascii="黑体" w:hAnsi="黑体" w:eastAsia="黑体" w:cs="黑体"/>
          <w:spacing w:val="-2"/>
          <w:sz w:val="36"/>
          <w:szCs w:val="36"/>
        </w:rPr>
        <w:t>推荐中标候选人一览表</w:t>
      </w:r>
    </w:p>
    <w:p w14:paraId="7EF3604A">
      <w:pPr>
        <w:pStyle w:val="5"/>
        <w:spacing w:line="356" w:lineRule="auto"/>
      </w:pPr>
    </w:p>
    <w:p w14:paraId="6F0D1F04">
      <w:pPr>
        <w:spacing w:before="69" w:line="221" w:lineRule="auto"/>
        <w:ind w:left="9"/>
        <w:rPr>
          <w:rFonts w:ascii="宋体" w:hAnsi="宋体" w:eastAsia="宋体" w:cs="宋体"/>
          <w:sz w:val="21"/>
          <w:szCs w:val="21"/>
        </w:rPr>
      </w:pPr>
      <w:r>
        <w:rPr>
          <w:rFonts w:ascii="宋体" w:hAnsi="宋体" w:eastAsia="宋体" w:cs="宋体"/>
          <w:spacing w:val="-7"/>
          <w:sz w:val="21"/>
          <w:szCs w:val="21"/>
        </w:rPr>
        <w:t>标段名称：</w:t>
      </w:r>
    </w:p>
    <w:p w14:paraId="34C82C48">
      <w:pPr>
        <w:spacing w:before="60" w:line="220" w:lineRule="auto"/>
        <w:ind w:left="9"/>
        <w:rPr>
          <w:rFonts w:ascii="宋体" w:hAnsi="宋体" w:eastAsia="宋体" w:cs="宋体"/>
          <w:sz w:val="21"/>
          <w:szCs w:val="21"/>
        </w:rPr>
      </w:pPr>
      <w:r>
        <w:rPr>
          <w:rFonts w:ascii="宋体" w:hAnsi="宋体" w:eastAsia="宋体" w:cs="宋体"/>
          <w:sz w:val="21"/>
          <w:szCs w:val="21"/>
        </w:rPr>
        <w:t>标段唯一标识码：                                                  单</w:t>
      </w:r>
      <w:r>
        <w:rPr>
          <w:rFonts w:ascii="宋体" w:hAnsi="宋体" w:eastAsia="宋体" w:cs="宋体"/>
          <w:spacing w:val="-1"/>
          <w:sz w:val="21"/>
          <w:szCs w:val="21"/>
        </w:rPr>
        <w:t>位：人民币元</w:t>
      </w:r>
    </w:p>
    <w:p w14:paraId="3E9609B9">
      <w:pPr>
        <w:spacing w:line="109" w:lineRule="auto"/>
        <w:rPr>
          <w:rFonts w:ascii="Arial"/>
          <w:sz w:val="2"/>
        </w:rPr>
      </w:pPr>
    </w:p>
    <w:tbl>
      <w:tblPr>
        <w:tblStyle w:val="10"/>
        <w:tblW w:w="88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
        <w:gridCol w:w="1639"/>
        <w:gridCol w:w="1478"/>
        <w:gridCol w:w="1509"/>
        <w:gridCol w:w="1979"/>
        <w:gridCol w:w="1319"/>
      </w:tblGrid>
      <w:tr w14:paraId="7DBA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92" w:type="dxa"/>
            <w:vAlign w:val="top"/>
          </w:tcPr>
          <w:p w14:paraId="1AD605B6">
            <w:pPr>
              <w:pStyle w:val="11"/>
              <w:spacing w:before="238" w:line="223" w:lineRule="auto"/>
              <w:ind w:left="240"/>
            </w:pPr>
            <w:r>
              <w:rPr>
                <w:spacing w:val="-2"/>
              </w:rPr>
              <w:t>排名</w:t>
            </w:r>
          </w:p>
        </w:tc>
        <w:tc>
          <w:tcPr>
            <w:tcW w:w="1639" w:type="dxa"/>
            <w:vAlign w:val="top"/>
          </w:tcPr>
          <w:p w14:paraId="3ADC720E">
            <w:pPr>
              <w:pStyle w:val="11"/>
              <w:spacing w:before="238" w:line="221" w:lineRule="auto"/>
              <w:ind w:left="299"/>
            </w:pPr>
            <w:r>
              <w:rPr>
                <w:spacing w:val="-2"/>
              </w:rPr>
              <w:t>投标人名称</w:t>
            </w:r>
          </w:p>
        </w:tc>
        <w:tc>
          <w:tcPr>
            <w:tcW w:w="1478" w:type="dxa"/>
            <w:vAlign w:val="top"/>
          </w:tcPr>
          <w:p w14:paraId="62E4B941">
            <w:pPr>
              <w:pStyle w:val="11"/>
              <w:spacing w:before="238" w:line="219" w:lineRule="auto"/>
              <w:ind w:left="326"/>
            </w:pPr>
            <w:r>
              <w:rPr>
                <w:spacing w:val="-2"/>
              </w:rPr>
              <w:t>投标报价</w:t>
            </w:r>
          </w:p>
        </w:tc>
        <w:tc>
          <w:tcPr>
            <w:tcW w:w="1509" w:type="dxa"/>
            <w:vAlign w:val="top"/>
          </w:tcPr>
          <w:p w14:paraId="7494C724">
            <w:pPr>
              <w:pStyle w:val="11"/>
              <w:spacing w:before="82" w:line="260" w:lineRule="auto"/>
              <w:ind w:left="239" w:right="239" w:firstLine="98"/>
            </w:pPr>
            <w:r>
              <w:rPr>
                <w:spacing w:val="-2"/>
              </w:rPr>
              <w:t>评审得分</w:t>
            </w:r>
            <w:r>
              <w:rPr>
                <w:spacing w:val="-6"/>
              </w:rPr>
              <w:t>（评标价）</w:t>
            </w:r>
          </w:p>
        </w:tc>
        <w:tc>
          <w:tcPr>
            <w:tcW w:w="1979" w:type="dxa"/>
            <w:vAlign w:val="top"/>
          </w:tcPr>
          <w:p w14:paraId="74F73C53">
            <w:pPr>
              <w:pStyle w:val="11"/>
              <w:spacing w:before="82" w:line="260" w:lineRule="auto"/>
              <w:ind w:left="678" w:right="147" w:hanging="523"/>
            </w:pPr>
            <w:r>
              <w:rPr>
                <w:spacing w:val="-2"/>
              </w:rPr>
              <w:t>是否被推荐为中标候选人</w:t>
            </w:r>
          </w:p>
        </w:tc>
        <w:tc>
          <w:tcPr>
            <w:tcW w:w="1319" w:type="dxa"/>
            <w:vAlign w:val="top"/>
          </w:tcPr>
          <w:p w14:paraId="7BF3C113">
            <w:pPr>
              <w:pStyle w:val="11"/>
              <w:spacing w:before="238" w:line="220" w:lineRule="auto"/>
              <w:ind w:left="242"/>
            </w:pPr>
            <w:r>
              <w:rPr>
                <w:spacing w:val="-2"/>
              </w:rPr>
              <w:t>推荐理由</w:t>
            </w:r>
          </w:p>
        </w:tc>
      </w:tr>
      <w:tr w14:paraId="7284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92" w:type="dxa"/>
            <w:vAlign w:val="top"/>
          </w:tcPr>
          <w:p w14:paraId="0D65FC77">
            <w:pPr>
              <w:spacing w:before="266" w:line="236" w:lineRule="auto"/>
              <w:ind w:left="41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639" w:type="dxa"/>
            <w:vAlign w:val="top"/>
          </w:tcPr>
          <w:p w14:paraId="4F840199">
            <w:pPr>
              <w:rPr>
                <w:rFonts w:ascii="Arial"/>
                <w:sz w:val="21"/>
              </w:rPr>
            </w:pPr>
          </w:p>
        </w:tc>
        <w:tc>
          <w:tcPr>
            <w:tcW w:w="1478" w:type="dxa"/>
            <w:vAlign w:val="top"/>
          </w:tcPr>
          <w:p w14:paraId="68C52821">
            <w:pPr>
              <w:rPr>
                <w:rFonts w:ascii="Arial"/>
                <w:sz w:val="21"/>
              </w:rPr>
            </w:pPr>
          </w:p>
        </w:tc>
        <w:tc>
          <w:tcPr>
            <w:tcW w:w="1509" w:type="dxa"/>
            <w:vAlign w:val="top"/>
          </w:tcPr>
          <w:p w14:paraId="0BA9774F">
            <w:pPr>
              <w:rPr>
                <w:rFonts w:ascii="Arial"/>
                <w:sz w:val="21"/>
              </w:rPr>
            </w:pPr>
          </w:p>
        </w:tc>
        <w:tc>
          <w:tcPr>
            <w:tcW w:w="1979" w:type="dxa"/>
            <w:vAlign w:val="top"/>
          </w:tcPr>
          <w:p w14:paraId="267A56AF">
            <w:pPr>
              <w:rPr>
                <w:rFonts w:ascii="Arial"/>
                <w:sz w:val="21"/>
              </w:rPr>
            </w:pPr>
          </w:p>
        </w:tc>
        <w:tc>
          <w:tcPr>
            <w:tcW w:w="1319" w:type="dxa"/>
            <w:vAlign w:val="top"/>
          </w:tcPr>
          <w:p w14:paraId="00724335">
            <w:pPr>
              <w:rPr>
                <w:rFonts w:ascii="Arial"/>
                <w:sz w:val="21"/>
              </w:rPr>
            </w:pPr>
          </w:p>
        </w:tc>
      </w:tr>
      <w:tr w14:paraId="5732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92" w:type="dxa"/>
            <w:vAlign w:val="top"/>
          </w:tcPr>
          <w:p w14:paraId="5F8F3E95">
            <w:pPr>
              <w:spacing w:before="267" w:line="236" w:lineRule="auto"/>
              <w:ind w:left="39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639" w:type="dxa"/>
            <w:vAlign w:val="top"/>
          </w:tcPr>
          <w:p w14:paraId="2B4F9C0F">
            <w:pPr>
              <w:rPr>
                <w:rFonts w:ascii="Arial"/>
                <w:sz w:val="21"/>
              </w:rPr>
            </w:pPr>
          </w:p>
        </w:tc>
        <w:tc>
          <w:tcPr>
            <w:tcW w:w="1478" w:type="dxa"/>
            <w:vAlign w:val="top"/>
          </w:tcPr>
          <w:p w14:paraId="68E9D9D2">
            <w:pPr>
              <w:rPr>
                <w:rFonts w:ascii="Arial"/>
                <w:sz w:val="21"/>
              </w:rPr>
            </w:pPr>
          </w:p>
        </w:tc>
        <w:tc>
          <w:tcPr>
            <w:tcW w:w="1509" w:type="dxa"/>
            <w:vAlign w:val="top"/>
          </w:tcPr>
          <w:p w14:paraId="587C4838">
            <w:pPr>
              <w:rPr>
                <w:rFonts w:ascii="Arial"/>
                <w:sz w:val="21"/>
              </w:rPr>
            </w:pPr>
          </w:p>
        </w:tc>
        <w:tc>
          <w:tcPr>
            <w:tcW w:w="1979" w:type="dxa"/>
            <w:vAlign w:val="top"/>
          </w:tcPr>
          <w:p w14:paraId="3936D238">
            <w:pPr>
              <w:rPr>
                <w:rFonts w:ascii="Arial"/>
                <w:sz w:val="21"/>
              </w:rPr>
            </w:pPr>
          </w:p>
        </w:tc>
        <w:tc>
          <w:tcPr>
            <w:tcW w:w="1319" w:type="dxa"/>
            <w:vAlign w:val="top"/>
          </w:tcPr>
          <w:p w14:paraId="67158EAC">
            <w:pPr>
              <w:rPr>
                <w:rFonts w:ascii="Arial"/>
                <w:sz w:val="21"/>
              </w:rPr>
            </w:pPr>
          </w:p>
        </w:tc>
      </w:tr>
      <w:tr w14:paraId="42692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92" w:type="dxa"/>
            <w:vAlign w:val="top"/>
          </w:tcPr>
          <w:p w14:paraId="6459401D">
            <w:pPr>
              <w:spacing w:before="270" w:line="234" w:lineRule="auto"/>
              <w:ind w:left="39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639" w:type="dxa"/>
            <w:vAlign w:val="top"/>
          </w:tcPr>
          <w:p w14:paraId="1FB86233">
            <w:pPr>
              <w:rPr>
                <w:rFonts w:ascii="Arial"/>
                <w:sz w:val="21"/>
              </w:rPr>
            </w:pPr>
          </w:p>
        </w:tc>
        <w:tc>
          <w:tcPr>
            <w:tcW w:w="1478" w:type="dxa"/>
            <w:vAlign w:val="top"/>
          </w:tcPr>
          <w:p w14:paraId="791D0604">
            <w:pPr>
              <w:rPr>
                <w:rFonts w:ascii="Arial"/>
                <w:sz w:val="21"/>
              </w:rPr>
            </w:pPr>
          </w:p>
        </w:tc>
        <w:tc>
          <w:tcPr>
            <w:tcW w:w="1509" w:type="dxa"/>
            <w:vAlign w:val="top"/>
          </w:tcPr>
          <w:p w14:paraId="40BC4E3E">
            <w:pPr>
              <w:rPr>
                <w:rFonts w:ascii="Arial"/>
                <w:sz w:val="21"/>
              </w:rPr>
            </w:pPr>
          </w:p>
        </w:tc>
        <w:tc>
          <w:tcPr>
            <w:tcW w:w="1979" w:type="dxa"/>
            <w:vAlign w:val="top"/>
          </w:tcPr>
          <w:p w14:paraId="4D900C5A">
            <w:pPr>
              <w:rPr>
                <w:rFonts w:ascii="Arial"/>
                <w:sz w:val="21"/>
              </w:rPr>
            </w:pPr>
          </w:p>
        </w:tc>
        <w:tc>
          <w:tcPr>
            <w:tcW w:w="1319" w:type="dxa"/>
            <w:vAlign w:val="top"/>
          </w:tcPr>
          <w:p w14:paraId="039B7CFE">
            <w:pPr>
              <w:rPr>
                <w:rFonts w:ascii="Arial"/>
                <w:sz w:val="21"/>
              </w:rPr>
            </w:pPr>
          </w:p>
        </w:tc>
      </w:tr>
      <w:tr w14:paraId="263A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92" w:type="dxa"/>
            <w:vAlign w:val="top"/>
          </w:tcPr>
          <w:p w14:paraId="5428CD11">
            <w:pPr>
              <w:spacing w:before="268" w:line="236" w:lineRule="auto"/>
              <w:ind w:left="39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639" w:type="dxa"/>
            <w:vAlign w:val="top"/>
          </w:tcPr>
          <w:p w14:paraId="2FC9F243">
            <w:pPr>
              <w:rPr>
                <w:rFonts w:ascii="Arial"/>
                <w:sz w:val="21"/>
              </w:rPr>
            </w:pPr>
          </w:p>
        </w:tc>
        <w:tc>
          <w:tcPr>
            <w:tcW w:w="1478" w:type="dxa"/>
            <w:vAlign w:val="top"/>
          </w:tcPr>
          <w:p w14:paraId="6A6C3FE4">
            <w:pPr>
              <w:rPr>
                <w:rFonts w:ascii="Arial"/>
                <w:sz w:val="21"/>
              </w:rPr>
            </w:pPr>
          </w:p>
        </w:tc>
        <w:tc>
          <w:tcPr>
            <w:tcW w:w="1509" w:type="dxa"/>
            <w:vAlign w:val="top"/>
          </w:tcPr>
          <w:p w14:paraId="2DEB4A44">
            <w:pPr>
              <w:rPr>
                <w:rFonts w:ascii="Arial"/>
                <w:sz w:val="21"/>
              </w:rPr>
            </w:pPr>
          </w:p>
        </w:tc>
        <w:tc>
          <w:tcPr>
            <w:tcW w:w="1979" w:type="dxa"/>
            <w:vAlign w:val="top"/>
          </w:tcPr>
          <w:p w14:paraId="5DC55588">
            <w:pPr>
              <w:rPr>
                <w:rFonts w:ascii="Arial"/>
                <w:sz w:val="21"/>
              </w:rPr>
            </w:pPr>
          </w:p>
        </w:tc>
        <w:tc>
          <w:tcPr>
            <w:tcW w:w="1319" w:type="dxa"/>
            <w:vAlign w:val="top"/>
          </w:tcPr>
          <w:p w14:paraId="291A622B">
            <w:pPr>
              <w:rPr>
                <w:rFonts w:ascii="Arial"/>
                <w:sz w:val="21"/>
              </w:rPr>
            </w:pPr>
          </w:p>
        </w:tc>
      </w:tr>
      <w:tr w14:paraId="2B625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92" w:type="dxa"/>
            <w:vAlign w:val="top"/>
          </w:tcPr>
          <w:p w14:paraId="0C9302BF">
            <w:pPr>
              <w:spacing w:before="271" w:line="234" w:lineRule="auto"/>
              <w:ind w:left="40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639" w:type="dxa"/>
            <w:vAlign w:val="top"/>
          </w:tcPr>
          <w:p w14:paraId="7A86FC25">
            <w:pPr>
              <w:rPr>
                <w:rFonts w:ascii="Arial"/>
                <w:sz w:val="21"/>
              </w:rPr>
            </w:pPr>
          </w:p>
        </w:tc>
        <w:tc>
          <w:tcPr>
            <w:tcW w:w="1478" w:type="dxa"/>
            <w:vAlign w:val="top"/>
          </w:tcPr>
          <w:p w14:paraId="14DE89B6">
            <w:pPr>
              <w:rPr>
                <w:rFonts w:ascii="Arial"/>
                <w:sz w:val="21"/>
              </w:rPr>
            </w:pPr>
          </w:p>
        </w:tc>
        <w:tc>
          <w:tcPr>
            <w:tcW w:w="1509" w:type="dxa"/>
            <w:vAlign w:val="top"/>
          </w:tcPr>
          <w:p w14:paraId="1B1CE040">
            <w:pPr>
              <w:rPr>
                <w:rFonts w:ascii="Arial"/>
                <w:sz w:val="21"/>
              </w:rPr>
            </w:pPr>
          </w:p>
        </w:tc>
        <w:tc>
          <w:tcPr>
            <w:tcW w:w="1979" w:type="dxa"/>
            <w:vAlign w:val="top"/>
          </w:tcPr>
          <w:p w14:paraId="70E785BA">
            <w:pPr>
              <w:rPr>
                <w:rFonts w:ascii="Arial"/>
                <w:sz w:val="21"/>
              </w:rPr>
            </w:pPr>
          </w:p>
        </w:tc>
        <w:tc>
          <w:tcPr>
            <w:tcW w:w="1319" w:type="dxa"/>
            <w:vAlign w:val="top"/>
          </w:tcPr>
          <w:p w14:paraId="330D9495">
            <w:pPr>
              <w:rPr>
                <w:rFonts w:ascii="Arial"/>
                <w:sz w:val="21"/>
              </w:rPr>
            </w:pPr>
          </w:p>
        </w:tc>
      </w:tr>
      <w:tr w14:paraId="3A1C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892" w:type="dxa"/>
            <w:vAlign w:val="top"/>
          </w:tcPr>
          <w:p w14:paraId="3F45EEFF">
            <w:pPr>
              <w:pStyle w:val="11"/>
              <w:spacing w:before="234" w:line="332" w:lineRule="exact"/>
              <w:ind w:left="359"/>
            </w:pPr>
            <w:r>
              <w:rPr>
                <w:position w:val="2"/>
              </w:rPr>
              <w:t>…</w:t>
            </w:r>
          </w:p>
        </w:tc>
        <w:tc>
          <w:tcPr>
            <w:tcW w:w="1639" w:type="dxa"/>
            <w:vAlign w:val="top"/>
          </w:tcPr>
          <w:p w14:paraId="6C0EA422">
            <w:pPr>
              <w:rPr>
                <w:rFonts w:ascii="Arial"/>
                <w:sz w:val="21"/>
              </w:rPr>
            </w:pPr>
          </w:p>
        </w:tc>
        <w:tc>
          <w:tcPr>
            <w:tcW w:w="1478" w:type="dxa"/>
            <w:vAlign w:val="top"/>
          </w:tcPr>
          <w:p w14:paraId="3BB15042">
            <w:pPr>
              <w:rPr>
                <w:rFonts w:ascii="Arial"/>
                <w:sz w:val="21"/>
              </w:rPr>
            </w:pPr>
          </w:p>
        </w:tc>
        <w:tc>
          <w:tcPr>
            <w:tcW w:w="1509" w:type="dxa"/>
            <w:vAlign w:val="top"/>
          </w:tcPr>
          <w:p w14:paraId="05C6DE3C">
            <w:pPr>
              <w:rPr>
                <w:rFonts w:ascii="Arial"/>
                <w:sz w:val="21"/>
              </w:rPr>
            </w:pPr>
          </w:p>
        </w:tc>
        <w:tc>
          <w:tcPr>
            <w:tcW w:w="1979" w:type="dxa"/>
            <w:vAlign w:val="top"/>
          </w:tcPr>
          <w:p w14:paraId="6F32FBE2">
            <w:pPr>
              <w:rPr>
                <w:rFonts w:ascii="Arial"/>
                <w:sz w:val="21"/>
              </w:rPr>
            </w:pPr>
          </w:p>
        </w:tc>
        <w:tc>
          <w:tcPr>
            <w:tcW w:w="1319" w:type="dxa"/>
            <w:vAlign w:val="top"/>
          </w:tcPr>
          <w:p w14:paraId="2B0F5E09">
            <w:pPr>
              <w:rPr>
                <w:rFonts w:ascii="Arial"/>
                <w:sz w:val="21"/>
              </w:rPr>
            </w:pPr>
          </w:p>
        </w:tc>
      </w:tr>
      <w:tr w14:paraId="6CEC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816" w:type="dxa"/>
            <w:gridSpan w:val="6"/>
            <w:vAlign w:val="top"/>
          </w:tcPr>
          <w:p w14:paraId="3BC35E91">
            <w:pPr>
              <w:pStyle w:val="11"/>
              <w:spacing w:before="54" w:line="220" w:lineRule="auto"/>
              <w:ind w:left="115"/>
            </w:pPr>
            <w:r>
              <w:rPr>
                <w:spacing w:val="-1"/>
              </w:rPr>
              <w:t>评标委员会全体成员签名：</w:t>
            </w:r>
          </w:p>
        </w:tc>
      </w:tr>
    </w:tbl>
    <w:p w14:paraId="0BB1DD4A">
      <w:pPr>
        <w:pStyle w:val="5"/>
        <w:spacing w:line="301" w:lineRule="auto"/>
      </w:pPr>
    </w:p>
    <w:p w14:paraId="026ED198">
      <w:pPr>
        <w:pStyle w:val="5"/>
        <w:spacing w:line="301" w:lineRule="auto"/>
      </w:pPr>
    </w:p>
    <w:p w14:paraId="70CB738C">
      <w:pPr>
        <w:spacing w:before="69" w:line="221" w:lineRule="auto"/>
        <w:jc w:val="right"/>
        <w:rPr>
          <w:rFonts w:ascii="宋体" w:hAnsi="宋体" w:eastAsia="宋体" w:cs="宋体"/>
          <w:sz w:val="21"/>
          <w:szCs w:val="21"/>
        </w:rPr>
      </w:pPr>
      <w:r>
        <w:rPr>
          <w:rFonts w:ascii="宋体" w:hAnsi="宋体" w:eastAsia="宋体" w:cs="宋体"/>
          <w:spacing w:val="-18"/>
          <w:sz w:val="21"/>
          <w:szCs w:val="21"/>
        </w:rPr>
        <w:t>日期：</w:t>
      </w:r>
      <w:r>
        <w:rPr>
          <w:rFonts w:ascii="宋体" w:hAnsi="宋体" w:eastAsia="宋体" w:cs="宋体"/>
          <w:spacing w:val="2"/>
          <w:sz w:val="21"/>
          <w:szCs w:val="21"/>
        </w:rPr>
        <w:t xml:space="preserve">    </w:t>
      </w:r>
      <w:r>
        <w:rPr>
          <w:rFonts w:ascii="宋体" w:hAnsi="宋体" w:eastAsia="宋体" w:cs="宋体"/>
          <w:spacing w:val="-18"/>
          <w:sz w:val="21"/>
          <w:szCs w:val="21"/>
        </w:rPr>
        <w:t>年</w:t>
      </w:r>
      <w:r>
        <w:rPr>
          <w:rFonts w:ascii="宋体" w:hAnsi="宋体" w:eastAsia="宋体" w:cs="宋体"/>
          <w:spacing w:val="4"/>
          <w:sz w:val="21"/>
          <w:szCs w:val="21"/>
        </w:rPr>
        <w:t xml:space="preserve">   </w:t>
      </w:r>
      <w:r>
        <w:rPr>
          <w:rFonts w:ascii="宋体" w:hAnsi="宋体" w:eastAsia="宋体" w:cs="宋体"/>
          <w:spacing w:val="-18"/>
          <w:sz w:val="21"/>
          <w:szCs w:val="21"/>
        </w:rPr>
        <w:t>月</w:t>
      </w:r>
      <w:r>
        <w:rPr>
          <w:rFonts w:ascii="宋体" w:hAnsi="宋体" w:eastAsia="宋体" w:cs="宋体"/>
          <w:spacing w:val="23"/>
          <w:sz w:val="21"/>
          <w:szCs w:val="21"/>
        </w:rPr>
        <w:t xml:space="preserve">  </w:t>
      </w:r>
      <w:r>
        <w:rPr>
          <w:rFonts w:ascii="宋体" w:hAnsi="宋体" w:eastAsia="宋体" w:cs="宋体"/>
          <w:spacing w:val="-18"/>
          <w:sz w:val="21"/>
          <w:szCs w:val="21"/>
        </w:rPr>
        <w:t>日</w:t>
      </w:r>
    </w:p>
    <w:p w14:paraId="571FF317">
      <w:pPr>
        <w:spacing w:line="221" w:lineRule="auto"/>
        <w:rPr>
          <w:rFonts w:ascii="宋体" w:hAnsi="宋体" w:eastAsia="宋体" w:cs="宋体"/>
          <w:sz w:val="21"/>
          <w:szCs w:val="21"/>
        </w:rPr>
        <w:sectPr>
          <w:footerReference r:id="rId81" w:type="default"/>
          <w:pgSz w:w="11905" w:h="16843"/>
          <w:pgMar w:top="969" w:right="1355" w:bottom="1026" w:left="1480" w:header="0" w:footer="754" w:gutter="0"/>
          <w:cols w:space="0" w:num="1"/>
          <w:rtlGutter w:val="0"/>
          <w:docGrid w:linePitch="0" w:charSpace="0"/>
        </w:sectPr>
      </w:pPr>
    </w:p>
    <w:p w14:paraId="3F1EC634">
      <w:pPr>
        <w:pStyle w:val="5"/>
        <w:spacing w:line="241" w:lineRule="auto"/>
      </w:pPr>
    </w:p>
    <w:p w14:paraId="52DD24EC">
      <w:pPr>
        <w:pStyle w:val="5"/>
        <w:spacing w:line="241" w:lineRule="auto"/>
      </w:pPr>
    </w:p>
    <w:p w14:paraId="6E831A7F">
      <w:pPr>
        <w:pStyle w:val="5"/>
        <w:spacing w:line="241" w:lineRule="auto"/>
      </w:pPr>
    </w:p>
    <w:p w14:paraId="47C58705">
      <w:pPr>
        <w:pStyle w:val="5"/>
        <w:spacing w:line="241" w:lineRule="auto"/>
      </w:pPr>
    </w:p>
    <w:p w14:paraId="2601BD23">
      <w:pPr>
        <w:pStyle w:val="5"/>
        <w:spacing w:line="242" w:lineRule="auto"/>
      </w:pPr>
    </w:p>
    <w:p w14:paraId="610FF1C8">
      <w:pPr>
        <w:pStyle w:val="5"/>
        <w:spacing w:line="242" w:lineRule="auto"/>
      </w:pPr>
    </w:p>
    <w:p w14:paraId="12251673">
      <w:pPr>
        <w:pStyle w:val="5"/>
        <w:spacing w:line="242" w:lineRule="auto"/>
      </w:pPr>
    </w:p>
    <w:p w14:paraId="407A764D">
      <w:pPr>
        <w:pStyle w:val="5"/>
        <w:spacing w:line="242" w:lineRule="auto"/>
      </w:pPr>
    </w:p>
    <w:p w14:paraId="7B88D283">
      <w:pPr>
        <w:pStyle w:val="5"/>
        <w:spacing w:line="242" w:lineRule="auto"/>
      </w:pPr>
    </w:p>
    <w:p w14:paraId="29F11100">
      <w:pPr>
        <w:pStyle w:val="5"/>
        <w:spacing w:line="242" w:lineRule="auto"/>
      </w:pPr>
    </w:p>
    <w:p w14:paraId="0C5D80D6">
      <w:pPr>
        <w:pStyle w:val="5"/>
        <w:spacing w:line="242" w:lineRule="auto"/>
      </w:pPr>
    </w:p>
    <w:p w14:paraId="6A586536">
      <w:pPr>
        <w:pStyle w:val="5"/>
        <w:spacing w:line="242" w:lineRule="auto"/>
      </w:pPr>
    </w:p>
    <w:p w14:paraId="27A8A4A7">
      <w:pPr>
        <w:pStyle w:val="5"/>
        <w:spacing w:line="242" w:lineRule="auto"/>
      </w:pPr>
    </w:p>
    <w:p w14:paraId="6FA59637">
      <w:pPr>
        <w:pStyle w:val="5"/>
        <w:spacing w:line="242" w:lineRule="auto"/>
      </w:pPr>
    </w:p>
    <w:p w14:paraId="1BE6014A">
      <w:pPr>
        <w:pStyle w:val="5"/>
        <w:spacing w:line="242" w:lineRule="auto"/>
      </w:pPr>
    </w:p>
    <w:p w14:paraId="58AFB8B9">
      <w:pPr>
        <w:pStyle w:val="5"/>
        <w:spacing w:line="242" w:lineRule="auto"/>
      </w:pPr>
    </w:p>
    <w:p w14:paraId="530DF290">
      <w:pPr>
        <w:pStyle w:val="5"/>
        <w:spacing w:line="242" w:lineRule="auto"/>
      </w:pPr>
    </w:p>
    <w:p w14:paraId="178A5B81">
      <w:pPr>
        <w:pStyle w:val="5"/>
        <w:spacing w:line="242" w:lineRule="auto"/>
      </w:pPr>
    </w:p>
    <w:p w14:paraId="1E135BB0">
      <w:pPr>
        <w:pStyle w:val="5"/>
        <w:spacing w:line="242" w:lineRule="auto"/>
      </w:pPr>
    </w:p>
    <w:p w14:paraId="3994A1C7">
      <w:pPr>
        <w:pStyle w:val="5"/>
        <w:spacing w:line="242" w:lineRule="auto"/>
      </w:pPr>
    </w:p>
    <w:p w14:paraId="6C66A9B1">
      <w:pPr>
        <w:spacing w:before="101" w:line="224" w:lineRule="auto"/>
        <w:ind w:left="2408"/>
        <w:outlineLvl w:val="0"/>
        <w:rPr>
          <w:rFonts w:ascii="黑体" w:hAnsi="黑体" w:eastAsia="黑体" w:cs="黑体"/>
          <w:sz w:val="31"/>
          <w:szCs w:val="31"/>
        </w:rPr>
      </w:pPr>
      <w:bookmarkStart w:id="185" w:name="bookmark143"/>
      <w:bookmarkEnd w:id="185"/>
      <w:bookmarkStart w:id="186" w:name="bookmark535"/>
      <w:bookmarkEnd w:id="186"/>
      <w:r>
        <w:rPr>
          <w:rFonts w:ascii="黑体" w:hAnsi="黑体" w:eastAsia="黑体" w:cs="黑体"/>
          <w:spacing w:val="7"/>
          <w:sz w:val="31"/>
          <w:szCs w:val="31"/>
        </w:rPr>
        <w:t>第四章  合同条款及格式</w:t>
      </w:r>
    </w:p>
    <w:p w14:paraId="01CD957C">
      <w:pPr>
        <w:spacing w:line="224" w:lineRule="auto"/>
        <w:rPr>
          <w:rFonts w:ascii="黑体" w:hAnsi="黑体" w:eastAsia="黑体" w:cs="黑体"/>
          <w:sz w:val="31"/>
          <w:szCs w:val="31"/>
        </w:rPr>
        <w:sectPr>
          <w:footerReference r:id="rId82" w:type="default"/>
          <w:pgSz w:w="11905" w:h="16843"/>
          <w:pgMar w:top="969" w:right="1355" w:bottom="1026" w:left="1480" w:header="0" w:footer="754" w:gutter="0"/>
          <w:cols w:space="0" w:num="1"/>
          <w:rtlGutter w:val="0"/>
          <w:docGrid w:linePitch="0" w:charSpace="0"/>
        </w:sectPr>
      </w:pPr>
    </w:p>
    <w:p w14:paraId="1C1EFE9D">
      <w:pPr>
        <w:pStyle w:val="5"/>
        <w:spacing w:line="241" w:lineRule="auto"/>
      </w:pPr>
    </w:p>
    <w:p w14:paraId="00900ACA">
      <w:pPr>
        <w:pStyle w:val="5"/>
        <w:spacing w:line="242" w:lineRule="auto"/>
      </w:pPr>
    </w:p>
    <w:p w14:paraId="7A6DA139">
      <w:pPr>
        <w:pStyle w:val="5"/>
        <w:spacing w:line="242" w:lineRule="auto"/>
      </w:pPr>
    </w:p>
    <w:p w14:paraId="252591DB">
      <w:pPr>
        <w:pStyle w:val="5"/>
        <w:spacing w:line="242" w:lineRule="auto"/>
      </w:pPr>
    </w:p>
    <w:p w14:paraId="3092B1B1">
      <w:pPr>
        <w:pStyle w:val="5"/>
        <w:spacing w:line="242" w:lineRule="auto"/>
      </w:pPr>
    </w:p>
    <w:p w14:paraId="2552782E">
      <w:pPr>
        <w:pStyle w:val="5"/>
        <w:spacing w:line="242" w:lineRule="auto"/>
      </w:pPr>
    </w:p>
    <w:p w14:paraId="27FB1E47">
      <w:pPr>
        <w:pStyle w:val="5"/>
        <w:spacing w:line="242" w:lineRule="auto"/>
      </w:pPr>
    </w:p>
    <w:p w14:paraId="1297AD61">
      <w:pPr>
        <w:pStyle w:val="5"/>
        <w:spacing w:line="242" w:lineRule="auto"/>
      </w:pPr>
    </w:p>
    <w:p w14:paraId="280BAA98">
      <w:pPr>
        <w:pStyle w:val="5"/>
        <w:spacing w:line="242" w:lineRule="auto"/>
      </w:pPr>
    </w:p>
    <w:p w14:paraId="008F64C3">
      <w:pPr>
        <w:pStyle w:val="5"/>
        <w:spacing w:line="242" w:lineRule="auto"/>
      </w:pPr>
    </w:p>
    <w:p w14:paraId="3831AD82">
      <w:pPr>
        <w:pStyle w:val="5"/>
        <w:spacing w:line="242" w:lineRule="auto"/>
      </w:pPr>
    </w:p>
    <w:p w14:paraId="4480269C">
      <w:pPr>
        <w:pStyle w:val="5"/>
        <w:spacing w:line="242" w:lineRule="auto"/>
      </w:pPr>
    </w:p>
    <w:p w14:paraId="6F98297A">
      <w:pPr>
        <w:pStyle w:val="5"/>
        <w:spacing w:line="242" w:lineRule="auto"/>
      </w:pPr>
    </w:p>
    <w:p w14:paraId="5AA81A89">
      <w:pPr>
        <w:pStyle w:val="5"/>
        <w:spacing w:line="242" w:lineRule="auto"/>
      </w:pPr>
    </w:p>
    <w:p w14:paraId="5A0A602D">
      <w:pPr>
        <w:pStyle w:val="5"/>
        <w:spacing w:line="242" w:lineRule="auto"/>
      </w:pPr>
    </w:p>
    <w:p w14:paraId="7436B24F">
      <w:pPr>
        <w:pStyle w:val="5"/>
        <w:spacing w:line="242" w:lineRule="auto"/>
      </w:pPr>
    </w:p>
    <w:p w14:paraId="01E97528">
      <w:pPr>
        <w:pStyle w:val="5"/>
        <w:spacing w:line="242" w:lineRule="auto"/>
      </w:pPr>
    </w:p>
    <w:p w14:paraId="05CA4328">
      <w:pPr>
        <w:pStyle w:val="5"/>
        <w:spacing w:line="242" w:lineRule="auto"/>
      </w:pPr>
    </w:p>
    <w:p w14:paraId="1031C0DA">
      <w:pPr>
        <w:pStyle w:val="5"/>
        <w:spacing w:line="242" w:lineRule="auto"/>
      </w:pPr>
    </w:p>
    <w:p w14:paraId="3304598F">
      <w:pPr>
        <w:spacing w:before="91" w:line="219" w:lineRule="auto"/>
        <w:ind w:left="2836"/>
        <w:outlineLvl w:val="1"/>
        <w:rPr>
          <w:rFonts w:ascii="黑体" w:hAnsi="黑体" w:eastAsia="黑体" w:cs="黑体"/>
          <w:sz w:val="28"/>
          <w:szCs w:val="28"/>
        </w:rPr>
      </w:pPr>
      <w:bookmarkStart w:id="187" w:name="bookmark536"/>
      <w:bookmarkEnd w:id="187"/>
      <w:bookmarkStart w:id="188" w:name="bookmark144"/>
      <w:bookmarkEnd w:id="188"/>
      <w:r>
        <w:rPr>
          <w:rFonts w:ascii="黑体" w:hAnsi="黑体" w:eastAsia="黑体" w:cs="黑体"/>
          <w:spacing w:val="-1"/>
          <w:sz w:val="28"/>
          <w:szCs w:val="28"/>
        </w:rPr>
        <w:t>第一部分 合同协议书</w:t>
      </w:r>
    </w:p>
    <w:p w14:paraId="38F3289E">
      <w:pPr>
        <w:spacing w:line="219" w:lineRule="auto"/>
        <w:rPr>
          <w:rFonts w:ascii="黑体" w:hAnsi="黑体" w:eastAsia="黑体" w:cs="黑体"/>
          <w:sz w:val="28"/>
          <w:szCs w:val="28"/>
        </w:rPr>
        <w:sectPr>
          <w:footerReference r:id="rId83" w:type="default"/>
          <w:pgSz w:w="11905" w:h="16843"/>
          <w:pgMar w:top="969" w:right="1355" w:bottom="1026" w:left="1480" w:header="0" w:footer="754" w:gutter="0"/>
          <w:cols w:space="0" w:num="1"/>
          <w:rtlGutter w:val="0"/>
          <w:docGrid w:linePitch="0" w:charSpace="0"/>
        </w:sectPr>
      </w:pPr>
    </w:p>
    <w:p w14:paraId="4C32900A">
      <w:pPr>
        <w:pStyle w:val="5"/>
        <w:spacing w:line="250" w:lineRule="auto"/>
      </w:pPr>
    </w:p>
    <w:p w14:paraId="6E978CD3">
      <w:pPr>
        <w:pStyle w:val="5"/>
        <w:spacing w:line="250" w:lineRule="auto"/>
      </w:pPr>
    </w:p>
    <w:p w14:paraId="21E40931">
      <w:pPr>
        <w:pStyle w:val="5"/>
        <w:spacing w:line="250" w:lineRule="auto"/>
      </w:pPr>
    </w:p>
    <w:p w14:paraId="138FEA23">
      <w:pPr>
        <w:pStyle w:val="5"/>
        <w:spacing w:line="250" w:lineRule="auto"/>
      </w:pPr>
    </w:p>
    <w:p w14:paraId="100B318F">
      <w:pPr>
        <w:spacing w:before="91" w:line="219" w:lineRule="auto"/>
        <w:ind w:left="3993"/>
        <w:rPr>
          <w:rFonts w:ascii="黑体" w:hAnsi="黑体" w:eastAsia="黑体" w:cs="黑体"/>
          <w:sz w:val="28"/>
          <w:szCs w:val="28"/>
        </w:rPr>
      </w:pPr>
      <w:bookmarkStart w:id="189" w:name="bookmark537"/>
      <w:bookmarkEnd w:id="189"/>
      <w:r>
        <w:rPr>
          <w:rFonts w:ascii="黑体" w:hAnsi="黑体" w:eastAsia="黑体" w:cs="黑体"/>
          <w:spacing w:val="-2"/>
          <w:sz w:val="28"/>
          <w:szCs w:val="28"/>
        </w:rPr>
        <w:t>合同协议书</w:t>
      </w:r>
    </w:p>
    <w:p w14:paraId="48058BD5">
      <w:pPr>
        <w:pStyle w:val="5"/>
        <w:spacing w:line="422" w:lineRule="auto"/>
      </w:pPr>
    </w:p>
    <w:p w14:paraId="47BAA30A">
      <w:pPr>
        <w:spacing w:before="68" w:line="221" w:lineRule="auto"/>
        <w:ind w:left="3"/>
        <w:rPr>
          <w:rFonts w:ascii="宋体" w:hAnsi="宋体" w:eastAsia="宋体" w:cs="宋体"/>
          <w:sz w:val="21"/>
          <w:szCs w:val="21"/>
        </w:rPr>
      </w:pPr>
      <w:r>
        <w:rPr>
          <w:rFonts w:ascii="宋体" w:hAnsi="宋体" w:eastAsia="宋体" w:cs="宋体"/>
          <w:spacing w:val="-13"/>
          <w:sz w:val="21"/>
          <w:szCs w:val="21"/>
        </w:rPr>
        <w:t>发包人（全称</w:t>
      </w:r>
      <w:r>
        <w:rPr>
          <w:rFonts w:ascii="宋体" w:hAnsi="宋体" w:eastAsia="宋体" w:cs="宋体"/>
          <w:spacing w:val="-19"/>
          <w:sz w:val="21"/>
          <w:szCs w:val="21"/>
        </w:rPr>
        <w:t>）：</w:t>
      </w:r>
      <w:r>
        <w:rPr>
          <w:rFonts w:ascii="宋体" w:hAnsi="宋体" w:eastAsia="宋体" w:cs="宋体"/>
          <w:sz w:val="21"/>
          <w:szCs w:val="21"/>
          <w:u w:val="single" w:color="auto"/>
        </w:rPr>
        <w:t xml:space="preserve">                                    </w:t>
      </w:r>
    </w:p>
    <w:p w14:paraId="5F66C02E">
      <w:pPr>
        <w:spacing w:before="126" w:line="221" w:lineRule="auto"/>
        <w:rPr>
          <w:rFonts w:ascii="宋体" w:hAnsi="宋体" w:eastAsia="宋体" w:cs="宋体"/>
          <w:sz w:val="21"/>
          <w:szCs w:val="21"/>
        </w:rPr>
      </w:pPr>
      <w:r>
        <w:rPr>
          <w:rFonts w:ascii="宋体" w:hAnsi="宋体" w:eastAsia="宋体" w:cs="宋体"/>
          <w:spacing w:val="-12"/>
          <w:sz w:val="21"/>
          <w:szCs w:val="21"/>
        </w:rPr>
        <w:t>承包人（全称</w:t>
      </w:r>
      <w:r>
        <w:rPr>
          <w:rFonts w:ascii="宋体" w:hAnsi="宋体" w:eastAsia="宋体" w:cs="宋体"/>
          <w:spacing w:val="-21"/>
          <w:sz w:val="21"/>
          <w:szCs w:val="21"/>
        </w:rPr>
        <w:t>）：</w:t>
      </w:r>
      <w:r>
        <w:rPr>
          <w:rFonts w:ascii="宋体" w:hAnsi="宋体" w:eastAsia="宋体" w:cs="宋体"/>
          <w:sz w:val="21"/>
          <w:szCs w:val="21"/>
          <w:u w:val="single" w:color="auto"/>
        </w:rPr>
        <w:t xml:space="preserve">                                     </w:t>
      </w:r>
    </w:p>
    <w:p w14:paraId="7D714360">
      <w:pPr>
        <w:spacing w:before="128" w:line="336" w:lineRule="auto"/>
        <w:ind w:left="1" w:hanging="1"/>
        <w:rPr>
          <w:rFonts w:ascii="宋体" w:hAnsi="宋体" w:eastAsia="宋体" w:cs="宋体"/>
          <w:sz w:val="21"/>
          <w:szCs w:val="21"/>
        </w:rPr>
      </w:pPr>
      <w:r>
        <w:rPr>
          <w:rFonts w:ascii="宋体" w:hAnsi="宋体" w:eastAsia="宋体" w:cs="宋体"/>
          <w:spacing w:val="-5"/>
          <w:sz w:val="21"/>
          <w:szCs w:val="21"/>
        </w:rPr>
        <w:t>根据《中华人民共和国民法典》、《中华人民共和国建筑法》及有关法律规定，遵循平等、自愿、</w:t>
      </w:r>
      <w:r>
        <w:rPr>
          <w:rFonts w:ascii="宋体" w:hAnsi="宋体" w:eastAsia="宋体" w:cs="宋体"/>
          <w:spacing w:val="2"/>
          <w:sz w:val="21"/>
          <w:szCs w:val="21"/>
        </w:rPr>
        <w:t>公平和诚实信用的原则，双方就</w:t>
      </w:r>
      <w:r>
        <w:rPr>
          <w:rFonts w:ascii="宋体" w:hAnsi="宋体" w:eastAsia="宋体" w:cs="宋体"/>
          <w:spacing w:val="-84"/>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辽宁省营口市陆生动物疫病病原学监测区域中心建设项目施工</w:t>
      </w:r>
      <w:r>
        <w:rPr>
          <w:rFonts w:ascii="宋体" w:hAnsi="宋体" w:eastAsia="宋体" w:cs="宋体"/>
          <w:spacing w:val="-88"/>
          <w:sz w:val="21"/>
          <w:szCs w:val="21"/>
        </w:rPr>
        <w:t xml:space="preserve"> </w:t>
      </w:r>
      <w:r>
        <w:rPr>
          <w:rFonts w:ascii="宋体" w:hAnsi="宋体" w:eastAsia="宋体" w:cs="宋体"/>
          <w:spacing w:val="2"/>
          <w:sz w:val="21"/>
          <w:szCs w:val="21"/>
        </w:rPr>
        <w:t>工程施工及有关事项协商一致，共同达</w:t>
      </w:r>
      <w:r>
        <w:rPr>
          <w:rFonts w:ascii="宋体" w:hAnsi="宋体" w:eastAsia="宋体" w:cs="宋体"/>
          <w:spacing w:val="-2"/>
          <w:sz w:val="21"/>
          <w:szCs w:val="21"/>
        </w:rPr>
        <w:t>成如下协议：</w:t>
      </w:r>
    </w:p>
    <w:p w14:paraId="458F444C">
      <w:pPr>
        <w:spacing w:before="77" w:line="219" w:lineRule="auto"/>
        <w:ind w:left="3"/>
        <w:rPr>
          <w:rFonts w:ascii="黑体" w:hAnsi="黑体" w:eastAsia="黑体" w:cs="黑体"/>
          <w:sz w:val="21"/>
          <w:szCs w:val="21"/>
        </w:rPr>
      </w:pPr>
      <w:r>
        <w:rPr>
          <w:rFonts w:ascii="黑体" w:hAnsi="黑体" w:eastAsia="黑体" w:cs="黑体"/>
          <w:b/>
          <w:bCs/>
          <w:spacing w:val="-5"/>
          <w:sz w:val="21"/>
          <w:szCs w:val="21"/>
        </w:rPr>
        <w:t>一、工程概况</w:t>
      </w:r>
    </w:p>
    <w:p w14:paraId="71A686EF">
      <w:pPr>
        <w:spacing w:before="292" w:line="235" w:lineRule="auto"/>
        <w:ind w:left="436"/>
        <w:rPr>
          <w:rFonts w:ascii="宋体" w:hAnsi="宋体" w:eastAsia="宋体" w:cs="宋体"/>
          <w:sz w:val="21"/>
          <w:szCs w:val="21"/>
        </w:rPr>
      </w:pPr>
      <w:r>
        <w:rPr>
          <w:rFonts w:ascii="Times New Roman" w:hAnsi="Times New Roman" w:eastAsia="Times New Roman" w:cs="Times New Roman"/>
          <w:spacing w:val="-3"/>
          <w:sz w:val="21"/>
          <w:szCs w:val="21"/>
        </w:rPr>
        <w:t>1.</w:t>
      </w:r>
      <w:r>
        <w:rPr>
          <w:rFonts w:ascii="宋体" w:hAnsi="宋体" w:eastAsia="宋体" w:cs="宋体"/>
          <w:spacing w:val="-3"/>
          <w:sz w:val="21"/>
          <w:szCs w:val="21"/>
        </w:rPr>
        <w:t>工程名称：</w:t>
      </w:r>
      <w:r>
        <w:rPr>
          <w:rFonts w:hint="eastAsia" w:ascii="宋体" w:hAnsi="宋体" w:eastAsia="宋体" w:cs="宋体"/>
          <w:spacing w:val="1"/>
          <w:sz w:val="21"/>
          <w:szCs w:val="21"/>
          <w:u w:val="single" w:color="auto"/>
        </w:rPr>
        <w:t>辽宁省营口市陆生动物疫病病原学监测区域中心建设项目施工</w:t>
      </w:r>
      <w:r>
        <w:rPr>
          <w:rFonts w:ascii="宋体" w:hAnsi="宋体" w:eastAsia="宋体" w:cs="宋体"/>
          <w:spacing w:val="1"/>
          <w:sz w:val="21"/>
          <w:szCs w:val="21"/>
          <w:u w:val="single" w:color="auto"/>
        </w:rPr>
        <w:t xml:space="preserve"> </w:t>
      </w:r>
      <w:r>
        <w:rPr>
          <w:rFonts w:ascii="宋体" w:hAnsi="宋体" w:eastAsia="宋体" w:cs="宋体"/>
          <w:spacing w:val="-3"/>
          <w:sz w:val="21"/>
          <w:szCs w:val="21"/>
        </w:rPr>
        <w:t>。</w:t>
      </w:r>
    </w:p>
    <w:p w14:paraId="2A26DE92">
      <w:pPr>
        <w:spacing w:before="114" w:line="235" w:lineRule="auto"/>
        <w:ind w:left="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工程地点：</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辽宁省营口市西市区清华大街西30-2号</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B39A413">
      <w:pPr>
        <w:spacing w:before="112" w:line="235" w:lineRule="auto"/>
        <w:ind w:left="420"/>
        <w:rPr>
          <w:rFonts w:ascii="宋体" w:hAnsi="宋体" w:eastAsia="宋体" w:cs="宋体"/>
          <w:sz w:val="21"/>
          <w:szCs w:val="21"/>
        </w:rPr>
      </w:pPr>
      <w:r>
        <w:rPr>
          <w:rFonts w:ascii="Times New Roman" w:hAnsi="Times New Roman" w:eastAsia="Times New Roman" w:cs="Times New Roman"/>
          <w:sz w:val="21"/>
          <w:szCs w:val="21"/>
        </w:rPr>
        <w:t>3.</w:t>
      </w:r>
      <w:r>
        <w:rPr>
          <w:rFonts w:ascii="宋体" w:hAnsi="宋体" w:eastAsia="宋体" w:cs="宋体"/>
          <w:sz w:val="21"/>
          <w:szCs w:val="21"/>
        </w:rPr>
        <w:t>工程立项批准文号：</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辽农畜〔2025〕52 号</w:t>
      </w:r>
      <w:r>
        <w:rPr>
          <w:rFonts w:ascii="宋体" w:hAnsi="宋体" w:eastAsia="宋体" w:cs="宋体"/>
          <w:sz w:val="21"/>
          <w:szCs w:val="21"/>
          <w:u w:val="single" w:color="auto"/>
        </w:rPr>
        <w:t xml:space="preserve"> </w:t>
      </w:r>
      <w:r>
        <w:rPr>
          <w:rFonts w:ascii="宋体" w:hAnsi="宋体" w:eastAsia="宋体" w:cs="宋体"/>
          <w:sz w:val="21"/>
          <w:szCs w:val="21"/>
        </w:rPr>
        <w:t>。</w:t>
      </w:r>
    </w:p>
    <w:p w14:paraId="70B21A22">
      <w:pPr>
        <w:spacing w:before="112" w:line="234"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宋体" w:hAnsi="宋体" w:eastAsia="宋体" w:cs="宋体"/>
          <w:spacing w:val="1"/>
          <w:sz w:val="21"/>
          <w:szCs w:val="21"/>
        </w:rPr>
        <w:t>资金来源：</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建设资金来自 中央预算内资金、地方配套资金   ，项目出资比例为   90  %：   10  %</w:t>
      </w:r>
      <w:r>
        <w:rPr>
          <w:rFonts w:ascii="宋体" w:hAnsi="宋体" w:eastAsia="宋体" w:cs="宋体"/>
          <w:sz w:val="21"/>
          <w:szCs w:val="21"/>
          <w:u w:val="single" w:color="auto"/>
        </w:rPr>
        <w:t xml:space="preserve"> </w:t>
      </w:r>
      <w:r>
        <w:rPr>
          <w:rFonts w:ascii="宋体" w:hAnsi="宋体" w:eastAsia="宋体" w:cs="宋体"/>
          <w:sz w:val="21"/>
          <w:szCs w:val="21"/>
        </w:rPr>
        <w:t>。</w:t>
      </w:r>
    </w:p>
    <w:p w14:paraId="4D17BE9D">
      <w:pPr>
        <w:spacing w:before="115" w:line="234" w:lineRule="auto"/>
        <w:ind w:left="421"/>
        <w:rPr>
          <w:rFonts w:ascii="宋体" w:hAnsi="宋体" w:eastAsia="宋体" w:cs="宋体"/>
          <w:sz w:val="21"/>
          <w:szCs w:val="21"/>
        </w:rPr>
      </w:pPr>
      <w:r>
        <w:rPr>
          <w:rFonts w:ascii="Times New Roman" w:hAnsi="Times New Roman" w:eastAsia="Times New Roman" w:cs="Times New Roman"/>
          <w:spacing w:val="-2"/>
          <w:sz w:val="21"/>
          <w:szCs w:val="21"/>
        </w:rPr>
        <w:t>5.</w:t>
      </w:r>
      <w:r>
        <w:rPr>
          <w:rFonts w:ascii="宋体" w:hAnsi="宋体" w:eastAsia="宋体" w:cs="宋体"/>
          <w:spacing w:val="-2"/>
          <w:sz w:val="21"/>
          <w:szCs w:val="21"/>
        </w:rPr>
        <w:t>工程内容：</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工程建设实验室改造470平方米。改造内容包括实验室地面和门窗改造，给排水改造工程1项、电气改造工程1项、实验台柜改造1项，净化通风改造1项。</w:t>
      </w:r>
      <w:r>
        <w:rPr>
          <w:rFonts w:ascii="宋体" w:hAnsi="宋体" w:eastAsia="宋体" w:cs="宋体"/>
          <w:spacing w:val="1"/>
          <w:sz w:val="21"/>
          <w:szCs w:val="21"/>
          <w:u w:val="single" w:color="auto"/>
        </w:rPr>
        <w:t xml:space="preserve"> </w:t>
      </w:r>
      <w:r>
        <w:rPr>
          <w:rFonts w:ascii="宋体" w:hAnsi="宋体" w:eastAsia="宋体" w:cs="宋体"/>
          <w:spacing w:val="-2"/>
          <w:sz w:val="21"/>
          <w:szCs w:val="21"/>
        </w:rPr>
        <w:t xml:space="preserve"> 。</w:t>
      </w:r>
    </w:p>
    <w:p w14:paraId="7E0589FB">
      <w:pPr>
        <w:spacing w:before="113" w:line="234" w:lineRule="auto"/>
        <w:ind w:left="420"/>
        <w:rPr>
          <w:rFonts w:ascii="宋体" w:hAnsi="宋体" w:eastAsia="宋体" w:cs="宋体"/>
          <w:sz w:val="21"/>
          <w:szCs w:val="21"/>
        </w:rPr>
      </w:pPr>
      <w:r>
        <w:rPr>
          <w:rFonts w:ascii="宋体" w:hAnsi="宋体" w:eastAsia="宋体" w:cs="宋体"/>
          <w:spacing w:val="-8"/>
          <w:sz w:val="21"/>
          <w:szCs w:val="21"/>
        </w:rPr>
        <w:t>群体工程应附《承包人承揽工程项目一览表》（附件</w:t>
      </w:r>
      <w:r>
        <w:rPr>
          <w:rFonts w:ascii="宋体" w:hAnsi="宋体" w:eastAsia="宋体" w:cs="宋体"/>
          <w:spacing w:val="-23"/>
          <w:sz w:val="21"/>
          <w:szCs w:val="21"/>
        </w:rPr>
        <w:t xml:space="preserve"> </w:t>
      </w:r>
      <w:r>
        <w:rPr>
          <w:rFonts w:ascii="Times New Roman" w:hAnsi="Times New Roman" w:eastAsia="Times New Roman" w:cs="Times New Roman"/>
          <w:spacing w:val="-8"/>
          <w:sz w:val="21"/>
          <w:szCs w:val="21"/>
        </w:rPr>
        <w:t>1</w:t>
      </w:r>
      <w:r>
        <w:rPr>
          <w:rFonts w:ascii="宋体" w:hAnsi="宋体" w:eastAsia="宋体" w:cs="宋体"/>
          <w:spacing w:val="-8"/>
          <w:sz w:val="21"/>
          <w:szCs w:val="21"/>
        </w:rPr>
        <w:t>）。</w:t>
      </w:r>
    </w:p>
    <w:p w14:paraId="605F92E5">
      <w:pPr>
        <w:spacing w:before="113"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工程承包范围：</w:t>
      </w:r>
    </w:p>
    <w:p w14:paraId="703DCB6A">
      <w:pPr>
        <w:tabs>
          <w:tab w:val="left" w:pos="7524"/>
        </w:tabs>
        <w:spacing w:before="262" w:line="360" w:lineRule="auto"/>
        <w:ind w:left="411"/>
        <w:rPr>
          <w:rFonts w:ascii="宋体" w:hAnsi="宋体" w:eastAsia="宋体" w:cs="宋体"/>
          <w:sz w:val="21"/>
          <w:szCs w:val="21"/>
        </w:rPr>
      </w:pPr>
      <w:r>
        <w:rPr>
          <w:rFonts w:hint="eastAsia"/>
          <w:u w:val="single" w:color="auto"/>
        </w:rPr>
        <w:t>工程建设实验室改造470平方米。改造内容包括实验室地面和门窗改造，给排水改造工程1项、电气改造工程1项、实验台柜改造1项，净化通风改造1项。</w:t>
      </w:r>
      <w:r>
        <w:rPr>
          <w:rFonts w:ascii="宋体" w:hAnsi="宋体" w:eastAsia="宋体" w:cs="宋体"/>
          <w:sz w:val="21"/>
          <w:szCs w:val="21"/>
          <w:u w:val="single" w:color="auto"/>
        </w:rPr>
        <w:tab/>
      </w:r>
      <w:r>
        <w:rPr>
          <w:rFonts w:ascii="宋体" w:hAnsi="宋体" w:eastAsia="宋体" w:cs="宋体"/>
          <w:sz w:val="21"/>
          <w:szCs w:val="21"/>
        </w:rPr>
        <w:t>。</w:t>
      </w:r>
    </w:p>
    <w:p w14:paraId="6FD21296">
      <w:pPr>
        <w:spacing w:before="221" w:line="221" w:lineRule="auto"/>
        <w:ind w:left="3"/>
        <w:rPr>
          <w:rFonts w:ascii="黑体" w:hAnsi="黑体" w:eastAsia="黑体" w:cs="黑体"/>
          <w:sz w:val="21"/>
          <w:szCs w:val="21"/>
        </w:rPr>
      </w:pPr>
      <w:r>
        <w:rPr>
          <w:rFonts w:ascii="黑体" w:hAnsi="黑体" w:eastAsia="黑体" w:cs="黑体"/>
          <w:b/>
          <w:bCs/>
          <w:spacing w:val="-3"/>
          <w:sz w:val="21"/>
          <w:szCs w:val="21"/>
        </w:rPr>
        <w:t>二、合同工期</w:t>
      </w:r>
    </w:p>
    <w:p w14:paraId="7CC19861">
      <w:pPr>
        <w:spacing w:before="288" w:line="221" w:lineRule="auto"/>
        <w:ind w:left="420"/>
        <w:rPr>
          <w:rFonts w:ascii="宋体" w:hAnsi="宋体" w:eastAsia="宋体" w:cs="宋体"/>
          <w:sz w:val="21"/>
          <w:szCs w:val="21"/>
        </w:rPr>
      </w:pPr>
      <w:r>
        <w:rPr>
          <w:rFonts w:ascii="宋体" w:hAnsi="宋体" w:eastAsia="宋体" w:cs="宋体"/>
          <w:spacing w:val="-6"/>
          <w:sz w:val="21"/>
          <w:szCs w:val="21"/>
        </w:rPr>
        <w:t>计划开工日期：</w:t>
      </w:r>
      <w:r>
        <w:rPr>
          <w:rFonts w:ascii="宋体" w:hAnsi="宋体" w:eastAsia="宋体" w:cs="宋体"/>
          <w:spacing w:val="1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6"/>
          <w:sz w:val="21"/>
          <w:szCs w:val="21"/>
        </w:rPr>
        <w:t>日。</w:t>
      </w:r>
    </w:p>
    <w:p w14:paraId="5BA85FD6">
      <w:pPr>
        <w:spacing w:before="130" w:line="221" w:lineRule="auto"/>
        <w:ind w:left="420"/>
        <w:rPr>
          <w:rFonts w:ascii="宋体" w:hAnsi="宋体" w:eastAsia="宋体" w:cs="宋体"/>
          <w:sz w:val="21"/>
          <w:szCs w:val="21"/>
        </w:rPr>
      </w:pPr>
      <w:r>
        <w:rPr>
          <w:rFonts w:ascii="宋体" w:hAnsi="宋体" w:eastAsia="宋体" w:cs="宋体"/>
          <w:spacing w:val="-6"/>
          <w:sz w:val="21"/>
          <w:szCs w:val="21"/>
        </w:rPr>
        <w:t>计划竣工日期：</w:t>
      </w:r>
      <w:r>
        <w:rPr>
          <w:rFonts w:ascii="宋体" w:hAnsi="宋体" w:eastAsia="宋体" w:cs="宋体"/>
          <w:spacing w:val="1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年</w:t>
      </w:r>
      <w:r>
        <w:rPr>
          <w:rFonts w:ascii="宋体" w:hAnsi="宋体" w:eastAsia="宋体" w:cs="宋体"/>
          <w:spacing w:val="17"/>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月</w:t>
      </w:r>
      <w:r>
        <w:rPr>
          <w:rFonts w:ascii="宋体" w:hAnsi="宋体" w:eastAsia="宋体" w:cs="宋体"/>
          <w:spacing w:val="17"/>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6"/>
          <w:sz w:val="21"/>
          <w:szCs w:val="21"/>
        </w:rPr>
        <w:t>日。</w:t>
      </w:r>
    </w:p>
    <w:p w14:paraId="688D155E">
      <w:pPr>
        <w:spacing w:before="129" w:line="335" w:lineRule="auto"/>
        <w:ind w:left="3" w:firstLine="419"/>
        <w:rPr>
          <w:rFonts w:ascii="宋体" w:hAnsi="宋体" w:eastAsia="宋体" w:cs="宋体"/>
          <w:sz w:val="21"/>
          <w:szCs w:val="21"/>
        </w:rPr>
      </w:pPr>
      <w:r>
        <w:rPr>
          <w:rFonts w:ascii="宋体" w:hAnsi="宋体" w:eastAsia="宋体" w:cs="宋体"/>
          <w:sz w:val="21"/>
          <w:szCs w:val="21"/>
        </w:rPr>
        <w:t>工期总日历天数：</w:t>
      </w:r>
      <w:r>
        <w:rPr>
          <w:rFonts w:ascii="宋体" w:hAnsi="宋体" w:eastAsia="宋体" w:cs="宋体"/>
          <w:spacing w:val="12"/>
          <w:sz w:val="21"/>
          <w:szCs w:val="21"/>
          <w:u w:val="single" w:color="auto"/>
        </w:rPr>
        <w:t xml:space="preserve">  </w:t>
      </w:r>
      <w:r>
        <w:rPr>
          <w:rFonts w:hint="eastAsia" w:ascii="宋体" w:hAnsi="宋体" w:eastAsia="宋体" w:cs="宋体"/>
          <w:spacing w:val="12"/>
          <w:sz w:val="21"/>
          <w:szCs w:val="21"/>
          <w:u w:val="single" w:color="auto"/>
          <w:lang w:val="en-US" w:eastAsia="zh-CN"/>
        </w:rPr>
        <w:t>45</w:t>
      </w:r>
      <w:r>
        <w:rPr>
          <w:rFonts w:ascii="宋体" w:hAnsi="宋体" w:eastAsia="宋体" w:cs="宋体"/>
          <w:spacing w:val="12"/>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z w:val="21"/>
          <w:szCs w:val="21"/>
        </w:rPr>
        <w:t>天。工期总日历天数与根据前述计划开竣工日期计算的工期天数</w:t>
      </w:r>
      <w:r>
        <w:rPr>
          <w:rFonts w:ascii="宋体" w:hAnsi="宋体" w:eastAsia="宋体" w:cs="宋体"/>
          <w:spacing w:val="-2"/>
          <w:sz w:val="21"/>
          <w:szCs w:val="21"/>
        </w:rPr>
        <w:t>不一致的，以工期总日历天数为准。</w:t>
      </w:r>
    </w:p>
    <w:p w14:paraId="53BC729B">
      <w:pPr>
        <w:spacing w:before="82" w:line="221" w:lineRule="auto"/>
        <w:ind w:left="109"/>
        <w:rPr>
          <w:rFonts w:ascii="黑体" w:hAnsi="黑体" w:eastAsia="黑体" w:cs="黑体"/>
          <w:sz w:val="21"/>
          <w:szCs w:val="21"/>
        </w:rPr>
      </w:pPr>
      <w:r>
        <w:rPr>
          <w:rFonts w:ascii="黑体" w:hAnsi="黑体" w:eastAsia="黑体" w:cs="黑体"/>
          <w:b/>
          <w:bCs/>
          <w:spacing w:val="-3"/>
          <w:sz w:val="21"/>
          <w:szCs w:val="21"/>
        </w:rPr>
        <w:t>三、质量标准</w:t>
      </w:r>
    </w:p>
    <w:p w14:paraId="019E2ADA">
      <w:pPr>
        <w:spacing w:before="288" w:line="221" w:lineRule="auto"/>
        <w:ind w:left="422"/>
        <w:rPr>
          <w:rFonts w:ascii="宋体" w:hAnsi="宋体" w:eastAsia="宋体" w:cs="宋体"/>
          <w:sz w:val="21"/>
          <w:szCs w:val="21"/>
        </w:rPr>
      </w:pPr>
      <w:r>
        <w:rPr>
          <w:rFonts w:ascii="宋体" w:hAnsi="宋体" w:eastAsia="宋体" w:cs="宋体"/>
          <w:spacing w:val="-4"/>
          <w:sz w:val="21"/>
          <w:szCs w:val="21"/>
        </w:rPr>
        <w:t>工程质量符合</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合格</w:t>
      </w:r>
      <w:r>
        <w:rPr>
          <w:rFonts w:ascii="宋体" w:hAnsi="宋体" w:eastAsia="宋体" w:cs="宋体"/>
          <w:spacing w:val="1"/>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标准。</w:t>
      </w:r>
    </w:p>
    <w:p w14:paraId="1D20C39A">
      <w:pPr>
        <w:spacing w:before="213" w:line="220" w:lineRule="auto"/>
        <w:ind w:left="118"/>
        <w:rPr>
          <w:rFonts w:ascii="黑体" w:hAnsi="黑体" w:eastAsia="黑体" w:cs="黑体"/>
          <w:sz w:val="21"/>
          <w:szCs w:val="21"/>
        </w:rPr>
      </w:pPr>
      <w:r>
        <w:rPr>
          <w:rFonts w:ascii="黑体" w:hAnsi="黑体" w:eastAsia="黑体" w:cs="黑体"/>
          <w:b/>
          <w:bCs/>
          <w:spacing w:val="-3"/>
          <w:sz w:val="21"/>
          <w:szCs w:val="21"/>
        </w:rPr>
        <w:t>四、签约合同价与合同价格形式</w:t>
      </w:r>
    </w:p>
    <w:p w14:paraId="7B999551">
      <w:pPr>
        <w:spacing w:before="290" w:line="233" w:lineRule="auto"/>
        <w:ind w:left="436"/>
        <w:rPr>
          <w:rFonts w:ascii="宋体" w:hAnsi="宋体" w:eastAsia="宋体" w:cs="宋体"/>
          <w:sz w:val="21"/>
          <w:szCs w:val="21"/>
        </w:rPr>
      </w:pPr>
      <w:r>
        <w:rPr>
          <w:rFonts w:ascii="Times New Roman" w:hAnsi="Times New Roman" w:eastAsia="Times New Roman" w:cs="Times New Roman"/>
          <w:spacing w:val="-3"/>
          <w:sz w:val="21"/>
          <w:szCs w:val="21"/>
        </w:rPr>
        <w:t>1.</w:t>
      </w:r>
      <w:r>
        <w:rPr>
          <w:rFonts w:ascii="宋体" w:hAnsi="宋体" w:eastAsia="宋体" w:cs="宋体"/>
          <w:spacing w:val="-3"/>
          <w:sz w:val="21"/>
          <w:szCs w:val="21"/>
        </w:rPr>
        <w:t>签约合同价为：</w:t>
      </w:r>
    </w:p>
    <w:p w14:paraId="5E7BBA7A">
      <w:pPr>
        <w:spacing w:before="114" w:line="220" w:lineRule="auto"/>
        <w:ind w:left="632"/>
        <w:rPr>
          <w:rFonts w:ascii="宋体" w:hAnsi="宋体" w:eastAsia="宋体" w:cs="宋体"/>
          <w:sz w:val="21"/>
          <w:szCs w:val="21"/>
        </w:rPr>
      </w:pPr>
      <w:r>
        <w:rPr>
          <w:rFonts w:ascii="宋体" w:hAnsi="宋体" w:eastAsia="宋体" w:cs="宋体"/>
          <w:spacing w:val="-1"/>
          <w:sz w:val="21"/>
          <w:szCs w:val="21"/>
        </w:rPr>
        <w:t>人民币（大写）</w:t>
      </w:r>
      <w:r>
        <w:rPr>
          <w:rFonts w:ascii="宋体" w:hAnsi="宋体" w:eastAsia="宋体" w:cs="宋体"/>
          <w:spacing w:val="-1"/>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41"/>
          <w:sz w:val="21"/>
          <w:szCs w:val="21"/>
        </w:rPr>
        <w:t xml:space="preserve"> </w:t>
      </w:r>
      <w:r>
        <w:rPr>
          <w:rFonts w:ascii="宋体" w:hAnsi="宋体" w:eastAsia="宋体" w:cs="宋体"/>
          <w:spacing w:val="-2"/>
          <w:sz w:val="21"/>
          <w:szCs w:val="21"/>
        </w:rPr>
        <w:t>元</w:t>
      </w:r>
      <w:r>
        <w:rPr>
          <w:rFonts w:ascii="宋体" w:hAnsi="宋体" w:eastAsia="宋体" w:cs="宋体"/>
          <w:spacing w:val="-54"/>
          <w:w w:val="97"/>
          <w:sz w:val="21"/>
          <w:szCs w:val="21"/>
        </w:rPr>
        <w:t>）；</w:t>
      </w:r>
    </w:p>
    <w:p w14:paraId="44D22775">
      <w:pPr>
        <w:spacing w:before="132" w:line="221" w:lineRule="auto"/>
        <w:ind w:left="631"/>
        <w:rPr>
          <w:rFonts w:ascii="宋体" w:hAnsi="宋体" w:eastAsia="宋体" w:cs="宋体"/>
          <w:sz w:val="21"/>
          <w:szCs w:val="21"/>
        </w:rPr>
      </w:pPr>
      <w:r>
        <w:rPr>
          <w:rFonts w:ascii="宋体" w:hAnsi="宋体" w:eastAsia="宋体" w:cs="宋体"/>
          <w:spacing w:val="-13"/>
          <w:sz w:val="21"/>
          <w:szCs w:val="21"/>
        </w:rPr>
        <w:t>其中：</w:t>
      </w:r>
    </w:p>
    <w:p w14:paraId="2B7E1F79">
      <w:pPr>
        <w:spacing w:before="128" w:line="234" w:lineRule="auto"/>
        <w:ind w:left="426"/>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）安全文明施工费：</w:t>
      </w:r>
    </w:p>
    <w:p w14:paraId="18A93671">
      <w:pPr>
        <w:spacing w:before="112" w:line="220" w:lineRule="auto"/>
        <w:ind w:left="947"/>
        <w:rPr>
          <w:rFonts w:ascii="宋体" w:hAnsi="宋体" w:eastAsia="宋体" w:cs="宋体"/>
          <w:sz w:val="21"/>
          <w:szCs w:val="21"/>
        </w:rPr>
      </w:pPr>
      <w:r>
        <w:rPr>
          <w:rFonts w:ascii="宋体" w:hAnsi="宋体" w:eastAsia="宋体" w:cs="宋体"/>
          <w:spacing w:val="-1"/>
          <w:sz w:val="21"/>
          <w:szCs w:val="21"/>
        </w:rPr>
        <w:t>人民币（大写）</w:t>
      </w:r>
      <w:r>
        <w:rPr>
          <w:rFonts w:ascii="宋体" w:hAnsi="宋体" w:eastAsia="宋体" w:cs="宋体"/>
          <w:spacing w:val="-1"/>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33"/>
          <w:sz w:val="21"/>
          <w:szCs w:val="21"/>
        </w:rPr>
        <w:t xml:space="preserve"> </w:t>
      </w:r>
      <w:r>
        <w:rPr>
          <w:rFonts w:ascii="宋体" w:hAnsi="宋体" w:eastAsia="宋体" w:cs="宋体"/>
          <w:spacing w:val="-2"/>
          <w:sz w:val="21"/>
          <w:szCs w:val="21"/>
        </w:rPr>
        <w:t>元</w:t>
      </w:r>
      <w:r>
        <w:rPr>
          <w:rFonts w:ascii="宋体" w:hAnsi="宋体" w:eastAsia="宋体" w:cs="宋体"/>
          <w:spacing w:val="-54"/>
          <w:w w:val="97"/>
          <w:sz w:val="21"/>
          <w:szCs w:val="21"/>
        </w:rPr>
        <w:t>）；</w:t>
      </w:r>
    </w:p>
    <w:p w14:paraId="0EEA6E97">
      <w:pPr>
        <w:spacing w:before="132" w:line="233"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）材料和工程设备暂估价金额：</w:t>
      </w:r>
    </w:p>
    <w:p w14:paraId="413B1A39">
      <w:pPr>
        <w:spacing w:before="114" w:line="220" w:lineRule="auto"/>
        <w:ind w:left="947"/>
        <w:rPr>
          <w:rFonts w:ascii="宋体" w:hAnsi="宋体" w:eastAsia="宋体" w:cs="宋体"/>
          <w:sz w:val="21"/>
          <w:szCs w:val="21"/>
        </w:rPr>
      </w:pPr>
      <w:r>
        <w:rPr>
          <w:rFonts w:ascii="宋体" w:hAnsi="宋体" w:eastAsia="宋体" w:cs="宋体"/>
          <w:spacing w:val="-1"/>
          <w:sz w:val="21"/>
          <w:szCs w:val="21"/>
        </w:rPr>
        <w:t>人民币（大写）</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41"/>
          <w:sz w:val="21"/>
          <w:szCs w:val="21"/>
        </w:rPr>
        <w:t xml:space="preserve"> </w:t>
      </w:r>
      <w:r>
        <w:rPr>
          <w:rFonts w:ascii="宋体" w:hAnsi="宋体" w:eastAsia="宋体" w:cs="宋体"/>
          <w:spacing w:val="-2"/>
          <w:sz w:val="21"/>
          <w:szCs w:val="21"/>
        </w:rPr>
        <w:t>元</w:t>
      </w:r>
      <w:r>
        <w:rPr>
          <w:rFonts w:ascii="宋体" w:hAnsi="宋体" w:eastAsia="宋体" w:cs="宋体"/>
          <w:spacing w:val="-54"/>
          <w:w w:val="97"/>
          <w:sz w:val="21"/>
          <w:szCs w:val="21"/>
        </w:rPr>
        <w:t>）；</w:t>
      </w:r>
    </w:p>
    <w:p w14:paraId="05407842">
      <w:pPr>
        <w:spacing w:before="129" w:line="233"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）专业工程暂估价金额：</w:t>
      </w:r>
    </w:p>
    <w:p w14:paraId="2D6EDAD1">
      <w:pPr>
        <w:spacing w:before="116" w:line="220" w:lineRule="auto"/>
        <w:ind w:left="947"/>
        <w:rPr>
          <w:rFonts w:ascii="宋体" w:hAnsi="宋体" w:eastAsia="宋体" w:cs="宋体"/>
          <w:sz w:val="21"/>
          <w:szCs w:val="21"/>
        </w:rPr>
      </w:pPr>
      <w:r>
        <w:rPr>
          <w:rFonts w:ascii="宋体" w:hAnsi="宋体" w:eastAsia="宋体" w:cs="宋体"/>
          <w:spacing w:val="-1"/>
          <w:sz w:val="21"/>
          <w:szCs w:val="21"/>
        </w:rPr>
        <w:t>人民币（大写）</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41"/>
          <w:sz w:val="21"/>
          <w:szCs w:val="21"/>
        </w:rPr>
        <w:t xml:space="preserve"> </w:t>
      </w:r>
      <w:r>
        <w:rPr>
          <w:rFonts w:ascii="宋体" w:hAnsi="宋体" w:eastAsia="宋体" w:cs="宋体"/>
          <w:spacing w:val="-2"/>
          <w:sz w:val="21"/>
          <w:szCs w:val="21"/>
        </w:rPr>
        <w:t>元</w:t>
      </w:r>
      <w:r>
        <w:rPr>
          <w:rFonts w:ascii="宋体" w:hAnsi="宋体" w:eastAsia="宋体" w:cs="宋体"/>
          <w:spacing w:val="-54"/>
          <w:w w:val="97"/>
          <w:sz w:val="21"/>
          <w:szCs w:val="21"/>
        </w:rPr>
        <w:t>）；</w:t>
      </w:r>
    </w:p>
    <w:p w14:paraId="2EB47D88">
      <w:pPr>
        <w:spacing w:before="69" w:line="234" w:lineRule="auto"/>
        <w:ind w:left="427"/>
        <w:rPr>
          <w:rFonts w:ascii="宋体" w:hAnsi="宋体" w:eastAsia="宋体" w:cs="宋体"/>
          <w:sz w:val="21"/>
          <w:szCs w:val="21"/>
        </w:rPr>
      </w:pPr>
      <w:bookmarkStart w:id="190" w:name="bookmark538"/>
      <w:bookmarkEnd w:id="190"/>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）暂列金额：</w:t>
      </w:r>
    </w:p>
    <w:p w14:paraId="06C31B67">
      <w:pPr>
        <w:spacing w:before="112" w:line="220" w:lineRule="auto"/>
        <w:ind w:left="948"/>
        <w:rPr>
          <w:rFonts w:ascii="宋体" w:hAnsi="宋体" w:eastAsia="宋体" w:cs="宋体"/>
          <w:sz w:val="21"/>
          <w:szCs w:val="21"/>
        </w:rPr>
      </w:pPr>
      <w:r>
        <w:rPr>
          <w:rFonts w:ascii="宋体" w:hAnsi="宋体" w:eastAsia="宋体" w:cs="宋体"/>
          <w:spacing w:val="-4"/>
          <w:sz w:val="21"/>
          <w:szCs w:val="21"/>
        </w:rPr>
        <w:t>人民币（大写）</w:t>
      </w:r>
      <w:r>
        <w:rPr>
          <w:rFonts w:ascii="宋体" w:hAnsi="宋体" w:eastAsia="宋体" w:cs="宋体"/>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4"/>
          <w:sz w:val="21"/>
          <w:szCs w:val="21"/>
        </w:rPr>
        <w:t>(</w:t>
      </w: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4"/>
          <w:sz w:val="21"/>
          <w:szCs w:val="21"/>
          <w:u w:val="single" w:color="auto"/>
        </w:rPr>
        <w:t xml:space="preserve">           </w:t>
      </w:r>
      <w:r>
        <w:rPr>
          <w:rFonts w:ascii="Times New Roman" w:hAnsi="Times New Roman" w:eastAsia="Times New Roman" w:cs="Times New Roman"/>
          <w:spacing w:val="-5"/>
          <w:sz w:val="21"/>
          <w:szCs w:val="21"/>
          <w:u w:val="single" w:color="auto"/>
        </w:rPr>
        <w:t xml:space="preserve">            </w:t>
      </w:r>
      <w:r>
        <w:rPr>
          <w:rFonts w:ascii="Times New Roman" w:hAnsi="Times New Roman" w:eastAsia="Times New Roman" w:cs="Times New Roman"/>
          <w:spacing w:val="-42"/>
          <w:sz w:val="21"/>
          <w:szCs w:val="21"/>
        </w:rPr>
        <w:t xml:space="preserve"> </w:t>
      </w:r>
      <w:r>
        <w:rPr>
          <w:rFonts w:ascii="宋体" w:hAnsi="宋体" w:eastAsia="宋体" w:cs="宋体"/>
          <w:spacing w:val="-5"/>
          <w:sz w:val="21"/>
          <w:szCs w:val="21"/>
        </w:rPr>
        <w:t>元）。</w:t>
      </w:r>
    </w:p>
    <w:p w14:paraId="302D1590">
      <w:pPr>
        <w:spacing w:before="129" w:line="233" w:lineRule="auto"/>
        <w:ind w:left="417"/>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合同价格形式：</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w:t>
      </w:r>
    </w:p>
    <w:p w14:paraId="1C72F5BD">
      <w:pPr>
        <w:spacing w:before="200" w:line="220" w:lineRule="auto"/>
        <w:ind w:left="6"/>
        <w:rPr>
          <w:rFonts w:ascii="黑体" w:hAnsi="黑体" w:eastAsia="黑体" w:cs="黑体"/>
          <w:sz w:val="21"/>
          <w:szCs w:val="21"/>
        </w:rPr>
      </w:pPr>
      <w:r>
        <w:rPr>
          <w:rFonts w:ascii="黑体" w:hAnsi="黑体" w:eastAsia="黑体" w:cs="黑体"/>
          <w:b/>
          <w:bCs/>
          <w:spacing w:val="-4"/>
          <w:sz w:val="21"/>
          <w:szCs w:val="21"/>
        </w:rPr>
        <w:t>五、项目经理</w:t>
      </w:r>
    </w:p>
    <w:p w14:paraId="174D3324">
      <w:pPr>
        <w:spacing w:before="289" w:line="221" w:lineRule="auto"/>
        <w:ind w:left="420"/>
        <w:rPr>
          <w:rFonts w:ascii="宋体" w:hAnsi="宋体" w:eastAsia="宋体" w:cs="宋体"/>
          <w:sz w:val="21"/>
          <w:szCs w:val="21"/>
        </w:rPr>
      </w:pPr>
      <w:r>
        <w:rPr>
          <w:rFonts w:ascii="宋体" w:hAnsi="宋体" w:eastAsia="宋体" w:cs="宋体"/>
          <w:spacing w:val="-1"/>
          <w:sz w:val="21"/>
          <w:szCs w:val="21"/>
        </w:rPr>
        <w:t>承包人项目经理：</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w:t>
      </w:r>
    </w:p>
    <w:p w14:paraId="099EDE19">
      <w:pPr>
        <w:spacing w:before="212" w:line="220" w:lineRule="auto"/>
        <w:ind w:left="7"/>
        <w:rPr>
          <w:rFonts w:ascii="黑体" w:hAnsi="黑体" w:eastAsia="黑体" w:cs="黑体"/>
          <w:sz w:val="21"/>
          <w:szCs w:val="21"/>
        </w:rPr>
      </w:pPr>
      <w:r>
        <w:rPr>
          <w:rFonts w:ascii="黑体" w:hAnsi="黑体" w:eastAsia="黑体" w:cs="黑体"/>
          <w:b/>
          <w:bCs/>
          <w:spacing w:val="-3"/>
          <w:sz w:val="21"/>
          <w:szCs w:val="21"/>
        </w:rPr>
        <w:t>六、合同文件构成</w:t>
      </w:r>
    </w:p>
    <w:p w14:paraId="48EB64B4">
      <w:pPr>
        <w:spacing w:before="289" w:line="220" w:lineRule="auto"/>
        <w:ind w:left="421"/>
        <w:rPr>
          <w:rFonts w:ascii="宋体" w:hAnsi="宋体" w:eastAsia="宋体" w:cs="宋体"/>
          <w:sz w:val="21"/>
          <w:szCs w:val="21"/>
        </w:rPr>
      </w:pPr>
      <w:r>
        <w:rPr>
          <w:rFonts w:ascii="宋体" w:hAnsi="宋体" w:eastAsia="宋体" w:cs="宋体"/>
          <w:spacing w:val="-2"/>
          <w:sz w:val="21"/>
          <w:szCs w:val="21"/>
        </w:rPr>
        <w:t>本协议书与下列文件一起构成合同文件：</w:t>
      </w:r>
    </w:p>
    <w:p w14:paraId="4E4DA184">
      <w:pPr>
        <w:spacing w:before="129"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）中标通知书（如果有</w:t>
      </w:r>
      <w:r>
        <w:rPr>
          <w:rFonts w:ascii="宋体" w:hAnsi="宋体" w:eastAsia="宋体" w:cs="宋体"/>
          <w:spacing w:val="-56"/>
          <w:sz w:val="21"/>
          <w:szCs w:val="21"/>
        </w:rPr>
        <w:t>）；</w:t>
      </w:r>
    </w:p>
    <w:p w14:paraId="29B42BF9">
      <w:pPr>
        <w:spacing w:before="116" w:line="234"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2</w:t>
      </w:r>
      <w:r>
        <w:rPr>
          <w:rFonts w:ascii="宋体" w:hAnsi="宋体" w:eastAsia="宋体" w:cs="宋体"/>
          <w:spacing w:val="-7"/>
          <w:sz w:val="21"/>
          <w:szCs w:val="21"/>
        </w:rPr>
        <w:t>）投标函及其附录（如果有</w:t>
      </w:r>
      <w:r>
        <w:rPr>
          <w:rFonts w:ascii="宋体" w:hAnsi="宋体" w:eastAsia="宋体" w:cs="宋体"/>
          <w:spacing w:val="-17"/>
          <w:sz w:val="21"/>
          <w:szCs w:val="21"/>
        </w:rPr>
        <w:t>）；</w:t>
      </w:r>
    </w:p>
    <w:p w14:paraId="5AC0E528">
      <w:pPr>
        <w:spacing w:before="113"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）专用合同条款及其附件；</w:t>
      </w:r>
    </w:p>
    <w:p w14:paraId="736BC864">
      <w:pPr>
        <w:spacing w:before="114"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）通用合同条款；</w:t>
      </w:r>
    </w:p>
    <w:p w14:paraId="196A325D">
      <w:pPr>
        <w:spacing w:before="115" w:line="234"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5</w:t>
      </w:r>
      <w:r>
        <w:rPr>
          <w:rFonts w:ascii="宋体" w:hAnsi="宋体" w:eastAsia="宋体" w:cs="宋体"/>
          <w:spacing w:val="-4"/>
          <w:sz w:val="21"/>
          <w:szCs w:val="21"/>
        </w:rPr>
        <w:t>）技术标准和要求；</w:t>
      </w:r>
    </w:p>
    <w:p w14:paraId="66A83E6C">
      <w:pPr>
        <w:spacing w:before="112" w:line="236"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）图纸；</w:t>
      </w:r>
    </w:p>
    <w:p w14:paraId="57592C20">
      <w:pPr>
        <w:spacing w:before="111"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）已标价工程量清单或预算书；</w:t>
      </w:r>
    </w:p>
    <w:p w14:paraId="147B3635">
      <w:pPr>
        <w:spacing w:before="117"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8</w:t>
      </w:r>
      <w:r>
        <w:rPr>
          <w:rFonts w:ascii="宋体" w:hAnsi="宋体" w:eastAsia="宋体" w:cs="宋体"/>
          <w:spacing w:val="-2"/>
          <w:sz w:val="21"/>
          <w:szCs w:val="21"/>
        </w:rPr>
        <w:t>）其他合同文件。</w:t>
      </w:r>
    </w:p>
    <w:p w14:paraId="2213E29E">
      <w:pPr>
        <w:spacing w:before="112" w:line="221" w:lineRule="auto"/>
        <w:ind w:left="420"/>
        <w:rPr>
          <w:rFonts w:ascii="宋体" w:hAnsi="宋体" w:eastAsia="宋体" w:cs="宋体"/>
          <w:sz w:val="21"/>
          <w:szCs w:val="21"/>
        </w:rPr>
      </w:pPr>
      <w:r>
        <w:rPr>
          <w:rFonts w:ascii="宋体" w:hAnsi="宋体" w:eastAsia="宋体" w:cs="宋体"/>
          <w:sz w:val="21"/>
          <w:szCs w:val="21"/>
        </w:rPr>
        <w:t>在合同订立及履行过程中形成的与合同有关的文件均构成合同文件组成部</w:t>
      </w:r>
      <w:r>
        <w:rPr>
          <w:rFonts w:ascii="宋体" w:hAnsi="宋体" w:eastAsia="宋体" w:cs="宋体"/>
          <w:spacing w:val="-1"/>
          <w:sz w:val="21"/>
          <w:szCs w:val="21"/>
        </w:rPr>
        <w:t>分。</w:t>
      </w:r>
    </w:p>
    <w:p w14:paraId="7C8BF5A6">
      <w:pPr>
        <w:spacing w:before="129" w:line="337" w:lineRule="auto"/>
        <w:ind w:left="2" w:firstLine="420"/>
        <w:rPr>
          <w:rFonts w:ascii="宋体" w:hAnsi="宋体" w:eastAsia="宋体" w:cs="宋体"/>
          <w:sz w:val="21"/>
          <w:szCs w:val="21"/>
        </w:rPr>
      </w:pPr>
      <w:r>
        <w:rPr>
          <w:rFonts w:ascii="宋体" w:hAnsi="宋体" w:eastAsia="宋体" w:cs="宋体"/>
          <w:sz w:val="21"/>
          <w:szCs w:val="21"/>
        </w:rPr>
        <w:t>上述各项合同文件包括合同当事人就该项合同文件所作出的补充和修改，属于同</w:t>
      </w:r>
      <w:r>
        <w:rPr>
          <w:rFonts w:ascii="宋体" w:hAnsi="宋体" w:eastAsia="宋体" w:cs="宋体"/>
          <w:spacing w:val="-1"/>
          <w:sz w:val="21"/>
          <w:szCs w:val="21"/>
        </w:rPr>
        <w:t>一类内容的文件，应以最新签署的为准。专用合同条款及其附件须经合同当事人签字或盖章。</w:t>
      </w:r>
    </w:p>
    <w:p w14:paraId="1322ADA0">
      <w:pPr>
        <w:spacing w:before="78" w:line="221" w:lineRule="auto"/>
        <w:rPr>
          <w:rFonts w:ascii="黑体" w:hAnsi="黑体" w:eastAsia="黑体" w:cs="黑体"/>
          <w:sz w:val="21"/>
          <w:szCs w:val="21"/>
        </w:rPr>
      </w:pPr>
      <w:r>
        <w:rPr>
          <w:rFonts w:ascii="黑体" w:hAnsi="黑体" w:eastAsia="黑体" w:cs="黑体"/>
          <w:b/>
          <w:bCs/>
          <w:spacing w:val="-3"/>
          <w:sz w:val="21"/>
          <w:szCs w:val="21"/>
        </w:rPr>
        <w:t>七、承诺</w:t>
      </w:r>
    </w:p>
    <w:p w14:paraId="3B8B2569">
      <w:pPr>
        <w:spacing w:before="289" w:line="276" w:lineRule="auto"/>
        <w:ind w:left="1" w:right="2" w:firstLine="435"/>
        <w:rPr>
          <w:rFonts w:ascii="宋体" w:hAnsi="宋体" w:eastAsia="宋体" w:cs="宋体"/>
          <w:sz w:val="21"/>
          <w:szCs w:val="21"/>
        </w:rPr>
      </w:pPr>
      <w:r>
        <w:rPr>
          <w:rFonts w:ascii="Times New Roman" w:hAnsi="Times New Roman" w:eastAsia="Times New Roman" w:cs="Times New Roman"/>
          <w:spacing w:val="1"/>
          <w:sz w:val="21"/>
          <w:szCs w:val="21"/>
        </w:rPr>
        <w:t>1.</w:t>
      </w:r>
      <w:r>
        <w:rPr>
          <w:rFonts w:ascii="宋体" w:hAnsi="宋体" w:eastAsia="宋体" w:cs="宋体"/>
          <w:spacing w:val="1"/>
          <w:sz w:val="21"/>
          <w:szCs w:val="21"/>
        </w:rPr>
        <w:t>发包人承诺按照法律规定履行项目审批手续、筹集工程建设资金</w:t>
      </w:r>
      <w:r>
        <w:rPr>
          <w:rFonts w:ascii="宋体" w:hAnsi="宋体" w:eastAsia="宋体" w:cs="宋体"/>
          <w:sz w:val="21"/>
          <w:szCs w:val="21"/>
        </w:rPr>
        <w:t>并按照合同约定的期限和</w:t>
      </w:r>
      <w:r>
        <w:rPr>
          <w:rFonts w:ascii="宋体" w:hAnsi="宋体" w:eastAsia="宋体" w:cs="宋体"/>
          <w:spacing w:val="-3"/>
          <w:sz w:val="21"/>
          <w:szCs w:val="21"/>
        </w:rPr>
        <w:t>方式支付合同价款。</w:t>
      </w:r>
    </w:p>
    <w:p w14:paraId="67EE3FF3">
      <w:pPr>
        <w:spacing w:before="133" w:line="277" w:lineRule="auto"/>
        <w:ind w:right="2" w:firstLine="416"/>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承包人承诺按照法律规定及合同约定组织完成工程施工，确保工程质量和安全，不进行转</w:t>
      </w:r>
      <w:r>
        <w:rPr>
          <w:rFonts w:ascii="宋体" w:hAnsi="宋体" w:eastAsia="宋体" w:cs="宋体"/>
          <w:spacing w:val="-1"/>
          <w:sz w:val="21"/>
          <w:szCs w:val="21"/>
        </w:rPr>
        <w:t>包及违法分包，并在缺陷责任期及保修期内承担相应的工程维修责任。</w:t>
      </w:r>
    </w:p>
    <w:p w14:paraId="01434B1F">
      <w:pPr>
        <w:spacing w:before="128" w:line="278" w:lineRule="auto"/>
        <w:ind w:left="1" w:firstLine="419"/>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发包人和承包人通过招投标形式签订合同的，双方理解并承诺不再就同一工程另行签订与</w:t>
      </w:r>
      <w:r>
        <w:rPr>
          <w:rFonts w:ascii="宋体" w:hAnsi="宋体" w:eastAsia="宋体" w:cs="宋体"/>
          <w:spacing w:val="-2"/>
          <w:sz w:val="21"/>
          <w:szCs w:val="21"/>
        </w:rPr>
        <w:t>合同实质性内容相背离的协议。</w:t>
      </w:r>
    </w:p>
    <w:p w14:paraId="12F10D80">
      <w:pPr>
        <w:spacing w:before="212" w:line="221" w:lineRule="auto"/>
        <w:rPr>
          <w:rFonts w:ascii="黑体" w:hAnsi="黑体" w:eastAsia="黑体" w:cs="黑体"/>
          <w:sz w:val="21"/>
          <w:szCs w:val="21"/>
        </w:rPr>
      </w:pPr>
      <w:r>
        <w:rPr>
          <w:rFonts w:ascii="黑体" w:hAnsi="黑体" w:eastAsia="黑体" w:cs="黑体"/>
          <w:b/>
          <w:bCs/>
          <w:spacing w:val="-3"/>
          <w:sz w:val="21"/>
          <w:szCs w:val="21"/>
        </w:rPr>
        <w:t>八、词语含义</w:t>
      </w:r>
    </w:p>
    <w:p w14:paraId="43F167A0">
      <w:pPr>
        <w:spacing w:before="289" w:line="220" w:lineRule="auto"/>
        <w:ind w:left="421"/>
        <w:rPr>
          <w:rFonts w:ascii="宋体" w:hAnsi="宋体" w:eastAsia="宋体" w:cs="宋体"/>
          <w:sz w:val="21"/>
          <w:szCs w:val="21"/>
        </w:rPr>
      </w:pPr>
      <w:r>
        <w:rPr>
          <w:rFonts w:ascii="宋体" w:hAnsi="宋体" w:eastAsia="宋体" w:cs="宋体"/>
          <w:spacing w:val="-1"/>
          <w:sz w:val="21"/>
          <w:szCs w:val="21"/>
        </w:rPr>
        <w:t>本协议书中词语含义与第二部分通用合同条款中赋予的含义相同。</w:t>
      </w:r>
    </w:p>
    <w:p w14:paraId="59944FD5">
      <w:pPr>
        <w:spacing w:before="214" w:line="221" w:lineRule="auto"/>
        <w:ind w:left="5"/>
        <w:rPr>
          <w:rFonts w:ascii="黑体" w:hAnsi="黑体" w:eastAsia="黑体" w:cs="黑体"/>
          <w:sz w:val="21"/>
          <w:szCs w:val="21"/>
        </w:rPr>
      </w:pPr>
      <w:r>
        <w:rPr>
          <w:rFonts w:ascii="黑体" w:hAnsi="黑体" w:eastAsia="黑体" w:cs="黑体"/>
          <w:b/>
          <w:bCs/>
          <w:spacing w:val="-4"/>
          <w:sz w:val="21"/>
          <w:szCs w:val="21"/>
        </w:rPr>
        <w:t>九、签订时间</w:t>
      </w:r>
    </w:p>
    <w:p w14:paraId="64296EAF">
      <w:pPr>
        <w:spacing w:before="288" w:line="220" w:lineRule="auto"/>
        <w:ind w:left="421"/>
        <w:rPr>
          <w:rFonts w:ascii="宋体" w:hAnsi="宋体" w:eastAsia="宋体" w:cs="宋体"/>
          <w:sz w:val="21"/>
          <w:szCs w:val="21"/>
        </w:rPr>
      </w:pPr>
      <w:r>
        <w:rPr>
          <w:rFonts w:ascii="宋体" w:hAnsi="宋体" w:eastAsia="宋体" w:cs="宋体"/>
          <w:spacing w:val="-6"/>
          <w:sz w:val="21"/>
          <w:szCs w:val="21"/>
        </w:rPr>
        <w:t>本合同于</w:t>
      </w:r>
      <w:r>
        <w:rPr>
          <w:rFonts w:ascii="宋体" w:hAnsi="宋体" w:eastAsia="宋体" w:cs="宋体"/>
          <w:spacing w:val="14"/>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年</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月</w:t>
      </w:r>
      <w:r>
        <w:rPr>
          <w:rFonts w:ascii="宋体" w:hAnsi="宋体" w:eastAsia="宋体" w:cs="宋体"/>
          <w:spacing w:val="25"/>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6"/>
          <w:sz w:val="21"/>
          <w:szCs w:val="21"/>
        </w:rPr>
        <w:t>日签订。</w:t>
      </w:r>
    </w:p>
    <w:p w14:paraId="285E7268">
      <w:pPr>
        <w:spacing w:before="216" w:line="221" w:lineRule="auto"/>
        <w:ind w:left="3"/>
        <w:rPr>
          <w:rFonts w:ascii="黑体" w:hAnsi="黑体" w:eastAsia="黑体" w:cs="黑体"/>
          <w:sz w:val="21"/>
          <w:szCs w:val="21"/>
        </w:rPr>
      </w:pPr>
      <w:r>
        <w:rPr>
          <w:rFonts w:ascii="黑体" w:hAnsi="黑体" w:eastAsia="黑体" w:cs="黑体"/>
          <w:b/>
          <w:bCs/>
          <w:spacing w:val="-3"/>
          <w:sz w:val="21"/>
          <w:szCs w:val="21"/>
        </w:rPr>
        <w:t>十、签订地点</w:t>
      </w:r>
    </w:p>
    <w:p w14:paraId="0FB59BD2">
      <w:pPr>
        <w:spacing w:before="288" w:line="220" w:lineRule="auto"/>
        <w:ind w:left="421"/>
        <w:rPr>
          <w:rFonts w:ascii="宋体" w:hAnsi="宋体" w:eastAsia="宋体" w:cs="宋体"/>
          <w:sz w:val="21"/>
          <w:szCs w:val="21"/>
        </w:rPr>
      </w:pPr>
      <w:r>
        <w:rPr>
          <w:rFonts w:ascii="宋体" w:hAnsi="宋体" w:eastAsia="宋体" w:cs="宋体"/>
          <w:spacing w:val="-5"/>
          <w:sz w:val="21"/>
          <w:szCs w:val="21"/>
        </w:rPr>
        <w:t>本合同在</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辽宁省营口市</w:t>
      </w:r>
      <w:r>
        <w:rPr>
          <w:rFonts w:ascii="宋体" w:hAnsi="宋体" w:eastAsia="宋体" w:cs="宋体"/>
          <w:spacing w:val="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5"/>
          <w:sz w:val="21"/>
          <w:szCs w:val="21"/>
        </w:rPr>
        <w:t>签订。</w:t>
      </w:r>
    </w:p>
    <w:p w14:paraId="50F9DDE5">
      <w:pPr>
        <w:spacing w:before="213" w:line="220" w:lineRule="auto"/>
        <w:ind w:left="3"/>
        <w:rPr>
          <w:rFonts w:ascii="黑体" w:hAnsi="黑体" w:eastAsia="黑体" w:cs="黑体"/>
          <w:sz w:val="21"/>
          <w:szCs w:val="21"/>
        </w:rPr>
      </w:pPr>
      <w:r>
        <w:rPr>
          <w:rFonts w:ascii="黑体" w:hAnsi="黑体" w:eastAsia="黑体" w:cs="黑体"/>
          <w:b/>
          <w:bCs/>
          <w:spacing w:val="-4"/>
          <w:sz w:val="21"/>
          <w:szCs w:val="21"/>
        </w:rPr>
        <w:t>十一、补充协议</w:t>
      </w:r>
    </w:p>
    <w:p w14:paraId="0E8413D2">
      <w:pPr>
        <w:spacing w:line="220" w:lineRule="auto"/>
        <w:rPr>
          <w:rFonts w:ascii="黑体" w:hAnsi="黑体" w:eastAsia="黑体" w:cs="黑体"/>
          <w:sz w:val="21"/>
          <w:szCs w:val="21"/>
        </w:rPr>
        <w:sectPr>
          <w:footerReference r:id="rId84" w:type="default"/>
          <w:pgSz w:w="11905" w:h="16843"/>
          <w:pgMar w:top="969" w:right="1355" w:bottom="1026" w:left="1480" w:header="0" w:footer="754" w:gutter="0"/>
          <w:cols w:space="0" w:num="1"/>
          <w:rtlGutter w:val="0"/>
          <w:docGrid w:linePitch="0" w:charSpace="0"/>
        </w:sectPr>
      </w:pPr>
    </w:p>
    <w:p w14:paraId="6D34D66C">
      <w:pPr>
        <w:pStyle w:val="5"/>
        <w:spacing w:line="266" w:lineRule="auto"/>
      </w:pPr>
    </w:p>
    <w:p w14:paraId="33820B74">
      <w:pPr>
        <w:pStyle w:val="5"/>
        <w:spacing w:line="266" w:lineRule="auto"/>
      </w:pPr>
    </w:p>
    <w:p w14:paraId="2C5B46DD">
      <w:pPr>
        <w:pStyle w:val="5"/>
        <w:spacing w:line="267" w:lineRule="auto"/>
      </w:pPr>
    </w:p>
    <w:p w14:paraId="524CF507">
      <w:pPr>
        <w:pStyle w:val="5"/>
        <w:spacing w:line="267" w:lineRule="auto"/>
      </w:pPr>
    </w:p>
    <w:p w14:paraId="7B4886A7">
      <w:pPr>
        <w:spacing w:before="69" w:line="221" w:lineRule="auto"/>
        <w:ind w:left="429"/>
        <w:rPr>
          <w:rFonts w:ascii="宋体" w:hAnsi="宋体" w:eastAsia="宋体" w:cs="宋体"/>
          <w:sz w:val="21"/>
          <w:szCs w:val="21"/>
        </w:rPr>
      </w:pPr>
      <w:r>
        <w:rPr>
          <w:rFonts w:ascii="宋体" w:hAnsi="宋体" w:eastAsia="宋体" w:cs="宋体"/>
          <w:sz w:val="21"/>
          <w:szCs w:val="21"/>
        </w:rPr>
        <w:t>合同未尽事宜，合同当事人另行签订补充协议，补充协议是合同的组成</w:t>
      </w:r>
      <w:r>
        <w:rPr>
          <w:rFonts w:ascii="宋体" w:hAnsi="宋体" w:eastAsia="宋体" w:cs="宋体"/>
          <w:spacing w:val="-1"/>
          <w:sz w:val="21"/>
          <w:szCs w:val="21"/>
        </w:rPr>
        <w:t>部分。</w:t>
      </w:r>
    </w:p>
    <w:p w14:paraId="7F7729AF">
      <w:pPr>
        <w:spacing w:before="212" w:line="219" w:lineRule="auto"/>
        <w:ind w:left="10"/>
        <w:rPr>
          <w:rFonts w:ascii="黑体" w:hAnsi="黑体" w:eastAsia="黑体" w:cs="黑体"/>
          <w:sz w:val="21"/>
          <w:szCs w:val="21"/>
        </w:rPr>
      </w:pPr>
      <w:bookmarkStart w:id="191" w:name="bookmark539"/>
      <w:bookmarkEnd w:id="191"/>
      <w:r>
        <w:rPr>
          <w:rFonts w:ascii="黑体" w:hAnsi="黑体" w:eastAsia="黑体" w:cs="黑体"/>
          <w:b/>
          <w:bCs/>
          <w:spacing w:val="-3"/>
          <w:sz w:val="21"/>
          <w:szCs w:val="21"/>
        </w:rPr>
        <w:t>十二、合同生效</w:t>
      </w:r>
    </w:p>
    <w:p w14:paraId="45FDEC8A">
      <w:pPr>
        <w:spacing w:before="290" w:line="220" w:lineRule="auto"/>
        <w:ind w:left="429"/>
        <w:rPr>
          <w:rFonts w:ascii="宋体" w:hAnsi="宋体" w:eastAsia="宋体" w:cs="宋体"/>
          <w:sz w:val="21"/>
          <w:szCs w:val="21"/>
        </w:rPr>
      </w:pPr>
      <w:r>
        <w:rPr>
          <w:rFonts w:ascii="宋体" w:hAnsi="宋体" w:eastAsia="宋体" w:cs="宋体"/>
          <w:spacing w:val="-5"/>
          <w:sz w:val="21"/>
          <w:szCs w:val="21"/>
        </w:rPr>
        <w:t>本合同自</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合同签订之日起</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5"/>
          <w:sz w:val="21"/>
          <w:szCs w:val="21"/>
        </w:rPr>
        <w:t>生效。</w:t>
      </w:r>
    </w:p>
    <w:p w14:paraId="680234E4">
      <w:pPr>
        <w:spacing w:before="212" w:line="221" w:lineRule="auto"/>
        <w:ind w:left="10"/>
        <w:rPr>
          <w:rFonts w:ascii="黑体" w:hAnsi="黑体" w:eastAsia="黑体" w:cs="黑体"/>
          <w:sz w:val="21"/>
          <w:szCs w:val="21"/>
        </w:rPr>
      </w:pPr>
      <w:r>
        <w:rPr>
          <w:rFonts w:ascii="黑体" w:hAnsi="黑体" w:eastAsia="黑体" w:cs="黑体"/>
          <w:b/>
          <w:bCs/>
          <w:spacing w:val="-3"/>
          <w:sz w:val="21"/>
          <w:szCs w:val="21"/>
        </w:rPr>
        <w:t>十三、合同份数</w:t>
      </w:r>
    </w:p>
    <w:p w14:paraId="5422E145">
      <w:pPr>
        <w:spacing w:before="288" w:line="220" w:lineRule="auto"/>
        <w:ind w:left="429"/>
        <w:rPr>
          <w:rFonts w:ascii="宋体" w:hAnsi="宋体" w:eastAsia="宋体" w:cs="宋体"/>
          <w:sz w:val="21"/>
          <w:szCs w:val="21"/>
        </w:rPr>
      </w:pPr>
      <w:r>
        <w:rPr>
          <w:rFonts w:ascii="宋体" w:hAnsi="宋体" w:eastAsia="宋体" w:cs="宋体"/>
          <w:spacing w:val="-1"/>
          <w:sz w:val="21"/>
          <w:szCs w:val="21"/>
        </w:rPr>
        <w:t>本合同一式</w:t>
      </w:r>
      <w:r>
        <w:rPr>
          <w:rFonts w:ascii="宋体" w:hAnsi="宋体" w:eastAsia="宋体" w:cs="宋体"/>
          <w:spacing w:val="34"/>
          <w:sz w:val="21"/>
          <w:szCs w:val="21"/>
          <w:u w:val="single" w:color="auto"/>
        </w:rPr>
        <w:t xml:space="preserve"> </w:t>
      </w:r>
      <w:r>
        <w:rPr>
          <w:rFonts w:hint="eastAsia" w:ascii="宋体" w:hAnsi="宋体" w:eastAsia="宋体" w:cs="宋体"/>
          <w:spacing w:val="34"/>
          <w:sz w:val="21"/>
          <w:szCs w:val="21"/>
          <w:u w:val="single" w:color="auto"/>
          <w:lang w:val="en-US" w:eastAsia="zh-CN"/>
        </w:rPr>
        <w:t>4</w:t>
      </w:r>
      <w:r>
        <w:rPr>
          <w:rFonts w:ascii="宋体" w:hAnsi="宋体" w:eastAsia="宋体" w:cs="宋体"/>
          <w:spacing w:val="-97"/>
          <w:sz w:val="21"/>
          <w:szCs w:val="21"/>
        </w:rPr>
        <w:t xml:space="preserve"> </w:t>
      </w:r>
      <w:r>
        <w:rPr>
          <w:rFonts w:ascii="宋体" w:hAnsi="宋体" w:eastAsia="宋体" w:cs="宋体"/>
          <w:spacing w:val="-1"/>
          <w:sz w:val="21"/>
          <w:szCs w:val="21"/>
        </w:rPr>
        <w:t>份，均具有同等法律效力，发包人执</w:t>
      </w:r>
      <w:r>
        <w:rPr>
          <w:rFonts w:ascii="宋体" w:hAnsi="宋体" w:eastAsia="宋体" w:cs="宋体"/>
          <w:spacing w:val="-104"/>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3</w:t>
      </w:r>
      <w:r>
        <w:rPr>
          <w:rFonts w:ascii="宋体" w:hAnsi="宋体" w:eastAsia="宋体" w:cs="宋体"/>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份，承包人执</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1</w:t>
      </w:r>
      <w:r>
        <w:rPr>
          <w:rFonts w:ascii="宋体" w:hAnsi="宋体" w:eastAsia="宋体" w:cs="宋体"/>
          <w:spacing w:val="-2"/>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2"/>
          <w:sz w:val="21"/>
          <w:szCs w:val="21"/>
        </w:rPr>
        <w:t>份。</w:t>
      </w:r>
    </w:p>
    <w:p w14:paraId="0D222915">
      <w:pPr>
        <w:pStyle w:val="5"/>
        <w:spacing w:line="256" w:lineRule="auto"/>
      </w:pPr>
    </w:p>
    <w:p w14:paraId="2A31D88F">
      <w:pPr>
        <w:pStyle w:val="5"/>
        <w:spacing w:line="257" w:lineRule="auto"/>
      </w:pPr>
    </w:p>
    <w:p w14:paraId="10D2A30A">
      <w:pPr>
        <w:pStyle w:val="5"/>
        <w:spacing w:line="257" w:lineRule="auto"/>
      </w:pPr>
    </w:p>
    <w:p w14:paraId="3B1B7E69">
      <w:pPr>
        <w:pStyle w:val="5"/>
        <w:spacing w:line="257" w:lineRule="auto"/>
      </w:pPr>
    </w:p>
    <w:p w14:paraId="00F5A3B8">
      <w:pPr>
        <w:pStyle w:val="5"/>
        <w:spacing w:line="257" w:lineRule="auto"/>
      </w:pPr>
    </w:p>
    <w:p w14:paraId="3E792BEE">
      <w:pPr>
        <w:pStyle w:val="5"/>
        <w:spacing w:line="257" w:lineRule="auto"/>
      </w:pPr>
    </w:p>
    <w:p w14:paraId="2C8F0BDC">
      <w:pPr>
        <w:pStyle w:val="5"/>
        <w:spacing w:line="257" w:lineRule="auto"/>
      </w:pPr>
    </w:p>
    <w:p w14:paraId="6C14642D">
      <w:pPr>
        <w:pStyle w:val="5"/>
        <w:spacing w:line="257" w:lineRule="auto"/>
      </w:pPr>
    </w:p>
    <w:p w14:paraId="6629B0D6">
      <w:pPr>
        <w:pStyle w:val="5"/>
        <w:spacing w:line="257" w:lineRule="auto"/>
      </w:pPr>
    </w:p>
    <w:p w14:paraId="613994E3">
      <w:pPr>
        <w:pStyle w:val="5"/>
        <w:spacing w:line="257" w:lineRule="auto"/>
      </w:pPr>
    </w:p>
    <w:p w14:paraId="75CCFCCD">
      <w:pPr>
        <w:pStyle w:val="5"/>
        <w:spacing w:line="257" w:lineRule="auto"/>
      </w:pPr>
    </w:p>
    <w:p w14:paraId="2C64F42D">
      <w:pPr>
        <w:pStyle w:val="5"/>
        <w:spacing w:line="257" w:lineRule="auto"/>
      </w:pPr>
    </w:p>
    <w:p w14:paraId="143CCD43">
      <w:pPr>
        <w:spacing w:before="69" w:line="220" w:lineRule="auto"/>
        <w:ind w:left="431"/>
        <w:rPr>
          <w:rFonts w:ascii="宋体" w:hAnsi="宋体" w:eastAsia="宋体" w:cs="宋体"/>
          <w:sz w:val="21"/>
          <w:szCs w:val="21"/>
        </w:rPr>
      </w:pPr>
      <w:r>
        <w:rPr>
          <w:rFonts w:ascii="宋体" w:hAnsi="宋体" w:eastAsia="宋体" w:cs="宋体"/>
          <w:spacing w:val="7"/>
          <w:sz w:val="21"/>
          <w:szCs w:val="21"/>
        </w:rPr>
        <w:t>发包人</w:t>
      </w:r>
      <w:r>
        <w:rPr>
          <w:rFonts w:ascii="宋体" w:hAnsi="宋体" w:eastAsia="宋体" w:cs="宋体"/>
          <w:spacing w:val="-26"/>
          <w:sz w:val="21"/>
          <w:szCs w:val="21"/>
        </w:rPr>
        <w:t>：</w:t>
      </w:r>
      <w:r>
        <w:rPr>
          <w:rFonts w:ascii="宋体" w:hAnsi="宋体" w:eastAsia="宋体" w:cs="宋体"/>
          <w:sz w:val="21"/>
          <w:szCs w:val="21"/>
        </w:rPr>
        <w:t xml:space="preserve">  </w:t>
      </w:r>
      <w:r>
        <w:rPr>
          <w:rFonts w:ascii="宋体" w:hAnsi="宋体" w:eastAsia="宋体" w:cs="宋体"/>
          <w:spacing w:val="-26"/>
          <w:sz w:val="21"/>
          <w:szCs w:val="21"/>
        </w:rPr>
        <w:t>（</w:t>
      </w:r>
      <w:r>
        <w:rPr>
          <w:rFonts w:ascii="宋体" w:hAnsi="宋体" w:eastAsia="宋体" w:cs="宋体"/>
          <w:spacing w:val="7"/>
          <w:sz w:val="21"/>
          <w:szCs w:val="21"/>
        </w:rPr>
        <w:t>公章）</w:t>
      </w:r>
      <w:r>
        <w:rPr>
          <w:rFonts w:ascii="宋体" w:hAnsi="宋体" w:eastAsia="宋体" w:cs="宋体"/>
          <w:sz w:val="21"/>
          <w:szCs w:val="21"/>
        </w:rPr>
        <w:t xml:space="preserve">                                       </w:t>
      </w:r>
      <w:r>
        <w:rPr>
          <w:rFonts w:ascii="宋体" w:hAnsi="宋体" w:eastAsia="宋体" w:cs="宋体"/>
          <w:spacing w:val="7"/>
          <w:sz w:val="21"/>
          <w:szCs w:val="21"/>
        </w:rPr>
        <w:t>承包人</w:t>
      </w:r>
      <w:r>
        <w:rPr>
          <w:rFonts w:ascii="宋体" w:hAnsi="宋体" w:eastAsia="宋体" w:cs="宋体"/>
          <w:spacing w:val="-26"/>
          <w:sz w:val="21"/>
          <w:szCs w:val="21"/>
        </w:rPr>
        <w:t>：</w:t>
      </w:r>
      <w:r>
        <w:rPr>
          <w:rFonts w:ascii="宋体" w:hAnsi="宋体" w:eastAsia="宋体" w:cs="宋体"/>
          <w:spacing w:val="4"/>
          <w:sz w:val="21"/>
          <w:szCs w:val="21"/>
        </w:rPr>
        <w:t xml:space="preserve">  </w:t>
      </w:r>
      <w:r>
        <w:rPr>
          <w:rFonts w:ascii="宋体" w:hAnsi="宋体" w:eastAsia="宋体" w:cs="宋体"/>
          <w:spacing w:val="-26"/>
          <w:sz w:val="21"/>
          <w:szCs w:val="21"/>
        </w:rPr>
        <w:t>（</w:t>
      </w:r>
      <w:r>
        <w:rPr>
          <w:rFonts w:ascii="宋体" w:hAnsi="宋体" w:eastAsia="宋体" w:cs="宋体"/>
          <w:spacing w:val="7"/>
          <w:sz w:val="21"/>
          <w:szCs w:val="21"/>
        </w:rPr>
        <w:t>公章）</w:t>
      </w:r>
    </w:p>
    <w:p w14:paraId="4CFA95F5">
      <w:pPr>
        <w:pStyle w:val="5"/>
        <w:spacing w:line="439" w:lineRule="auto"/>
      </w:pPr>
    </w:p>
    <w:p w14:paraId="6A71B70E">
      <w:pPr>
        <w:spacing w:before="68" w:line="221" w:lineRule="auto"/>
        <w:ind w:left="429"/>
        <w:rPr>
          <w:rFonts w:ascii="宋体" w:hAnsi="宋体" w:eastAsia="宋体" w:cs="宋体"/>
          <w:sz w:val="21"/>
          <w:szCs w:val="21"/>
        </w:rPr>
      </w:pPr>
      <w:r>
        <w:rPr>
          <w:rFonts w:ascii="宋体" w:hAnsi="宋体" w:eastAsia="宋体" w:cs="宋体"/>
          <w:spacing w:val="-1"/>
          <w:sz w:val="21"/>
          <w:szCs w:val="21"/>
        </w:rPr>
        <w:t>法定代表人或其委托代理人：              法定代表人或其委托代理人：</w:t>
      </w:r>
    </w:p>
    <w:p w14:paraId="03A2AC0F">
      <w:pPr>
        <w:spacing w:before="128" w:line="221" w:lineRule="auto"/>
        <w:ind w:left="434"/>
        <w:rPr>
          <w:rFonts w:ascii="宋体" w:hAnsi="宋体" w:eastAsia="宋体" w:cs="宋体"/>
          <w:sz w:val="21"/>
          <w:szCs w:val="21"/>
        </w:rPr>
      </w:pPr>
      <w:r>
        <w:rPr>
          <w:rFonts w:ascii="宋体" w:hAnsi="宋体" w:eastAsia="宋体" w:cs="宋体"/>
          <w:spacing w:val="-5"/>
          <w:sz w:val="21"/>
          <w:szCs w:val="21"/>
        </w:rPr>
        <w:t>（签字</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
          <w:sz w:val="21"/>
          <w:szCs w:val="21"/>
        </w:rPr>
        <w:t>（</w:t>
      </w:r>
      <w:r>
        <w:rPr>
          <w:rFonts w:ascii="宋体" w:hAnsi="宋体" w:eastAsia="宋体" w:cs="宋体"/>
          <w:spacing w:val="-5"/>
          <w:sz w:val="21"/>
          <w:szCs w:val="21"/>
        </w:rPr>
        <w:t>签字）</w:t>
      </w:r>
    </w:p>
    <w:p w14:paraId="6C25E27B">
      <w:pPr>
        <w:pStyle w:val="5"/>
        <w:spacing w:line="438" w:lineRule="auto"/>
      </w:pPr>
    </w:p>
    <w:p w14:paraId="16D168BB">
      <w:pPr>
        <w:spacing w:before="69" w:line="220" w:lineRule="auto"/>
        <w:ind w:left="430"/>
        <w:rPr>
          <w:rFonts w:ascii="宋体" w:hAnsi="宋体" w:eastAsia="宋体" w:cs="宋体"/>
          <w:sz w:val="21"/>
          <w:szCs w:val="21"/>
        </w:rPr>
      </w:pPr>
      <w:r>
        <w:rPr>
          <w:rFonts w:ascii="宋体" w:hAnsi="宋体" w:eastAsia="宋体" w:cs="宋体"/>
          <w:spacing w:val="-1"/>
          <w:sz w:val="21"/>
          <w:szCs w:val="21"/>
        </w:rPr>
        <w:t>组织机构代码：</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组织机构代码：</w:t>
      </w:r>
      <w:r>
        <w:rPr>
          <w:rFonts w:ascii="宋体" w:hAnsi="宋体" w:eastAsia="宋体" w:cs="宋体"/>
          <w:spacing w:val="3"/>
          <w:sz w:val="21"/>
          <w:szCs w:val="21"/>
          <w:u w:val="single" w:color="auto"/>
        </w:rPr>
        <w:t xml:space="preserve">      </w:t>
      </w:r>
    </w:p>
    <w:p w14:paraId="56C75ACA">
      <w:pPr>
        <w:spacing w:before="129" w:line="230" w:lineRule="auto"/>
        <w:ind w:left="428"/>
        <w:rPr>
          <w:rFonts w:ascii="宋体" w:hAnsi="宋体" w:eastAsia="宋体" w:cs="宋体"/>
          <w:sz w:val="21"/>
          <w:szCs w:val="21"/>
        </w:rPr>
      </w:pPr>
      <w:r>
        <w:rPr>
          <w:rFonts w:ascii="宋体" w:hAnsi="宋体" w:eastAsia="宋体" w:cs="宋体"/>
          <w:spacing w:val="-6"/>
          <w:sz w:val="21"/>
          <w:szCs w:val="21"/>
        </w:rPr>
        <w:t>地</w:t>
      </w:r>
      <w:r>
        <w:rPr>
          <w:rFonts w:ascii="宋体" w:hAnsi="宋体" w:eastAsia="宋体" w:cs="宋体"/>
          <w:spacing w:val="6"/>
          <w:sz w:val="21"/>
          <w:szCs w:val="21"/>
        </w:rPr>
        <w:t xml:space="preserve">  </w:t>
      </w:r>
      <w:r>
        <w:rPr>
          <w:rFonts w:ascii="宋体" w:hAnsi="宋体" w:eastAsia="宋体" w:cs="宋体"/>
          <w:spacing w:val="-6"/>
          <w:sz w:val="21"/>
          <w:szCs w:val="21"/>
        </w:rPr>
        <w:t>址：</w:t>
      </w:r>
      <w:r>
        <w:rPr>
          <w:rFonts w:ascii="宋体" w:hAnsi="宋体" w:eastAsia="宋体" w:cs="宋体"/>
          <w:spacing w:val="5"/>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6"/>
          <w:sz w:val="21"/>
          <w:szCs w:val="21"/>
        </w:rPr>
        <w:t>地</w:t>
      </w:r>
      <w:r>
        <w:rPr>
          <w:rFonts w:ascii="宋体" w:hAnsi="宋体" w:eastAsia="宋体" w:cs="宋体"/>
          <w:spacing w:val="13"/>
          <w:sz w:val="21"/>
          <w:szCs w:val="21"/>
        </w:rPr>
        <w:t xml:space="preserve">  </w:t>
      </w:r>
      <w:r>
        <w:rPr>
          <w:rFonts w:ascii="宋体" w:hAnsi="宋体" w:eastAsia="宋体" w:cs="宋体"/>
          <w:spacing w:val="-6"/>
          <w:sz w:val="21"/>
          <w:szCs w:val="21"/>
        </w:rPr>
        <w:t>址：</w:t>
      </w:r>
      <w:r>
        <w:rPr>
          <w:rFonts w:ascii="宋体" w:hAnsi="宋体" w:eastAsia="宋体" w:cs="宋体"/>
          <w:sz w:val="21"/>
          <w:szCs w:val="21"/>
          <w:u w:val="single" w:color="auto"/>
        </w:rPr>
        <w:t xml:space="preserve">            </w:t>
      </w:r>
    </w:p>
    <w:p w14:paraId="0B0BD997">
      <w:pPr>
        <w:spacing w:before="120" w:line="221" w:lineRule="auto"/>
        <w:ind w:left="443"/>
        <w:rPr>
          <w:rFonts w:ascii="宋体" w:hAnsi="宋体" w:eastAsia="宋体" w:cs="宋体"/>
          <w:sz w:val="21"/>
          <w:szCs w:val="21"/>
        </w:rPr>
      </w:pPr>
      <w:r>
        <w:rPr>
          <w:rFonts w:ascii="宋体" w:hAnsi="宋体" w:eastAsia="宋体" w:cs="宋体"/>
          <w:spacing w:val="-3"/>
          <w:sz w:val="21"/>
          <w:szCs w:val="21"/>
        </w:rPr>
        <w:t>邮政编码：</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3"/>
          <w:sz w:val="21"/>
          <w:szCs w:val="21"/>
        </w:rPr>
        <w:t>邮政编码：</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p>
    <w:p w14:paraId="408D0293">
      <w:pPr>
        <w:spacing w:before="128" w:line="221" w:lineRule="auto"/>
        <w:ind w:left="429"/>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2"/>
          <w:sz w:val="21"/>
          <w:szCs w:val="21"/>
        </w:rPr>
        <w:t xml:space="preserve">        法定代表人：</w:t>
      </w:r>
      <w:r>
        <w:rPr>
          <w:rFonts w:ascii="宋体" w:hAnsi="宋体" w:eastAsia="宋体" w:cs="宋体"/>
          <w:spacing w:val="-2"/>
          <w:sz w:val="21"/>
          <w:szCs w:val="21"/>
          <w:u w:val="single" w:color="auto"/>
        </w:rPr>
        <w:t xml:space="preserve">          </w:t>
      </w:r>
    </w:p>
    <w:p w14:paraId="651EFCAB">
      <w:pPr>
        <w:spacing w:before="128" w:line="221" w:lineRule="auto"/>
        <w:ind w:left="427"/>
        <w:rPr>
          <w:rFonts w:ascii="宋体" w:hAnsi="宋体" w:eastAsia="宋体" w:cs="宋体"/>
          <w:sz w:val="21"/>
          <w:szCs w:val="21"/>
        </w:rPr>
      </w:pPr>
      <w:r>
        <w:rPr>
          <w:rFonts w:ascii="宋体" w:hAnsi="宋体" w:eastAsia="宋体" w:cs="宋体"/>
          <w:sz w:val="21"/>
          <w:szCs w:val="21"/>
        </w:rPr>
        <w:t>委托代理人：</w:t>
      </w:r>
      <w:r>
        <w:rPr>
          <w:rFonts w:ascii="宋体" w:hAnsi="宋体" w:eastAsia="宋体" w:cs="宋体"/>
          <w:sz w:val="21"/>
          <w:szCs w:val="21"/>
          <w:u w:val="single" w:color="auto"/>
        </w:rPr>
        <w:t xml:space="preserve">                </w:t>
      </w:r>
      <w:r>
        <w:rPr>
          <w:rFonts w:ascii="宋体" w:hAnsi="宋体" w:eastAsia="宋体" w:cs="宋体"/>
          <w:sz w:val="21"/>
          <w:szCs w:val="21"/>
        </w:rPr>
        <w:t xml:space="preserve">                            委托代理人：</w:t>
      </w:r>
      <w:r>
        <w:rPr>
          <w:rFonts w:ascii="宋体" w:hAnsi="宋体" w:eastAsia="宋体" w:cs="宋体"/>
          <w:spacing w:val="1"/>
          <w:sz w:val="21"/>
          <w:szCs w:val="21"/>
          <w:u w:val="single" w:color="auto"/>
        </w:rPr>
        <w:t xml:space="preserve">    </w:t>
      </w:r>
    </w:p>
    <w:p w14:paraId="6592EA53">
      <w:pPr>
        <w:spacing w:before="130" w:line="223" w:lineRule="auto"/>
        <w:ind w:left="452"/>
        <w:rPr>
          <w:rFonts w:ascii="宋体" w:hAnsi="宋体" w:eastAsia="宋体" w:cs="宋体"/>
          <w:sz w:val="21"/>
          <w:szCs w:val="21"/>
        </w:rPr>
      </w:pPr>
      <w:r>
        <w:rPr>
          <w:rFonts w:ascii="宋体" w:hAnsi="宋体" w:eastAsia="宋体" w:cs="宋体"/>
          <w:spacing w:val="-7"/>
          <w:sz w:val="21"/>
          <w:szCs w:val="21"/>
        </w:rPr>
        <w:t>电</w:t>
      </w:r>
      <w:r>
        <w:rPr>
          <w:rFonts w:ascii="宋体" w:hAnsi="宋体" w:eastAsia="宋体" w:cs="宋体"/>
          <w:spacing w:val="8"/>
          <w:sz w:val="21"/>
          <w:szCs w:val="21"/>
        </w:rPr>
        <w:t xml:space="preserve">  </w:t>
      </w:r>
      <w:r>
        <w:rPr>
          <w:rFonts w:ascii="宋体" w:hAnsi="宋体" w:eastAsia="宋体" w:cs="宋体"/>
          <w:spacing w:val="-7"/>
          <w:sz w:val="21"/>
          <w:szCs w:val="21"/>
        </w:rPr>
        <w:t>话：</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电  话：</w:t>
      </w:r>
      <w:r>
        <w:rPr>
          <w:rFonts w:ascii="宋体" w:hAnsi="宋体" w:eastAsia="宋体" w:cs="宋体"/>
          <w:spacing w:val="1"/>
          <w:sz w:val="21"/>
          <w:szCs w:val="21"/>
          <w:u w:val="single" w:color="auto"/>
        </w:rPr>
        <w:t xml:space="preserve">             </w:t>
      </w:r>
    </w:p>
    <w:p w14:paraId="0BCA176E">
      <w:pPr>
        <w:spacing w:before="126" w:line="220" w:lineRule="auto"/>
        <w:ind w:left="426"/>
        <w:rPr>
          <w:rFonts w:ascii="宋体" w:hAnsi="宋体" w:eastAsia="宋体" w:cs="宋体"/>
          <w:sz w:val="21"/>
          <w:szCs w:val="21"/>
        </w:rPr>
      </w:pPr>
      <w:r>
        <w:rPr>
          <w:rFonts w:ascii="宋体" w:hAnsi="宋体" w:eastAsia="宋体" w:cs="宋体"/>
          <w:spacing w:val="-5"/>
          <w:sz w:val="21"/>
          <w:szCs w:val="21"/>
        </w:rPr>
        <w:t>传</w:t>
      </w:r>
      <w:r>
        <w:rPr>
          <w:rFonts w:ascii="宋体" w:hAnsi="宋体" w:eastAsia="宋体" w:cs="宋体"/>
          <w:spacing w:val="12"/>
          <w:sz w:val="21"/>
          <w:szCs w:val="21"/>
        </w:rPr>
        <w:t xml:space="preserve">  </w:t>
      </w:r>
      <w:r>
        <w:rPr>
          <w:rFonts w:ascii="宋体" w:hAnsi="宋体" w:eastAsia="宋体" w:cs="宋体"/>
          <w:spacing w:val="-5"/>
          <w:sz w:val="21"/>
          <w:szCs w:val="21"/>
        </w:rPr>
        <w:t>真：</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5"/>
          <w:sz w:val="21"/>
          <w:szCs w:val="21"/>
        </w:rPr>
        <w:t>传</w:t>
      </w:r>
      <w:r>
        <w:rPr>
          <w:rFonts w:ascii="宋体" w:hAnsi="宋体" w:eastAsia="宋体" w:cs="宋体"/>
          <w:spacing w:val="5"/>
          <w:sz w:val="21"/>
          <w:szCs w:val="21"/>
        </w:rPr>
        <w:t xml:space="preserve">  </w:t>
      </w:r>
      <w:r>
        <w:rPr>
          <w:rFonts w:ascii="宋体" w:hAnsi="宋体" w:eastAsia="宋体" w:cs="宋体"/>
          <w:spacing w:val="-5"/>
          <w:sz w:val="21"/>
          <w:szCs w:val="21"/>
        </w:rPr>
        <w:t>真：</w:t>
      </w:r>
      <w:r>
        <w:rPr>
          <w:rFonts w:ascii="宋体" w:hAnsi="宋体" w:eastAsia="宋体" w:cs="宋体"/>
          <w:spacing w:val="-5"/>
          <w:sz w:val="21"/>
          <w:szCs w:val="21"/>
          <w:u w:val="single" w:color="auto"/>
        </w:rPr>
        <w:t xml:space="preserve">               </w:t>
      </w:r>
    </w:p>
    <w:p w14:paraId="3AC1FF8E">
      <w:pPr>
        <w:spacing w:before="129" w:line="221" w:lineRule="auto"/>
        <w:jc w:val="right"/>
        <w:rPr>
          <w:rFonts w:ascii="宋体" w:hAnsi="宋体" w:eastAsia="宋体" w:cs="宋体"/>
          <w:sz w:val="21"/>
          <w:szCs w:val="21"/>
        </w:rPr>
      </w:pPr>
      <w:r>
        <w:rPr>
          <w:rFonts w:ascii="宋体" w:hAnsi="宋体" w:eastAsia="宋体" w:cs="宋体"/>
          <w:spacing w:val="1"/>
          <w:sz w:val="21"/>
          <w:szCs w:val="21"/>
        </w:rPr>
        <w:t>电子信箱：</w:t>
      </w:r>
      <w:r>
        <w:rPr>
          <w:rFonts w:ascii="宋体" w:hAnsi="宋体" w:eastAsia="宋体" w:cs="宋体"/>
          <w:spacing w:val="-3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 xml:space="preserve">     电子信箱：</w:t>
      </w:r>
    </w:p>
    <w:p w14:paraId="0225DF70">
      <w:pPr>
        <w:pStyle w:val="5"/>
        <w:tabs>
          <w:tab w:val="left" w:pos="1305"/>
        </w:tabs>
        <w:spacing w:before="144"/>
      </w:pPr>
      <w:r>
        <w:rPr>
          <w:u w:val="single" w:color="auto"/>
        </w:rPr>
        <w:tab/>
      </w:r>
    </w:p>
    <w:p w14:paraId="02471BD5">
      <w:pPr>
        <w:spacing w:before="125" w:line="221" w:lineRule="auto"/>
        <w:ind w:left="429"/>
        <w:rPr>
          <w:rFonts w:ascii="宋体" w:hAnsi="宋体" w:eastAsia="宋体" w:cs="宋体"/>
          <w:sz w:val="21"/>
          <w:szCs w:val="21"/>
        </w:rPr>
      </w:pPr>
      <w:r>
        <w:rPr>
          <w:rFonts w:ascii="宋体" w:hAnsi="宋体" w:eastAsia="宋体" w:cs="宋体"/>
          <w:spacing w:val="-1"/>
          <w:sz w:val="21"/>
          <w:szCs w:val="21"/>
        </w:rPr>
        <w:t>开户银行：</w:t>
      </w:r>
      <w:r>
        <w:rPr>
          <w:rFonts w:ascii="宋体" w:hAnsi="宋体" w:eastAsia="宋体" w:cs="宋体"/>
          <w:spacing w:val="6"/>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2"/>
          <w:sz w:val="21"/>
          <w:szCs w:val="21"/>
        </w:rPr>
        <w:t>开户银行：</w:t>
      </w:r>
      <w:r>
        <w:rPr>
          <w:rFonts w:ascii="宋体" w:hAnsi="宋体" w:eastAsia="宋体" w:cs="宋体"/>
          <w:spacing w:val="-2"/>
          <w:sz w:val="21"/>
          <w:szCs w:val="21"/>
          <w:u w:val="single" w:color="auto"/>
        </w:rPr>
        <w:t xml:space="preserve">             </w:t>
      </w:r>
    </w:p>
    <w:p w14:paraId="03EE3E16">
      <w:pPr>
        <w:spacing w:before="127" w:line="222" w:lineRule="auto"/>
        <w:ind w:left="431"/>
        <w:rPr>
          <w:rFonts w:ascii="宋体" w:hAnsi="宋体" w:eastAsia="宋体" w:cs="宋体"/>
          <w:sz w:val="21"/>
          <w:szCs w:val="21"/>
        </w:rPr>
      </w:pPr>
      <w:r>
        <w:rPr>
          <w:rFonts w:ascii="宋体" w:hAnsi="宋体" w:eastAsia="宋体" w:cs="宋体"/>
          <w:spacing w:val="-4"/>
          <w:sz w:val="21"/>
          <w:szCs w:val="21"/>
        </w:rPr>
        <w:t>账</w:t>
      </w:r>
      <w:r>
        <w:rPr>
          <w:rFonts w:ascii="宋体" w:hAnsi="宋体" w:eastAsia="宋体" w:cs="宋体"/>
          <w:spacing w:val="7"/>
          <w:sz w:val="21"/>
          <w:szCs w:val="21"/>
        </w:rPr>
        <w:t xml:space="preserve">  </w:t>
      </w:r>
      <w:r>
        <w:rPr>
          <w:rFonts w:ascii="宋体" w:hAnsi="宋体" w:eastAsia="宋体" w:cs="宋体"/>
          <w:spacing w:val="-4"/>
          <w:sz w:val="21"/>
          <w:szCs w:val="21"/>
        </w:rPr>
        <w:t>号：</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账</w:t>
      </w:r>
      <w:r>
        <w:rPr>
          <w:rFonts w:ascii="宋体" w:hAnsi="宋体" w:eastAsia="宋体" w:cs="宋体"/>
          <w:spacing w:val="14"/>
          <w:sz w:val="21"/>
          <w:szCs w:val="21"/>
        </w:rPr>
        <w:t xml:space="preserve">  </w:t>
      </w:r>
      <w:r>
        <w:rPr>
          <w:rFonts w:ascii="宋体" w:hAnsi="宋体" w:eastAsia="宋体" w:cs="宋体"/>
          <w:spacing w:val="-4"/>
          <w:sz w:val="21"/>
          <w:szCs w:val="21"/>
        </w:rPr>
        <w:t>号：</w:t>
      </w:r>
      <w:r>
        <w:rPr>
          <w:rFonts w:ascii="宋体" w:hAnsi="宋体" w:eastAsia="宋体" w:cs="宋体"/>
          <w:spacing w:val="-4"/>
          <w:sz w:val="21"/>
          <w:szCs w:val="21"/>
          <w:u w:val="single" w:color="auto"/>
        </w:rPr>
        <w:t xml:space="preserve">         </w:t>
      </w:r>
      <w:r>
        <w:rPr>
          <w:rFonts w:ascii="宋体" w:hAnsi="宋体" w:eastAsia="宋体" w:cs="宋体"/>
          <w:spacing w:val="-5"/>
          <w:sz w:val="21"/>
          <w:szCs w:val="21"/>
          <w:u w:val="single" w:color="auto"/>
        </w:rPr>
        <w:t xml:space="preserve">    </w:t>
      </w:r>
    </w:p>
    <w:p w14:paraId="1C6A5E94">
      <w:pPr>
        <w:spacing w:line="222" w:lineRule="auto"/>
        <w:rPr>
          <w:rFonts w:ascii="宋体" w:hAnsi="宋体" w:eastAsia="宋体" w:cs="宋体"/>
          <w:sz w:val="21"/>
          <w:szCs w:val="21"/>
        </w:rPr>
        <w:sectPr>
          <w:footerReference r:id="rId85" w:type="default"/>
          <w:pgSz w:w="11905" w:h="16843"/>
          <w:pgMar w:top="969" w:right="1355" w:bottom="1026" w:left="1480" w:header="0" w:footer="754" w:gutter="0"/>
          <w:cols w:space="0" w:num="1"/>
          <w:rtlGutter w:val="0"/>
          <w:docGrid w:linePitch="0" w:charSpace="0"/>
        </w:sectPr>
      </w:pPr>
    </w:p>
    <w:p w14:paraId="28BF5E7F">
      <w:pPr>
        <w:pStyle w:val="5"/>
        <w:spacing w:line="243" w:lineRule="auto"/>
      </w:pPr>
    </w:p>
    <w:p w14:paraId="45D1A29E">
      <w:pPr>
        <w:pStyle w:val="5"/>
        <w:spacing w:line="243" w:lineRule="auto"/>
      </w:pPr>
    </w:p>
    <w:p w14:paraId="43648C16">
      <w:pPr>
        <w:pStyle w:val="5"/>
        <w:spacing w:line="243" w:lineRule="auto"/>
      </w:pPr>
    </w:p>
    <w:p w14:paraId="026DEEDE">
      <w:pPr>
        <w:pStyle w:val="5"/>
        <w:spacing w:line="243" w:lineRule="auto"/>
      </w:pPr>
    </w:p>
    <w:p w14:paraId="6DDD3EA6">
      <w:pPr>
        <w:pStyle w:val="5"/>
        <w:spacing w:line="244" w:lineRule="auto"/>
      </w:pPr>
    </w:p>
    <w:p w14:paraId="7F8328D6">
      <w:pPr>
        <w:pStyle w:val="5"/>
        <w:spacing w:line="244" w:lineRule="auto"/>
      </w:pPr>
    </w:p>
    <w:p w14:paraId="3DB9C45D">
      <w:pPr>
        <w:pStyle w:val="5"/>
        <w:spacing w:line="244" w:lineRule="auto"/>
      </w:pPr>
    </w:p>
    <w:p w14:paraId="240C5CA4">
      <w:pPr>
        <w:pStyle w:val="5"/>
        <w:spacing w:line="244" w:lineRule="auto"/>
      </w:pPr>
    </w:p>
    <w:p w14:paraId="7FFD3CA1">
      <w:pPr>
        <w:pStyle w:val="5"/>
        <w:spacing w:line="244" w:lineRule="auto"/>
      </w:pPr>
    </w:p>
    <w:p w14:paraId="7D68E848">
      <w:pPr>
        <w:pStyle w:val="5"/>
        <w:spacing w:line="244" w:lineRule="auto"/>
      </w:pPr>
    </w:p>
    <w:p w14:paraId="21E52F86">
      <w:pPr>
        <w:pStyle w:val="5"/>
        <w:spacing w:line="244" w:lineRule="auto"/>
      </w:pPr>
    </w:p>
    <w:p w14:paraId="6FC17E80">
      <w:pPr>
        <w:pStyle w:val="5"/>
        <w:spacing w:line="244" w:lineRule="auto"/>
      </w:pPr>
    </w:p>
    <w:p w14:paraId="3E6DD31C">
      <w:pPr>
        <w:pStyle w:val="5"/>
        <w:spacing w:line="244" w:lineRule="auto"/>
      </w:pPr>
    </w:p>
    <w:p w14:paraId="0DC78F88">
      <w:pPr>
        <w:pStyle w:val="5"/>
        <w:spacing w:line="244" w:lineRule="auto"/>
      </w:pPr>
    </w:p>
    <w:p w14:paraId="7659E300">
      <w:pPr>
        <w:pStyle w:val="5"/>
        <w:spacing w:line="244" w:lineRule="auto"/>
      </w:pPr>
    </w:p>
    <w:p w14:paraId="31BC5B6F">
      <w:pPr>
        <w:pStyle w:val="5"/>
        <w:spacing w:line="244" w:lineRule="auto"/>
      </w:pPr>
    </w:p>
    <w:p w14:paraId="429FA0B6">
      <w:pPr>
        <w:pStyle w:val="5"/>
        <w:spacing w:line="244" w:lineRule="auto"/>
      </w:pPr>
    </w:p>
    <w:p w14:paraId="7EADD462">
      <w:pPr>
        <w:pStyle w:val="5"/>
        <w:spacing w:line="244" w:lineRule="auto"/>
      </w:pPr>
    </w:p>
    <w:p w14:paraId="111608E1">
      <w:pPr>
        <w:pStyle w:val="5"/>
        <w:spacing w:line="244" w:lineRule="auto"/>
      </w:pPr>
    </w:p>
    <w:p w14:paraId="3BCD25AB">
      <w:pPr>
        <w:pStyle w:val="5"/>
        <w:spacing w:line="244" w:lineRule="auto"/>
      </w:pPr>
    </w:p>
    <w:p w14:paraId="2F764600">
      <w:pPr>
        <w:spacing w:before="91" w:line="219" w:lineRule="auto"/>
        <w:ind w:left="2697"/>
        <w:outlineLvl w:val="1"/>
        <w:rPr>
          <w:rFonts w:ascii="黑体" w:hAnsi="黑体" w:eastAsia="黑体" w:cs="黑体"/>
          <w:sz w:val="28"/>
          <w:szCs w:val="28"/>
        </w:rPr>
      </w:pPr>
      <w:bookmarkStart w:id="192" w:name="bookmark540"/>
      <w:bookmarkEnd w:id="192"/>
      <w:bookmarkStart w:id="193" w:name="bookmark145"/>
      <w:bookmarkEnd w:id="193"/>
      <w:r>
        <w:rPr>
          <w:rFonts w:ascii="黑体" w:hAnsi="黑体" w:eastAsia="黑体" w:cs="黑体"/>
          <w:spacing w:val="-1"/>
          <w:sz w:val="28"/>
          <w:szCs w:val="28"/>
        </w:rPr>
        <w:t>第二部分 通用合同条款</w:t>
      </w:r>
    </w:p>
    <w:p w14:paraId="1313034A">
      <w:pPr>
        <w:spacing w:line="219" w:lineRule="auto"/>
        <w:rPr>
          <w:rFonts w:ascii="黑体" w:hAnsi="黑体" w:eastAsia="黑体" w:cs="黑体"/>
          <w:sz w:val="28"/>
          <w:szCs w:val="28"/>
        </w:rPr>
        <w:sectPr>
          <w:footerReference r:id="rId86" w:type="default"/>
          <w:pgSz w:w="11905" w:h="16843"/>
          <w:pgMar w:top="969" w:right="1355" w:bottom="1026" w:left="1480" w:header="0" w:footer="754" w:gutter="0"/>
          <w:cols w:space="0" w:num="1"/>
          <w:rtlGutter w:val="0"/>
          <w:docGrid w:linePitch="0" w:charSpace="0"/>
        </w:sectPr>
      </w:pPr>
    </w:p>
    <w:p w14:paraId="2EDE709B">
      <w:pPr>
        <w:pStyle w:val="5"/>
        <w:spacing w:line="249" w:lineRule="auto"/>
      </w:pPr>
    </w:p>
    <w:p w14:paraId="04A93A40">
      <w:pPr>
        <w:pStyle w:val="5"/>
        <w:spacing w:line="250" w:lineRule="auto"/>
      </w:pPr>
    </w:p>
    <w:p w14:paraId="5D8C2A62">
      <w:pPr>
        <w:pStyle w:val="5"/>
        <w:spacing w:line="250" w:lineRule="auto"/>
      </w:pPr>
    </w:p>
    <w:p w14:paraId="5D053F76">
      <w:pPr>
        <w:pStyle w:val="5"/>
        <w:spacing w:line="250" w:lineRule="auto"/>
      </w:pPr>
    </w:p>
    <w:p w14:paraId="0592B267">
      <w:pPr>
        <w:spacing w:before="91" w:line="220" w:lineRule="auto"/>
        <w:ind w:left="3570"/>
        <w:rPr>
          <w:rFonts w:ascii="黑体" w:hAnsi="黑体" w:eastAsia="黑体" w:cs="黑体"/>
          <w:sz w:val="28"/>
          <w:szCs w:val="28"/>
        </w:rPr>
      </w:pPr>
      <w:r>
        <w:rPr>
          <w:rFonts w:ascii="黑体" w:hAnsi="黑体" w:eastAsia="黑体" w:cs="黑体"/>
          <w:spacing w:val="-1"/>
          <w:sz w:val="28"/>
          <w:szCs w:val="28"/>
        </w:rPr>
        <w:t>通用合同条款</w:t>
      </w:r>
    </w:p>
    <w:p w14:paraId="03D77671">
      <w:pPr>
        <w:pStyle w:val="5"/>
        <w:spacing w:line="454" w:lineRule="auto"/>
      </w:pPr>
    </w:p>
    <w:p w14:paraId="1E7AF233">
      <w:pPr>
        <w:spacing w:before="91" w:line="232" w:lineRule="auto"/>
        <w:ind w:left="11"/>
        <w:outlineLvl w:val="1"/>
        <w:rPr>
          <w:rFonts w:ascii="黑体" w:hAnsi="黑体" w:eastAsia="黑体" w:cs="黑体"/>
          <w:sz w:val="28"/>
          <w:szCs w:val="28"/>
        </w:rPr>
      </w:pPr>
      <w:bookmarkStart w:id="194" w:name="bookmark146"/>
      <w:bookmarkEnd w:id="194"/>
      <w:r>
        <w:rPr>
          <w:rFonts w:ascii="Times New Roman" w:hAnsi="Times New Roman" w:eastAsia="Times New Roman" w:cs="Times New Roman"/>
          <w:b/>
          <w:bCs/>
          <w:spacing w:val="-7"/>
          <w:sz w:val="28"/>
          <w:szCs w:val="28"/>
        </w:rPr>
        <w:t>1.</w:t>
      </w:r>
      <w:r>
        <w:rPr>
          <w:rFonts w:ascii="Times New Roman" w:hAnsi="Times New Roman" w:eastAsia="Times New Roman" w:cs="Times New Roman"/>
          <w:b/>
          <w:bCs/>
          <w:spacing w:val="8"/>
          <w:sz w:val="28"/>
          <w:szCs w:val="28"/>
        </w:rPr>
        <w:t xml:space="preserve">  </w:t>
      </w:r>
      <w:r>
        <w:rPr>
          <w:rFonts w:ascii="黑体" w:hAnsi="黑体" w:eastAsia="黑体" w:cs="黑体"/>
          <w:b/>
          <w:bCs/>
          <w:spacing w:val="-7"/>
          <w:sz w:val="28"/>
          <w:szCs w:val="28"/>
        </w:rPr>
        <w:t>一般约定</w:t>
      </w:r>
    </w:p>
    <w:p w14:paraId="1C4549F1">
      <w:pPr>
        <w:spacing w:before="83" w:line="233" w:lineRule="auto"/>
        <w:ind w:left="8"/>
        <w:outlineLvl w:val="2"/>
        <w:rPr>
          <w:rFonts w:ascii="黑体" w:hAnsi="黑体" w:eastAsia="黑体" w:cs="黑体"/>
          <w:sz w:val="24"/>
          <w:szCs w:val="24"/>
        </w:rPr>
      </w:pPr>
      <w:bookmarkStart w:id="195" w:name="bookmark147"/>
      <w:bookmarkEnd w:id="195"/>
      <w:r>
        <w:rPr>
          <w:rFonts w:ascii="Times New Roman" w:hAnsi="Times New Roman" w:eastAsia="Times New Roman" w:cs="Times New Roman"/>
          <w:b/>
          <w:bCs/>
          <w:spacing w:val="-3"/>
          <w:sz w:val="24"/>
          <w:szCs w:val="24"/>
        </w:rPr>
        <w:t xml:space="preserve">1.1 </w:t>
      </w:r>
      <w:r>
        <w:rPr>
          <w:rFonts w:ascii="黑体" w:hAnsi="黑体" w:eastAsia="黑体" w:cs="黑体"/>
          <w:b/>
          <w:bCs/>
          <w:spacing w:val="-3"/>
          <w:sz w:val="24"/>
          <w:szCs w:val="24"/>
        </w:rPr>
        <w:t>词语定义与解释</w:t>
      </w:r>
    </w:p>
    <w:p w14:paraId="7CD78C25">
      <w:pPr>
        <w:spacing w:before="119" w:line="220" w:lineRule="auto"/>
        <w:ind w:left="421"/>
        <w:rPr>
          <w:rFonts w:ascii="宋体" w:hAnsi="宋体" w:eastAsia="宋体" w:cs="宋体"/>
          <w:sz w:val="21"/>
          <w:szCs w:val="21"/>
        </w:rPr>
      </w:pPr>
      <w:r>
        <w:rPr>
          <w:rFonts w:ascii="宋体" w:hAnsi="宋体" w:eastAsia="宋体" w:cs="宋体"/>
          <w:spacing w:val="-1"/>
          <w:sz w:val="21"/>
          <w:szCs w:val="21"/>
        </w:rPr>
        <w:t>合同协议书、通用合同条款、专用合同条款中的下列词语具有本款所赋予的含义：</w:t>
      </w:r>
    </w:p>
    <w:p w14:paraId="7842872B">
      <w:pPr>
        <w:spacing w:before="150" w:line="237" w:lineRule="auto"/>
        <w:ind w:left="437"/>
        <w:rPr>
          <w:rFonts w:ascii="宋体" w:hAnsi="宋体" w:eastAsia="宋体" w:cs="宋体"/>
          <w:sz w:val="21"/>
          <w:szCs w:val="21"/>
        </w:rPr>
      </w:pPr>
      <w:r>
        <w:rPr>
          <w:rFonts w:ascii="Times New Roman" w:hAnsi="Times New Roman" w:eastAsia="Times New Roman" w:cs="Times New Roman"/>
          <w:spacing w:val="-4"/>
          <w:sz w:val="21"/>
          <w:szCs w:val="21"/>
        </w:rPr>
        <w:t>1.1.1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合同</w:t>
      </w:r>
    </w:p>
    <w:p w14:paraId="011D01CF">
      <w:pPr>
        <w:spacing w:before="133" w:line="307" w:lineRule="auto"/>
        <w:ind w:right="169"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1.1.1.1  </w:t>
      </w:r>
      <w:r>
        <w:rPr>
          <w:rFonts w:ascii="宋体" w:hAnsi="宋体" w:eastAsia="宋体" w:cs="宋体"/>
          <w:spacing w:val="3"/>
          <w:sz w:val="21"/>
          <w:szCs w:val="21"/>
        </w:rPr>
        <w:t>合同：是指根据法律规定和合同当事人约定具有约束力的文</w:t>
      </w:r>
      <w:r>
        <w:rPr>
          <w:rFonts w:ascii="宋体" w:hAnsi="宋体" w:eastAsia="宋体" w:cs="宋体"/>
          <w:spacing w:val="2"/>
          <w:sz w:val="21"/>
          <w:szCs w:val="21"/>
        </w:rPr>
        <w:t>件，构成合同的文件包</w:t>
      </w:r>
      <w:r>
        <w:rPr>
          <w:rFonts w:ascii="宋体" w:hAnsi="宋体" w:eastAsia="宋体" w:cs="宋体"/>
          <w:spacing w:val="-5"/>
          <w:sz w:val="21"/>
          <w:szCs w:val="21"/>
        </w:rPr>
        <w:t>括合同协议书、中标通知书（如果有）、投标函及其附录（如果有）、专用合同条款及其附件、通</w:t>
      </w:r>
      <w:r>
        <w:rPr>
          <w:rFonts w:ascii="宋体" w:hAnsi="宋体" w:eastAsia="宋体" w:cs="宋体"/>
          <w:sz w:val="21"/>
          <w:szCs w:val="21"/>
        </w:rPr>
        <w:t>用合同条款、技术标准和要求、图纸、已标价工</w:t>
      </w:r>
      <w:r>
        <w:rPr>
          <w:rFonts w:ascii="宋体" w:hAnsi="宋体" w:eastAsia="宋体" w:cs="宋体"/>
          <w:spacing w:val="-1"/>
          <w:sz w:val="21"/>
          <w:szCs w:val="21"/>
        </w:rPr>
        <w:t>程量清单或预算书以及其他合同文件。</w:t>
      </w:r>
    </w:p>
    <w:p w14:paraId="3A4E1BAB">
      <w:pPr>
        <w:spacing w:before="152" w:line="285" w:lineRule="auto"/>
        <w:ind w:left="1" w:right="167" w:firstLine="435"/>
        <w:rPr>
          <w:rFonts w:ascii="宋体" w:hAnsi="宋体" w:eastAsia="宋体" w:cs="宋体"/>
          <w:sz w:val="21"/>
          <w:szCs w:val="21"/>
        </w:rPr>
      </w:pPr>
      <w:r>
        <w:rPr>
          <w:rFonts w:ascii="Times New Roman" w:hAnsi="Times New Roman" w:eastAsia="Times New Roman" w:cs="Times New Roman"/>
          <w:spacing w:val="4"/>
          <w:sz w:val="21"/>
          <w:szCs w:val="21"/>
        </w:rPr>
        <w:t xml:space="preserve">1.1.1.2  </w:t>
      </w:r>
      <w:r>
        <w:rPr>
          <w:rFonts w:ascii="宋体" w:hAnsi="宋体" w:eastAsia="宋体" w:cs="宋体"/>
          <w:spacing w:val="4"/>
          <w:sz w:val="21"/>
          <w:szCs w:val="21"/>
        </w:rPr>
        <w:t>合同协议书：是指构成合同的由</w:t>
      </w:r>
      <w:r>
        <w:rPr>
          <w:rFonts w:ascii="宋体" w:hAnsi="宋体" w:eastAsia="宋体" w:cs="宋体"/>
          <w:spacing w:val="3"/>
          <w:sz w:val="21"/>
          <w:szCs w:val="21"/>
        </w:rPr>
        <w:t>发包人和承包人共同签署的称为</w:t>
      </w:r>
      <w:r>
        <w:rPr>
          <w:rFonts w:ascii="Times New Roman" w:hAnsi="Times New Roman" w:eastAsia="Times New Roman" w:cs="Times New Roman"/>
          <w:spacing w:val="3"/>
          <w:sz w:val="21"/>
          <w:szCs w:val="21"/>
        </w:rPr>
        <w:t>“</w:t>
      </w:r>
      <w:r>
        <w:rPr>
          <w:rFonts w:ascii="宋体" w:hAnsi="宋体" w:eastAsia="宋体" w:cs="宋体"/>
          <w:spacing w:val="3"/>
          <w:sz w:val="21"/>
          <w:szCs w:val="21"/>
        </w:rPr>
        <w:t>合同协议书</w:t>
      </w:r>
      <w:r>
        <w:rPr>
          <w:rFonts w:ascii="Times New Roman" w:hAnsi="Times New Roman" w:eastAsia="Times New Roman" w:cs="Times New Roman"/>
          <w:spacing w:val="3"/>
          <w:sz w:val="21"/>
          <w:szCs w:val="21"/>
        </w:rPr>
        <w:t>”</w:t>
      </w:r>
      <w:r>
        <w:rPr>
          <w:rFonts w:ascii="宋体" w:hAnsi="宋体" w:eastAsia="宋体" w:cs="宋体"/>
          <w:spacing w:val="3"/>
          <w:sz w:val="21"/>
          <w:szCs w:val="21"/>
        </w:rPr>
        <w:t>的书</w:t>
      </w:r>
      <w:r>
        <w:rPr>
          <w:rFonts w:ascii="宋体" w:hAnsi="宋体" w:eastAsia="宋体" w:cs="宋体"/>
          <w:spacing w:val="-2"/>
          <w:sz w:val="21"/>
          <w:szCs w:val="21"/>
        </w:rPr>
        <w:t>面文件。</w:t>
      </w:r>
    </w:p>
    <w:p w14:paraId="5B0607DF">
      <w:pPr>
        <w:spacing w:before="150"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1.1.1.3</w:t>
      </w:r>
      <w:r>
        <w:rPr>
          <w:rFonts w:ascii="Times New Roman" w:hAnsi="Times New Roman" w:eastAsia="Times New Roman" w:cs="Times New Roman"/>
          <w:spacing w:val="18"/>
          <w:w w:val="101"/>
          <w:sz w:val="21"/>
          <w:szCs w:val="21"/>
        </w:rPr>
        <w:t xml:space="preserve">  </w:t>
      </w:r>
      <w:r>
        <w:rPr>
          <w:rFonts w:ascii="宋体" w:hAnsi="宋体" w:eastAsia="宋体" w:cs="宋体"/>
          <w:spacing w:val="-2"/>
          <w:sz w:val="21"/>
          <w:szCs w:val="21"/>
        </w:rPr>
        <w:t>中标通知书：是指构成合同的由发包人通知承包人中标的书面文件。</w:t>
      </w:r>
    </w:p>
    <w:p w14:paraId="0A47471E">
      <w:pPr>
        <w:spacing w:before="135"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1.1.1.4  </w:t>
      </w:r>
      <w:r>
        <w:rPr>
          <w:rFonts w:ascii="宋体" w:hAnsi="宋体" w:eastAsia="宋体" w:cs="宋体"/>
          <w:sz w:val="21"/>
          <w:szCs w:val="21"/>
        </w:rPr>
        <w:t>投标函：是指构成合同的由承包人</w:t>
      </w:r>
      <w:r>
        <w:rPr>
          <w:rFonts w:ascii="宋体" w:hAnsi="宋体" w:eastAsia="宋体" w:cs="宋体"/>
          <w:spacing w:val="-1"/>
          <w:sz w:val="21"/>
          <w:szCs w:val="21"/>
        </w:rPr>
        <w:t>填写并签署的用于投标的称为</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投标函</w:t>
      </w:r>
      <w:r>
        <w:rPr>
          <w:rFonts w:ascii="Times New Roman" w:hAnsi="Times New Roman" w:eastAsia="Times New Roman" w:cs="Times New Roman"/>
          <w:spacing w:val="-1"/>
          <w:sz w:val="21"/>
          <w:szCs w:val="21"/>
        </w:rPr>
        <w:t>”</w:t>
      </w:r>
      <w:r>
        <w:rPr>
          <w:rFonts w:ascii="宋体" w:hAnsi="宋体" w:eastAsia="宋体" w:cs="宋体"/>
          <w:spacing w:val="-1"/>
          <w:sz w:val="21"/>
          <w:szCs w:val="21"/>
        </w:rPr>
        <w:t>的文件。</w:t>
      </w:r>
    </w:p>
    <w:p w14:paraId="2EF057E0">
      <w:pPr>
        <w:spacing w:before="132" w:line="234"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1.1.1.5  </w:t>
      </w:r>
      <w:r>
        <w:rPr>
          <w:rFonts w:ascii="宋体" w:hAnsi="宋体" w:eastAsia="宋体" w:cs="宋体"/>
          <w:spacing w:val="-1"/>
          <w:sz w:val="21"/>
          <w:szCs w:val="21"/>
        </w:rPr>
        <w:t>投标函附录：是指构成合同的附在投标函后的称为</w:t>
      </w:r>
      <w:r>
        <w:rPr>
          <w:rFonts w:ascii="Times New Roman" w:hAnsi="Times New Roman" w:eastAsia="Times New Roman" w:cs="Times New Roman"/>
          <w:spacing w:val="-1"/>
          <w:sz w:val="21"/>
          <w:szCs w:val="21"/>
        </w:rPr>
        <w:t>“</w:t>
      </w:r>
      <w:r>
        <w:rPr>
          <w:rFonts w:ascii="宋体" w:hAnsi="宋体" w:eastAsia="宋体" w:cs="宋体"/>
          <w:spacing w:val="-1"/>
          <w:sz w:val="21"/>
          <w:szCs w:val="21"/>
        </w:rPr>
        <w:t>投标函附录</w:t>
      </w:r>
      <w:r>
        <w:rPr>
          <w:rFonts w:ascii="Times New Roman" w:hAnsi="Times New Roman" w:eastAsia="Times New Roman" w:cs="Times New Roman"/>
          <w:spacing w:val="-1"/>
          <w:sz w:val="21"/>
          <w:szCs w:val="21"/>
        </w:rPr>
        <w:t>”</w:t>
      </w:r>
      <w:r>
        <w:rPr>
          <w:rFonts w:ascii="宋体" w:hAnsi="宋体" w:eastAsia="宋体" w:cs="宋体"/>
          <w:spacing w:val="-1"/>
          <w:sz w:val="21"/>
          <w:szCs w:val="21"/>
        </w:rPr>
        <w:t>的文件。</w:t>
      </w:r>
    </w:p>
    <w:p w14:paraId="5688778D">
      <w:pPr>
        <w:spacing w:before="136" w:line="286" w:lineRule="auto"/>
        <w:ind w:left="18" w:right="179" w:firstLine="419"/>
        <w:rPr>
          <w:rFonts w:ascii="宋体" w:hAnsi="宋体" w:eastAsia="宋体" w:cs="宋体"/>
          <w:sz w:val="21"/>
          <w:szCs w:val="21"/>
        </w:rPr>
      </w:pPr>
      <w:r>
        <w:rPr>
          <w:rFonts w:ascii="Times New Roman" w:hAnsi="Times New Roman" w:eastAsia="Times New Roman" w:cs="Times New Roman"/>
          <w:spacing w:val="3"/>
          <w:sz w:val="21"/>
          <w:szCs w:val="21"/>
        </w:rPr>
        <w:t xml:space="preserve">1.1.1.6  </w:t>
      </w:r>
      <w:r>
        <w:rPr>
          <w:rFonts w:ascii="宋体" w:hAnsi="宋体" w:eastAsia="宋体" w:cs="宋体"/>
          <w:spacing w:val="3"/>
          <w:sz w:val="21"/>
          <w:szCs w:val="21"/>
        </w:rPr>
        <w:t>技术标准和要求：是指构成合同的施工应当遵守的或指导施</w:t>
      </w:r>
      <w:r>
        <w:rPr>
          <w:rFonts w:ascii="宋体" w:hAnsi="宋体" w:eastAsia="宋体" w:cs="宋体"/>
          <w:spacing w:val="2"/>
          <w:sz w:val="21"/>
          <w:szCs w:val="21"/>
        </w:rPr>
        <w:t>工的国家、行业或地方</w:t>
      </w:r>
      <w:r>
        <w:rPr>
          <w:rFonts w:ascii="宋体" w:hAnsi="宋体" w:eastAsia="宋体" w:cs="宋体"/>
          <w:spacing w:val="-2"/>
          <w:sz w:val="21"/>
          <w:szCs w:val="21"/>
        </w:rPr>
        <w:t>的技术标准和要求，以及合同约定的技术标准和要求。</w:t>
      </w:r>
    </w:p>
    <w:p w14:paraId="07840C62">
      <w:pPr>
        <w:spacing w:before="149" w:line="308" w:lineRule="auto"/>
        <w:ind w:right="166"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1.1.1.7  </w:t>
      </w:r>
      <w:r>
        <w:rPr>
          <w:rFonts w:ascii="宋体" w:hAnsi="宋体" w:eastAsia="宋体" w:cs="宋体"/>
          <w:spacing w:val="3"/>
          <w:sz w:val="21"/>
          <w:szCs w:val="21"/>
        </w:rPr>
        <w:t>图纸：是指构成合同的图纸，包括由发包人按照合同约定提</w:t>
      </w:r>
      <w:r>
        <w:rPr>
          <w:rFonts w:ascii="宋体" w:hAnsi="宋体" w:eastAsia="宋体" w:cs="宋体"/>
          <w:spacing w:val="2"/>
          <w:sz w:val="21"/>
          <w:szCs w:val="21"/>
        </w:rPr>
        <w:t>供或经发包人批准的设</w:t>
      </w:r>
      <w:r>
        <w:rPr>
          <w:rFonts w:ascii="宋体" w:hAnsi="宋体" w:eastAsia="宋体" w:cs="宋体"/>
          <w:sz w:val="21"/>
          <w:szCs w:val="21"/>
        </w:rPr>
        <w:t>计文件、施工图、鸟瞰图及模型等，以及在合同履行过程中形成的图纸文件。图纸应当按</w:t>
      </w:r>
      <w:r>
        <w:rPr>
          <w:rFonts w:ascii="宋体" w:hAnsi="宋体" w:eastAsia="宋体" w:cs="宋体"/>
          <w:spacing w:val="-1"/>
          <w:sz w:val="21"/>
          <w:szCs w:val="21"/>
        </w:rPr>
        <w:t>照法律</w:t>
      </w:r>
      <w:r>
        <w:rPr>
          <w:rFonts w:ascii="宋体" w:hAnsi="宋体" w:eastAsia="宋体" w:cs="宋体"/>
          <w:spacing w:val="-3"/>
          <w:sz w:val="21"/>
          <w:szCs w:val="21"/>
        </w:rPr>
        <w:t>规定审查合格。</w:t>
      </w:r>
    </w:p>
    <w:p w14:paraId="303EFD04">
      <w:pPr>
        <w:spacing w:before="149" w:line="286" w:lineRule="auto"/>
        <w:ind w:right="179" w:firstLine="436"/>
        <w:rPr>
          <w:rFonts w:ascii="宋体" w:hAnsi="宋体" w:eastAsia="宋体" w:cs="宋体"/>
          <w:sz w:val="21"/>
          <w:szCs w:val="21"/>
        </w:rPr>
      </w:pPr>
      <w:r>
        <w:rPr>
          <w:rFonts w:ascii="Times New Roman" w:hAnsi="Times New Roman" w:eastAsia="Times New Roman" w:cs="Times New Roman"/>
          <w:spacing w:val="2"/>
          <w:sz w:val="21"/>
          <w:szCs w:val="21"/>
        </w:rPr>
        <w:t>1.1.1.8</w:t>
      </w:r>
      <w:r>
        <w:rPr>
          <w:rFonts w:ascii="Times New Roman" w:hAnsi="Times New Roman" w:eastAsia="Times New Roman" w:cs="Times New Roman"/>
          <w:spacing w:val="19"/>
          <w:w w:val="101"/>
          <w:sz w:val="21"/>
          <w:szCs w:val="21"/>
        </w:rPr>
        <w:t xml:space="preserve">  </w:t>
      </w:r>
      <w:r>
        <w:rPr>
          <w:rFonts w:ascii="宋体" w:hAnsi="宋体" w:eastAsia="宋体" w:cs="宋体"/>
          <w:spacing w:val="2"/>
          <w:sz w:val="21"/>
          <w:szCs w:val="21"/>
        </w:rPr>
        <w:t>已标价工程量清单：是指构成合同的由承包人按照规定的格式和要求填写并标明价</w:t>
      </w:r>
      <w:r>
        <w:rPr>
          <w:rFonts w:ascii="宋体" w:hAnsi="宋体" w:eastAsia="宋体" w:cs="宋体"/>
          <w:spacing w:val="-2"/>
          <w:sz w:val="21"/>
          <w:szCs w:val="21"/>
        </w:rPr>
        <w:t>格的工程量清单，包括说明和表格。</w:t>
      </w:r>
    </w:p>
    <w:p w14:paraId="505416C3">
      <w:pPr>
        <w:spacing w:before="150" w:line="285" w:lineRule="auto"/>
        <w:ind w:right="179" w:firstLine="437"/>
        <w:rPr>
          <w:rFonts w:ascii="宋体" w:hAnsi="宋体" w:eastAsia="宋体" w:cs="宋体"/>
          <w:sz w:val="21"/>
          <w:szCs w:val="21"/>
        </w:rPr>
      </w:pPr>
      <w:r>
        <w:rPr>
          <w:rFonts w:ascii="Times New Roman" w:hAnsi="Times New Roman" w:eastAsia="Times New Roman" w:cs="Times New Roman"/>
          <w:spacing w:val="3"/>
          <w:sz w:val="21"/>
          <w:szCs w:val="21"/>
        </w:rPr>
        <w:t xml:space="preserve">1.1.1.9  </w:t>
      </w:r>
      <w:r>
        <w:rPr>
          <w:rFonts w:ascii="宋体" w:hAnsi="宋体" w:eastAsia="宋体" w:cs="宋体"/>
          <w:spacing w:val="3"/>
          <w:sz w:val="21"/>
          <w:szCs w:val="21"/>
        </w:rPr>
        <w:t>预算书：是指构成合同的由承包人按照发包人规定的格式和</w:t>
      </w:r>
      <w:r>
        <w:rPr>
          <w:rFonts w:ascii="宋体" w:hAnsi="宋体" w:eastAsia="宋体" w:cs="宋体"/>
          <w:spacing w:val="2"/>
          <w:sz w:val="21"/>
          <w:szCs w:val="21"/>
        </w:rPr>
        <w:t>要求编制的工程预算文</w:t>
      </w:r>
      <w:r>
        <w:rPr>
          <w:rFonts w:ascii="宋体" w:hAnsi="宋体" w:eastAsia="宋体" w:cs="宋体"/>
          <w:spacing w:val="-10"/>
          <w:sz w:val="21"/>
          <w:szCs w:val="21"/>
        </w:rPr>
        <w:t>件。</w:t>
      </w:r>
    </w:p>
    <w:p w14:paraId="5636A16E">
      <w:pPr>
        <w:spacing w:before="151" w:line="286" w:lineRule="auto"/>
        <w:ind w:left="3" w:right="170" w:firstLine="433"/>
        <w:rPr>
          <w:rFonts w:ascii="宋体" w:hAnsi="宋体" w:eastAsia="宋体" w:cs="宋体"/>
          <w:sz w:val="21"/>
          <w:szCs w:val="21"/>
        </w:rPr>
      </w:pPr>
      <w:r>
        <w:fldChar w:fldCharType="begin"/>
      </w:r>
      <w:r>
        <w:instrText xml:space="preserve"> HYPERLINK "1.1.1.10" </w:instrText>
      </w:r>
      <w:r>
        <w:fldChar w:fldCharType="separate"/>
      </w:r>
      <w:r>
        <w:rPr>
          <w:rFonts w:ascii="Times New Roman" w:hAnsi="Times New Roman" w:eastAsia="Times New Roman" w:cs="Times New Roman"/>
          <w:spacing w:val="1"/>
          <w:sz w:val="21"/>
          <w:szCs w:val="21"/>
        </w:rPr>
        <w:t>1.1.1.10</w:t>
      </w:r>
      <w:r>
        <w:rPr>
          <w:rFonts w:ascii="Times New Roman" w:hAnsi="Times New Roman" w:eastAsia="Times New Roman" w:cs="Times New Roman"/>
          <w:spacing w:val="1"/>
          <w:sz w:val="21"/>
          <w:szCs w:val="21"/>
        </w:rPr>
        <w:fldChar w:fldCharType="end"/>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其他合同文件：是指经合同当事人约定的与</w:t>
      </w:r>
      <w:r>
        <w:rPr>
          <w:rFonts w:ascii="宋体" w:hAnsi="宋体" w:eastAsia="宋体" w:cs="宋体"/>
          <w:sz w:val="21"/>
          <w:szCs w:val="21"/>
        </w:rPr>
        <w:t>工程施工有关的具有合同约束力的文件或书面协议。合同当事人可以在专用合同条款</w:t>
      </w:r>
      <w:r>
        <w:rPr>
          <w:rFonts w:ascii="宋体" w:hAnsi="宋体" w:eastAsia="宋体" w:cs="宋体"/>
          <w:spacing w:val="-1"/>
          <w:sz w:val="21"/>
          <w:szCs w:val="21"/>
        </w:rPr>
        <w:t>中进行约定。</w:t>
      </w:r>
    </w:p>
    <w:p w14:paraId="7A9CF0FE">
      <w:pPr>
        <w:spacing w:before="149" w:line="235"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1.1.2  </w:t>
      </w:r>
      <w:r>
        <w:rPr>
          <w:rFonts w:ascii="宋体" w:hAnsi="宋体" w:eastAsia="宋体" w:cs="宋体"/>
          <w:spacing w:val="-2"/>
          <w:sz w:val="21"/>
          <w:szCs w:val="21"/>
        </w:rPr>
        <w:t>合同当事人及其他相关方</w:t>
      </w:r>
    </w:p>
    <w:p w14:paraId="753140A7">
      <w:pPr>
        <w:spacing w:before="134"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1.1.2.1  </w:t>
      </w:r>
      <w:r>
        <w:rPr>
          <w:rFonts w:ascii="宋体" w:hAnsi="宋体" w:eastAsia="宋体" w:cs="宋体"/>
          <w:spacing w:val="-2"/>
          <w:sz w:val="21"/>
          <w:szCs w:val="21"/>
        </w:rPr>
        <w:t>合同当事人：是指发包人和（或）承包人。</w:t>
      </w:r>
    </w:p>
    <w:p w14:paraId="07E1CB89">
      <w:pPr>
        <w:spacing w:before="133" w:line="234" w:lineRule="auto"/>
        <w:jc w:val="right"/>
        <w:rPr>
          <w:rFonts w:ascii="宋体" w:hAnsi="宋体" w:eastAsia="宋体" w:cs="宋体"/>
          <w:sz w:val="21"/>
          <w:szCs w:val="21"/>
        </w:rPr>
      </w:pPr>
      <w:r>
        <w:rPr>
          <w:rFonts w:ascii="Times New Roman" w:hAnsi="Times New Roman" w:eastAsia="Times New Roman" w:cs="Times New Roman"/>
          <w:spacing w:val="2"/>
          <w:sz w:val="21"/>
          <w:szCs w:val="21"/>
        </w:rPr>
        <w:t xml:space="preserve">1.1.2.2  </w:t>
      </w:r>
      <w:r>
        <w:rPr>
          <w:rFonts w:ascii="宋体" w:hAnsi="宋体" w:eastAsia="宋体" w:cs="宋体"/>
          <w:spacing w:val="2"/>
          <w:sz w:val="21"/>
          <w:szCs w:val="21"/>
        </w:rPr>
        <w:t>发包人：是指与承包人签订合同协议书的当事人及取得该当事人资格的合法继承人。</w:t>
      </w:r>
    </w:p>
    <w:p w14:paraId="54EB76D9">
      <w:pPr>
        <w:spacing w:before="134" w:line="286" w:lineRule="auto"/>
        <w:ind w:left="3" w:right="179"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1.1.2.3  </w:t>
      </w:r>
      <w:r>
        <w:rPr>
          <w:rFonts w:ascii="宋体" w:hAnsi="宋体" w:eastAsia="宋体" w:cs="宋体"/>
          <w:spacing w:val="3"/>
          <w:sz w:val="21"/>
          <w:szCs w:val="21"/>
        </w:rPr>
        <w:t>承包人：是指与发包人签订合同协议书的，具有相应工程施</w:t>
      </w:r>
      <w:r>
        <w:rPr>
          <w:rFonts w:ascii="宋体" w:hAnsi="宋体" w:eastAsia="宋体" w:cs="宋体"/>
          <w:spacing w:val="2"/>
          <w:sz w:val="21"/>
          <w:szCs w:val="21"/>
        </w:rPr>
        <w:t>工承包资质的当事人及</w:t>
      </w:r>
      <w:r>
        <w:rPr>
          <w:rFonts w:ascii="宋体" w:hAnsi="宋体" w:eastAsia="宋体" w:cs="宋体"/>
          <w:spacing w:val="-1"/>
          <w:sz w:val="21"/>
          <w:szCs w:val="21"/>
        </w:rPr>
        <w:t>取得该当事人资格的合法继承人。</w:t>
      </w:r>
    </w:p>
    <w:p w14:paraId="3078FF30">
      <w:pPr>
        <w:spacing w:before="151" w:line="285" w:lineRule="auto"/>
        <w:ind w:left="5" w:right="179" w:firstLine="431"/>
        <w:rPr>
          <w:rFonts w:ascii="宋体" w:hAnsi="宋体" w:eastAsia="宋体" w:cs="宋体"/>
          <w:sz w:val="21"/>
          <w:szCs w:val="21"/>
        </w:rPr>
      </w:pPr>
      <w:r>
        <w:rPr>
          <w:rFonts w:ascii="Times New Roman" w:hAnsi="Times New Roman" w:eastAsia="Times New Roman" w:cs="Times New Roman"/>
          <w:spacing w:val="3"/>
          <w:sz w:val="21"/>
          <w:szCs w:val="21"/>
        </w:rPr>
        <w:t xml:space="preserve">1.1.2.4  </w:t>
      </w:r>
      <w:r>
        <w:rPr>
          <w:rFonts w:ascii="宋体" w:hAnsi="宋体" w:eastAsia="宋体" w:cs="宋体"/>
          <w:spacing w:val="3"/>
          <w:sz w:val="21"/>
          <w:szCs w:val="21"/>
        </w:rPr>
        <w:t>监理人：是指在专用合同条款中指明的，受发包人委托按照</w:t>
      </w:r>
      <w:r>
        <w:rPr>
          <w:rFonts w:ascii="宋体" w:hAnsi="宋体" w:eastAsia="宋体" w:cs="宋体"/>
          <w:spacing w:val="2"/>
          <w:sz w:val="21"/>
          <w:szCs w:val="21"/>
        </w:rPr>
        <w:t>法律规定进行工程监督</w:t>
      </w:r>
      <w:r>
        <w:rPr>
          <w:rFonts w:ascii="宋体" w:hAnsi="宋体" w:eastAsia="宋体" w:cs="宋体"/>
          <w:spacing w:val="-3"/>
          <w:sz w:val="21"/>
          <w:szCs w:val="21"/>
        </w:rPr>
        <w:t>管理的法人或其他组织。</w:t>
      </w:r>
    </w:p>
    <w:p w14:paraId="1B5334FC">
      <w:pPr>
        <w:spacing w:before="150" w:line="287" w:lineRule="auto"/>
        <w:ind w:right="179" w:firstLine="437"/>
        <w:rPr>
          <w:rFonts w:ascii="宋体" w:hAnsi="宋体" w:eastAsia="宋体" w:cs="宋体"/>
          <w:sz w:val="21"/>
          <w:szCs w:val="21"/>
        </w:rPr>
      </w:pPr>
      <w:r>
        <w:rPr>
          <w:rFonts w:ascii="Times New Roman" w:hAnsi="Times New Roman" w:eastAsia="Times New Roman" w:cs="Times New Roman"/>
          <w:spacing w:val="3"/>
          <w:sz w:val="21"/>
          <w:szCs w:val="21"/>
        </w:rPr>
        <w:t xml:space="preserve">1.1.2.5  </w:t>
      </w:r>
      <w:r>
        <w:rPr>
          <w:rFonts w:ascii="宋体" w:hAnsi="宋体" w:eastAsia="宋体" w:cs="宋体"/>
          <w:spacing w:val="3"/>
          <w:sz w:val="21"/>
          <w:szCs w:val="21"/>
        </w:rPr>
        <w:t>设计人：是指在专用合同条款中指明的，受发包人委托负责</w:t>
      </w:r>
      <w:r>
        <w:rPr>
          <w:rFonts w:ascii="宋体" w:hAnsi="宋体" w:eastAsia="宋体" w:cs="宋体"/>
          <w:spacing w:val="2"/>
          <w:sz w:val="21"/>
          <w:szCs w:val="21"/>
        </w:rPr>
        <w:t>工程设计并具备相应工</w:t>
      </w:r>
      <w:r>
        <w:rPr>
          <w:rFonts w:ascii="宋体" w:hAnsi="宋体" w:eastAsia="宋体" w:cs="宋体"/>
          <w:spacing w:val="-2"/>
          <w:sz w:val="21"/>
          <w:szCs w:val="21"/>
        </w:rPr>
        <w:t>程设计资质的法人或其他组织。</w:t>
      </w:r>
    </w:p>
    <w:p w14:paraId="71B22BF4">
      <w:pPr>
        <w:spacing w:line="287" w:lineRule="auto"/>
        <w:rPr>
          <w:rFonts w:ascii="宋体" w:hAnsi="宋体" w:eastAsia="宋体" w:cs="宋体"/>
          <w:sz w:val="21"/>
          <w:szCs w:val="21"/>
        </w:rPr>
        <w:sectPr>
          <w:footerReference r:id="rId87" w:type="default"/>
          <w:pgSz w:w="11905" w:h="16843"/>
          <w:pgMar w:top="969" w:right="1355" w:bottom="1026" w:left="1480" w:header="0" w:footer="754" w:gutter="0"/>
          <w:cols w:space="0" w:num="1"/>
          <w:rtlGutter w:val="0"/>
          <w:docGrid w:linePitch="0" w:charSpace="0"/>
        </w:sectPr>
      </w:pPr>
    </w:p>
    <w:p w14:paraId="4085EDDF">
      <w:pPr>
        <w:pStyle w:val="5"/>
        <w:spacing w:line="270" w:lineRule="auto"/>
      </w:pPr>
    </w:p>
    <w:p w14:paraId="6A819A23">
      <w:pPr>
        <w:pStyle w:val="5"/>
        <w:spacing w:line="270" w:lineRule="auto"/>
      </w:pPr>
    </w:p>
    <w:p w14:paraId="574DB6DF">
      <w:pPr>
        <w:pStyle w:val="5"/>
        <w:spacing w:line="270" w:lineRule="auto"/>
      </w:pPr>
    </w:p>
    <w:p w14:paraId="0A5ABC05">
      <w:pPr>
        <w:pStyle w:val="5"/>
        <w:spacing w:line="271" w:lineRule="auto"/>
      </w:pPr>
    </w:p>
    <w:p w14:paraId="68A41177">
      <w:pPr>
        <w:spacing w:before="68" w:line="287" w:lineRule="auto"/>
        <w:ind w:right="153" w:firstLine="436"/>
        <w:rPr>
          <w:rFonts w:ascii="宋体" w:hAnsi="宋体" w:eastAsia="宋体" w:cs="宋体"/>
          <w:sz w:val="21"/>
          <w:szCs w:val="21"/>
        </w:rPr>
      </w:pPr>
      <w:bookmarkStart w:id="196" w:name="bookmark541"/>
      <w:bookmarkEnd w:id="196"/>
      <w:r>
        <w:rPr>
          <w:rFonts w:ascii="Times New Roman" w:hAnsi="Times New Roman" w:eastAsia="Times New Roman" w:cs="Times New Roman"/>
          <w:spacing w:val="3"/>
          <w:sz w:val="21"/>
          <w:szCs w:val="21"/>
        </w:rPr>
        <w:t xml:space="preserve">1.1.2.6  </w:t>
      </w:r>
      <w:r>
        <w:rPr>
          <w:rFonts w:ascii="宋体" w:hAnsi="宋体" w:eastAsia="宋体" w:cs="宋体"/>
          <w:spacing w:val="3"/>
          <w:sz w:val="21"/>
          <w:szCs w:val="21"/>
        </w:rPr>
        <w:t>分包人：是指按照法律规定和合同约定，分包部分工程或工作，并与承包人签订分</w:t>
      </w:r>
      <w:r>
        <w:rPr>
          <w:rFonts w:ascii="宋体" w:hAnsi="宋体" w:eastAsia="宋体" w:cs="宋体"/>
          <w:spacing w:val="-2"/>
          <w:sz w:val="21"/>
          <w:szCs w:val="21"/>
        </w:rPr>
        <w:t>包合同的具有相应资质的法人。</w:t>
      </w:r>
    </w:p>
    <w:p w14:paraId="609F3F0F">
      <w:pPr>
        <w:spacing w:before="150" w:line="286" w:lineRule="auto"/>
        <w:ind w:right="163" w:firstLine="435"/>
        <w:rPr>
          <w:rFonts w:ascii="宋体" w:hAnsi="宋体" w:eastAsia="宋体" w:cs="宋体"/>
          <w:sz w:val="21"/>
          <w:szCs w:val="21"/>
        </w:rPr>
      </w:pPr>
      <w:r>
        <w:rPr>
          <w:rFonts w:ascii="Times New Roman" w:hAnsi="Times New Roman" w:eastAsia="Times New Roman" w:cs="Times New Roman"/>
          <w:spacing w:val="3"/>
          <w:sz w:val="21"/>
          <w:szCs w:val="21"/>
        </w:rPr>
        <w:t xml:space="preserve">1.1.2.7  </w:t>
      </w:r>
      <w:r>
        <w:rPr>
          <w:rFonts w:ascii="宋体" w:hAnsi="宋体" w:eastAsia="宋体" w:cs="宋体"/>
          <w:spacing w:val="3"/>
          <w:sz w:val="21"/>
          <w:szCs w:val="21"/>
        </w:rPr>
        <w:t>发包人代表：是指由发包人任命并派驻施工现场在发包人授</w:t>
      </w:r>
      <w:r>
        <w:rPr>
          <w:rFonts w:ascii="宋体" w:hAnsi="宋体" w:eastAsia="宋体" w:cs="宋体"/>
          <w:spacing w:val="2"/>
          <w:sz w:val="21"/>
          <w:szCs w:val="21"/>
        </w:rPr>
        <w:t>权范围内行使发包人权</w:t>
      </w:r>
      <w:r>
        <w:rPr>
          <w:rFonts w:ascii="宋体" w:hAnsi="宋体" w:eastAsia="宋体" w:cs="宋体"/>
          <w:spacing w:val="-2"/>
          <w:sz w:val="21"/>
          <w:szCs w:val="21"/>
        </w:rPr>
        <w:t>利的人。</w:t>
      </w:r>
    </w:p>
    <w:p w14:paraId="77FF8811">
      <w:pPr>
        <w:spacing w:before="148" w:line="286" w:lineRule="auto"/>
        <w:ind w:firstLine="436"/>
        <w:rPr>
          <w:rFonts w:ascii="宋体" w:hAnsi="宋体" w:eastAsia="宋体" w:cs="宋体"/>
          <w:sz w:val="21"/>
          <w:szCs w:val="21"/>
        </w:rPr>
      </w:pPr>
      <w:r>
        <w:rPr>
          <w:rFonts w:ascii="Times New Roman" w:hAnsi="Times New Roman" w:eastAsia="Times New Roman" w:cs="Times New Roman"/>
          <w:spacing w:val="2"/>
          <w:sz w:val="21"/>
          <w:szCs w:val="21"/>
        </w:rPr>
        <w:t xml:space="preserve">1.1.2.8  </w:t>
      </w:r>
      <w:r>
        <w:rPr>
          <w:rFonts w:ascii="宋体" w:hAnsi="宋体" w:eastAsia="宋体" w:cs="宋体"/>
          <w:spacing w:val="2"/>
          <w:sz w:val="21"/>
          <w:szCs w:val="21"/>
        </w:rPr>
        <w:t>项目经理：是指由承包人任命并派驻施工现场，在承</w:t>
      </w:r>
      <w:r>
        <w:rPr>
          <w:rFonts w:ascii="宋体" w:hAnsi="宋体" w:eastAsia="宋体" w:cs="宋体"/>
          <w:spacing w:val="1"/>
          <w:sz w:val="21"/>
          <w:szCs w:val="21"/>
        </w:rPr>
        <w:t>包人授权范围内负责合同履行，</w:t>
      </w:r>
      <w:r>
        <w:rPr>
          <w:rFonts w:ascii="宋体" w:hAnsi="宋体" w:eastAsia="宋体" w:cs="宋体"/>
          <w:spacing w:val="-1"/>
          <w:sz w:val="21"/>
          <w:szCs w:val="21"/>
        </w:rPr>
        <w:t>且按照法律规定具有相应资格的项目负责人。</w:t>
      </w:r>
    </w:p>
    <w:p w14:paraId="140C0A7E">
      <w:pPr>
        <w:spacing w:before="148" w:line="234"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1.1.2.9  </w:t>
      </w:r>
      <w:r>
        <w:rPr>
          <w:rFonts w:ascii="宋体" w:hAnsi="宋体" w:eastAsia="宋体" w:cs="宋体"/>
          <w:sz w:val="21"/>
          <w:szCs w:val="21"/>
        </w:rPr>
        <w:t>总监理工程师：是指由监理人任</w:t>
      </w:r>
      <w:r>
        <w:rPr>
          <w:rFonts w:ascii="宋体" w:hAnsi="宋体" w:eastAsia="宋体" w:cs="宋体"/>
          <w:spacing w:val="-1"/>
          <w:sz w:val="21"/>
          <w:szCs w:val="21"/>
        </w:rPr>
        <w:t>命并派驻施工现场进行工程监理的总负责人。</w:t>
      </w:r>
    </w:p>
    <w:p w14:paraId="13AC6DDE">
      <w:pPr>
        <w:spacing w:before="134" w:line="235"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1.1.3  </w:t>
      </w:r>
      <w:r>
        <w:rPr>
          <w:rFonts w:ascii="宋体" w:hAnsi="宋体" w:eastAsia="宋体" w:cs="宋体"/>
          <w:spacing w:val="-2"/>
          <w:sz w:val="21"/>
          <w:szCs w:val="21"/>
        </w:rPr>
        <w:t>工程和设备</w:t>
      </w:r>
    </w:p>
    <w:p w14:paraId="54638852">
      <w:pPr>
        <w:spacing w:before="133" w:line="234" w:lineRule="auto"/>
        <w:ind w:left="436"/>
        <w:rPr>
          <w:rFonts w:ascii="宋体" w:hAnsi="宋体" w:eastAsia="宋体" w:cs="宋体"/>
          <w:sz w:val="21"/>
          <w:szCs w:val="21"/>
        </w:rPr>
      </w:pPr>
      <w:r>
        <w:rPr>
          <w:rFonts w:ascii="Times New Roman" w:hAnsi="Times New Roman" w:eastAsia="Times New Roman" w:cs="Times New Roman"/>
          <w:sz w:val="21"/>
          <w:szCs w:val="21"/>
        </w:rPr>
        <w:t xml:space="preserve">1.1.3.1  </w:t>
      </w:r>
      <w:r>
        <w:rPr>
          <w:rFonts w:ascii="宋体" w:hAnsi="宋体" w:eastAsia="宋体" w:cs="宋体"/>
          <w:sz w:val="21"/>
          <w:szCs w:val="21"/>
        </w:rPr>
        <w:t>工程：是指与合同协议书中工程</w:t>
      </w:r>
      <w:r>
        <w:rPr>
          <w:rFonts w:ascii="宋体" w:hAnsi="宋体" w:eastAsia="宋体" w:cs="宋体"/>
          <w:spacing w:val="-1"/>
          <w:sz w:val="21"/>
          <w:szCs w:val="21"/>
        </w:rPr>
        <w:t>承包范围对应的永久工程和（或）临时工程。</w:t>
      </w:r>
    </w:p>
    <w:p w14:paraId="14C4BF19">
      <w:pPr>
        <w:spacing w:before="133"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1.1.3.2  </w:t>
      </w:r>
      <w:r>
        <w:rPr>
          <w:rFonts w:ascii="宋体" w:hAnsi="宋体" w:eastAsia="宋体" w:cs="宋体"/>
          <w:spacing w:val="-1"/>
          <w:sz w:val="21"/>
          <w:szCs w:val="21"/>
        </w:rPr>
        <w:t>永久工程：是指按合同约定建造并移交给发包人的工程，包括工程设备。</w:t>
      </w:r>
    </w:p>
    <w:p w14:paraId="72E9859B">
      <w:pPr>
        <w:spacing w:before="134" w:line="287" w:lineRule="auto"/>
        <w:ind w:left="3" w:right="163"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1.1.3.3  </w:t>
      </w:r>
      <w:r>
        <w:rPr>
          <w:rFonts w:ascii="宋体" w:hAnsi="宋体" w:eastAsia="宋体" w:cs="宋体"/>
          <w:spacing w:val="3"/>
          <w:sz w:val="21"/>
          <w:szCs w:val="21"/>
        </w:rPr>
        <w:t>临时工程：是指为完成合同约定的永久工程所修建的各类临</w:t>
      </w:r>
      <w:r>
        <w:rPr>
          <w:rFonts w:ascii="宋体" w:hAnsi="宋体" w:eastAsia="宋体" w:cs="宋体"/>
          <w:spacing w:val="2"/>
          <w:sz w:val="21"/>
          <w:szCs w:val="21"/>
        </w:rPr>
        <w:t>时性工程，不包括施工</w:t>
      </w:r>
      <w:r>
        <w:rPr>
          <w:rFonts w:ascii="宋体" w:hAnsi="宋体" w:eastAsia="宋体" w:cs="宋体"/>
          <w:spacing w:val="-9"/>
          <w:sz w:val="21"/>
          <w:szCs w:val="21"/>
        </w:rPr>
        <w:t>设备。</w:t>
      </w:r>
    </w:p>
    <w:p w14:paraId="0F0F0BDD">
      <w:pPr>
        <w:spacing w:before="146" w:line="287" w:lineRule="auto"/>
        <w:ind w:left="17" w:right="159" w:firstLine="419"/>
        <w:rPr>
          <w:rFonts w:ascii="宋体" w:hAnsi="宋体" w:eastAsia="宋体" w:cs="宋体"/>
          <w:sz w:val="21"/>
          <w:szCs w:val="21"/>
        </w:rPr>
      </w:pPr>
      <w:r>
        <w:rPr>
          <w:rFonts w:ascii="Times New Roman" w:hAnsi="Times New Roman" w:eastAsia="Times New Roman" w:cs="Times New Roman"/>
          <w:spacing w:val="3"/>
          <w:sz w:val="21"/>
          <w:szCs w:val="21"/>
        </w:rPr>
        <w:t xml:space="preserve">1.1.3.4  </w:t>
      </w:r>
      <w:r>
        <w:rPr>
          <w:rFonts w:ascii="宋体" w:hAnsi="宋体" w:eastAsia="宋体" w:cs="宋体"/>
          <w:spacing w:val="3"/>
          <w:sz w:val="21"/>
          <w:szCs w:val="21"/>
        </w:rPr>
        <w:t>单位工程：是指在合同协议书中指明的，具备独立施工条件并能形成</w:t>
      </w:r>
      <w:r>
        <w:rPr>
          <w:rFonts w:ascii="宋体" w:hAnsi="宋体" w:eastAsia="宋体" w:cs="宋体"/>
          <w:spacing w:val="2"/>
          <w:sz w:val="21"/>
          <w:szCs w:val="21"/>
        </w:rPr>
        <w:t>独立使用功能</w:t>
      </w:r>
      <w:r>
        <w:rPr>
          <w:rFonts w:ascii="宋体" w:hAnsi="宋体" w:eastAsia="宋体" w:cs="宋体"/>
          <w:spacing w:val="-4"/>
          <w:sz w:val="21"/>
          <w:szCs w:val="21"/>
        </w:rPr>
        <w:t>的永久工程。</w:t>
      </w:r>
    </w:p>
    <w:p w14:paraId="1AECC6A9">
      <w:pPr>
        <w:spacing w:before="148" w:line="286" w:lineRule="auto"/>
        <w:ind w:right="163" w:firstLine="435"/>
        <w:rPr>
          <w:rFonts w:ascii="宋体" w:hAnsi="宋体" w:eastAsia="宋体" w:cs="宋体"/>
          <w:sz w:val="21"/>
          <w:szCs w:val="21"/>
        </w:rPr>
      </w:pPr>
      <w:r>
        <w:rPr>
          <w:rFonts w:ascii="Times New Roman" w:hAnsi="Times New Roman" w:eastAsia="Times New Roman" w:cs="Times New Roman"/>
          <w:spacing w:val="3"/>
          <w:sz w:val="21"/>
          <w:szCs w:val="21"/>
        </w:rPr>
        <w:t xml:space="preserve">1.1.3.5  </w:t>
      </w:r>
      <w:r>
        <w:rPr>
          <w:rFonts w:ascii="宋体" w:hAnsi="宋体" w:eastAsia="宋体" w:cs="宋体"/>
          <w:spacing w:val="3"/>
          <w:sz w:val="21"/>
          <w:szCs w:val="21"/>
        </w:rPr>
        <w:t>工程设备：是指构成永久工程的机电设备、金属结构设备、</w:t>
      </w:r>
      <w:r>
        <w:rPr>
          <w:rFonts w:ascii="宋体" w:hAnsi="宋体" w:eastAsia="宋体" w:cs="宋体"/>
          <w:spacing w:val="2"/>
          <w:sz w:val="21"/>
          <w:szCs w:val="21"/>
        </w:rPr>
        <w:t>仪器及其他类似的设备</w:t>
      </w:r>
      <w:r>
        <w:rPr>
          <w:rFonts w:ascii="宋体" w:hAnsi="宋体" w:eastAsia="宋体" w:cs="宋体"/>
          <w:spacing w:val="-2"/>
          <w:sz w:val="21"/>
          <w:szCs w:val="21"/>
        </w:rPr>
        <w:t>和装置。</w:t>
      </w:r>
    </w:p>
    <w:p w14:paraId="4DD74E2E">
      <w:pPr>
        <w:spacing w:before="150" w:line="286" w:lineRule="auto"/>
        <w:ind w:right="163"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1.1.3.6  </w:t>
      </w:r>
      <w:r>
        <w:rPr>
          <w:rFonts w:ascii="宋体" w:hAnsi="宋体" w:eastAsia="宋体" w:cs="宋体"/>
          <w:spacing w:val="3"/>
          <w:sz w:val="21"/>
          <w:szCs w:val="21"/>
        </w:rPr>
        <w:t>施工设备：是指为完成合同约定的各项工作所需的设备、器</w:t>
      </w:r>
      <w:r>
        <w:rPr>
          <w:rFonts w:ascii="宋体" w:hAnsi="宋体" w:eastAsia="宋体" w:cs="宋体"/>
          <w:spacing w:val="2"/>
          <w:sz w:val="21"/>
          <w:szCs w:val="21"/>
        </w:rPr>
        <w:t>具和其他物品，但不包</w:t>
      </w:r>
      <w:r>
        <w:rPr>
          <w:rFonts w:ascii="宋体" w:hAnsi="宋体" w:eastAsia="宋体" w:cs="宋体"/>
          <w:spacing w:val="-2"/>
          <w:sz w:val="21"/>
          <w:szCs w:val="21"/>
        </w:rPr>
        <w:t>括工程设备、临时工程和材料。</w:t>
      </w:r>
    </w:p>
    <w:p w14:paraId="71F8EC8B">
      <w:pPr>
        <w:spacing w:before="149" w:line="286" w:lineRule="auto"/>
        <w:ind w:left="1" w:right="155" w:firstLine="434"/>
        <w:rPr>
          <w:rFonts w:ascii="宋体" w:hAnsi="宋体" w:eastAsia="宋体" w:cs="宋体"/>
          <w:sz w:val="21"/>
          <w:szCs w:val="21"/>
        </w:rPr>
      </w:pPr>
      <w:r>
        <w:rPr>
          <w:rFonts w:ascii="Times New Roman" w:hAnsi="Times New Roman" w:eastAsia="Times New Roman" w:cs="Times New Roman"/>
          <w:spacing w:val="3"/>
          <w:sz w:val="21"/>
          <w:szCs w:val="21"/>
        </w:rPr>
        <w:t xml:space="preserve">1.1.3.7  </w:t>
      </w:r>
      <w:r>
        <w:rPr>
          <w:rFonts w:ascii="宋体" w:hAnsi="宋体" w:eastAsia="宋体" w:cs="宋体"/>
          <w:spacing w:val="3"/>
          <w:sz w:val="21"/>
          <w:szCs w:val="21"/>
        </w:rPr>
        <w:t>施工现场：是指用于工程施工的场所，以及在专用合同条款中指明作为施工场</w:t>
      </w:r>
      <w:r>
        <w:rPr>
          <w:rFonts w:ascii="宋体" w:hAnsi="宋体" w:eastAsia="宋体" w:cs="宋体"/>
          <w:spacing w:val="2"/>
          <w:sz w:val="21"/>
          <w:szCs w:val="21"/>
        </w:rPr>
        <w:t>所组</w:t>
      </w:r>
      <w:r>
        <w:rPr>
          <w:rFonts w:ascii="宋体" w:hAnsi="宋体" w:eastAsia="宋体" w:cs="宋体"/>
          <w:spacing w:val="-1"/>
          <w:sz w:val="21"/>
          <w:szCs w:val="21"/>
        </w:rPr>
        <w:t>成部分的其他场所，包括永久占地和临时占地。</w:t>
      </w:r>
    </w:p>
    <w:p w14:paraId="413F7C90">
      <w:pPr>
        <w:spacing w:before="151"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1.1.3.8</w:t>
      </w:r>
      <w:r>
        <w:rPr>
          <w:rFonts w:ascii="Times New Roman" w:hAnsi="Times New Roman" w:eastAsia="Times New Roman" w:cs="Times New Roman"/>
          <w:spacing w:val="23"/>
          <w:sz w:val="21"/>
          <w:szCs w:val="21"/>
        </w:rPr>
        <w:t xml:space="preserve"> </w:t>
      </w:r>
      <w:r>
        <w:rPr>
          <w:rFonts w:ascii="宋体" w:hAnsi="宋体" w:eastAsia="宋体" w:cs="宋体"/>
          <w:spacing w:val="-1"/>
          <w:sz w:val="21"/>
          <w:szCs w:val="21"/>
        </w:rPr>
        <w:t>临时设施：是指为完成合同约定的各项工作所服务的临时性生产和生活设施。</w:t>
      </w:r>
    </w:p>
    <w:p w14:paraId="64F68640">
      <w:pPr>
        <w:spacing w:before="132"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1.1.3.9  </w:t>
      </w:r>
      <w:r>
        <w:rPr>
          <w:rFonts w:ascii="宋体" w:hAnsi="宋体" w:eastAsia="宋体" w:cs="宋体"/>
          <w:spacing w:val="-1"/>
          <w:sz w:val="21"/>
          <w:szCs w:val="21"/>
        </w:rPr>
        <w:t>永久占地：是指专用合同条款中指明为实施工程需永久占用的土地。</w:t>
      </w:r>
    </w:p>
    <w:p w14:paraId="1365CB4E">
      <w:pPr>
        <w:spacing w:before="135" w:line="234" w:lineRule="auto"/>
        <w:ind w:left="436"/>
        <w:rPr>
          <w:rFonts w:ascii="宋体" w:hAnsi="宋体" w:eastAsia="宋体" w:cs="宋体"/>
          <w:sz w:val="21"/>
          <w:szCs w:val="21"/>
        </w:rPr>
      </w:pPr>
      <w:r>
        <w:fldChar w:fldCharType="begin"/>
      </w:r>
      <w:r>
        <w:instrText xml:space="preserve"> HYPERLINK "1.1.3.10" </w:instrText>
      </w:r>
      <w:r>
        <w:fldChar w:fldCharType="separate"/>
      </w:r>
      <w:r>
        <w:rPr>
          <w:rFonts w:ascii="Times New Roman" w:hAnsi="Times New Roman" w:eastAsia="Times New Roman" w:cs="Times New Roman"/>
          <w:spacing w:val="-1"/>
          <w:sz w:val="21"/>
          <w:szCs w:val="21"/>
        </w:rPr>
        <w:t>1.1.3.10</w:t>
      </w:r>
      <w:r>
        <w:rPr>
          <w:rFonts w:ascii="Times New Roman" w:hAnsi="Times New Roman" w:eastAsia="Times New Roman" w:cs="Times New Roman"/>
          <w:spacing w:val="-1"/>
          <w:sz w:val="21"/>
          <w:szCs w:val="21"/>
        </w:rPr>
        <w:fldChar w:fldCharType="end"/>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临时占地：是指专用合同条款中指明为实施工程需要临时占用的土地。</w:t>
      </w:r>
    </w:p>
    <w:p w14:paraId="044A88EE">
      <w:pPr>
        <w:spacing w:before="134" w:line="235" w:lineRule="auto"/>
        <w:ind w:left="436"/>
        <w:rPr>
          <w:rFonts w:ascii="宋体" w:hAnsi="宋体" w:eastAsia="宋体" w:cs="宋体"/>
          <w:sz w:val="21"/>
          <w:szCs w:val="21"/>
        </w:rPr>
      </w:pPr>
      <w:r>
        <w:rPr>
          <w:rFonts w:ascii="Times New Roman" w:hAnsi="Times New Roman" w:eastAsia="Times New Roman" w:cs="Times New Roman"/>
          <w:spacing w:val="-7"/>
          <w:sz w:val="21"/>
          <w:szCs w:val="21"/>
        </w:rPr>
        <w:t>1.1.4</w:t>
      </w:r>
      <w:r>
        <w:rPr>
          <w:rFonts w:ascii="Times New Roman" w:hAnsi="Times New Roman" w:eastAsia="Times New Roman" w:cs="Times New Roman"/>
          <w:spacing w:val="23"/>
          <w:w w:val="101"/>
          <w:sz w:val="21"/>
          <w:szCs w:val="21"/>
        </w:rPr>
        <w:t xml:space="preserve">  </w:t>
      </w:r>
      <w:r>
        <w:rPr>
          <w:rFonts w:ascii="宋体" w:hAnsi="宋体" w:eastAsia="宋体" w:cs="宋体"/>
          <w:spacing w:val="-7"/>
          <w:sz w:val="21"/>
          <w:szCs w:val="21"/>
        </w:rPr>
        <w:t>日期和期限</w:t>
      </w:r>
    </w:p>
    <w:p w14:paraId="523E8809">
      <w:pPr>
        <w:spacing w:before="133" w:line="308" w:lineRule="auto"/>
        <w:ind w:right="150" w:firstLine="435"/>
        <w:rPr>
          <w:rFonts w:ascii="宋体" w:hAnsi="宋体" w:eastAsia="宋体" w:cs="宋体"/>
          <w:sz w:val="21"/>
          <w:szCs w:val="21"/>
        </w:rPr>
      </w:pPr>
      <w:r>
        <w:rPr>
          <w:rFonts w:ascii="Times New Roman" w:hAnsi="Times New Roman" w:eastAsia="Times New Roman" w:cs="Times New Roman"/>
          <w:spacing w:val="3"/>
          <w:sz w:val="21"/>
          <w:szCs w:val="21"/>
        </w:rPr>
        <w:t xml:space="preserve">1.1.4.1  </w:t>
      </w:r>
      <w:r>
        <w:rPr>
          <w:rFonts w:ascii="宋体" w:hAnsi="宋体" w:eastAsia="宋体" w:cs="宋体"/>
          <w:spacing w:val="3"/>
          <w:sz w:val="21"/>
          <w:szCs w:val="21"/>
        </w:rPr>
        <w:t>开工日期：包括计划开工日期和实际开工日期。计划开工日</w:t>
      </w:r>
      <w:r>
        <w:rPr>
          <w:rFonts w:ascii="宋体" w:hAnsi="宋体" w:eastAsia="宋体" w:cs="宋体"/>
          <w:spacing w:val="2"/>
          <w:sz w:val="21"/>
          <w:szCs w:val="21"/>
        </w:rPr>
        <w:t>期是指合同协议书约定</w:t>
      </w:r>
      <w:r>
        <w:rPr>
          <w:rFonts w:ascii="宋体" w:hAnsi="宋体" w:eastAsia="宋体" w:cs="宋体"/>
          <w:sz w:val="21"/>
          <w:szCs w:val="21"/>
        </w:rPr>
        <w:t xml:space="preserve">的开工日期；实际开工日期是指监理人按照第 </w:t>
      </w:r>
      <w:r>
        <w:rPr>
          <w:rFonts w:ascii="Times New Roman" w:hAnsi="Times New Roman" w:eastAsia="Times New Roman" w:cs="Times New Roman"/>
          <w:sz w:val="21"/>
          <w:szCs w:val="21"/>
        </w:rPr>
        <w:t xml:space="preserve">7.3.2  </w:t>
      </w:r>
      <w:r>
        <w:rPr>
          <w:rFonts w:ascii="宋体" w:hAnsi="宋体" w:eastAsia="宋体" w:cs="宋体"/>
          <w:sz w:val="21"/>
          <w:szCs w:val="21"/>
        </w:rPr>
        <w:t>项〔开工通知〕约定发出的符合法</w:t>
      </w:r>
      <w:r>
        <w:rPr>
          <w:rFonts w:ascii="宋体" w:hAnsi="宋体" w:eastAsia="宋体" w:cs="宋体"/>
          <w:spacing w:val="-1"/>
          <w:sz w:val="21"/>
          <w:szCs w:val="21"/>
        </w:rPr>
        <w:t>律规定的</w:t>
      </w:r>
      <w:r>
        <w:rPr>
          <w:rFonts w:ascii="宋体" w:hAnsi="宋体" w:eastAsia="宋体" w:cs="宋体"/>
          <w:spacing w:val="-2"/>
          <w:sz w:val="21"/>
          <w:szCs w:val="21"/>
        </w:rPr>
        <w:t>开工通知中载明的开工日期。</w:t>
      </w:r>
    </w:p>
    <w:p w14:paraId="1E0FB3EA">
      <w:pPr>
        <w:spacing w:before="148" w:line="293" w:lineRule="auto"/>
        <w:ind w:left="17" w:right="163" w:firstLine="419"/>
        <w:rPr>
          <w:rFonts w:ascii="宋体" w:hAnsi="宋体" w:eastAsia="宋体" w:cs="宋体"/>
          <w:sz w:val="21"/>
          <w:szCs w:val="21"/>
        </w:rPr>
      </w:pPr>
      <w:r>
        <w:rPr>
          <w:rFonts w:ascii="Times New Roman" w:hAnsi="Times New Roman" w:eastAsia="Times New Roman" w:cs="Times New Roman"/>
          <w:spacing w:val="3"/>
          <w:sz w:val="21"/>
          <w:szCs w:val="21"/>
        </w:rPr>
        <w:t xml:space="preserve">1.1.4.2  </w:t>
      </w:r>
      <w:r>
        <w:rPr>
          <w:rFonts w:ascii="宋体" w:hAnsi="宋体" w:eastAsia="宋体" w:cs="宋体"/>
          <w:spacing w:val="3"/>
          <w:sz w:val="21"/>
          <w:szCs w:val="21"/>
        </w:rPr>
        <w:t>竣工日期：包括计划竣工日期和实际竣工日期。计划竣工日</w:t>
      </w:r>
      <w:r>
        <w:rPr>
          <w:rFonts w:ascii="宋体" w:hAnsi="宋体" w:eastAsia="宋体" w:cs="宋体"/>
          <w:spacing w:val="2"/>
          <w:sz w:val="21"/>
          <w:szCs w:val="21"/>
        </w:rPr>
        <w:t>期是指合同协议书约定</w:t>
      </w:r>
      <w:r>
        <w:rPr>
          <w:rFonts w:ascii="宋体" w:hAnsi="宋体" w:eastAsia="宋体" w:cs="宋体"/>
          <w:spacing w:val="-2"/>
          <w:sz w:val="21"/>
          <w:szCs w:val="21"/>
        </w:rPr>
        <w:t>的竣工日期；实际竣工日期按照第</w:t>
      </w:r>
      <w:r>
        <w:rPr>
          <w:rFonts w:ascii="宋体" w:hAnsi="宋体" w:eastAsia="宋体" w:cs="宋体"/>
          <w:spacing w:val="-18"/>
          <w:sz w:val="21"/>
          <w:szCs w:val="21"/>
        </w:rPr>
        <w:t xml:space="preserve"> </w:t>
      </w:r>
      <w:r>
        <w:rPr>
          <w:rFonts w:ascii="Times New Roman" w:hAnsi="Times New Roman" w:eastAsia="Times New Roman" w:cs="Times New Roman"/>
          <w:spacing w:val="-2"/>
          <w:sz w:val="21"/>
          <w:szCs w:val="21"/>
        </w:rPr>
        <w:t xml:space="preserve">13.2.3 </w:t>
      </w:r>
      <w:r>
        <w:rPr>
          <w:rFonts w:ascii="宋体" w:hAnsi="宋体" w:eastAsia="宋体" w:cs="宋体"/>
          <w:spacing w:val="-2"/>
          <w:sz w:val="21"/>
          <w:szCs w:val="21"/>
        </w:rPr>
        <w:t>项〔竣工日期〕的约定确定。</w:t>
      </w:r>
    </w:p>
    <w:p w14:paraId="586FF04C">
      <w:pPr>
        <w:spacing w:before="134" w:line="286" w:lineRule="auto"/>
        <w:ind w:right="163" w:firstLine="435"/>
        <w:rPr>
          <w:rFonts w:ascii="宋体" w:hAnsi="宋体" w:eastAsia="宋体" w:cs="宋体"/>
          <w:sz w:val="21"/>
          <w:szCs w:val="21"/>
        </w:rPr>
      </w:pPr>
      <w:r>
        <w:rPr>
          <w:rFonts w:ascii="Times New Roman" w:hAnsi="Times New Roman" w:eastAsia="Times New Roman" w:cs="Times New Roman"/>
          <w:spacing w:val="3"/>
          <w:sz w:val="21"/>
          <w:szCs w:val="21"/>
        </w:rPr>
        <w:t xml:space="preserve">1.1.4.3  </w:t>
      </w:r>
      <w:r>
        <w:rPr>
          <w:rFonts w:ascii="宋体" w:hAnsi="宋体" w:eastAsia="宋体" w:cs="宋体"/>
          <w:spacing w:val="3"/>
          <w:sz w:val="21"/>
          <w:szCs w:val="21"/>
        </w:rPr>
        <w:t>工期：是指在合同协议书约定的承包人完成工程所需的期限</w:t>
      </w:r>
      <w:r>
        <w:rPr>
          <w:rFonts w:ascii="宋体" w:hAnsi="宋体" w:eastAsia="宋体" w:cs="宋体"/>
          <w:spacing w:val="2"/>
          <w:sz w:val="21"/>
          <w:szCs w:val="21"/>
        </w:rPr>
        <w:t>，包括按照合同约定所</w:t>
      </w:r>
      <w:r>
        <w:rPr>
          <w:rFonts w:ascii="宋体" w:hAnsi="宋体" w:eastAsia="宋体" w:cs="宋体"/>
          <w:spacing w:val="-4"/>
          <w:sz w:val="21"/>
          <w:szCs w:val="21"/>
        </w:rPr>
        <w:t>作的期限变更。</w:t>
      </w:r>
    </w:p>
    <w:p w14:paraId="7CCBA17D">
      <w:pPr>
        <w:spacing w:before="150" w:line="286" w:lineRule="auto"/>
        <w:ind w:left="1" w:right="154" w:firstLine="434"/>
        <w:rPr>
          <w:rFonts w:ascii="宋体" w:hAnsi="宋体" w:eastAsia="宋体" w:cs="宋体"/>
          <w:sz w:val="21"/>
          <w:szCs w:val="21"/>
        </w:rPr>
      </w:pPr>
      <w:r>
        <w:rPr>
          <w:rFonts w:ascii="Times New Roman" w:hAnsi="Times New Roman" w:eastAsia="Times New Roman" w:cs="Times New Roman"/>
          <w:spacing w:val="3"/>
          <w:sz w:val="21"/>
          <w:szCs w:val="21"/>
        </w:rPr>
        <w:t xml:space="preserve">1.1.4.4  </w:t>
      </w:r>
      <w:r>
        <w:rPr>
          <w:rFonts w:ascii="宋体" w:hAnsi="宋体" w:eastAsia="宋体" w:cs="宋体"/>
          <w:spacing w:val="3"/>
          <w:sz w:val="21"/>
          <w:szCs w:val="21"/>
        </w:rPr>
        <w:t>缺陷责任期：是指承包人按照合同约定承担缺陷修复义务，且发包人预留质量保证</w:t>
      </w:r>
      <w:r>
        <w:rPr>
          <w:rFonts w:ascii="宋体" w:hAnsi="宋体" w:eastAsia="宋体" w:cs="宋体"/>
          <w:spacing w:val="-1"/>
          <w:sz w:val="21"/>
          <w:szCs w:val="21"/>
        </w:rPr>
        <w:t>金（已缴纳履约保证金的除外）的期限，自工程实际竣工日期起计算。</w:t>
      </w:r>
    </w:p>
    <w:p w14:paraId="23695A33">
      <w:pPr>
        <w:spacing w:before="149" w:line="286" w:lineRule="auto"/>
        <w:ind w:right="163"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1.1.4.5  </w:t>
      </w:r>
      <w:r>
        <w:rPr>
          <w:rFonts w:ascii="宋体" w:hAnsi="宋体" w:eastAsia="宋体" w:cs="宋体"/>
          <w:spacing w:val="3"/>
          <w:sz w:val="21"/>
          <w:szCs w:val="21"/>
        </w:rPr>
        <w:t>保修期：是指承包人按照合同约定对工程承担保修责任的期</w:t>
      </w:r>
      <w:r>
        <w:rPr>
          <w:rFonts w:ascii="宋体" w:hAnsi="宋体" w:eastAsia="宋体" w:cs="宋体"/>
          <w:spacing w:val="2"/>
          <w:sz w:val="21"/>
          <w:szCs w:val="21"/>
        </w:rPr>
        <w:t>限，从工程竣工验收合</w:t>
      </w:r>
      <w:r>
        <w:rPr>
          <w:rFonts w:ascii="宋体" w:hAnsi="宋体" w:eastAsia="宋体" w:cs="宋体"/>
          <w:spacing w:val="-3"/>
          <w:sz w:val="21"/>
          <w:szCs w:val="21"/>
        </w:rPr>
        <w:t>格之日起计算。</w:t>
      </w:r>
    </w:p>
    <w:p w14:paraId="0C5F4320">
      <w:pPr>
        <w:spacing w:line="286" w:lineRule="auto"/>
        <w:rPr>
          <w:rFonts w:ascii="宋体" w:hAnsi="宋体" w:eastAsia="宋体" w:cs="宋体"/>
          <w:sz w:val="21"/>
          <w:szCs w:val="21"/>
        </w:rPr>
        <w:sectPr>
          <w:footerReference r:id="rId88" w:type="default"/>
          <w:pgSz w:w="11905" w:h="16843"/>
          <w:pgMar w:top="969" w:right="1355" w:bottom="1026" w:left="1480" w:header="0" w:footer="754" w:gutter="0"/>
          <w:cols w:space="0" w:num="1"/>
          <w:rtlGutter w:val="0"/>
          <w:docGrid w:linePitch="0" w:charSpace="0"/>
        </w:sectPr>
      </w:pPr>
    </w:p>
    <w:p w14:paraId="1218EEF1">
      <w:pPr>
        <w:pStyle w:val="5"/>
        <w:spacing w:line="270" w:lineRule="auto"/>
      </w:pPr>
    </w:p>
    <w:p w14:paraId="782FD333">
      <w:pPr>
        <w:pStyle w:val="5"/>
        <w:spacing w:line="270" w:lineRule="auto"/>
      </w:pPr>
    </w:p>
    <w:p w14:paraId="4B0E2E6E">
      <w:pPr>
        <w:pStyle w:val="5"/>
        <w:spacing w:line="270" w:lineRule="auto"/>
      </w:pPr>
    </w:p>
    <w:p w14:paraId="126DC30B">
      <w:pPr>
        <w:pStyle w:val="5"/>
        <w:spacing w:line="271" w:lineRule="auto"/>
      </w:pPr>
    </w:p>
    <w:p w14:paraId="70FC3D02">
      <w:pPr>
        <w:spacing w:before="68" w:line="294" w:lineRule="auto"/>
        <w:ind w:right="11" w:firstLine="437"/>
        <w:rPr>
          <w:rFonts w:ascii="宋体" w:hAnsi="宋体" w:eastAsia="宋体" w:cs="宋体"/>
          <w:sz w:val="21"/>
          <w:szCs w:val="21"/>
        </w:rPr>
      </w:pPr>
      <w:bookmarkStart w:id="197" w:name="bookmark542"/>
      <w:bookmarkEnd w:id="197"/>
      <w:r>
        <w:rPr>
          <w:rFonts w:ascii="Times New Roman" w:hAnsi="Times New Roman" w:eastAsia="Times New Roman" w:cs="Times New Roman"/>
          <w:spacing w:val="-1"/>
          <w:sz w:val="21"/>
          <w:szCs w:val="21"/>
        </w:rPr>
        <w:t xml:space="preserve">1.1.4.6  </w:t>
      </w:r>
      <w:r>
        <w:rPr>
          <w:rFonts w:ascii="宋体" w:hAnsi="宋体" w:eastAsia="宋体" w:cs="宋体"/>
          <w:spacing w:val="-1"/>
          <w:sz w:val="21"/>
          <w:szCs w:val="21"/>
        </w:rPr>
        <w:t>基准日期：招标发包的工程以投标截止日前</w:t>
      </w:r>
      <w:r>
        <w:rPr>
          <w:rFonts w:ascii="宋体" w:hAnsi="宋体" w:eastAsia="宋体" w:cs="宋体"/>
          <w:spacing w:val="-24"/>
          <w:sz w:val="21"/>
          <w:szCs w:val="21"/>
        </w:rPr>
        <w:t xml:space="preserve"> </w:t>
      </w:r>
      <w:r>
        <w:rPr>
          <w:rFonts w:ascii="Times New Roman" w:hAnsi="Times New Roman" w:eastAsia="Times New Roman" w:cs="Times New Roman"/>
          <w:spacing w:val="-1"/>
          <w:sz w:val="21"/>
          <w:szCs w:val="21"/>
        </w:rPr>
        <w:t>28</w:t>
      </w:r>
      <w:r>
        <w:rPr>
          <w:rFonts w:ascii="Times New Roman" w:hAnsi="Times New Roman" w:eastAsia="Times New Roman" w:cs="Times New Roman"/>
          <w:spacing w:val="39"/>
          <w:sz w:val="21"/>
          <w:szCs w:val="21"/>
        </w:rPr>
        <w:t xml:space="preserve"> </w:t>
      </w:r>
      <w:r>
        <w:rPr>
          <w:rFonts w:ascii="宋体" w:hAnsi="宋体" w:eastAsia="宋体" w:cs="宋体"/>
          <w:spacing w:val="-1"/>
          <w:sz w:val="21"/>
          <w:szCs w:val="21"/>
        </w:rPr>
        <w:t>天的日期为基准日期，直接发包的工程以合同签订日前</w:t>
      </w:r>
      <w:r>
        <w:rPr>
          <w:rFonts w:ascii="宋体" w:hAnsi="宋体" w:eastAsia="宋体" w:cs="宋体"/>
          <w:spacing w:val="-37"/>
          <w:sz w:val="21"/>
          <w:szCs w:val="21"/>
        </w:rPr>
        <w:t xml:space="preserve">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天的日期为基准日期。</w:t>
      </w:r>
    </w:p>
    <w:p w14:paraId="6330AD0A">
      <w:pPr>
        <w:spacing w:before="134" w:line="292" w:lineRule="auto"/>
        <w:ind w:left="37" w:right="12" w:firstLine="400"/>
        <w:rPr>
          <w:rFonts w:ascii="宋体" w:hAnsi="宋体" w:eastAsia="宋体" w:cs="宋体"/>
          <w:sz w:val="21"/>
          <w:szCs w:val="21"/>
        </w:rPr>
      </w:pPr>
      <w:r>
        <w:rPr>
          <w:rFonts w:ascii="Times New Roman" w:hAnsi="Times New Roman" w:eastAsia="Times New Roman" w:cs="Times New Roman"/>
          <w:spacing w:val="3"/>
          <w:sz w:val="21"/>
          <w:szCs w:val="21"/>
        </w:rPr>
        <w:t xml:space="preserve">1.1.4.7  </w:t>
      </w:r>
      <w:r>
        <w:rPr>
          <w:rFonts w:ascii="宋体" w:hAnsi="宋体" w:eastAsia="宋体" w:cs="宋体"/>
          <w:spacing w:val="3"/>
          <w:sz w:val="21"/>
          <w:szCs w:val="21"/>
        </w:rPr>
        <w:t>天：除特别指明外，均指日历天。合同中按天计算时间的，</w:t>
      </w:r>
      <w:r>
        <w:rPr>
          <w:rFonts w:ascii="宋体" w:hAnsi="宋体" w:eastAsia="宋体" w:cs="宋体"/>
          <w:spacing w:val="2"/>
          <w:sz w:val="21"/>
          <w:szCs w:val="21"/>
        </w:rPr>
        <w:t>开始当天不计入，从次</w:t>
      </w:r>
      <w:r>
        <w:rPr>
          <w:rFonts w:ascii="宋体" w:hAnsi="宋体" w:eastAsia="宋体" w:cs="宋体"/>
          <w:spacing w:val="-3"/>
          <w:sz w:val="21"/>
          <w:szCs w:val="21"/>
        </w:rPr>
        <w:t>日开始计算，期限最后一天的截止时间为当天</w:t>
      </w:r>
      <w:r>
        <w:rPr>
          <w:rFonts w:ascii="宋体" w:hAnsi="宋体" w:eastAsia="宋体" w:cs="宋体"/>
          <w:spacing w:val="-38"/>
          <w:sz w:val="21"/>
          <w:szCs w:val="21"/>
        </w:rPr>
        <w:t xml:space="preserve"> </w:t>
      </w:r>
      <w:r>
        <w:rPr>
          <w:rFonts w:ascii="Times New Roman" w:hAnsi="Times New Roman" w:eastAsia="Times New Roman" w:cs="Times New Roman"/>
          <w:spacing w:val="-3"/>
          <w:sz w:val="21"/>
          <w:szCs w:val="21"/>
        </w:rPr>
        <w:t>24:00</w:t>
      </w:r>
      <w:r>
        <w:rPr>
          <w:rFonts w:ascii="Times New Roman" w:hAnsi="Times New Roman" w:eastAsia="Times New Roman" w:cs="Times New Roman"/>
          <w:spacing w:val="18"/>
          <w:w w:val="101"/>
          <w:sz w:val="21"/>
          <w:szCs w:val="21"/>
        </w:rPr>
        <w:t xml:space="preserve"> </w:t>
      </w:r>
      <w:r>
        <w:rPr>
          <w:rFonts w:ascii="宋体" w:hAnsi="宋体" w:eastAsia="宋体" w:cs="宋体"/>
          <w:spacing w:val="-3"/>
          <w:sz w:val="21"/>
          <w:szCs w:val="21"/>
        </w:rPr>
        <w:t>时。</w:t>
      </w:r>
    </w:p>
    <w:p w14:paraId="31FE6A27">
      <w:pPr>
        <w:spacing w:before="134" w:line="233"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1.1.5  </w:t>
      </w:r>
      <w:r>
        <w:rPr>
          <w:rFonts w:ascii="宋体" w:hAnsi="宋体" w:eastAsia="宋体" w:cs="宋体"/>
          <w:spacing w:val="-2"/>
          <w:sz w:val="21"/>
          <w:szCs w:val="21"/>
        </w:rPr>
        <w:t>合同价格和费用</w:t>
      </w:r>
    </w:p>
    <w:p w14:paraId="57BEA2C2">
      <w:pPr>
        <w:spacing w:before="134" w:line="285" w:lineRule="auto"/>
        <w:ind w:left="3" w:right="12"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1.1.5.1  </w:t>
      </w:r>
      <w:r>
        <w:rPr>
          <w:rFonts w:ascii="宋体" w:hAnsi="宋体" w:eastAsia="宋体" w:cs="宋体"/>
          <w:spacing w:val="3"/>
          <w:sz w:val="21"/>
          <w:szCs w:val="21"/>
        </w:rPr>
        <w:t>签约合同价：是指发包人和承包人在合同协议书中确定的总</w:t>
      </w:r>
      <w:r>
        <w:rPr>
          <w:rFonts w:ascii="宋体" w:hAnsi="宋体" w:eastAsia="宋体" w:cs="宋体"/>
          <w:spacing w:val="2"/>
          <w:sz w:val="21"/>
          <w:szCs w:val="21"/>
        </w:rPr>
        <w:t>金额，包括安全文明施</w:t>
      </w:r>
      <w:r>
        <w:rPr>
          <w:rFonts w:ascii="宋体" w:hAnsi="宋体" w:eastAsia="宋体" w:cs="宋体"/>
          <w:spacing w:val="-2"/>
          <w:sz w:val="21"/>
          <w:szCs w:val="21"/>
        </w:rPr>
        <w:t>工费、暂估价及暂列金额等。</w:t>
      </w:r>
    </w:p>
    <w:p w14:paraId="1920CD1A">
      <w:pPr>
        <w:spacing w:before="151" w:line="286" w:lineRule="auto"/>
        <w:ind w:right="12"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1.1.5.2  </w:t>
      </w:r>
      <w:r>
        <w:rPr>
          <w:rFonts w:ascii="宋体" w:hAnsi="宋体" w:eastAsia="宋体" w:cs="宋体"/>
          <w:spacing w:val="3"/>
          <w:sz w:val="21"/>
          <w:szCs w:val="21"/>
        </w:rPr>
        <w:t>合同价格：是指发包人用于支付承包人按照合同约定完成承</w:t>
      </w:r>
      <w:r>
        <w:rPr>
          <w:rFonts w:ascii="宋体" w:hAnsi="宋体" w:eastAsia="宋体" w:cs="宋体"/>
          <w:spacing w:val="2"/>
          <w:sz w:val="21"/>
          <w:szCs w:val="21"/>
        </w:rPr>
        <w:t>包范围内全部工作的金</w:t>
      </w:r>
      <w:r>
        <w:rPr>
          <w:rFonts w:ascii="宋体" w:hAnsi="宋体" w:eastAsia="宋体" w:cs="宋体"/>
          <w:spacing w:val="-1"/>
          <w:sz w:val="21"/>
          <w:szCs w:val="21"/>
        </w:rPr>
        <w:t>额，包括合同履行过程中按合同约定发生的价格变化。</w:t>
      </w:r>
    </w:p>
    <w:p w14:paraId="3029FD1A">
      <w:pPr>
        <w:spacing w:before="150" w:line="286" w:lineRule="auto"/>
        <w:ind w:right="12" w:firstLine="437"/>
        <w:rPr>
          <w:rFonts w:ascii="宋体" w:hAnsi="宋体" w:eastAsia="宋体" w:cs="宋体"/>
          <w:sz w:val="21"/>
          <w:szCs w:val="21"/>
        </w:rPr>
      </w:pPr>
      <w:r>
        <w:rPr>
          <w:rFonts w:ascii="Times New Roman" w:hAnsi="Times New Roman" w:eastAsia="Times New Roman" w:cs="Times New Roman"/>
          <w:spacing w:val="3"/>
          <w:sz w:val="21"/>
          <w:szCs w:val="21"/>
        </w:rPr>
        <w:t xml:space="preserve">1.1.5.3  </w:t>
      </w:r>
      <w:r>
        <w:rPr>
          <w:rFonts w:ascii="宋体" w:hAnsi="宋体" w:eastAsia="宋体" w:cs="宋体"/>
          <w:spacing w:val="3"/>
          <w:sz w:val="21"/>
          <w:szCs w:val="21"/>
        </w:rPr>
        <w:t>费用：是指为履行合同所发生的或将要发生的所有必需的开</w:t>
      </w:r>
      <w:r>
        <w:rPr>
          <w:rFonts w:ascii="宋体" w:hAnsi="宋体" w:eastAsia="宋体" w:cs="宋体"/>
          <w:spacing w:val="2"/>
          <w:sz w:val="21"/>
          <w:szCs w:val="21"/>
        </w:rPr>
        <w:t>支，包括管理费和应分</w:t>
      </w:r>
      <w:r>
        <w:rPr>
          <w:rFonts w:ascii="宋体" w:hAnsi="宋体" w:eastAsia="宋体" w:cs="宋体"/>
          <w:spacing w:val="-2"/>
          <w:sz w:val="21"/>
          <w:szCs w:val="21"/>
        </w:rPr>
        <w:t>摊的其他费用，但不包括利润。</w:t>
      </w:r>
    </w:p>
    <w:p w14:paraId="5DB35E8B">
      <w:pPr>
        <w:spacing w:before="149" w:line="285" w:lineRule="auto"/>
        <w:ind w:right="12" w:firstLine="436"/>
        <w:rPr>
          <w:rFonts w:ascii="宋体" w:hAnsi="宋体" w:eastAsia="宋体" w:cs="宋体"/>
          <w:sz w:val="21"/>
          <w:szCs w:val="21"/>
        </w:rPr>
      </w:pPr>
      <w:r>
        <w:rPr>
          <w:rFonts w:ascii="Times New Roman" w:hAnsi="Times New Roman" w:eastAsia="Times New Roman" w:cs="Times New Roman"/>
          <w:spacing w:val="3"/>
          <w:sz w:val="21"/>
          <w:szCs w:val="21"/>
        </w:rPr>
        <w:t xml:space="preserve">1.1.5.4  </w:t>
      </w:r>
      <w:r>
        <w:rPr>
          <w:rFonts w:ascii="宋体" w:hAnsi="宋体" w:eastAsia="宋体" w:cs="宋体"/>
          <w:spacing w:val="3"/>
          <w:sz w:val="21"/>
          <w:szCs w:val="21"/>
        </w:rPr>
        <w:t>暂估价：是指发包人在工程量清单或预算书中提供的用于支</w:t>
      </w:r>
      <w:r>
        <w:rPr>
          <w:rFonts w:ascii="宋体" w:hAnsi="宋体" w:eastAsia="宋体" w:cs="宋体"/>
          <w:spacing w:val="2"/>
          <w:sz w:val="21"/>
          <w:szCs w:val="21"/>
        </w:rPr>
        <w:t>付必然发生但暂时不能</w:t>
      </w:r>
      <w:r>
        <w:rPr>
          <w:rFonts w:ascii="宋体" w:hAnsi="宋体" w:eastAsia="宋体" w:cs="宋体"/>
          <w:sz w:val="21"/>
          <w:szCs w:val="21"/>
        </w:rPr>
        <w:t>确定价格的材料、工程设备的单价、专业工程以及服务工作的</w:t>
      </w:r>
      <w:r>
        <w:rPr>
          <w:rFonts w:ascii="宋体" w:hAnsi="宋体" w:eastAsia="宋体" w:cs="宋体"/>
          <w:spacing w:val="-1"/>
          <w:sz w:val="21"/>
          <w:szCs w:val="21"/>
        </w:rPr>
        <w:t>金额。</w:t>
      </w:r>
    </w:p>
    <w:p w14:paraId="3BE0BAD0">
      <w:pPr>
        <w:spacing w:before="152" w:line="319" w:lineRule="auto"/>
        <w:ind w:left="4"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1.1.5.5  </w:t>
      </w:r>
      <w:r>
        <w:rPr>
          <w:rFonts w:ascii="宋体" w:hAnsi="宋体" w:eastAsia="宋体" w:cs="宋体"/>
          <w:spacing w:val="3"/>
          <w:sz w:val="21"/>
          <w:szCs w:val="21"/>
        </w:rPr>
        <w:t>暂列金额：是指发包人在工程量清单或预算书中暂定并包括</w:t>
      </w:r>
      <w:r>
        <w:rPr>
          <w:rFonts w:ascii="宋体" w:hAnsi="宋体" w:eastAsia="宋体" w:cs="宋体"/>
          <w:spacing w:val="2"/>
          <w:sz w:val="21"/>
          <w:szCs w:val="21"/>
        </w:rPr>
        <w:t>在合同价格中的一笔款</w:t>
      </w:r>
      <w:r>
        <w:rPr>
          <w:rFonts w:ascii="宋体" w:hAnsi="宋体" w:eastAsia="宋体" w:cs="宋体"/>
          <w:sz w:val="21"/>
          <w:szCs w:val="21"/>
        </w:rPr>
        <w:t>项，用于工程合同签订时尚未确定或者不可预见的所需材料、工程设备、服务的</w:t>
      </w:r>
      <w:r>
        <w:rPr>
          <w:rFonts w:ascii="宋体" w:hAnsi="宋体" w:eastAsia="宋体" w:cs="宋体"/>
          <w:spacing w:val="-1"/>
          <w:sz w:val="21"/>
          <w:szCs w:val="21"/>
        </w:rPr>
        <w:t>采购，施工中可</w:t>
      </w:r>
      <w:r>
        <w:rPr>
          <w:rFonts w:ascii="宋体" w:hAnsi="宋体" w:eastAsia="宋体" w:cs="宋体"/>
          <w:sz w:val="21"/>
          <w:szCs w:val="21"/>
        </w:rPr>
        <w:t>能发生的工程变更、合同约定调整因素出现时的合同价格调整以及发生的索赔、</w:t>
      </w:r>
      <w:r>
        <w:rPr>
          <w:rFonts w:ascii="宋体" w:hAnsi="宋体" w:eastAsia="宋体" w:cs="宋体"/>
          <w:spacing w:val="-1"/>
          <w:sz w:val="21"/>
          <w:szCs w:val="21"/>
        </w:rPr>
        <w:t>现场签证确认等</w:t>
      </w:r>
      <w:r>
        <w:rPr>
          <w:rFonts w:ascii="宋体" w:hAnsi="宋体" w:eastAsia="宋体" w:cs="宋体"/>
          <w:spacing w:val="-3"/>
          <w:sz w:val="21"/>
          <w:szCs w:val="21"/>
        </w:rPr>
        <w:t>的费用。</w:t>
      </w:r>
    </w:p>
    <w:p w14:paraId="5D3FBA76">
      <w:pPr>
        <w:spacing w:before="149" w:line="285" w:lineRule="auto"/>
        <w:ind w:left="3" w:right="12" w:firstLine="433"/>
        <w:rPr>
          <w:rFonts w:ascii="宋体" w:hAnsi="宋体" w:eastAsia="宋体" w:cs="宋体"/>
          <w:sz w:val="21"/>
          <w:szCs w:val="21"/>
        </w:rPr>
      </w:pPr>
      <w:r>
        <w:rPr>
          <w:rFonts w:ascii="Times New Roman" w:hAnsi="Times New Roman" w:eastAsia="Times New Roman" w:cs="Times New Roman"/>
          <w:spacing w:val="3"/>
          <w:sz w:val="21"/>
          <w:szCs w:val="21"/>
        </w:rPr>
        <w:t xml:space="preserve">1.1.5.6  </w:t>
      </w:r>
      <w:r>
        <w:rPr>
          <w:rFonts w:ascii="宋体" w:hAnsi="宋体" w:eastAsia="宋体" w:cs="宋体"/>
          <w:spacing w:val="3"/>
          <w:sz w:val="21"/>
          <w:szCs w:val="21"/>
        </w:rPr>
        <w:t>计日工：是指合同履行过程中，承包人完成发包人提出的零</w:t>
      </w:r>
      <w:r>
        <w:rPr>
          <w:rFonts w:ascii="宋体" w:hAnsi="宋体" w:eastAsia="宋体" w:cs="宋体"/>
          <w:spacing w:val="2"/>
          <w:sz w:val="21"/>
          <w:szCs w:val="21"/>
        </w:rPr>
        <w:t>星工作或需要采用计日</w:t>
      </w:r>
      <w:r>
        <w:rPr>
          <w:rFonts w:ascii="宋体" w:hAnsi="宋体" w:eastAsia="宋体" w:cs="宋体"/>
          <w:spacing w:val="-1"/>
          <w:sz w:val="21"/>
          <w:szCs w:val="21"/>
        </w:rPr>
        <w:t>工计价的变更工作时，按合同中约定的单价计价的一种方式。</w:t>
      </w:r>
    </w:p>
    <w:p w14:paraId="4D13A108">
      <w:pPr>
        <w:spacing w:before="152" w:line="286" w:lineRule="auto"/>
        <w:ind w:left="3" w:firstLine="433"/>
        <w:rPr>
          <w:rFonts w:ascii="宋体" w:hAnsi="宋体" w:eastAsia="宋体" w:cs="宋体"/>
          <w:sz w:val="21"/>
          <w:szCs w:val="21"/>
        </w:rPr>
      </w:pPr>
      <w:r>
        <w:rPr>
          <w:rFonts w:ascii="Times New Roman" w:hAnsi="Times New Roman" w:eastAsia="Times New Roman" w:cs="Times New Roman"/>
          <w:sz w:val="21"/>
          <w:szCs w:val="21"/>
        </w:rPr>
        <w:t xml:space="preserve">1.1.5.7  </w:t>
      </w:r>
      <w:r>
        <w:rPr>
          <w:rFonts w:ascii="宋体" w:hAnsi="宋体" w:eastAsia="宋体" w:cs="宋体"/>
          <w:sz w:val="21"/>
          <w:szCs w:val="21"/>
        </w:rPr>
        <w:t xml:space="preserve">质量保证金：是指按照第 </w:t>
      </w:r>
      <w:r>
        <w:rPr>
          <w:rFonts w:ascii="Times New Roman" w:hAnsi="Times New Roman" w:eastAsia="Times New Roman" w:cs="Times New Roman"/>
          <w:sz w:val="21"/>
          <w:szCs w:val="21"/>
        </w:rPr>
        <w:t xml:space="preserve">15.3  </w:t>
      </w:r>
      <w:r>
        <w:rPr>
          <w:rFonts w:ascii="宋体" w:hAnsi="宋体" w:eastAsia="宋体" w:cs="宋体"/>
          <w:sz w:val="21"/>
          <w:szCs w:val="21"/>
        </w:rPr>
        <w:t>款〔质</w:t>
      </w:r>
      <w:r>
        <w:rPr>
          <w:rFonts w:ascii="宋体" w:hAnsi="宋体" w:eastAsia="宋体" w:cs="宋体"/>
          <w:spacing w:val="-1"/>
          <w:sz w:val="21"/>
          <w:szCs w:val="21"/>
        </w:rPr>
        <w:t>量保证金〕约定承包人用于保证其在缺陷责任</w:t>
      </w:r>
      <w:r>
        <w:rPr>
          <w:rFonts w:ascii="宋体" w:hAnsi="宋体" w:eastAsia="宋体" w:cs="宋体"/>
          <w:spacing w:val="-2"/>
          <w:sz w:val="21"/>
          <w:szCs w:val="21"/>
        </w:rPr>
        <w:t>期内履行缺陷修补义务的担保。</w:t>
      </w:r>
    </w:p>
    <w:p w14:paraId="14DC1D16">
      <w:pPr>
        <w:spacing w:before="147" w:line="286" w:lineRule="auto"/>
        <w:ind w:left="1" w:right="12" w:firstLine="435"/>
        <w:rPr>
          <w:rFonts w:ascii="宋体" w:hAnsi="宋体" w:eastAsia="宋体" w:cs="宋体"/>
          <w:sz w:val="21"/>
          <w:szCs w:val="21"/>
        </w:rPr>
      </w:pPr>
      <w:r>
        <w:rPr>
          <w:rFonts w:ascii="Times New Roman" w:hAnsi="Times New Roman" w:eastAsia="Times New Roman" w:cs="Times New Roman"/>
          <w:spacing w:val="3"/>
          <w:sz w:val="21"/>
          <w:szCs w:val="21"/>
        </w:rPr>
        <w:t xml:space="preserve">1.1.5.8  </w:t>
      </w:r>
      <w:r>
        <w:rPr>
          <w:rFonts w:ascii="宋体" w:hAnsi="宋体" w:eastAsia="宋体" w:cs="宋体"/>
          <w:spacing w:val="3"/>
          <w:sz w:val="21"/>
          <w:szCs w:val="21"/>
        </w:rPr>
        <w:t>总价项目：是指在现行国家、行业以及地方的计量规则中无</w:t>
      </w:r>
      <w:r>
        <w:rPr>
          <w:rFonts w:ascii="宋体" w:hAnsi="宋体" w:eastAsia="宋体" w:cs="宋体"/>
          <w:spacing w:val="2"/>
          <w:sz w:val="21"/>
          <w:szCs w:val="21"/>
        </w:rPr>
        <w:t>工程量计算规则，在已</w:t>
      </w:r>
      <w:r>
        <w:rPr>
          <w:rFonts w:ascii="宋体" w:hAnsi="宋体" w:eastAsia="宋体" w:cs="宋体"/>
          <w:spacing w:val="-1"/>
          <w:sz w:val="21"/>
          <w:szCs w:val="21"/>
        </w:rPr>
        <w:t>标价工程量清单或预算书中以总价或以费率形式计算的项目。</w:t>
      </w:r>
    </w:p>
    <w:p w14:paraId="3A46904E">
      <w:pPr>
        <w:spacing w:before="152" w:line="235" w:lineRule="auto"/>
        <w:ind w:left="437"/>
        <w:rPr>
          <w:rFonts w:ascii="宋体" w:hAnsi="宋体" w:eastAsia="宋体" w:cs="宋体"/>
          <w:sz w:val="21"/>
          <w:szCs w:val="21"/>
        </w:rPr>
      </w:pPr>
      <w:r>
        <w:rPr>
          <w:rFonts w:ascii="Times New Roman" w:hAnsi="Times New Roman" w:eastAsia="Times New Roman" w:cs="Times New Roman"/>
          <w:spacing w:val="-4"/>
          <w:sz w:val="21"/>
          <w:szCs w:val="21"/>
        </w:rPr>
        <w:t>1.1.6</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其他</w:t>
      </w:r>
    </w:p>
    <w:p w14:paraId="2184EB4F">
      <w:pPr>
        <w:spacing w:before="131"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1.1.6.1  </w:t>
      </w:r>
      <w:r>
        <w:rPr>
          <w:rFonts w:ascii="宋体" w:hAnsi="宋体" w:eastAsia="宋体" w:cs="宋体"/>
          <w:sz w:val="21"/>
          <w:szCs w:val="21"/>
        </w:rPr>
        <w:t>书面形式：是指合同文件、信函、电</w:t>
      </w:r>
      <w:r>
        <w:rPr>
          <w:rFonts w:ascii="宋体" w:hAnsi="宋体" w:eastAsia="宋体" w:cs="宋体"/>
          <w:spacing w:val="-1"/>
          <w:sz w:val="21"/>
          <w:szCs w:val="21"/>
        </w:rPr>
        <w:t>报、传真等可以有形地表现所载内容的形式。</w:t>
      </w:r>
    </w:p>
    <w:p w14:paraId="1A907761">
      <w:pPr>
        <w:spacing w:before="110" w:line="233" w:lineRule="auto"/>
        <w:ind w:left="8"/>
        <w:outlineLvl w:val="2"/>
        <w:rPr>
          <w:rFonts w:ascii="黑体" w:hAnsi="黑体" w:eastAsia="黑体" w:cs="黑体"/>
          <w:sz w:val="24"/>
          <w:szCs w:val="24"/>
        </w:rPr>
      </w:pPr>
      <w:bookmarkStart w:id="198" w:name="bookmark148"/>
      <w:bookmarkEnd w:id="198"/>
      <w:r>
        <w:rPr>
          <w:rFonts w:ascii="Times New Roman" w:hAnsi="Times New Roman" w:eastAsia="Times New Roman" w:cs="Times New Roman"/>
          <w:b/>
          <w:bCs/>
          <w:spacing w:val="-3"/>
          <w:sz w:val="24"/>
          <w:szCs w:val="24"/>
        </w:rPr>
        <w:t xml:space="preserve">1.2 </w:t>
      </w:r>
      <w:r>
        <w:rPr>
          <w:rFonts w:ascii="黑体" w:hAnsi="黑体" w:eastAsia="黑体" w:cs="黑体"/>
          <w:b/>
          <w:bCs/>
          <w:spacing w:val="-3"/>
          <w:sz w:val="24"/>
          <w:szCs w:val="24"/>
        </w:rPr>
        <w:t>语言文字</w:t>
      </w:r>
    </w:p>
    <w:p w14:paraId="3E492993">
      <w:pPr>
        <w:spacing w:before="124" w:line="340" w:lineRule="auto"/>
        <w:ind w:left="24" w:firstLine="396"/>
        <w:rPr>
          <w:rFonts w:ascii="宋体" w:hAnsi="宋体" w:eastAsia="宋体" w:cs="宋体"/>
          <w:sz w:val="21"/>
          <w:szCs w:val="21"/>
        </w:rPr>
      </w:pPr>
      <w:r>
        <w:rPr>
          <w:rFonts w:ascii="宋体" w:hAnsi="宋体" w:eastAsia="宋体" w:cs="宋体"/>
          <w:sz w:val="21"/>
          <w:szCs w:val="21"/>
        </w:rPr>
        <w:t>合同以中国的汉语简体文字编写、解释和说明。合同当事人在专用合同条款中约定</w:t>
      </w:r>
      <w:r>
        <w:rPr>
          <w:rFonts w:ascii="宋体" w:hAnsi="宋体" w:eastAsia="宋体" w:cs="宋体"/>
          <w:spacing w:val="-1"/>
          <w:sz w:val="21"/>
          <w:szCs w:val="21"/>
        </w:rPr>
        <w:t>使用两种</w:t>
      </w:r>
      <w:r>
        <w:rPr>
          <w:rFonts w:ascii="宋体" w:hAnsi="宋体" w:eastAsia="宋体" w:cs="宋体"/>
          <w:spacing w:val="-2"/>
          <w:sz w:val="21"/>
          <w:szCs w:val="21"/>
        </w:rPr>
        <w:t>以上语言时，汉语为优先解释和说明合同的语言。</w:t>
      </w:r>
    </w:p>
    <w:p w14:paraId="56730F14">
      <w:pPr>
        <w:spacing w:line="233" w:lineRule="auto"/>
        <w:ind w:left="8"/>
        <w:outlineLvl w:val="2"/>
        <w:rPr>
          <w:rFonts w:ascii="黑体" w:hAnsi="黑体" w:eastAsia="黑体" w:cs="黑体"/>
          <w:sz w:val="24"/>
          <w:szCs w:val="24"/>
        </w:rPr>
      </w:pPr>
      <w:bookmarkStart w:id="199" w:name="bookmark149"/>
      <w:bookmarkEnd w:id="199"/>
      <w:r>
        <w:rPr>
          <w:rFonts w:ascii="Times New Roman" w:hAnsi="Times New Roman" w:eastAsia="Times New Roman" w:cs="Times New Roman"/>
          <w:b/>
          <w:bCs/>
          <w:spacing w:val="-6"/>
          <w:sz w:val="24"/>
          <w:szCs w:val="24"/>
        </w:rPr>
        <w:t>1.3</w:t>
      </w:r>
      <w:r>
        <w:rPr>
          <w:rFonts w:ascii="Times New Roman" w:hAnsi="Times New Roman" w:eastAsia="Times New Roman" w:cs="Times New Roman"/>
          <w:b/>
          <w:bCs/>
          <w:spacing w:val="14"/>
          <w:sz w:val="24"/>
          <w:szCs w:val="24"/>
        </w:rPr>
        <w:t xml:space="preserve"> </w:t>
      </w:r>
      <w:r>
        <w:rPr>
          <w:rFonts w:ascii="黑体" w:hAnsi="黑体" w:eastAsia="黑体" w:cs="黑体"/>
          <w:b/>
          <w:bCs/>
          <w:spacing w:val="-6"/>
          <w:sz w:val="24"/>
          <w:szCs w:val="24"/>
        </w:rPr>
        <w:t>法律</w:t>
      </w:r>
    </w:p>
    <w:p w14:paraId="54AC9853">
      <w:pPr>
        <w:spacing w:before="123" w:line="351" w:lineRule="auto"/>
        <w:ind w:left="1" w:firstLine="420"/>
        <w:rPr>
          <w:rFonts w:ascii="宋体" w:hAnsi="宋体" w:eastAsia="宋体" w:cs="宋体"/>
          <w:sz w:val="21"/>
          <w:szCs w:val="21"/>
        </w:rPr>
      </w:pPr>
      <w:r>
        <w:rPr>
          <w:rFonts w:ascii="宋体" w:hAnsi="宋体" w:eastAsia="宋体" w:cs="宋体"/>
          <w:sz w:val="21"/>
          <w:szCs w:val="21"/>
        </w:rPr>
        <w:t>合同所称法律是指中华人民共和国法律、行政法规、部门规章，以及工程所在地的</w:t>
      </w:r>
      <w:r>
        <w:rPr>
          <w:rFonts w:ascii="宋体" w:hAnsi="宋体" w:eastAsia="宋体" w:cs="宋体"/>
          <w:spacing w:val="-1"/>
          <w:sz w:val="21"/>
          <w:szCs w:val="21"/>
        </w:rPr>
        <w:t>地方性法规、自治条例、单行条例和地方政府规章等。</w:t>
      </w:r>
    </w:p>
    <w:p w14:paraId="6B020B6A">
      <w:pPr>
        <w:spacing w:before="1" w:line="220" w:lineRule="auto"/>
        <w:ind w:left="421"/>
        <w:rPr>
          <w:rFonts w:ascii="宋体" w:hAnsi="宋体" w:eastAsia="宋体" w:cs="宋体"/>
          <w:sz w:val="21"/>
          <w:szCs w:val="21"/>
        </w:rPr>
      </w:pPr>
      <w:r>
        <w:rPr>
          <w:rFonts w:ascii="宋体" w:hAnsi="宋体" w:eastAsia="宋体" w:cs="宋体"/>
          <w:sz w:val="21"/>
          <w:szCs w:val="21"/>
        </w:rPr>
        <w:t>合同当事人可以在专用合同条款中约定合同适用的其他规范</w:t>
      </w:r>
      <w:r>
        <w:rPr>
          <w:rFonts w:ascii="宋体" w:hAnsi="宋体" w:eastAsia="宋体" w:cs="宋体"/>
          <w:spacing w:val="-1"/>
          <w:sz w:val="21"/>
          <w:szCs w:val="21"/>
        </w:rPr>
        <w:t>性文件。</w:t>
      </w:r>
    </w:p>
    <w:p w14:paraId="705A3E08">
      <w:pPr>
        <w:spacing w:before="125" w:line="234" w:lineRule="auto"/>
        <w:ind w:left="8"/>
        <w:outlineLvl w:val="2"/>
        <w:rPr>
          <w:rFonts w:ascii="黑体" w:hAnsi="黑体" w:eastAsia="黑体" w:cs="黑体"/>
          <w:sz w:val="24"/>
          <w:szCs w:val="24"/>
        </w:rPr>
      </w:pPr>
      <w:bookmarkStart w:id="200" w:name="bookmark150"/>
      <w:bookmarkEnd w:id="200"/>
      <w:r>
        <w:rPr>
          <w:rFonts w:ascii="Times New Roman" w:hAnsi="Times New Roman" w:eastAsia="Times New Roman" w:cs="Times New Roman"/>
          <w:b/>
          <w:bCs/>
          <w:spacing w:val="-3"/>
          <w:sz w:val="24"/>
          <w:szCs w:val="24"/>
        </w:rPr>
        <w:t xml:space="preserve">1.4  </w:t>
      </w:r>
      <w:r>
        <w:rPr>
          <w:rFonts w:ascii="黑体" w:hAnsi="黑体" w:eastAsia="黑体" w:cs="黑体"/>
          <w:b/>
          <w:bCs/>
          <w:spacing w:val="-3"/>
          <w:sz w:val="24"/>
          <w:szCs w:val="24"/>
        </w:rPr>
        <w:t>标准和规范</w:t>
      </w:r>
    </w:p>
    <w:p w14:paraId="7F5BC55D">
      <w:pPr>
        <w:spacing w:before="120" w:line="344" w:lineRule="auto"/>
        <w:ind w:right="20" w:firstLine="437"/>
        <w:rPr>
          <w:rFonts w:ascii="宋体" w:hAnsi="宋体" w:eastAsia="宋体" w:cs="宋体"/>
          <w:sz w:val="21"/>
          <w:szCs w:val="21"/>
        </w:rPr>
      </w:pPr>
      <w:r>
        <w:rPr>
          <w:rFonts w:ascii="Times New Roman" w:hAnsi="Times New Roman" w:eastAsia="Times New Roman" w:cs="Times New Roman"/>
          <w:spacing w:val="2"/>
          <w:sz w:val="21"/>
          <w:szCs w:val="21"/>
        </w:rPr>
        <w:t xml:space="preserve">1.4.1  </w:t>
      </w:r>
      <w:r>
        <w:rPr>
          <w:rFonts w:ascii="宋体" w:hAnsi="宋体" w:eastAsia="宋体" w:cs="宋体"/>
          <w:spacing w:val="2"/>
          <w:sz w:val="21"/>
          <w:szCs w:val="21"/>
        </w:rPr>
        <w:t>适用于工程的国家标准、行业标</w:t>
      </w:r>
      <w:r>
        <w:rPr>
          <w:rFonts w:ascii="宋体" w:hAnsi="宋体" w:eastAsia="宋体" w:cs="宋体"/>
          <w:spacing w:val="1"/>
          <w:sz w:val="21"/>
          <w:szCs w:val="21"/>
        </w:rPr>
        <w:t>准、工程所在地的地方性标准，以及相应的规范、规</w:t>
      </w:r>
      <w:r>
        <w:rPr>
          <w:rFonts w:ascii="宋体" w:hAnsi="宋体" w:eastAsia="宋体" w:cs="宋体"/>
          <w:spacing w:val="-1"/>
          <w:sz w:val="21"/>
          <w:szCs w:val="21"/>
        </w:rPr>
        <w:t>程等，合同当事人有特别要求的，应在专用合同条款中约定。</w:t>
      </w:r>
    </w:p>
    <w:p w14:paraId="4B9B0D49">
      <w:pPr>
        <w:spacing w:line="344" w:lineRule="auto"/>
        <w:rPr>
          <w:rFonts w:ascii="宋体" w:hAnsi="宋体" w:eastAsia="宋体" w:cs="宋体"/>
          <w:sz w:val="21"/>
          <w:szCs w:val="21"/>
        </w:rPr>
        <w:sectPr>
          <w:footerReference r:id="rId89" w:type="default"/>
          <w:pgSz w:w="11905" w:h="16843"/>
          <w:pgMar w:top="969" w:right="1355" w:bottom="1026" w:left="1480" w:header="0" w:footer="754" w:gutter="0"/>
          <w:cols w:space="0" w:num="1"/>
          <w:rtlGutter w:val="0"/>
          <w:docGrid w:linePitch="0" w:charSpace="0"/>
        </w:sectPr>
      </w:pPr>
    </w:p>
    <w:p w14:paraId="04A96DFD">
      <w:pPr>
        <w:pStyle w:val="5"/>
        <w:spacing w:line="270" w:lineRule="auto"/>
      </w:pPr>
    </w:p>
    <w:p w14:paraId="4903D247">
      <w:pPr>
        <w:pStyle w:val="5"/>
        <w:spacing w:line="270" w:lineRule="auto"/>
      </w:pPr>
    </w:p>
    <w:p w14:paraId="58740BDC">
      <w:pPr>
        <w:pStyle w:val="5"/>
        <w:spacing w:line="270" w:lineRule="auto"/>
      </w:pPr>
    </w:p>
    <w:p w14:paraId="4B1AA40E">
      <w:pPr>
        <w:pStyle w:val="5"/>
        <w:spacing w:line="271" w:lineRule="auto"/>
      </w:pPr>
    </w:p>
    <w:p w14:paraId="07A98DF6">
      <w:pPr>
        <w:spacing w:before="69" w:line="286" w:lineRule="auto"/>
        <w:ind w:left="1" w:right="188" w:firstLine="435"/>
        <w:rPr>
          <w:rFonts w:ascii="宋体" w:hAnsi="宋体" w:eastAsia="宋体" w:cs="宋体"/>
          <w:sz w:val="21"/>
          <w:szCs w:val="21"/>
        </w:rPr>
      </w:pPr>
      <w:bookmarkStart w:id="201" w:name="bookmark543"/>
      <w:bookmarkEnd w:id="201"/>
      <w:r>
        <w:rPr>
          <w:rFonts w:ascii="Times New Roman" w:hAnsi="Times New Roman" w:eastAsia="Times New Roman" w:cs="Times New Roman"/>
          <w:spacing w:val="2"/>
          <w:sz w:val="21"/>
          <w:szCs w:val="21"/>
        </w:rPr>
        <w:t xml:space="preserve">1.4.2  </w:t>
      </w:r>
      <w:r>
        <w:rPr>
          <w:rFonts w:ascii="宋体" w:hAnsi="宋体" w:eastAsia="宋体" w:cs="宋体"/>
          <w:spacing w:val="2"/>
          <w:sz w:val="21"/>
          <w:szCs w:val="21"/>
        </w:rPr>
        <w:t>发包人要求使用国外标准、规范的，发包人负责提供</w:t>
      </w:r>
      <w:r>
        <w:rPr>
          <w:rFonts w:ascii="宋体" w:hAnsi="宋体" w:eastAsia="宋体" w:cs="宋体"/>
          <w:spacing w:val="1"/>
          <w:sz w:val="21"/>
          <w:szCs w:val="21"/>
        </w:rPr>
        <w:t>原文版本和中文译本，并在专用</w:t>
      </w:r>
      <w:r>
        <w:rPr>
          <w:rFonts w:ascii="宋体" w:hAnsi="宋体" w:eastAsia="宋体" w:cs="宋体"/>
          <w:spacing w:val="-1"/>
          <w:sz w:val="21"/>
          <w:szCs w:val="21"/>
        </w:rPr>
        <w:t>合同条款中约定提供标准规范的名称、份数和时间。</w:t>
      </w:r>
    </w:p>
    <w:p w14:paraId="4DF50DC3">
      <w:pPr>
        <w:spacing w:before="151" w:line="307" w:lineRule="auto"/>
        <w:ind w:right="177" w:firstLine="437"/>
        <w:rPr>
          <w:rFonts w:ascii="宋体" w:hAnsi="宋体" w:eastAsia="宋体" w:cs="宋体"/>
          <w:sz w:val="21"/>
          <w:szCs w:val="21"/>
        </w:rPr>
      </w:pPr>
      <w:r>
        <w:rPr>
          <w:rFonts w:ascii="Times New Roman" w:hAnsi="Times New Roman" w:eastAsia="Times New Roman" w:cs="Times New Roman"/>
          <w:spacing w:val="2"/>
          <w:sz w:val="21"/>
          <w:szCs w:val="21"/>
        </w:rPr>
        <w:t xml:space="preserve">1.4.3  </w:t>
      </w:r>
      <w:r>
        <w:rPr>
          <w:rFonts w:ascii="宋体" w:hAnsi="宋体" w:eastAsia="宋体" w:cs="宋体"/>
          <w:spacing w:val="2"/>
          <w:sz w:val="21"/>
          <w:szCs w:val="21"/>
        </w:rPr>
        <w:t>发包人对工程的技术标准、功能要求高于或严于现行</w:t>
      </w:r>
      <w:r>
        <w:rPr>
          <w:rFonts w:ascii="宋体" w:hAnsi="宋体" w:eastAsia="宋体" w:cs="宋体"/>
          <w:spacing w:val="1"/>
          <w:sz w:val="21"/>
          <w:szCs w:val="21"/>
        </w:rPr>
        <w:t>国家、行业或地方标准的，应当</w:t>
      </w:r>
      <w:r>
        <w:rPr>
          <w:rFonts w:ascii="宋体" w:hAnsi="宋体" w:eastAsia="宋体" w:cs="宋体"/>
          <w:sz w:val="21"/>
          <w:szCs w:val="21"/>
        </w:rPr>
        <w:t>在专用合同条款中予以明确。除专用合同条款另有约定外，应视为承包人在签订合同前已</w:t>
      </w:r>
      <w:r>
        <w:rPr>
          <w:rFonts w:ascii="宋体" w:hAnsi="宋体" w:eastAsia="宋体" w:cs="宋体"/>
          <w:spacing w:val="-1"/>
          <w:sz w:val="21"/>
          <w:szCs w:val="21"/>
        </w:rPr>
        <w:t>充分预见前述技术标准和功能要求的复杂程度，签约合同价中已包含由此产生的费用。</w:t>
      </w:r>
    </w:p>
    <w:p w14:paraId="2798AB82">
      <w:pPr>
        <w:spacing w:before="126" w:line="232" w:lineRule="auto"/>
        <w:ind w:left="8"/>
        <w:outlineLvl w:val="2"/>
        <w:rPr>
          <w:rFonts w:ascii="黑体" w:hAnsi="黑体" w:eastAsia="黑体" w:cs="黑体"/>
          <w:sz w:val="24"/>
          <w:szCs w:val="24"/>
        </w:rPr>
      </w:pPr>
      <w:bookmarkStart w:id="202" w:name="bookmark151"/>
      <w:bookmarkEnd w:id="202"/>
      <w:r>
        <w:rPr>
          <w:rFonts w:ascii="Times New Roman" w:hAnsi="Times New Roman" w:eastAsia="Times New Roman" w:cs="Times New Roman"/>
          <w:b/>
          <w:bCs/>
          <w:spacing w:val="-3"/>
          <w:sz w:val="24"/>
          <w:szCs w:val="24"/>
        </w:rPr>
        <w:t xml:space="preserve">1.5  </w:t>
      </w:r>
      <w:r>
        <w:rPr>
          <w:rFonts w:ascii="黑体" w:hAnsi="黑体" w:eastAsia="黑体" w:cs="黑体"/>
          <w:b/>
          <w:bCs/>
          <w:spacing w:val="-3"/>
          <w:sz w:val="24"/>
          <w:szCs w:val="24"/>
        </w:rPr>
        <w:t>合同文件的优先顺序</w:t>
      </w:r>
    </w:p>
    <w:p w14:paraId="78974565">
      <w:pPr>
        <w:spacing w:before="120" w:line="353" w:lineRule="auto"/>
        <w:ind w:right="177" w:firstLine="423"/>
        <w:rPr>
          <w:rFonts w:ascii="宋体" w:hAnsi="宋体" w:eastAsia="宋体" w:cs="宋体"/>
          <w:sz w:val="21"/>
          <w:szCs w:val="21"/>
        </w:rPr>
      </w:pPr>
      <w:r>
        <w:rPr>
          <w:rFonts w:ascii="宋体" w:hAnsi="宋体" w:eastAsia="宋体" w:cs="宋体"/>
          <w:sz w:val="21"/>
          <w:szCs w:val="21"/>
        </w:rPr>
        <w:t>组成合同的各项文件应互相解释，互为说明。除专用合同条款另有约定外，解</w:t>
      </w:r>
      <w:r>
        <w:rPr>
          <w:rFonts w:ascii="宋体" w:hAnsi="宋体" w:eastAsia="宋体" w:cs="宋体"/>
          <w:spacing w:val="-1"/>
          <w:sz w:val="21"/>
          <w:szCs w:val="21"/>
        </w:rPr>
        <w:t>释合同文件的</w:t>
      </w:r>
      <w:r>
        <w:rPr>
          <w:rFonts w:ascii="宋体" w:hAnsi="宋体" w:eastAsia="宋体" w:cs="宋体"/>
          <w:spacing w:val="-5"/>
          <w:sz w:val="21"/>
          <w:szCs w:val="21"/>
        </w:rPr>
        <w:t>优先顺序如下：</w:t>
      </w:r>
    </w:p>
    <w:p w14:paraId="66DC3C85">
      <w:pPr>
        <w:spacing w:before="1" w:line="233" w:lineRule="auto"/>
        <w:ind w:left="427"/>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）合同协议书；</w:t>
      </w:r>
    </w:p>
    <w:p w14:paraId="09B6DE32">
      <w:pPr>
        <w:spacing w:before="132"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）中标通知书（如果有</w:t>
      </w:r>
      <w:r>
        <w:rPr>
          <w:rFonts w:ascii="宋体" w:hAnsi="宋体" w:eastAsia="宋体" w:cs="宋体"/>
          <w:spacing w:val="-56"/>
          <w:sz w:val="21"/>
          <w:szCs w:val="21"/>
        </w:rPr>
        <w:t>）；</w:t>
      </w:r>
    </w:p>
    <w:p w14:paraId="52DFFA60">
      <w:pPr>
        <w:spacing w:before="134" w:line="234" w:lineRule="auto"/>
        <w:ind w:left="427"/>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3</w:t>
      </w:r>
      <w:r>
        <w:rPr>
          <w:rFonts w:ascii="宋体" w:hAnsi="宋体" w:eastAsia="宋体" w:cs="宋体"/>
          <w:spacing w:val="-7"/>
          <w:sz w:val="21"/>
          <w:szCs w:val="21"/>
        </w:rPr>
        <w:t>）投标函及其附录（如果有</w:t>
      </w:r>
      <w:r>
        <w:rPr>
          <w:rFonts w:ascii="宋体" w:hAnsi="宋体" w:eastAsia="宋体" w:cs="宋体"/>
          <w:spacing w:val="-17"/>
          <w:sz w:val="21"/>
          <w:szCs w:val="21"/>
        </w:rPr>
        <w:t>）；</w:t>
      </w:r>
    </w:p>
    <w:p w14:paraId="467B3655">
      <w:pPr>
        <w:spacing w:before="135"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4</w:t>
      </w:r>
      <w:r>
        <w:rPr>
          <w:rFonts w:ascii="宋体" w:hAnsi="宋体" w:eastAsia="宋体" w:cs="宋体"/>
          <w:spacing w:val="-3"/>
          <w:sz w:val="21"/>
          <w:szCs w:val="21"/>
        </w:rPr>
        <w:t>）专用合同条款及其附件；</w:t>
      </w:r>
    </w:p>
    <w:p w14:paraId="2942B991">
      <w:pPr>
        <w:spacing w:before="133"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）通用合同条款；</w:t>
      </w:r>
    </w:p>
    <w:p w14:paraId="091053E3">
      <w:pPr>
        <w:spacing w:before="135" w:line="234" w:lineRule="auto"/>
        <w:ind w:left="427"/>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6</w:t>
      </w:r>
      <w:r>
        <w:rPr>
          <w:rFonts w:ascii="宋体" w:hAnsi="宋体" w:eastAsia="宋体" w:cs="宋体"/>
          <w:spacing w:val="-4"/>
          <w:sz w:val="21"/>
          <w:szCs w:val="21"/>
        </w:rPr>
        <w:t>）技术标准和要求；</w:t>
      </w:r>
    </w:p>
    <w:p w14:paraId="10466278">
      <w:pPr>
        <w:spacing w:before="134" w:line="236"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）图纸；</w:t>
      </w:r>
    </w:p>
    <w:p w14:paraId="5B490CEB">
      <w:pPr>
        <w:spacing w:before="130"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）已标价工程量清单或预算书；</w:t>
      </w:r>
    </w:p>
    <w:p w14:paraId="2A07218E">
      <w:pPr>
        <w:spacing w:before="136"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）其他合同文件。</w:t>
      </w:r>
    </w:p>
    <w:p w14:paraId="4828C0DE">
      <w:pPr>
        <w:spacing w:before="135" w:line="351" w:lineRule="auto"/>
        <w:ind w:left="2" w:right="177" w:firstLine="420"/>
        <w:rPr>
          <w:rFonts w:ascii="宋体" w:hAnsi="宋体" w:eastAsia="宋体" w:cs="宋体"/>
          <w:sz w:val="21"/>
          <w:szCs w:val="21"/>
        </w:rPr>
      </w:pPr>
      <w:r>
        <w:rPr>
          <w:rFonts w:ascii="宋体" w:hAnsi="宋体" w:eastAsia="宋体" w:cs="宋体"/>
          <w:sz w:val="21"/>
          <w:szCs w:val="21"/>
        </w:rPr>
        <w:t>上述各项合同文件包括合同当事人就该项合同文件所作出的补充和修改，属于同</w:t>
      </w:r>
      <w:r>
        <w:rPr>
          <w:rFonts w:ascii="宋体" w:hAnsi="宋体" w:eastAsia="宋体" w:cs="宋体"/>
          <w:spacing w:val="-1"/>
          <w:sz w:val="21"/>
          <w:szCs w:val="21"/>
        </w:rPr>
        <w:t>一类内容的</w:t>
      </w:r>
      <w:r>
        <w:rPr>
          <w:rFonts w:ascii="宋体" w:hAnsi="宋体" w:eastAsia="宋体" w:cs="宋体"/>
          <w:spacing w:val="-2"/>
          <w:sz w:val="21"/>
          <w:szCs w:val="21"/>
        </w:rPr>
        <w:t>文件，应以最新签署的为准。</w:t>
      </w:r>
    </w:p>
    <w:p w14:paraId="6E1575FD">
      <w:pPr>
        <w:spacing w:before="1" w:line="340" w:lineRule="auto"/>
        <w:ind w:right="177" w:firstLine="419"/>
        <w:rPr>
          <w:rFonts w:ascii="宋体" w:hAnsi="宋体" w:eastAsia="宋体" w:cs="宋体"/>
          <w:sz w:val="21"/>
          <w:szCs w:val="21"/>
        </w:rPr>
      </w:pPr>
      <w:r>
        <w:rPr>
          <w:rFonts w:ascii="宋体" w:hAnsi="宋体" w:eastAsia="宋体" w:cs="宋体"/>
          <w:sz w:val="21"/>
          <w:szCs w:val="21"/>
        </w:rPr>
        <w:t>在合同订立及履行过程中形成的与合同有关的文件均构成合同文件组成部分，并根据</w:t>
      </w:r>
      <w:r>
        <w:rPr>
          <w:rFonts w:ascii="宋体" w:hAnsi="宋体" w:eastAsia="宋体" w:cs="宋体"/>
          <w:spacing w:val="-1"/>
          <w:sz w:val="21"/>
          <w:szCs w:val="21"/>
        </w:rPr>
        <w:t>其性质</w:t>
      </w:r>
      <w:r>
        <w:rPr>
          <w:rFonts w:ascii="宋体" w:hAnsi="宋体" w:eastAsia="宋体" w:cs="宋体"/>
          <w:spacing w:val="-3"/>
          <w:sz w:val="21"/>
          <w:szCs w:val="21"/>
        </w:rPr>
        <w:t>确定优先解释顺序。</w:t>
      </w:r>
    </w:p>
    <w:p w14:paraId="16CADF02">
      <w:pPr>
        <w:spacing w:before="1" w:line="232" w:lineRule="auto"/>
        <w:ind w:left="8"/>
        <w:outlineLvl w:val="2"/>
        <w:rPr>
          <w:rFonts w:ascii="黑体" w:hAnsi="黑体" w:eastAsia="黑体" w:cs="黑体"/>
          <w:sz w:val="24"/>
          <w:szCs w:val="24"/>
        </w:rPr>
      </w:pPr>
      <w:bookmarkStart w:id="203" w:name="bookmark152"/>
      <w:bookmarkEnd w:id="203"/>
      <w:r>
        <w:rPr>
          <w:rFonts w:ascii="Times New Roman" w:hAnsi="Times New Roman" w:eastAsia="Times New Roman" w:cs="Times New Roman"/>
          <w:b/>
          <w:bCs/>
          <w:spacing w:val="-5"/>
          <w:sz w:val="24"/>
          <w:szCs w:val="24"/>
        </w:rPr>
        <w:t>1.6</w:t>
      </w:r>
      <w:r>
        <w:rPr>
          <w:rFonts w:ascii="Times New Roman" w:hAnsi="Times New Roman" w:eastAsia="Times New Roman" w:cs="Times New Roman"/>
          <w:b/>
          <w:bCs/>
          <w:spacing w:val="24"/>
          <w:sz w:val="24"/>
          <w:szCs w:val="24"/>
        </w:rPr>
        <w:t xml:space="preserve"> </w:t>
      </w:r>
      <w:r>
        <w:rPr>
          <w:rFonts w:ascii="黑体" w:hAnsi="黑体" w:eastAsia="黑体" w:cs="黑体"/>
          <w:b/>
          <w:bCs/>
          <w:spacing w:val="-5"/>
          <w:sz w:val="24"/>
          <w:szCs w:val="24"/>
        </w:rPr>
        <w:t>图纸和承包人文件</w:t>
      </w:r>
    </w:p>
    <w:p w14:paraId="49F9CD84">
      <w:pPr>
        <w:spacing w:before="123" w:line="234" w:lineRule="auto"/>
        <w:ind w:left="437"/>
        <w:rPr>
          <w:rFonts w:ascii="宋体" w:hAnsi="宋体" w:eastAsia="宋体" w:cs="宋体"/>
          <w:sz w:val="21"/>
          <w:szCs w:val="21"/>
        </w:rPr>
      </w:pPr>
      <w:r>
        <w:rPr>
          <w:rFonts w:ascii="Times New Roman" w:hAnsi="Times New Roman" w:eastAsia="Times New Roman" w:cs="Times New Roman"/>
          <w:spacing w:val="-4"/>
          <w:sz w:val="21"/>
          <w:szCs w:val="21"/>
        </w:rPr>
        <w:t>1.6.1</w:t>
      </w:r>
      <w:r>
        <w:rPr>
          <w:rFonts w:ascii="Times New Roman" w:hAnsi="Times New Roman" w:eastAsia="Times New Roman" w:cs="Times New Roman"/>
          <w:spacing w:val="14"/>
          <w:w w:val="101"/>
          <w:sz w:val="21"/>
          <w:szCs w:val="21"/>
        </w:rPr>
        <w:t xml:space="preserve">  </w:t>
      </w:r>
      <w:r>
        <w:rPr>
          <w:rFonts w:ascii="宋体" w:hAnsi="宋体" w:eastAsia="宋体" w:cs="宋体"/>
          <w:spacing w:val="-4"/>
          <w:sz w:val="21"/>
          <w:szCs w:val="21"/>
        </w:rPr>
        <w:t>图纸的提供和交底</w:t>
      </w:r>
    </w:p>
    <w:p w14:paraId="3ACEB1E3">
      <w:pPr>
        <w:spacing w:before="134" w:line="352" w:lineRule="auto"/>
        <w:ind w:left="1" w:firstLine="422"/>
        <w:rPr>
          <w:rFonts w:ascii="宋体" w:hAnsi="宋体" w:eastAsia="宋体" w:cs="宋体"/>
          <w:sz w:val="21"/>
          <w:szCs w:val="21"/>
        </w:rPr>
      </w:pPr>
      <w:r>
        <w:rPr>
          <w:rFonts w:ascii="宋体" w:hAnsi="宋体" w:eastAsia="宋体" w:cs="宋体"/>
          <w:spacing w:val="-1"/>
          <w:sz w:val="21"/>
          <w:szCs w:val="21"/>
        </w:rPr>
        <w:t>发包人应按照专用合同条款约定的期限、数量和内容向承包人免费提供图纸，并组织承包人、</w:t>
      </w:r>
      <w:r>
        <w:rPr>
          <w:rFonts w:ascii="宋体" w:hAnsi="宋体" w:eastAsia="宋体" w:cs="宋体"/>
          <w:sz w:val="21"/>
          <w:szCs w:val="21"/>
        </w:rPr>
        <w:t xml:space="preserve">监理人和设计人进行图纸会审和设计交底。发包人至迟不得晚于第 </w:t>
      </w:r>
      <w:r>
        <w:rPr>
          <w:rFonts w:ascii="Times New Roman" w:hAnsi="Times New Roman" w:eastAsia="Times New Roman" w:cs="Times New Roman"/>
          <w:sz w:val="21"/>
          <w:szCs w:val="21"/>
        </w:rPr>
        <w:t xml:space="preserve">7.3.2  </w:t>
      </w:r>
      <w:r>
        <w:rPr>
          <w:rFonts w:ascii="宋体" w:hAnsi="宋体" w:eastAsia="宋体" w:cs="宋体"/>
          <w:sz w:val="21"/>
          <w:szCs w:val="21"/>
        </w:rPr>
        <w:t>项〔开工通知</w:t>
      </w:r>
      <w:r>
        <w:rPr>
          <w:rFonts w:ascii="宋体" w:hAnsi="宋体" w:eastAsia="宋体" w:cs="宋体"/>
          <w:spacing w:val="-1"/>
          <w:sz w:val="21"/>
          <w:szCs w:val="21"/>
        </w:rPr>
        <w:t>〕载明的</w:t>
      </w:r>
      <w:r>
        <w:rPr>
          <w:rFonts w:ascii="宋体" w:hAnsi="宋体" w:eastAsia="宋体" w:cs="宋体"/>
          <w:spacing w:val="-3"/>
          <w:sz w:val="21"/>
          <w:szCs w:val="21"/>
        </w:rPr>
        <w:t>开工日期前</w:t>
      </w:r>
      <w:r>
        <w:rPr>
          <w:rFonts w:ascii="宋体" w:hAnsi="宋体" w:eastAsia="宋体" w:cs="宋体"/>
          <w:spacing w:val="-22"/>
          <w:sz w:val="21"/>
          <w:szCs w:val="21"/>
        </w:rPr>
        <w:t xml:space="preserve"> </w:t>
      </w:r>
      <w:r>
        <w:rPr>
          <w:rFonts w:ascii="Times New Roman" w:hAnsi="Times New Roman" w:eastAsia="Times New Roman" w:cs="Times New Roman"/>
          <w:spacing w:val="-3"/>
          <w:sz w:val="21"/>
          <w:szCs w:val="21"/>
        </w:rPr>
        <w:t xml:space="preserve">14 </w:t>
      </w:r>
      <w:r>
        <w:rPr>
          <w:rFonts w:ascii="宋体" w:hAnsi="宋体" w:eastAsia="宋体" w:cs="宋体"/>
          <w:spacing w:val="-3"/>
          <w:sz w:val="21"/>
          <w:szCs w:val="21"/>
        </w:rPr>
        <w:t>天向承包人提供图纸。</w:t>
      </w:r>
    </w:p>
    <w:p w14:paraId="46FEACDC">
      <w:pPr>
        <w:spacing w:before="1" w:line="342" w:lineRule="auto"/>
        <w:ind w:left="25" w:right="177" w:firstLine="412"/>
        <w:rPr>
          <w:rFonts w:ascii="宋体" w:hAnsi="宋体" w:eastAsia="宋体" w:cs="宋体"/>
          <w:sz w:val="21"/>
          <w:szCs w:val="21"/>
        </w:rPr>
      </w:pPr>
      <w:r>
        <w:rPr>
          <w:rFonts w:ascii="宋体" w:hAnsi="宋体" w:eastAsia="宋体" w:cs="宋体"/>
          <w:sz w:val="21"/>
          <w:szCs w:val="21"/>
        </w:rPr>
        <w:t>因发包人未按合同约定提供图纸导致承包人费用增加和（</w:t>
      </w:r>
      <w:r>
        <w:rPr>
          <w:rFonts w:ascii="宋体" w:hAnsi="宋体" w:eastAsia="宋体" w:cs="宋体"/>
          <w:spacing w:val="-1"/>
          <w:sz w:val="21"/>
          <w:szCs w:val="21"/>
        </w:rPr>
        <w:t xml:space="preserve">或）工期延误的，按照第 </w:t>
      </w:r>
      <w:r>
        <w:rPr>
          <w:rFonts w:ascii="Times New Roman" w:hAnsi="Times New Roman" w:eastAsia="Times New Roman" w:cs="Times New Roman"/>
          <w:spacing w:val="-1"/>
          <w:sz w:val="21"/>
          <w:szCs w:val="21"/>
        </w:rPr>
        <w:t xml:space="preserve">7.5.1  </w:t>
      </w:r>
      <w:r>
        <w:rPr>
          <w:rFonts w:ascii="宋体" w:hAnsi="宋体" w:eastAsia="宋体" w:cs="宋体"/>
          <w:spacing w:val="-1"/>
          <w:sz w:val="21"/>
          <w:szCs w:val="21"/>
        </w:rPr>
        <w:t>项</w:t>
      </w:r>
      <w:r>
        <w:rPr>
          <w:rFonts w:ascii="宋体" w:hAnsi="宋体" w:eastAsia="宋体" w:cs="宋体"/>
          <w:spacing w:val="-2"/>
          <w:sz w:val="21"/>
          <w:szCs w:val="21"/>
        </w:rPr>
        <w:t>〔因发包人原因导致工期延误〕约定办理。</w:t>
      </w:r>
    </w:p>
    <w:p w14:paraId="7EE6D250">
      <w:pPr>
        <w:spacing w:before="20" w:line="236" w:lineRule="auto"/>
        <w:ind w:left="437"/>
        <w:rPr>
          <w:rFonts w:ascii="宋体" w:hAnsi="宋体" w:eastAsia="宋体" w:cs="宋体"/>
          <w:sz w:val="21"/>
          <w:szCs w:val="21"/>
        </w:rPr>
      </w:pPr>
      <w:r>
        <w:rPr>
          <w:rFonts w:ascii="Times New Roman" w:hAnsi="Times New Roman" w:eastAsia="Times New Roman" w:cs="Times New Roman"/>
          <w:spacing w:val="-5"/>
          <w:sz w:val="21"/>
          <w:szCs w:val="21"/>
        </w:rPr>
        <w:t>1.6.2</w:t>
      </w:r>
      <w:r>
        <w:rPr>
          <w:rFonts w:ascii="Times New Roman" w:hAnsi="Times New Roman" w:eastAsia="Times New Roman" w:cs="Times New Roman"/>
          <w:spacing w:val="13"/>
          <w:w w:val="101"/>
          <w:sz w:val="21"/>
          <w:szCs w:val="21"/>
        </w:rPr>
        <w:t xml:space="preserve">  </w:t>
      </w:r>
      <w:r>
        <w:rPr>
          <w:rFonts w:ascii="宋体" w:hAnsi="宋体" w:eastAsia="宋体" w:cs="宋体"/>
          <w:spacing w:val="-5"/>
          <w:sz w:val="21"/>
          <w:szCs w:val="21"/>
        </w:rPr>
        <w:t>图纸的错误</w:t>
      </w:r>
    </w:p>
    <w:p w14:paraId="07708153">
      <w:pPr>
        <w:spacing w:before="134" w:line="351" w:lineRule="auto"/>
        <w:ind w:left="1" w:firstLine="419"/>
        <w:rPr>
          <w:rFonts w:ascii="宋体" w:hAnsi="宋体" w:eastAsia="宋体" w:cs="宋体"/>
          <w:sz w:val="21"/>
          <w:szCs w:val="21"/>
        </w:rPr>
      </w:pPr>
      <w:r>
        <w:rPr>
          <w:rFonts w:ascii="宋体" w:hAnsi="宋体" w:eastAsia="宋体" w:cs="宋体"/>
          <w:spacing w:val="-1"/>
          <w:sz w:val="21"/>
          <w:szCs w:val="21"/>
        </w:rPr>
        <w:t>承包人在收到发包人提供的图纸后，发现图纸存在差错、遗漏或缺陷的，应及时通知监理人。</w:t>
      </w:r>
      <w:r>
        <w:rPr>
          <w:rFonts w:ascii="宋体" w:hAnsi="宋体" w:eastAsia="宋体" w:cs="宋体"/>
          <w:sz w:val="21"/>
          <w:szCs w:val="21"/>
        </w:rPr>
        <w:t>监理人接到该通知后，应附具相关意见并立即报送发包人，发包人应在收到监理人报送</w:t>
      </w:r>
      <w:r>
        <w:rPr>
          <w:rFonts w:ascii="宋体" w:hAnsi="宋体" w:eastAsia="宋体" w:cs="宋体"/>
          <w:spacing w:val="-1"/>
          <w:sz w:val="21"/>
          <w:szCs w:val="21"/>
        </w:rPr>
        <w:t>的通知后</w:t>
      </w:r>
      <w:r>
        <w:rPr>
          <w:rFonts w:ascii="宋体" w:hAnsi="宋体" w:eastAsia="宋体" w:cs="宋体"/>
          <w:sz w:val="21"/>
          <w:szCs w:val="21"/>
        </w:rPr>
        <w:t>的合理时间内作出决定。合理时间是指发包人在收到监理人的报送通知后，尽其努力且</w:t>
      </w:r>
      <w:r>
        <w:rPr>
          <w:rFonts w:ascii="宋体" w:hAnsi="宋体" w:eastAsia="宋体" w:cs="宋体"/>
          <w:spacing w:val="-1"/>
          <w:sz w:val="21"/>
          <w:szCs w:val="21"/>
        </w:rPr>
        <w:t>不懈怠地</w:t>
      </w:r>
      <w:r>
        <w:rPr>
          <w:rFonts w:ascii="宋体" w:hAnsi="宋体" w:eastAsia="宋体" w:cs="宋体"/>
          <w:spacing w:val="-2"/>
          <w:sz w:val="21"/>
          <w:szCs w:val="21"/>
        </w:rPr>
        <w:t>完成图纸修改补充所需的时间。</w:t>
      </w:r>
    </w:p>
    <w:p w14:paraId="4773C82C">
      <w:pPr>
        <w:spacing w:before="1" w:line="234" w:lineRule="auto"/>
        <w:ind w:left="437"/>
        <w:rPr>
          <w:rFonts w:ascii="宋体" w:hAnsi="宋体" w:eastAsia="宋体" w:cs="宋体"/>
          <w:sz w:val="21"/>
          <w:szCs w:val="21"/>
        </w:rPr>
      </w:pPr>
      <w:r>
        <w:rPr>
          <w:rFonts w:ascii="Times New Roman" w:hAnsi="Times New Roman" w:eastAsia="Times New Roman" w:cs="Times New Roman"/>
          <w:spacing w:val="-4"/>
          <w:sz w:val="21"/>
          <w:szCs w:val="21"/>
        </w:rPr>
        <w:t>1.6.3</w:t>
      </w:r>
      <w:r>
        <w:rPr>
          <w:rFonts w:ascii="Times New Roman" w:hAnsi="Times New Roman" w:eastAsia="Times New Roman" w:cs="Times New Roman"/>
          <w:spacing w:val="14"/>
          <w:w w:val="101"/>
          <w:sz w:val="21"/>
          <w:szCs w:val="21"/>
        </w:rPr>
        <w:t xml:space="preserve">  </w:t>
      </w:r>
      <w:r>
        <w:rPr>
          <w:rFonts w:ascii="宋体" w:hAnsi="宋体" w:eastAsia="宋体" w:cs="宋体"/>
          <w:spacing w:val="-4"/>
          <w:sz w:val="21"/>
          <w:szCs w:val="21"/>
        </w:rPr>
        <w:t>图纸的修改和补充</w:t>
      </w:r>
    </w:p>
    <w:p w14:paraId="27DBADB2">
      <w:pPr>
        <w:spacing w:before="133" w:line="221" w:lineRule="auto"/>
        <w:ind w:left="441"/>
        <w:rPr>
          <w:rFonts w:ascii="宋体" w:hAnsi="宋体" w:eastAsia="宋体" w:cs="宋体"/>
          <w:sz w:val="21"/>
          <w:szCs w:val="21"/>
        </w:rPr>
      </w:pPr>
      <w:r>
        <w:rPr>
          <w:rFonts w:ascii="宋体" w:hAnsi="宋体" w:eastAsia="宋体" w:cs="宋体"/>
          <w:spacing w:val="-1"/>
          <w:sz w:val="21"/>
          <w:szCs w:val="21"/>
        </w:rPr>
        <w:t>图纸需要修改和补充的，应经图纸原设计人及审批部门同意，并由监理人在工程或工程相应</w:t>
      </w:r>
    </w:p>
    <w:p w14:paraId="708F3F5A">
      <w:pPr>
        <w:spacing w:line="221" w:lineRule="auto"/>
        <w:rPr>
          <w:rFonts w:ascii="宋体" w:hAnsi="宋体" w:eastAsia="宋体" w:cs="宋体"/>
          <w:sz w:val="21"/>
          <w:szCs w:val="21"/>
        </w:rPr>
        <w:sectPr>
          <w:footerReference r:id="rId90" w:type="default"/>
          <w:pgSz w:w="11905" w:h="16843"/>
          <w:pgMar w:top="969" w:right="1355" w:bottom="1026" w:left="1480" w:header="0" w:footer="754" w:gutter="0"/>
          <w:cols w:space="0" w:num="1"/>
          <w:rtlGutter w:val="0"/>
          <w:docGrid w:linePitch="0" w:charSpace="0"/>
        </w:sectPr>
      </w:pPr>
    </w:p>
    <w:p w14:paraId="365910B2">
      <w:pPr>
        <w:pStyle w:val="5"/>
        <w:spacing w:line="270" w:lineRule="auto"/>
      </w:pPr>
    </w:p>
    <w:p w14:paraId="09A6677E">
      <w:pPr>
        <w:pStyle w:val="5"/>
        <w:spacing w:line="270" w:lineRule="auto"/>
      </w:pPr>
    </w:p>
    <w:p w14:paraId="32A40D64">
      <w:pPr>
        <w:pStyle w:val="5"/>
        <w:spacing w:line="270" w:lineRule="auto"/>
      </w:pPr>
    </w:p>
    <w:p w14:paraId="62959D75">
      <w:pPr>
        <w:pStyle w:val="5"/>
        <w:spacing w:line="271" w:lineRule="auto"/>
      </w:pPr>
    </w:p>
    <w:p w14:paraId="359F8271">
      <w:pPr>
        <w:spacing w:before="68" w:line="221" w:lineRule="auto"/>
        <w:ind w:left="2"/>
        <w:rPr>
          <w:rFonts w:ascii="宋体" w:hAnsi="宋体" w:eastAsia="宋体" w:cs="宋体"/>
          <w:sz w:val="21"/>
          <w:szCs w:val="21"/>
        </w:rPr>
      </w:pPr>
      <w:bookmarkStart w:id="204" w:name="bookmark544"/>
      <w:bookmarkEnd w:id="204"/>
      <w:r>
        <w:rPr>
          <w:rFonts w:ascii="宋体" w:hAnsi="宋体" w:eastAsia="宋体" w:cs="宋体"/>
          <w:sz w:val="21"/>
          <w:szCs w:val="21"/>
        </w:rPr>
        <w:t>部位施工前将修改后的图纸或补充图纸提交给承包人，承包人应按修改或补充后的图</w:t>
      </w:r>
      <w:r>
        <w:rPr>
          <w:rFonts w:ascii="宋体" w:hAnsi="宋体" w:eastAsia="宋体" w:cs="宋体"/>
          <w:spacing w:val="-1"/>
          <w:sz w:val="21"/>
          <w:szCs w:val="21"/>
        </w:rPr>
        <w:t>纸施工。</w:t>
      </w:r>
    </w:p>
    <w:p w14:paraId="44F7BAE1">
      <w:pPr>
        <w:spacing w:before="150"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1.6.4  </w:t>
      </w:r>
      <w:r>
        <w:rPr>
          <w:rFonts w:ascii="宋体" w:hAnsi="宋体" w:eastAsia="宋体" w:cs="宋体"/>
          <w:spacing w:val="-2"/>
          <w:sz w:val="21"/>
          <w:szCs w:val="21"/>
        </w:rPr>
        <w:t>承包人文件</w:t>
      </w:r>
    </w:p>
    <w:p w14:paraId="1198012D">
      <w:pPr>
        <w:spacing w:before="134" w:line="351" w:lineRule="auto"/>
        <w:ind w:firstLine="419"/>
        <w:rPr>
          <w:rFonts w:ascii="宋体" w:hAnsi="宋体" w:eastAsia="宋体" w:cs="宋体"/>
          <w:sz w:val="21"/>
          <w:szCs w:val="21"/>
        </w:rPr>
      </w:pPr>
      <w:r>
        <w:rPr>
          <w:rFonts w:ascii="宋体" w:hAnsi="宋体" w:eastAsia="宋体" w:cs="宋体"/>
          <w:sz w:val="21"/>
          <w:szCs w:val="21"/>
        </w:rPr>
        <w:t>承包人应按照专用合同条款的约定提供应当由其编制的与工程施工有关的文件，并</w:t>
      </w:r>
      <w:r>
        <w:rPr>
          <w:rFonts w:ascii="宋体" w:hAnsi="宋体" w:eastAsia="宋体" w:cs="宋体"/>
          <w:spacing w:val="-1"/>
          <w:sz w:val="21"/>
          <w:szCs w:val="21"/>
        </w:rPr>
        <w:t>按照专用</w:t>
      </w:r>
      <w:r>
        <w:rPr>
          <w:rFonts w:ascii="宋体" w:hAnsi="宋体" w:eastAsia="宋体" w:cs="宋体"/>
          <w:sz w:val="21"/>
          <w:szCs w:val="21"/>
        </w:rPr>
        <w:t>合同条款约定的期限、数量和形式提交监理人，并由监理人报送</w:t>
      </w:r>
      <w:r>
        <w:rPr>
          <w:rFonts w:ascii="宋体" w:hAnsi="宋体" w:eastAsia="宋体" w:cs="宋体"/>
          <w:spacing w:val="-1"/>
          <w:sz w:val="21"/>
          <w:szCs w:val="21"/>
        </w:rPr>
        <w:t>发包人。</w:t>
      </w:r>
    </w:p>
    <w:p w14:paraId="4B503A57">
      <w:pPr>
        <w:spacing w:before="2" w:line="349" w:lineRule="auto"/>
        <w:ind w:firstLine="432"/>
        <w:jc w:val="both"/>
        <w:rPr>
          <w:rFonts w:ascii="宋体" w:hAnsi="宋体" w:eastAsia="宋体" w:cs="宋体"/>
          <w:sz w:val="21"/>
          <w:szCs w:val="21"/>
        </w:rPr>
      </w:pPr>
      <w:r>
        <w:rPr>
          <w:rFonts w:ascii="宋体" w:hAnsi="宋体" w:eastAsia="宋体" w:cs="宋体"/>
          <w:spacing w:val="-1"/>
          <w:sz w:val="21"/>
          <w:szCs w:val="21"/>
        </w:rPr>
        <w:t>除专用合同条款另有约定外，监理人应在收到承包人文件后</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天内审查完毕，监理人对承包</w:t>
      </w:r>
      <w:r>
        <w:rPr>
          <w:rFonts w:ascii="宋体" w:hAnsi="宋体" w:eastAsia="宋体" w:cs="宋体"/>
          <w:sz w:val="21"/>
          <w:szCs w:val="21"/>
        </w:rPr>
        <w:t>人文件有异议的，承包人应予以修改，并重新报送监理人。监理人的审查并不减轻或免除</w:t>
      </w:r>
      <w:r>
        <w:rPr>
          <w:rFonts w:ascii="宋体" w:hAnsi="宋体" w:eastAsia="宋体" w:cs="宋体"/>
          <w:spacing w:val="-1"/>
          <w:sz w:val="21"/>
          <w:szCs w:val="21"/>
        </w:rPr>
        <w:t>承包人</w:t>
      </w:r>
      <w:r>
        <w:rPr>
          <w:rFonts w:ascii="宋体" w:hAnsi="宋体" w:eastAsia="宋体" w:cs="宋体"/>
          <w:spacing w:val="-2"/>
          <w:sz w:val="21"/>
          <w:szCs w:val="21"/>
        </w:rPr>
        <w:t>根据合同约定应当承担的责任。</w:t>
      </w:r>
    </w:p>
    <w:p w14:paraId="49780136">
      <w:pPr>
        <w:spacing w:before="7" w:line="234" w:lineRule="auto"/>
        <w:ind w:left="436"/>
        <w:rPr>
          <w:rFonts w:ascii="宋体" w:hAnsi="宋体" w:eastAsia="宋体" w:cs="宋体"/>
          <w:sz w:val="21"/>
          <w:szCs w:val="21"/>
        </w:rPr>
      </w:pPr>
      <w:r>
        <w:rPr>
          <w:rFonts w:ascii="Times New Roman" w:hAnsi="Times New Roman" w:eastAsia="Times New Roman" w:cs="Times New Roman"/>
          <w:spacing w:val="-4"/>
          <w:sz w:val="21"/>
          <w:szCs w:val="21"/>
        </w:rPr>
        <w:t>1.6.5</w:t>
      </w:r>
      <w:r>
        <w:rPr>
          <w:rFonts w:ascii="Times New Roman" w:hAnsi="Times New Roman" w:eastAsia="Times New Roman" w:cs="Times New Roman"/>
          <w:spacing w:val="20"/>
          <w:sz w:val="21"/>
          <w:szCs w:val="21"/>
        </w:rPr>
        <w:t xml:space="preserve">  </w:t>
      </w:r>
      <w:r>
        <w:rPr>
          <w:rFonts w:ascii="宋体" w:hAnsi="宋体" w:eastAsia="宋体" w:cs="宋体"/>
          <w:spacing w:val="-4"/>
          <w:sz w:val="21"/>
          <w:szCs w:val="21"/>
        </w:rPr>
        <w:t>图纸和承包人文件的保管</w:t>
      </w:r>
    </w:p>
    <w:p w14:paraId="175C3C89">
      <w:pPr>
        <w:spacing w:before="135" w:line="340" w:lineRule="auto"/>
        <w:ind w:right="47" w:firstLine="432"/>
        <w:rPr>
          <w:rFonts w:ascii="宋体" w:hAnsi="宋体" w:eastAsia="宋体" w:cs="宋体"/>
          <w:sz w:val="21"/>
          <w:szCs w:val="21"/>
        </w:rPr>
      </w:pPr>
      <w:r>
        <w:rPr>
          <w:rFonts w:ascii="宋体" w:hAnsi="宋体" w:eastAsia="宋体" w:cs="宋体"/>
          <w:spacing w:val="-2"/>
          <w:sz w:val="21"/>
          <w:szCs w:val="21"/>
        </w:rPr>
        <w:t>除专用合同条款另有约定外，承包人应在施工现场另外保存一套完整的图纸和承包人文件，</w:t>
      </w:r>
      <w:r>
        <w:rPr>
          <w:rFonts w:ascii="宋体" w:hAnsi="宋体" w:eastAsia="宋体" w:cs="宋体"/>
          <w:sz w:val="21"/>
          <w:szCs w:val="21"/>
        </w:rPr>
        <w:t>供发包人、监理人及有关人员进行工程检查</w:t>
      </w:r>
      <w:r>
        <w:rPr>
          <w:rFonts w:ascii="宋体" w:hAnsi="宋体" w:eastAsia="宋体" w:cs="宋体"/>
          <w:spacing w:val="-1"/>
          <w:sz w:val="21"/>
          <w:szCs w:val="21"/>
        </w:rPr>
        <w:t>时使用。</w:t>
      </w:r>
    </w:p>
    <w:p w14:paraId="7098B2E8">
      <w:pPr>
        <w:spacing w:before="2" w:line="231" w:lineRule="auto"/>
        <w:ind w:left="7"/>
        <w:outlineLvl w:val="2"/>
        <w:rPr>
          <w:rFonts w:ascii="黑体" w:hAnsi="黑体" w:eastAsia="黑体" w:cs="黑体"/>
          <w:sz w:val="24"/>
          <w:szCs w:val="24"/>
        </w:rPr>
      </w:pPr>
      <w:bookmarkStart w:id="205" w:name="bookmark153"/>
      <w:bookmarkEnd w:id="205"/>
      <w:r>
        <w:rPr>
          <w:rFonts w:ascii="Times New Roman" w:hAnsi="Times New Roman" w:eastAsia="Times New Roman" w:cs="Times New Roman"/>
          <w:b/>
          <w:bCs/>
          <w:spacing w:val="-5"/>
          <w:sz w:val="24"/>
          <w:szCs w:val="24"/>
        </w:rPr>
        <w:t>1.7</w:t>
      </w:r>
      <w:r>
        <w:rPr>
          <w:rFonts w:ascii="Times New Roman" w:hAnsi="Times New Roman" w:eastAsia="Times New Roman" w:cs="Times New Roman"/>
          <w:b/>
          <w:bCs/>
          <w:spacing w:val="10"/>
          <w:sz w:val="24"/>
          <w:szCs w:val="24"/>
        </w:rPr>
        <w:t xml:space="preserve"> </w:t>
      </w:r>
      <w:r>
        <w:rPr>
          <w:rFonts w:ascii="黑体" w:hAnsi="黑体" w:eastAsia="黑体" w:cs="黑体"/>
          <w:b/>
          <w:bCs/>
          <w:spacing w:val="-5"/>
          <w:sz w:val="24"/>
          <w:szCs w:val="24"/>
        </w:rPr>
        <w:t>联络</w:t>
      </w:r>
    </w:p>
    <w:p w14:paraId="7C025A7B">
      <w:pPr>
        <w:spacing w:before="124" w:line="285" w:lineRule="auto"/>
        <w:ind w:left="5" w:right="27" w:firstLine="431"/>
        <w:rPr>
          <w:rFonts w:ascii="宋体" w:hAnsi="宋体" w:eastAsia="宋体" w:cs="宋体"/>
          <w:sz w:val="21"/>
          <w:szCs w:val="21"/>
        </w:rPr>
      </w:pPr>
      <w:r>
        <w:rPr>
          <w:rFonts w:ascii="Times New Roman" w:hAnsi="Times New Roman" w:eastAsia="Times New Roman" w:cs="Times New Roman"/>
          <w:spacing w:val="1"/>
          <w:sz w:val="21"/>
          <w:szCs w:val="21"/>
        </w:rPr>
        <w:t xml:space="preserve">1.7.1  </w:t>
      </w:r>
      <w:r>
        <w:rPr>
          <w:rFonts w:ascii="宋体" w:hAnsi="宋体" w:eastAsia="宋体" w:cs="宋体"/>
          <w:spacing w:val="1"/>
          <w:sz w:val="21"/>
          <w:szCs w:val="21"/>
        </w:rPr>
        <w:t>与合同有关的通知、批准、证明、证书、指示、指令、要求、请求、同意、意见、确</w:t>
      </w:r>
      <w:r>
        <w:rPr>
          <w:rFonts w:ascii="宋体" w:hAnsi="宋体" w:eastAsia="宋体" w:cs="宋体"/>
          <w:sz w:val="21"/>
          <w:szCs w:val="21"/>
        </w:rPr>
        <w:t>定和决定等，均应采用书面形式，并应在合同约定的期限内送达接收人</w:t>
      </w:r>
      <w:r>
        <w:rPr>
          <w:rFonts w:ascii="宋体" w:hAnsi="宋体" w:eastAsia="宋体" w:cs="宋体"/>
          <w:spacing w:val="-1"/>
          <w:sz w:val="21"/>
          <w:szCs w:val="21"/>
        </w:rPr>
        <w:t>和送达地点。</w:t>
      </w:r>
    </w:p>
    <w:p w14:paraId="446B5CD1">
      <w:pPr>
        <w:spacing w:before="151" w:line="293" w:lineRule="auto"/>
        <w:ind w:left="20" w:right="11"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1.7.2  </w:t>
      </w:r>
      <w:r>
        <w:rPr>
          <w:rFonts w:ascii="宋体" w:hAnsi="宋体" w:eastAsia="宋体" w:cs="宋体"/>
          <w:spacing w:val="2"/>
          <w:sz w:val="21"/>
          <w:szCs w:val="21"/>
        </w:rPr>
        <w:t>发包人和承包人应在专用合同条款中约定各自的送达</w:t>
      </w:r>
      <w:r>
        <w:rPr>
          <w:rFonts w:ascii="宋体" w:hAnsi="宋体" w:eastAsia="宋体" w:cs="宋体"/>
          <w:spacing w:val="1"/>
          <w:sz w:val="21"/>
          <w:szCs w:val="21"/>
        </w:rPr>
        <w:t>接收人和送达地点。任何一方合</w:t>
      </w:r>
      <w:r>
        <w:rPr>
          <w:rFonts w:ascii="宋体" w:hAnsi="宋体" w:eastAsia="宋体" w:cs="宋体"/>
          <w:spacing w:val="-1"/>
          <w:sz w:val="21"/>
          <w:szCs w:val="21"/>
        </w:rPr>
        <w:t>同当事人指定的接收人或送达地点发生变动的，应</w:t>
      </w:r>
      <w:r>
        <w:rPr>
          <w:rFonts w:ascii="宋体" w:hAnsi="宋体" w:eastAsia="宋体" w:cs="宋体"/>
          <w:spacing w:val="-2"/>
          <w:sz w:val="21"/>
          <w:szCs w:val="21"/>
        </w:rPr>
        <w:t>提前</w:t>
      </w:r>
      <w:r>
        <w:rPr>
          <w:rFonts w:ascii="宋体" w:hAnsi="宋体" w:eastAsia="宋体" w:cs="宋体"/>
          <w:spacing w:val="-44"/>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天以书面形式通知对方。</w:t>
      </w:r>
    </w:p>
    <w:p w14:paraId="6C480AB2">
      <w:pPr>
        <w:spacing w:before="131" w:line="287" w:lineRule="auto"/>
        <w:ind w:right="11" w:firstLine="436"/>
        <w:rPr>
          <w:rFonts w:ascii="宋体" w:hAnsi="宋体" w:eastAsia="宋体" w:cs="宋体"/>
          <w:sz w:val="21"/>
          <w:szCs w:val="21"/>
        </w:rPr>
      </w:pPr>
      <w:r>
        <w:rPr>
          <w:rFonts w:ascii="Times New Roman" w:hAnsi="Times New Roman" w:eastAsia="Times New Roman" w:cs="Times New Roman"/>
          <w:spacing w:val="2"/>
          <w:sz w:val="21"/>
          <w:szCs w:val="21"/>
        </w:rPr>
        <w:t xml:space="preserve">1.7.3  </w:t>
      </w:r>
      <w:r>
        <w:rPr>
          <w:rFonts w:ascii="宋体" w:hAnsi="宋体" w:eastAsia="宋体" w:cs="宋体"/>
          <w:spacing w:val="2"/>
          <w:sz w:val="21"/>
          <w:szCs w:val="21"/>
        </w:rPr>
        <w:t>发包人和承包人应当及时签收另一方送达至送达地点</w:t>
      </w:r>
      <w:r>
        <w:rPr>
          <w:rFonts w:ascii="宋体" w:hAnsi="宋体" w:eastAsia="宋体" w:cs="宋体"/>
          <w:spacing w:val="1"/>
          <w:sz w:val="21"/>
          <w:szCs w:val="21"/>
        </w:rPr>
        <w:t>和指定接收人的来往信函。拒不</w:t>
      </w:r>
      <w:r>
        <w:rPr>
          <w:rFonts w:ascii="宋体" w:hAnsi="宋体" w:eastAsia="宋体" w:cs="宋体"/>
          <w:sz w:val="21"/>
          <w:szCs w:val="21"/>
        </w:rPr>
        <w:t>签收的，由此增加的费用和（或）延误的工期由拒绝接收一方</w:t>
      </w:r>
      <w:r>
        <w:rPr>
          <w:rFonts w:ascii="宋体" w:hAnsi="宋体" w:eastAsia="宋体" w:cs="宋体"/>
          <w:spacing w:val="-1"/>
          <w:sz w:val="21"/>
          <w:szCs w:val="21"/>
        </w:rPr>
        <w:t>承担。</w:t>
      </w:r>
    </w:p>
    <w:p w14:paraId="23527E81">
      <w:pPr>
        <w:spacing w:before="125" w:line="233" w:lineRule="auto"/>
        <w:ind w:left="7"/>
        <w:outlineLvl w:val="2"/>
        <w:rPr>
          <w:rFonts w:ascii="黑体" w:hAnsi="黑体" w:eastAsia="黑体" w:cs="黑体"/>
          <w:sz w:val="24"/>
          <w:szCs w:val="24"/>
        </w:rPr>
      </w:pPr>
      <w:bookmarkStart w:id="206" w:name="bookmark154"/>
      <w:bookmarkEnd w:id="206"/>
      <w:r>
        <w:rPr>
          <w:rFonts w:ascii="Times New Roman" w:hAnsi="Times New Roman" w:eastAsia="Times New Roman" w:cs="Times New Roman"/>
          <w:b/>
          <w:bCs/>
          <w:spacing w:val="-3"/>
          <w:sz w:val="24"/>
          <w:szCs w:val="24"/>
        </w:rPr>
        <w:t xml:space="preserve">1.8 </w:t>
      </w:r>
      <w:r>
        <w:rPr>
          <w:rFonts w:ascii="黑体" w:hAnsi="黑体" w:eastAsia="黑体" w:cs="黑体"/>
          <w:b/>
          <w:bCs/>
          <w:spacing w:val="-3"/>
          <w:sz w:val="24"/>
          <w:szCs w:val="24"/>
        </w:rPr>
        <w:t>严禁贿赂</w:t>
      </w:r>
    </w:p>
    <w:p w14:paraId="22EB4E80">
      <w:pPr>
        <w:spacing w:before="121" w:line="352" w:lineRule="auto"/>
        <w:ind w:left="1" w:firstLine="419"/>
        <w:rPr>
          <w:rFonts w:ascii="宋体" w:hAnsi="宋体" w:eastAsia="宋体" w:cs="宋体"/>
          <w:sz w:val="21"/>
          <w:szCs w:val="21"/>
        </w:rPr>
      </w:pPr>
      <w:r>
        <w:rPr>
          <w:rFonts w:ascii="宋体" w:hAnsi="宋体" w:eastAsia="宋体" w:cs="宋体"/>
          <w:sz w:val="21"/>
          <w:szCs w:val="21"/>
        </w:rPr>
        <w:t>合同当事人不得以贿赂或变相贿赂的方式，谋取非法利益或损害对方权益。因一方</w:t>
      </w:r>
      <w:r>
        <w:rPr>
          <w:rFonts w:ascii="宋体" w:hAnsi="宋体" w:eastAsia="宋体" w:cs="宋体"/>
          <w:spacing w:val="-1"/>
          <w:sz w:val="21"/>
          <w:szCs w:val="21"/>
        </w:rPr>
        <w:t>合同当事人的贿赂造成对方损失的，应赔偿损失，并承担相应的法律责任。</w:t>
      </w:r>
    </w:p>
    <w:p w14:paraId="0AB36DDD">
      <w:pPr>
        <w:spacing w:before="2" w:line="344" w:lineRule="auto"/>
        <w:ind w:firstLine="420"/>
        <w:jc w:val="both"/>
        <w:rPr>
          <w:rFonts w:ascii="宋体" w:hAnsi="宋体" w:eastAsia="宋体" w:cs="宋体"/>
          <w:sz w:val="21"/>
          <w:szCs w:val="21"/>
        </w:rPr>
      </w:pPr>
      <w:r>
        <w:rPr>
          <w:rFonts w:ascii="宋体" w:hAnsi="宋体" w:eastAsia="宋体" w:cs="宋体"/>
          <w:sz w:val="21"/>
          <w:szCs w:val="21"/>
        </w:rPr>
        <w:t>承包人不得与监理人或发包人聘请的第三方串通损害发包人利益。未经发包人书面</w:t>
      </w:r>
      <w:r>
        <w:rPr>
          <w:rFonts w:ascii="宋体" w:hAnsi="宋体" w:eastAsia="宋体" w:cs="宋体"/>
          <w:spacing w:val="-1"/>
          <w:sz w:val="21"/>
          <w:szCs w:val="21"/>
        </w:rPr>
        <w:t>同意，承</w:t>
      </w:r>
      <w:r>
        <w:rPr>
          <w:rFonts w:ascii="宋体" w:hAnsi="宋体" w:eastAsia="宋体" w:cs="宋体"/>
          <w:sz w:val="21"/>
          <w:szCs w:val="21"/>
        </w:rPr>
        <w:t>包人不得为监理人提供合同约定以外的通讯设备、交通工具及其他任何形式的利益，不得</w:t>
      </w:r>
      <w:r>
        <w:rPr>
          <w:rFonts w:ascii="宋体" w:hAnsi="宋体" w:eastAsia="宋体" w:cs="宋体"/>
          <w:spacing w:val="-1"/>
          <w:sz w:val="21"/>
          <w:szCs w:val="21"/>
        </w:rPr>
        <w:t>向监理人支付报酬。</w:t>
      </w:r>
    </w:p>
    <w:p w14:paraId="6E8A136D">
      <w:pPr>
        <w:spacing w:before="1" w:line="232" w:lineRule="auto"/>
        <w:ind w:left="7"/>
        <w:outlineLvl w:val="2"/>
        <w:rPr>
          <w:rFonts w:ascii="黑体" w:hAnsi="黑体" w:eastAsia="黑体" w:cs="黑体"/>
          <w:sz w:val="24"/>
          <w:szCs w:val="24"/>
        </w:rPr>
      </w:pPr>
      <w:bookmarkStart w:id="207" w:name="bookmark155"/>
      <w:bookmarkEnd w:id="207"/>
      <w:r>
        <w:rPr>
          <w:rFonts w:ascii="Times New Roman" w:hAnsi="Times New Roman" w:eastAsia="Times New Roman" w:cs="Times New Roman"/>
          <w:b/>
          <w:bCs/>
          <w:spacing w:val="-3"/>
          <w:sz w:val="24"/>
          <w:szCs w:val="24"/>
        </w:rPr>
        <w:t xml:space="preserve">1.9 </w:t>
      </w:r>
      <w:r>
        <w:rPr>
          <w:rFonts w:ascii="黑体" w:hAnsi="黑体" w:eastAsia="黑体" w:cs="黑体"/>
          <w:b/>
          <w:bCs/>
          <w:spacing w:val="-3"/>
          <w:sz w:val="24"/>
          <w:szCs w:val="24"/>
        </w:rPr>
        <w:t>化石、文物</w:t>
      </w:r>
    </w:p>
    <w:p w14:paraId="5B74089A">
      <w:pPr>
        <w:spacing w:before="120" w:line="352" w:lineRule="auto"/>
        <w:ind w:firstLine="419"/>
        <w:jc w:val="both"/>
        <w:rPr>
          <w:rFonts w:ascii="宋体" w:hAnsi="宋体" w:eastAsia="宋体" w:cs="宋体"/>
          <w:sz w:val="21"/>
          <w:szCs w:val="21"/>
        </w:rPr>
      </w:pPr>
      <w:r>
        <w:rPr>
          <w:rFonts w:ascii="宋体" w:hAnsi="宋体" w:eastAsia="宋体" w:cs="宋体"/>
          <w:sz w:val="21"/>
          <w:szCs w:val="21"/>
        </w:rPr>
        <w:t>在施工现场发掘的所有文物、古迹以及具有地质研究或考古价值的其他遗迹、化石、</w:t>
      </w:r>
      <w:r>
        <w:rPr>
          <w:rFonts w:ascii="宋体" w:hAnsi="宋体" w:eastAsia="宋体" w:cs="宋体"/>
          <w:spacing w:val="-1"/>
          <w:sz w:val="21"/>
          <w:szCs w:val="21"/>
        </w:rPr>
        <w:t>钱币或</w:t>
      </w:r>
      <w:r>
        <w:rPr>
          <w:rFonts w:ascii="宋体" w:hAnsi="宋体" w:eastAsia="宋体" w:cs="宋体"/>
          <w:sz w:val="21"/>
          <w:szCs w:val="21"/>
        </w:rPr>
        <w:t>物品属于国家所有。一旦发现上述文物，承包人应采取合理有效的保护措施，防止任何人</w:t>
      </w:r>
      <w:r>
        <w:rPr>
          <w:rFonts w:ascii="宋体" w:hAnsi="宋体" w:eastAsia="宋体" w:cs="宋体"/>
          <w:spacing w:val="-1"/>
          <w:sz w:val="21"/>
          <w:szCs w:val="21"/>
        </w:rPr>
        <w:t>员移动</w:t>
      </w:r>
      <w:r>
        <w:rPr>
          <w:rFonts w:ascii="宋体" w:hAnsi="宋体" w:eastAsia="宋体" w:cs="宋体"/>
          <w:sz w:val="21"/>
          <w:szCs w:val="21"/>
        </w:rPr>
        <w:t>或损坏上述物品，并立即报告有关政府行政管理部门，同时通知监</w:t>
      </w:r>
      <w:r>
        <w:rPr>
          <w:rFonts w:ascii="宋体" w:hAnsi="宋体" w:eastAsia="宋体" w:cs="宋体"/>
          <w:spacing w:val="-1"/>
          <w:sz w:val="21"/>
          <w:szCs w:val="21"/>
        </w:rPr>
        <w:t>理人。</w:t>
      </w:r>
    </w:p>
    <w:p w14:paraId="736E8A2C">
      <w:pPr>
        <w:spacing w:before="1" w:line="352" w:lineRule="auto"/>
        <w:ind w:left="11" w:firstLine="411"/>
        <w:rPr>
          <w:rFonts w:ascii="宋体" w:hAnsi="宋体" w:eastAsia="宋体" w:cs="宋体"/>
          <w:sz w:val="21"/>
          <w:szCs w:val="21"/>
        </w:rPr>
      </w:pPr>
      <w:r>
        <w:rPr>
          <w:rFonts w:ascii="宋体" w:hAnsi="宋体" w:eastAsia="宋体" w:cs="宋体"/>
          <w:sz w:val="21"/>
          <w:szCs w:val="21"/>
        </w:rPr>
        <w:t>发包人、监理人和承包人应按有关政府行政管理部门要求采取妥善的保护措</w:t>
      </w:r>
      <w:r>
        <w:rPr>
          <w:rFonts w:ascii="宋体" w:hAnsi="宋体" w:eastAsia="宋体" w:cs="宋体"/>
          <w:spacing w:val="-1"/>
          <w:sz w:val="21"/>
          <w:szCs w:val="21"/>
        </w:rPr>
        <w:t>施，由此增加的</w:t>
      </w:r>
      <w:r>
        <w:rPr>
          <w:rFonts w:ascii="宋体" w:hAnsi="宋体" w:eastAsia="宋体" w:cs="宋体"/>
          <w:spacing w:val="-2"/>
          <w:sz w:val="21"/>
          <w:szCs w:val="21"/>
        </w:rPr>
        <w:t>费用和（或）延误的工期由发包人承担。</w:t>
      </w:r>
    </w:p>
    <w:p w14:paraId="4FE9BD9F">
      <w:pPr>
        <w:spacing w:line="340" w:lineRule="auto"/>
        <w:ind w:firstLine="420"/>
        <w:rPr>
          <w:rFonts w:ascii="宋体" w:hAnsi="宋体" w:eastAsia="宋体" w:cs="宋体"/>
          <w:sz w:val="21"/>
          <w:szCs w:val="21"/>
        </w:rPr>
      </w:pPr>
      <w:r>
        <w:rPr>
          <w:rFonts w:ascii="宋体" w:hAnsi="宋体" w:eastAsia="宋体" w:cs="宋体"/>
          <w:sz w:val="21"/>
          <w:szCs w:val="21"/>
        </w:rPr>
        <w:t>承包人发现文物后不及时报告或隐瞒不报，致使文物丢失或损坏的，应赔偿损失，</w:t>
      </w:r>
      <w:r>
        <w:rPr>
          <w:rFonts w:ascii="宋体" w:hAnsi="宋体" w:eastAsia="宋体" w:cs="宋体"/>
          <w:spacing w:val="-1"/>
          <w:sz w:val="21"/>
          <w:szCs w:val="21"/>
        </w:rPr>
        <w:t>并承担相</w:t>
      </w:r>
      <w:r>
        <w:rPr>
          <w:rFonts w:ascii="宋体" w:hAnsi="宋体" w:eastAsia="宋体" w:cs="宋体"/>
          <w:spacing w:val="-3"/>
          <w:sz w:val="21"/>
          <w:szCs w:val="21"/>
        </w:rPr>
        <w:t>应的法律责任。</w:t>
      </w:r>
    </w:p>
    <w:p w14:paraId="5402C860">
      <w:pPr>
        <w:spacing w:before="1" w:line="232" w:lineRule="auto"/>
        <w:ind w:left="7"/>
        <w:outlineLvl w:val="2"/>
        <w:rPr>
          <w:rFonts w:ascii="黑体" w:hAnsi="黑体" w:eastAsia="黑体" w:cs="黑体"/>
          <w:sz w:val="24"/>
          <w:szCs w:val="24"/>
        </w:rPr>
      </w:pPr>
      <w:bookmarkStart w:id="208" w:name="bookmark156"/>
      <w:bookmarkEnd w:id="208"/>
      <w:r>
        <w:rPr>
          <w:rFonts w:ascii="Times New Roman" w:hAnsi="Times New Roman" w:eastAsia="Times New Roman" w:cs="Times New Roman"/>
          <w:b/>
          <w:bCs/>
          <w:spacing w:val="-5"/>
          <w:sz w:val="24"/>
          <w:szCs w:val="24"/>
        </w:rPr>
        <w:t>1.10</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交通运输</w:t>
      </w:r>
    </w:p>
    <w:p w14:paraId="50B100F9">
      <w:pPr>
        <w:spacing w:before="124" w:line="234" w:lineRule="auto"/>
        <w:ind w:left="436"/>
        <w:rPr>
          <w:rFonts w:ascii="宋体" w:hAnsi="宋体" w:eastAsia="宋体" w:cs="宋体"/>
          <w:sz w:val="21"/>
          <w:szCs w:val="21"/>
        </w:rPr>
      </w:pPr>
      <w:r>
        <w:rPr>
          <w:rFonts w:ascii="Times New Roman" w:hAnsi="Times New Roman" w:eastAsia="Times New Roman" w:cs="Times New Roman"/>
          <w:spacing w:val="-4"/>
          <w:sz w:val="21"/>
          <w:szCs w:val="21"/>
        </w:rPr>
        <w:t>1.10.1</w:t>
      </w:r>
      <w:r>
        <w:rPr>
          <w:rFonts w:ascii="Times New Roman" w:hAnsi="Times New Roman" w:eastAsia="Times New Roman" w:cs="Times New Roman"/>
          <w:spacing w:val="14"/>
          <w:w w:val="101"/>
          <w:sz w:val="21"/>
          <w:szCs w:val="21"/>
        </w:rPr>
        <w:t xml:space="preserve">  </w:t>
      </w:r>
      <w:r>
        <w:rPr>
          <w:rFonts w:ascii="宋体" w:hAnsi="宋体" w:eastAsia="宋体" w:cs="宋体"/>
          <w:spacing w:val="-4"/>
          <w:sz w:val="21"/>
          <w:szCs w:val="21"/>
        </w:rPr>
        <w:t>出入现场的权利</w:t>
      </w:r>
    </w:p>
    <w:p w14:paraId="214C5D3A">
      <w:pPr>
        <w:spacing w:before="133" w:line="354" w:lineRule="auto"/>
        <w:ind w:left="2" w:firstLine="429"/>
        <w:rPr>
          <w:rFonts w:ascii="宋体" w:hAnsi="宋体" w:eastAsia="宋体" w:cs="宋体"/>
          <w:sz w:val="21"/>
          <w:szCs w:val="21"/>
        </w:rPr>
      </w:pPr>
      <w:r>
        <w:rPr>
          <w:rFonts w:ascii="宋体" w:hAnsi="宋体" w:eastAsia="宋体" w:cs="宋体"/>
          <w:sz w:val="21"/>
          <w:szCs w:val="21"/>
        </w:rPr>
        <w:t>除专用合同条款另有约定外，发包人应根据施工需要，</w:t>
      </w:r>
      <w:r>
        <w:rPr>
          <w:rFonts w:ascii="宋体" w:hAnsi="宋体" w:eastAsia="宋体" w:cs="宋体"/>
          <w:spacing w:val="-1"/>
          <w:sz w:val="21"/>
          <w:szCs w:val="21"/>
        </w:rPr>
        <w:t>负责取得出入施工现场所需的批准手</w:t>
      </w:r>
      <w:r>
        <w:rPr>
          <w:rFonts w:ascii="宋体" w:hAnsi="宋体" w:eastAsia="宋体" w:cs="宋体"/>
          <w:sz w:val="21"/>
          <w:szCs w:val="21"/>
        </w:rPr>
        <w:t>续和全部权利，以及取得因施工所需修建道路、桥梁以及其他基础设施的权利，并</w:t>
      </w:r>
      <w:r>
        <w:rPr>
          <w:rFonts w:ascii="宋体" w:hAnsi="宋体" w:eastAsia="宋体" w:cs="宋体"/>
          <w:spacing w:val="-1"/>
          <w:sz w:val="21"/>
          <w:szCs w:val="21"/>
        </w:rPr>
        <w:t>承担相关手续</w:t>
      </w:r>
    </w:p>
    <w:p w14:paraId="0908D3D6">
      <w:pPr>
        <w:spacing w:line="354" w:lineRule="auto"/>
        <w:rPr>
          <w:rFonts w:ascii="宋体" w:hAnsi="宋体" w:eastAsia="宋体" w:cs="宋体"/>
          <w:sz w:val="21"/>
          <w:szCs w:val="21"/>
        </w:rPr>
        <w:sectPr>
          <w:footerReference r:id="rId91" w:type="default"/>
          <w:pgSz w:w="11905" w:h="16843"/>
          <w:pgMar w:top="969" w:right="1355" w:bottom="1026" w:left="1480" w:header="0" w:footer="754" w:gutter="0"/>
          <w:cols w:space="0" w:num="1"/>
          <w:rtlGutter w:val="0"/>
          <w:docGrid w:linePitch="0" w:charSpace="0"/>
        </w:sectPr>
      </w:pPr>
    </w:p>
    <w:p w14:paraId="75FA0481">
      <w:pPr>
        <w:pStyle w:val="5"/>
        <w:spacing w:line="270" w:lineRule="auto"/>
      </w:pPr>
    </w:p>
    <w:p w14:paraId="361718BD">
      <w:pPr>
        <w:pStyle w:val="5"/>
        <w:spacing w:line="270" w:lineRule="auto"/>
      </w:pPr>
    </w:p>
    <w:p w14:paraId="0BBB1C13">
      <w:pPr>
        <w:pStyle w:val="5"/>
        <w:spacing w:line="270" w:lineRule="auto"/>
      </w:pPr>
    </w:p>
    <w:p w14:paraId="26ECD5E5">
      <w:pPr>
        <w:pStyle w:val="5"/>
        <w:spacing w:line="271" w:lineRule="auto"/>
      </w:pPr>
    </w:p>
    <w:p w14:paraId="5ACBC098">
      <w:pPr>
        <w:spacing w:before="68" w:line="221" w:lineRule="auto"/>
        <w:ind w:left="13"/>
        <w:rPr>
          <w:rFonts w:ascii="宋体" w:hAnsi="宋体" w:eastAsia="宋体" w:cs="宋体"/>
          <w:sz w:val="21"/>
          <w:szCs w:val="21"/>
        </w:rPr>
      </w:pPr>
      <w:r>
        <w:rPr>
          <w:rFonts w:ascii="宋体" w:hAnsi="宋体" w:eastAsia="宋体" w:cs="宋体"/>
          <w:sz w:val="21"/>
          <w:szCs w:val="21"/>
        </w:rPr>
        <w:t>费用和建设费用。承包人应协助发包人办理修建场内外道路、桥</w:t>
      </w:r>
      <w:r>
        <w:rPr>
          <w:rFonts w:ascii="宋体" w:hAnsi="宋体" w:eastAsia="宋体" w:cs="宋体"/>
          <w:spacing w:val="-1"/>
          <w:sz w:val="21"/>
          <w:szCs w:val="21"/>
        </w:rPr>
        <w:t>梁以及其他基础设施的手续。</w:t>
      </w:r>
    </w:p>
    <w:p w14:paraId="7522FB62">
      <w:pPr>
        <w:spacing w:before="148" w:line="352" w:lineRule="auto"/>
        <w:ind w:firstLine="421"/>
        <w:jc w:val="both"/>
        <w:rPr>
          <w:rFonts w:ascii="宋体" w:hAnsi="宋体" w:eastAsia="宋体" w:cs="宋体"/>
          <w:sz w:val="21"/>
          <w:szCs w:val="21"/>
        </w:rPr>
      </w:pPr>
      <w:r>
        <w:rPr>
          <w:rFonts w:ascii="宋体" w:hAnsi="宋体" w:eastAsia="宋体" w:cs="宋体"/>
          <w:sz w:val="21"/>
          <w:szCs w:val="21"/>
        </w:rPr>
        <w:t>承包人应在订立合同前查勘施工现场，并根据工程规模及技术参数合理预见工程施</w:t>
      </w:r>
      <w:r>
        <w:rPr>
          <w:rFonts w:ascii="宋体" w:hAnsi="宋体" w:eastAsia="宋体" w:cs="宋体"/>
          <w:spacing w:val="-1"/>
          <w:sz w:val="21"/>
          <w:szCs w:val="21"/>
        </w:rPr>
        <w:t>工所需的</w:t>
      </w:r>
      <w:r>
        <w:rPr>
          <w:rFonts w:ascii="宋体" w:hAnsi="宋体" w:eastAsia="宋体" w:cs="宋体"/>
          <w:sz w:val="21"/>
          <w:szCs w:val="21"/>
        </w:rPr>
        <w:t>进出施工现场的方式、手段、路径等。因承包人未合理预见所增加的费用和（或）延误的工</w:t>
      </w:r>
      <w:r>
        <w:rPr>
          <w:rFonts w:ascii="宋体" w:hAnsi="宋体" w:eastAsia="宋体" w:cs="宋体"/>
          <w:spacing w:val="-1"/>
          <w:sz w:val="21"/>
          <w:szCs w:val="21"/>
        </w:rPr>
        <w:t>期由承包人承担。</w:t>
      </w:r>
    </w:p>
    <w:p w14:paraId="253D5EE8">
      <w:pPr>
        <w:spacing w:line="235"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1.10.2  </w:t>
      </w:r>
      <w:r>
        <w:rPr>
          <w:rFonts w:ascii="宋体" w:hAnsi="宋体" w:eastAsia="宋体" w:cs="宋体"/>
          <w:spacing w:val="-2"/>
          <w:sz w:val="21"/>
          <w:szCs w:val="21"/>
        </w:rPr>
        <w:t>场外交通</w:t>
      </w:r>
    </w:p>
    <w:p w14:paraId="7289DB35">
      <w:pPr>
        <w:spacing w:before="132" w:line="352" w:lineRule="auto"/>
        <w:ind w:firstLine="424"/>
        <w:rPr>
          <w:rFonts w:ascii="宋体" w:hAnsi="宋体" w:eastAsia="宋体" w:cs="宋体"/>
          <w:sz w:val="21"/>
          <w:szCs w:val="21"/>
        </w:rPr>
      </w:pPr>
      <w:r>
        <w:rPr>
          <w:rFonts w:ascii="宋体" w:hAnsi="宋体" w:eastAsia="宋体" w:cs="宋体"/>
          <w:sz w:val="21"/>
          <w:szCs w:val="21"/>
        </w:rPr>
        <w:t>发包人应提供场外交通设施的技术参数和具体条件，承包人应遵守有关交通</w:t>
      </w:r>
      <w:r>
        <w:rPr>
          <w:rFonts w:ascii="宋体" w:hAnsi="宋体" w:eastAsia="宋体" w:cs="宋体"/>
          <w:spacing w:val="-1"/>
          <w:sz w:val="21"/>
          <w:szCs w:val="21"/>
        </w:rPr>
        <w:t>法规，严格按照</w:t>
      </w:r>
      <w:r>
        <w:rPr>
          <w:rFonts w:ascii="宋体" w:hAnsi="宋体" w:eastAsia="宋体" w:cs="宋体"/>
          <w:sz w:val="21"/>
          <w:szCs w:val="21"/>
        </w:rPr>
        <w:t>道路和桥梁的限制荷载行驶，执行有关道路限速、限行、禁止超载的规定，并配合交通管</w:t>
      </w:r>
      <w:r>
        <w:rPr>
          <w:rFonts w:ascii="宋体" w:hAnsi="宋体" w:eastAsia="宋体" w:cs="宋体"/>
          <w:spacing w:val="-1"/>
          <w:sz w:val="21"/>
          <w:szCs w:val="21"/>
        </w:rPr>
        <w:t>理部门</w:t>
      </w:r>
      <w:r>
        <w:rPr>
          <w:rFonts w:ascii="宋体" w:hAnsi="宋体" w:eastAsia="宋体" w:cs="宋体"/>
          <w:sz w:val="21"/>
          <w:szCs w:val="21"/>
        </w:rPr>
        <w:t>的监督和检查。场外交通设施无法满足工程施工需要的，由发包人负责完善并承担相关费用。</w:t>
      </w:r>
    </w:p>
    <w:p w14:paraId="2A462A7E">
      <w:pPr>
        <w:spacing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1.10.3 </w:t>
      </w:r>
      <w:r>
        <w:rPr>
          <w:rFonts w:ascii="宋体" w:hAnsi="宋体" w:eastAsia="宋体" w:cs="宋体"/>
          <w:spacing w:val="-2"/>
          <w:sz w:val="21"/>
          <w:szCs w:val="21"/>
        </w:rPr>
        <w:t>场内交通</w:t>
      </w:r>
    </w:p>
    <w:p w14:paraId="364FE6C4">
      <w:pPr>
        <w:spacing w:before="131" w:line="352" w:lineRule="auto"/>
        <w:ind w:left="6" w:firstLine="418"/>
        <w:rPr>
          <w:rFonts w:ascii="宋体" w:hAnsi="宋体" w:eastAsia="宋体" w:cs="宋体"/>
          <w:sz w:val="21"/>
          <w:szCs w:val="21"/>
        </w:rPr>
      </w:pPr>
      <w:r>
        <w:rPr>
          <w:rFonts w:ascii="宋体" w:hAnsi="宋体" w:eastAsia="宋体" w:cs="宋体"/>
          <w:sz w:val="21"/>
          <w:szCs w:val="21"/>
        </w:rPr>
        <w:t>发包人应提供场内交通设施的技术参数和具体条件，并应按照专用合同条款</w:t>
      </w:r>
      <w:r>
        <w:rPr>
          <w:rFonts w:ascii="宋体" w:hAnsi="宋体" w:eastAsia="宋体" w:cs="宋体"/>
          <w:spacing w:val="-1"/>
          <w:sz w:val="21"/>
          <w:szCs w:val="21"/>
        </w:rPr>
        <w:t>的约定向承包人</w:t>
      </w:r>
      <w:r>
        <w:rPr>
          <w:rFonts w:ascii="宋体" w:hAnsi="宋体" w:eastAsia="宋体" w:cs="宋体"/>
          <w:sz w:val="21"/>
          <w:szCs w:val="21"/>
        </w:rPr>
        <w:t>免费提供满足工程施工所需的场内道路和交通设施。因承包人原因造成上述</w:t>
      </w:r>
      <w:r>
        <w:rPr>
          <w:rFonts w:ascii="宋体" w:hAnsi="宋体" w:eastAsia="宋体" w:cs="宋体"/>
          <w:spacing w:val="-1"/>
          <w:sz w:val="21"/>
          <w:szCs w:val="21"/>
        </w:rPr>
        <w:t>道路或交通设施损坏</w:t>
      </w:r>
      <w:r>
        <w:rPr>
          <w:rFonts w:ascii="宋体" w:hAnsi="宋体" w:eastAsia="宋体" w:cs="宋体"/>
          <w:spacing w:val="-2"/>
          <w:sz w:val="21"/>
          <w:szCs w:val="21"/>
        </w:rPr>
        <w:t>的，承包人负责修复并承担由此增加的费用。</w:t>
      </w:r>
    </w:p>
    <w:p w14:paraId="1BB6EA6B">
      <w:pPr>
        <w:spacing w:before="2" w:line="351" w:lineRule="auto"/>
        <w:ind w:firstLine="433"/>
        <w:jc w:val="both"/>
        <w:rPr>
          <w:rFonts w:ascii="宋体" w:hAnsi="宋体" w:eastAsia="宋体" w:cs="宋体"/>
          <w:sz w:val="21"/>
          <w:szCs w:val="21"/>
        </w:rPr>
      </w:pPr>
      <w:r>
        <w:rPr>
          <w:rFonts w:ascii="宋体" w:hAnsi="宋体" w:eastAsia="宋体" w:cs="宋体"/>
          <w:sz w:val="21"/>
          <w:szCs w:val="21"/>
        </w:rPr>
        <w:t>除发包人按照合同约定提供的场内道路和交通设施外，</w:t>
      </w:r>
      <w:r>
        <w:rPr>
          <w:rFonts w:ascii="宋体" w:hAnsi="宋体" w:eastAsia="宋体" w:cs="宋体"/>
          <w:spacing w:val="-1"/>
          <w:sz w:val="21"/>
          <w:szCs w:val="21"/>
        </w:rPr>
        <w:t>承包人负责修建、维修、养护和管理</w:t>
      </w:r>
      <w:r>
        <w:rPr>
          <w:rFonts w:ascii="宋体" w:hAnsi="宋体" w:eastAsia="宋体" w:cs="宋体"/>
          <w:sz w:val="21"/>
          <w:szCs w:val="21"/>
        </w:rPr>
        <w:t>施工所需的其他场内临时道路和交通设施。发包人和监理人可以为实现合同目的使用承包</w:t>
      </w:r>
      <w:r>
        <w:rPr>
          <w:rFonts w:ascii="宋体" w:hAnsi="宋体" w:eastAsia="宋体" w:cs="宋体"/>
          <w:spacing w:val="-1"/>
          <w:sz w:val="21"/>
          <w:szCs w:val="21"/>
        </w:rPr>
        <w:t>人修建</w:t>
      </w:r>
      <w:r>
        <w:rPr>
          <w:rFonts w:ascii="宋体" w:hAnsi="宋体" w:eastAsia="宋体" w:cs="宋体"/>
          <w:spacing w:val="-2"/>
          <w:sz w:val="21"/>
          <w:szCs w:val="21"/>
        </w:rPr>
        <w:t>的场内临时道路和交通设施。</w:t>
      </w:r>
    </w:p>
    <w:p w14:paraId="6963CBB9">
      <w:pPr>
        <w:spacing w:line="220" w:lineRule="auto"/>
        <w:ind w:left="420"/>
        <w:rPr>
          <w:rFonts w:ascii="宋体" w:hAnsi="宋体" w:eastAsia="宋体" w:cs="宋体"/>
          <w:sz w:val="21"/>
          <w:szCs w:val="21"/>
        </w:rPr>
      </w:pPr>
      <w:r>
        <w:rPr>
          <w:rFonts w:ascii="宋体" w:hAnsi="宋体" w:eastAsia="宋体" w:cs="宋体"/>
          <w:spacing w:val="-1"/>
          <w:sz w:val="21"/>
          <w:szCs w:val="21"/>
        </w:rPr>
        <w:t>场外交通和场内交通的边界由合同当事人在专用合同条款中约定。</w:t>
      </w:r>
    </w:p>
    <w:p w14:paraId="7C285F30">
      <w:pPr>
        <w:spacing w:before="151"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1.10.4  </w:t>
      </w:r>
      <w:r>
        <w:rPr>
          <w:rFonts w:ascii="宋体" w:hAnsi="宋体" w:eastAsia="宋体" w:cs="宋体"/>
          <w:spacing w:val="-2"/>
          <w:sz w:val="21"/>
          <w:szCs w:val="21"/>
        </w:rPr>
        <w:t>超大件和超重件的运输</w:t>
      </w:r>
    </w:p>
    <w:p w14:paraId="2EC9CFE6">
      <w:pPr>
        <w:spacing w:before="133" w:line="352" w:lineRule="auto"/>
        <w:ind w:left="3" w:firstLine="443"/>
        <w:rPr>
          <w:rFonts w:ascii="宋体" w:hAnsi="宋体" w:eastAsia="宋体" w:cs="宋体"/>
          <w:sz w:val="21"/>
          <w:szCs w:val="21"/>
        </w:rPr>
      </w:pPr>
      <w:r>
        <w:rPr>
          <w:rFonts w:ascii="宋体" w:hAnsi="宋体" w:eastAsia="宋体" w:cs="宋体"/>
          <w:spacing w:val="-1"/>
          <w:sz w:val="21"/>
          <w:szCs w:val="21"/>
        </w:rPr>
        <w:t>由承包人负责运输的超大件或超重件，应由承包人负责向交通管理部门办理申请手续，发包</w:t>
      </w:r>
      <w:r>
        <w:rPr>
          <w:rFonts w:ascii="宋体" w:hAnsi="宋体" w:eastAsia="宋体" w:cs="宋体"/>
          <w:sz w:val="21"/>
          <w:szCs w:val="21"/>
        </w:rPr>
        <w:t>人给予协助。运输超大件或超重件所需的道路和桥梁临时加固改造费用和其他有关费</w:t>
      </w:r>
      <w:r>
        <w:rPr>
          <w:rFonts w:ascii="宋体" w:hAnsi="宋体" w:eastAsia="宋体" w:cs="宋体"/>
          <w:spacing w:val="-1"/>
          <w:sz w:val="21"/>
          <w:szCs w:val="21"/>
        </w:rPr>
        <w:t>用，由承包</w:t>
      </w:r>
      <w:r>
        <w:rPr>
          <w:rFonts w:ascii="宋体" w:hAnsi="宋体" w:eastAsia="宋体" w:cs="宋体"/>
          <w:spacing w:val="-2"/>
          <w:sz w:val="21"/>
          <w:szCs w:val="21"/>
        </w:rPr>
        <w:t>人承担，但专用合同条款另有约定除外。</w:t>
      </w:r>
    </w:p>
    <w:p w14:paraId="73517213">
      <w:pPr>
        <w:spacing w:before="1"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1.10.5  </w:t>
      </w:r>
      <w:r>
        <w:rPr>
          <w:rFonts w:ascii="宋体" w:hAnsi="宋体" w:eastAsia="宋体" w:cs="宋体"/>
          <w:spacing w:val="-2"/>
          <w:sz w:val="21"/>
          <w:szCs w:val="21"/>
        </w:rPr>
        <w:t>道路和桥梁的损坏责任</w:t>
      </w:r>
    </w:p>
    <w:p w14:paraId="6BD0E5A7">
      <w:pPr>
        <w:spacing w:before="132" w:line="352" w:lineRule="auto"/>
        <w:ind w:left="2" w:firstLine="435"/>
        <w:rPr>
          <w:rFonts w:ascii="宋体" w:hAnsi="宋体" w:eastAsia="宋体" w:cs="宋体"/>
          <w:sz w:val="21"/>
          <w:szCs w:val="21"/>
        </w:rPr>
      </w:pPr>
      <w:r>
        <w:rPr>
          <w:rFonts w:ascii="宋体" w:hAnsi="宋体" w:eastAsia="宋体" w:cs="宋体"/>
          <w:sz w:val="21"/>
          <w:szCs w:val="21"/>
        </w:rPr>
        <w:t>因承包人运输造成施工场地内外公共道路和桥</w:t>
      </w:r>
      <w:r>
        <w:rPr>
          <w:rFonts w:ascii="宋体" w:hAnsi="宋体" w:eastAsia="宋体" w:cs="宋体"/>
          <w:spacing w:val="-1"/>
          <w:sz w:val="21"/>
          <w:szCs w:val="21"/>
        </w:rPr>
        <w:t>梁损坏的，由承包人承担修复损坏的全部费用</w:t>
      </w:r>
      <w:r>
        <w:rPr>
          <w:rFonts w:ascii="宋体" w:hAnsi="宋体" w:eastAsia="宋体" w:cs="宋体"/>
          <w:spacing w:val="-3"/>
          <w:sz w:val="21"/>
          <w:szCs w:val="21"/>
        </w:rPr>
        <w:t>和可能引起的赔偿。</w:t>
      </w:r>
    </w:p>
    <w:p w14:paraId="31326B07">
      <w:pPr>
        <w:spacing w:before="1"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1.10.6  </w:t>
      </w:r>
      <w:r>
        <w:rPr>
          <w:rFonts w:ascii="宋体" w:hAnsi="宋体" w:eastAsia="宋体" w:cs="宋体"/>
          <w:spacing w:val="-2"/>
          <w:sz w:val="21"/>
          <w:szCs w:val="21"/>
        </w:rPr>
        <w:t>水路和航空运输</w:t>
      </w:r>
    </w:p>
    <w:p w14:paraId="1209748C">
      <w:pPr>
        <w:spacing w:before="133" w:line="344" w:lineRule="auto"/>
        <w:ind w:left="1" w:firstLine="420"/>
        <w:rPr>
          <w:rFonts w:ascii="宋体" w:hAnsi="宋体" w:eastAsia="宋体" w:cs="宋体"/>
          <w:sz w:val="21"/>
          <w:szCs w:val="21"/>
        </w:rPr>
      </w:pPr>
      <w:r>
        <w:rPr>
          <w:rFonts w:ascii="宋体" w:hAnsi="宋体" w:eastAsia="宋体" w:cs="宋体"/>
          <w:sz w:val="21"/>
          <w:szCs w:val="21"/>
        </w:rPr>
        <w:t>本款前述各项的内容适用于水路运输和航空运输，其中</w:t>
      </w:r>
      <w:r>
        <w:rPr>
          <w:rFonts w:ascii="Times New Roman" w:hAnsi="Times New Roman" w:eastAsia="Times New Roman" w:cs="Times New Roman"/>
          <w:sz w:val="21"/>
          <w:szCs w:val="21"/>
        </w:rPr>
        <w:t>“</w:t>
      </w:r>
      <w:r>
        <w:rPr>
          <w:rFonts w:ascii="宋体" w:hAnsi="宋体" w:eastAsia="宋体" w:cs="宋体"/>
          <w:sz w:val="21"/>
          <w:szCs w:val="21"/>
        </w:rPr>
        <w:t>道路</w:t>
      </w:r>
      <w:r>
        <w:rPr>
          <w:rFonts w:ascii="Times New Roman" w:hAnsi="Times New Roman" w:eastAsia="Times New Roman" w:cs="Times New Roman"/>
          <w:sz w:val="21"/>
          <w:szCs w:val="21"/>
        </w:rPr>
        <w:t>”</w:t>
      </w:r>
      <w:r>
        <w:rPr>
          <w:rFonts w:ascii="宋体" w:hAnsi="宋体" w:eastAsia="宋体" w:cs="宋体"/>
          <w:sz w:val="21"/>
          <w:szCs w:val="21"/>
        </w:rPr>
        <w:t>一词的涵义包括河道、航线、</w:t>
      </w:r>
      <w:r>
        <w:rPr>
          <w:rFonts w:ascii="宋体" w:hAnsi="宋体" w:eastAsia="宋体" w:cs="宋体"/>
          <w:spacing w:val="1"/>
          <w:sz w:val="21"/>
          <w:szCs w:val="21"/>
        </w:rPr>
        <w:t>船闸、机场、码头、堤防以及水路或航空运输</w:t>
      </w:r>
      <w:r>
        <w:rPr>
          <w:rFonts w:ascii="宋体" w:hAnsi="宋体" w:eastAsia="宋体" w:cs="宋体"/>
          <w:sz w:val="21"/>
          <w:szCs w:val="21"/>
        </w:rPr>
        <w:t>中其他相似结构物；</w:t>
      </w:r>
      <w:r>
        <w:rPr>
          <w:rFonts w:ascii="Times New Roman" w:hAnsi="Times New Roman" w:eastAsia="Times New Roman" w:cs="Times New Roman"/>
          <w:sz w:val="21"/>
          <w:szCs w:val="21"/>
        </w:rPr>
        <w:t>“</w:t>
      </w:r>
      <w:r>
        <w:rPr>
          <w:rFonts w:ascii="宋体" w:hAnsi="宋体" w:eastAsia="宋体" w:cs="宋体"/>
          <w:sz w:val="21"/>
          <w:szCs w:val="21"/>
        </w:rPr>
        <w:t>车辆</w:t>
      </w:r>
      <w:r>
        <w:rPr>
          <w:rFonts w:ascii="Times New Roman" w:hAnsi="Times New Roman" w:eastAsia="Times New Roman" w:cs="Times New Roman"/>
          <w:sz w:val="21"/>
          <w:szCs w:val="21"/>
        </w:rPr>
        <w:t>”</w:t>
      </w:r>
      <w:r>
        <w:rPr>
          <w:rFonts w:ascii="宋体" w:hAnsi="宋体" w:eastAsia="宋体" w:cs="宋体"/>
          <w:sz w:val="21"/>
          <w:szCs w:val="21"/>
        </w:rPr>
        <w:t>一词的涵义包括船舶和</w:t>
      </w:r>
      <w:r>
        <w:rPr>
          <w:rFonts w:ascii="宋体" w:hAnsi="宋体" w:eastAsia="宋体" w:cs="宋体"/>
          <w:spacing w:val="-2"/>
          <w:sz w:val="21"/>
          <w:szCs w:val="21"/>
        </w:rPr>
        <w:t>飞机等。</w:t>
      </w:r>
    </w:p>
    <w:p w14:paraId="7A7FD5CA">
      <w:pPr>
        <w:spacing w:before="1" w:line="233" w:lineRule="auto"/>
        <w:ind w:left="9"/>
        <w:outlineLvl w:val="2"/>
        <w:rPr>
          <w:rFonts w:ascii="黑体" w:hAnsi="黑体" w:eastAsia="黑体" w:cs="黑体"/>
          <w:sz w:val="24"/>
          <w:szCs w:val="24"/>
        </w:rPr>
      </w:pPr>
      <w:bookmarkStart w:id="209" w:name="bookmark157"/>
      <w:bookmarkEnd w:id="209"/>
      <w:r>
        <w:rPr>
          <w:rFonts w:ascii="Times New Roman" w:hAnsi="Times New Roman" w:eastAsia="Times New Roman" w:cs="Times New Roman"/>
          <w:b/>
          <w:bCs/>
          <w:spacing w:val="-7"/>
          <w:sz w:val="24"/>
          <w:szCs w:val="24"/>
        </w:rPr>
        <w:t>1.11</w:t>
      </w:r>
      <w:r>
        <w:rPr>
          <w:rFonts w:ascii="Times New Roman" w:hAnsi="Times New Roman" w:eastAsia="Times New Roman" w:cs="Times New Roman"/>
          <w:b/>
          <w:bCs/>
          <w:spacing w:val="19"/>
          <w:sz w:val="24"/>
          <w:szCs w:val="24"/>
        </w:rPr>
        <w:t xml:space="preserve"> </w:t>
      </w:r>
      <w:r>
        <w:rPr>
          <w:rFonts w:ascii="黑体" w:hAnsi="黑体" w:eastAsia="黑体" w:cs="黑体"/>
          <w:b/>
          <w:bCs/>
          <w:spacing w:val="-7"/>
          <w:sz w:val="24"/>
          <w:szCs w:val="24"/>
        </w:rPr>
        <w:t>知识产权</w:t>
      </w:r>
    </w:p>
    <w:p w14:paraId="4D7E86BE">
      <w:pPr>
        <w:spacing w:before="121" w:line="319" w:lineRule="auto"/>
        <w:ind w:left="1" w:firstLine="436"/>
        <w:rPr>
          <w:rFonts w:ascii="宋体" w:hAnsi="宋体" w:eastAsia="宋体" w:cs="宋体"/>
          <w:sz w:val="21"/>
          <w:szCs w:val="21"/>
        </w:rPr>
      </w:pPr>
      <w:r>
        <w:rPr>
          <w:rFonts w:ascii="Times New Roman" w:hAnsi="Times New Roman" w:eastAsia="Times New Roman" w:cs="Times New Roman"/>
          <w:sz w:val="21"/>
          <w:szCs w:val="21"/>
        </w:rPr>
        <w:t xml:space="preserve">1.11.1  </w:t>
      </w:r>
      <w:r>
        <w:rPr>
          <w:rFonts w:ascii="宋体" w:hAnsi="宋体" w:eastAsia="宋体" w:cs="宋体"/>
          <w:sz w:val="21"/>
          <w:szCs w:val="21"/>
        </w:rPr>
        <w:t>除专用合同条款另有约定外，发包人提</w:t>
      </w:r>
      <w:r>
        <w:rPr>
          <w:rFonts w:ascii="宋体" w:hAnsi="宋体" w:eastAsia="宋体" w:cs="宋体"/>
          <w:spacing w:val="-1"/>
          <w:sz w:val="21"/>
          <w:szCs w:val="21"/>
        </w:rPr>
        <w:t>供给承包人的图纸、发包人为实施工程自行编</w:t>
      </w:r>
      <w:r>
        <w:rPr>
          <w:rFonts w:ascii="宋体" w:hAnsi="宋体" w:eastAsia="宋体" w:cs="宋体"/>
          <w:sz w:val="21"/>
          <w:szCs w:val="21"/>
        </w:rPr>
        <w:t>制或委托编制的技术规范以及反映发包人要求的或其他类似性质的文件的著作权属于发包</w:t>
      </w:r>
      <w:r>
        <w:rPr>
          <w:rFonts w:ascii="宋体" w:hAnsi="宋体" w:eastAsia="宋体" w:cs="宋体"/>
          <w:spacing w:val="-1"/>
          <w:sz w:val="21"/>
          <w:szCs w:val="21"/>
        </w:rPr>
        <w:t>人，承</w:t>
      </w:r>
      <w:r>
        <w:rPr>
          <w:rFonts w:ascii="宋体" w:hAnsi="宋体" w:eastAsia="宋体" w:cs="宋体"/>
          <w:sz w:val="21"/>
          <w:szCs w:val="21"/>
        </w:rPr>
        <w:t>包人可以为实现合同目的而复制、使用此类文件，但不能用于与合同无关的其他事项。未</w:t>
      </w:r>
      <w:r>
        <w:rPr>
          <w:rFonts w:ascii="宋体" w:hAnsi="宋体" w:eastAsia="宋体" w:cs="宋体"/>
          <w:spacing w:val="-1"/>
          <w:sz w:val="21"/>
          <w:szCs w:val="21"/>
        </w:rPr>
        <w:t>经发包人书面同意，承包人不得为了合同以外的目的而复制、使用上述文件或将之提供给任何第三方。</w:t>
      </w:r>
    </w:p>
    <w:p w14:paraId="618DAD7E">
      <w:pPr>
        <w:spacing w:before="149" w:line="308" w:lineRule="auto"/>
        <w:ind w:firstLine="438"/>
        <w:rPr>
          <w:rFonts w:ascii="宋体" w:hAnsi="宋体" w:eastAsia="宋体" w:cs="宋体"/>
          <w:sz w:val="21"/>
          <w:szCs w:val="21"/>
        </w:rPr>
      </w:pPr>
      <w:r>
        <w:rPr>
          <w:rFonts w:ascii="Times New Roman" w:hAnsi="Times New Roman" w:eastAsia="Times New Roman" w:cs="Times New Roman"/>
          <w:sz w:val="21"/>
          <w:szCs w:val="21"/>
        </w:rPr>
        <w:t xml:space="preserve">1.11.2  </w:t>
      </w:r>
      <w:r>
        <w:rPr>
          <w:rFonts w:ascii="宋体" w:hAnsi="宋体" w:eastAsia="宋体" w:cs="宋体"/>
          <w:sz w:val="21"/>
          <w:szCs w:val="21"/>
        </w:rPr>
        <w:t>除专用合同条款另有约定外，承包人为</w:t>
      </w:r>
      <w:r>
        <w:rPr>
          <w:rFonts w:ascii="宋体" w:hAnsi="宋体" w:eastAsia="宋体" w:cs="宋体"/>
          <w:spacing w:val="-1"/>
          <w:sz w:val="21"/>
          <w:szCs w:val="21"/>
        </w:rPr>
        <w:t>实施工程所编制的文件，除署名权以外的著作</w:t>
      </w:r>
      <w:r>
        <w:rPr>
          <w:rFonts w:ascii="宋体" w:hAnsi="宋体" w:eastAsia="宋体" w:cs="宋体"/>
          <w:sz w:val="21"/>
          <w:szCs w:val="21"/>
        </w:rPr>
        <w:t>权属于发包人，承包人可因实施工程的运行、调试、维修、改造等目的而复制、使用此类文</w:t>
      </w:r>
      <w:r>
        <w:rPr>
          <w:rFonts w:ascii="宋体" w:hAnsi="宋体" w:eastAsia="宋体" w:cs="宋体"/>
          <w:spacing w:val="-1"/>
          <w:sz w:val="21"/>
          <w:szCs w:val="21"/>
        </w:rPr>
        <w:t>件，</w:t>
      </w:r>
      <w:r>
        <w:rPr>
          <w:rFonts w:ascii="宋体" w:hAnsi="宋体" w:eastAsia="宋体" w:cs="宋体"/>
          <w:sz w:val="21"/>
          <w:szCs w:val="21"/>
        </w:rPr>
        <w:t>但不能用于与合同无关的其他事项。未经发包人书面同意，承包人不得为了合同以外的目的</w:t>
      </w:r>
      <w:r>
        <w:rPr>
          <w:rFonts w:ascii="宋体" w:hAnsi="宋体" w:eastAsia="宋体" w:cs="宋体"/>
          <w:spacing w:val="-1"/>
          <w:sz w:val="21"/>
          <w:szCs w:val="21"/>
        </w:rPr>
        <w:t>而复</w:t>
      </w:r>
    </w:p>
    <w:p w14:paraId="1D3F8D08">
      <w:pPr>
        <w:spacing w:line="308" w:lineRule="auto"/>
        <w:rPr>
          <w:rFonts w:ascii="宋体" w:hAnsi="宋体" w:eastAsia="宋体" w:cs="宋体"/>
          <w:sz w:val="21"/>
          <w:szCs w:val="21"/>
        </w:rPr>
        <w:sectPr>
          <w:footerReference r:id="rId92" w:type="default"/>
          <w:pgSz w:w="11905" w:h="16843"/>
          <w:pgMar w:top="969" w:right="1355" w:bottom="1026" w:left="1480" w:header="0" w:footer="754" w:gutter="0"/>
          <w:cols w:space="0" w:num="1"/>
          <w:rtlGutter w:val="0"/>
          <w:docGrid w:linePitch="0" w:charSpace="0"/>
        </w:sectPr>
      </w:pPr>
    </w:p>
    <w:p w14:paraId="35EB22A2">
      <w:pPr>
        <w:pStyle w:val="5"/>
        <w:spacing w:line="270" w:lineRule="auto"/>
      </w:pPr>
    </w:p>
    <w:p w14:paraId="0EB71F52">
      <w:pPr>
        <w:pStyle w:val="5"/>
        <w:spacing w:line="270" w:lineRule="auto"/>
      </w:pPr>
    </w:p>
    <w:p w14:paraId="2991BA97">
      <w:pPr>
        <w:pStyle w:val="5"/>
        <w:spacing w:line="270" w:lineRule="auto"/>
      </w:pPr>
    </w:p>
    <w:p w14:paraId="3AF1BFB6">
      <w:pPr>
        <w:pStyle w:val="5"/>
        <w:spacing w:line="271" w:lineRule="auto"/>
      </w:pPr>
    </w:p>
    <w:p w14:paraId="1A94055E">
      <w:pPr>
        <w:spacing w:before="68" w:line="220" w:lineRule="auto"/>
        <w:ind w:left="3"/>
        <w:rPr>
          <w:rFonts w:ascii="宋体" w:hAnsi="宋体" w:eastAsia="宋体" w:cs="宋体"/>
          <w:sz w:val="21"/>
          <w:szCs w:val="21"/>
        </w:rPr>
      </w:pPr>
      <w:bookmarkStart w:id="210" w:name="bookmark545"/>
      <w:bookmarkEnd w:id="210"/>
      <w:r>
        <w:rPr>
          <w:rFonts w:ascii="宋体" w:hAnsi="宋体" w:eastAsia="宋体" w:cs="宋体"/>
          <w:spacing w:val="-1"/>
          <w:sz w:val="21"/>
          <w:szCs w:val="21"/>
        </w:rPr>
        <w:t>制、使用上述文件或将之提供给任何第三方。</w:t>
      </w:r>
    </w:p>
    <w:p w14:paraId="038E1848">
      <w:pPr>
        <w:spacing w:before="150" w:line="319" w:lineRule="auto"/>
        <w:ind w:left="2" w:right="16" w:firstLine="436"/>
        <w:rPr>
          <w:rFonts w:ascii="宋体" w:hAnsi="宋体" w:eastAsia="宋体" w:cs="宋体"/>
          <w:sz w:val="21"/>
          <w:szCs w:val="21"/>
        </w:rPr>
      </w:pPr>
      <w:r>
        <w:rPr>
          <w:rFonts w:ascii="Times New Roman" w:hAnsi="Times New Roman" w:eastAsia="Times New Roman" w:cs="Times New Roman"/>
          <w:sz w:val="21"/>
          <w:szCs w:val="21"/>
        </w:rPr>
        <w:t xml:space="preserve">1.11.3  </w:t>
      </w:r>
      <w:r>
        <w:rPr>
          <w:rFonts w:ascii="宋体" w:hAnsi="宋体" w:eastAsia="宋体" w:cs="宋体"/>
          <w:sz w:val="21"/>
          <w:szCs w:val="21"/>
        </w:rPr>
        <w:t>合同当事人保证在履行合同过程中不侵</w:t>
      </w:r>
      <w:r>
        <w:rPr>
          <w:rFonts w:ascii="宋体" w:hAnsi="宋体" w:eastAsia="宋体" w:cs="宋体"/>
          <w:spacing w:val="-1"/>
          <w:sz w:val="21"/>
          <w:szCs w:val="21"/>
        </w:rPr>
        <w:t>犯对方及第三方的知识产权。承包人在使用材料、施工设备、工程设备或采用施工工艺时，因侵犯他人的专利权或其他知</w:t>
      </w:r>
      <w:r>
        <w:rPr>
          <w:rFonts w:ascii="宋体" w:hAnsi="宋体" w:eastAsia="宋体" w:cs="宋体"/>
          <w:spacing w:val="-2"/>
          <w:sz w:val="21"/>
          <w:szCs w:val="21"/>
        </w:rPr>
        <w:t>识产权所引起的责任，</w:t>
      </w:r>
      <w:r>
        <w:rPr>
          <w:rFonts w:ascii="宋体" w:hAnsi="宋体" w:eastAsia="宋体" w:cs="宋体"/>
          <w:sz w:val="21"/>
          <w:szCs w:val="21"/>
        </w:rPr>
        <w:t>由承包人承担；因发包人提供的材料、施工设备、工程设备或施工工艺导致侵权的，由发</w:t>
      </w:r>
      <w:r>
        <w:rPr>
          <w:rFonts w:ascii="宋体" w:hAnsi="宋体" w:eastAsia="宋体" w:cs="宋体"/>
          <w:spacing w:val="-1"/>
          <w:sz w:val="21"/>
          <w:szCs w:val="21"/>
        </w:rPr>
        <w:t>包人承</w:t>
      </w:r>
      <w:r>
        <w:rPr>
          <w:rFonts w:ascii="宋体" w:hAnsi="宋体" w:eastAsia="宋体" w:cs="宋体"/>
          <w:spacing w:val="-2"/>
          <w:sz w:val="21"/>
          <w:szCs w:val="21"/>
        </w:rPr>
        <w:t>担责任。</w:t>
      </w:r>
    </w:p>
    <w:p w14:paraId="42DD03DA">
      <w:pPr>
        <w:spacing w:before="149" w:line="285" w:lineRule="auto"/>
        <w:ind w:left="3" w:right="177" w:firstLine="435"/>
        <w:rPr>
          <w:rFonts w:ascii="宋体" w:hAnsi="宋体" w:eastAsia="宋体" w:cs="宋体"/>
          <w:sz w:val="21"/>
          <w:szCs w:val="21"/>
        </w:rPr>
      </w:pPr>
      <w:r>
        <w:rPr>
          <w:rFonts w:ascii="Times New Roman" w:hAnsi="Times New Roman" w:eastAsia="Times New Roman" w:cs="Times New Roman"/>
          <w:sz w:val="21"/>
          <w:szCs w:val="21"/>
        </w:rPr>
        <w:t xml:space="preserve">1.11.4  </w:t>
      </w:r>
      <w:r>
        <w:rPr>
          <w:rFonts w:ascii="宋体" w:hAnsi="宋体" w:eastAsia="宋体" w:cs="宋体"/>
          <w:sz w:val="21"/>
          <w:szCs w:val="21"/>
        </w:rPr>
        <w:t>除专用合同条款另有约定外，承包人在</w:t>
      </w:r>
      <w:r>
        <w:rPr>
          <w:rFonts w:ascii="宋体" w:hAnsi="宋体" w:eastAsia="宋体" w:cs="宋体"/>
          <w:spacing w:val="-1"/>
          <w:sz w:val="21"/>
          <w:szCs w:val="21"/>
        </w:rPr>
        <w:t>合同签订前和签订时已确定采用的专利、专有技术、技术秘密的使用费已包含在签约合同价中。</w:t>
      </w:r>
    </w:p>
    <w:p w14:paraId="5B8D5DD3">
      <w:pPr>
        <w:spacing w:before="126" w:line="232" w:lineRule="auto"/>
        <w:ind w:left="10"/>
        <w:outlineLvl w:val="2"/>
        <w:rPr>
          <w:rFonts w:ascii="黑体" w:hAnsi="黑体" w:eastAsia="黑体" w:cs="黑体"/>
          <w:sz w:val="24"/>
          <w:szCs w:val="24"/>
        </w:rPr>
      </w:pPr>
      <w:bookmarkStart w:id="211" w:name="bookmark158"/>
      <w:bookmarkEnd w:id="211"/>
      <w:r>
        <w:rPr>
          <w:rFonts w:ascii="Times New Roman" w:hAnsi="Times New Roman" w:eastAsia="Times New Roman" w:cs="Times New Roman"/>
          <w:b/>
          <w:bCs/>
          <w:spacing w:val="-3"/>
          <w:sz w:val="24"/>
          <w:szCs w:val="24"/>
        </w:rPr>
        <w:t xml:space="preserve">1.12 </w:t>
      </w:r>
      <w:r>
        <w:rPr>
          <w:rFonts w:ascii="黑体" w:hAnsi="黑体" w:eastAsia="黑体" w:cs="黑体"/>
          <w:b/>
          <w:bCs/>
          <w:spacing w:val="-3"/>
          <w:sz w:val="24"/>
          <w:szCs w:val="24"/>
        </w:rPr>
        <w:t>保密</w:t>
      </w:r>
    </w:p>
    <w:p w14:paraId="30B5BAE8">
      <w:pPr>
        <w:spacing w:before="125" w:line="351" w:lineRule="auto"/>
        <w:ind w:left="1" w:right="177" w:firstLine="433"/>
        <w:rPr>
          <w:rFonts w:ascii="宋体" w:hAnsi="宋体" w:eastAsia="宋体" w:cs="宋体"/>
          <w:sz w:val="21"/>
          <w:szCs w:val="21"/>
        </w:rPr>
      </w:pPr>
      <w:r>
        <w:rPr>
          <w:rFonts w:ascii="宋体" w:hAnsi="宋体" w:eastAsia="宋体" w:cs="宋体"/>
          <w:sz w:val="21"/>
          <w:szCs w:val="21"/>
        </w:rPr>
        <w:t>除法律规定或合同另有约定外，未经发包人同意，承包</w:t>
      </w:r>
      <w:r>
        <w:rPr>
          <w:rFonts w:ascii="宋体" w:hAnsi="宋体" w:eastAsia="宋体" w:cs="宋体"/>
          <w:spacing w:val="-1"/>
          <w:sz w:val="21"/>
          <w:szCs w:val="21"/>
        </w:rPr>
        <w:t>人不得将发包人提供的图纸、文件以及声明需要保密的资料信息等商业秘密泄露给第三方。</w:t>
      </w:r>
    </w:p>
    <w:p w14:paraId="6632894C">
      <w:pPr>
        <w:spacing w:before="1" w:line="340" w:lineRule="auto"/>
        <w:ind w:left="22" w:right="177" w:firstLine="412"/>
        <w:rPr>
          <w:rFonts w:ascii="宋体" w:hAnsi="宋体" w:eastAsia="宋体" w:cs="宋体"/>
          <w:sz w:val="21"/>
          <w:szCs w:val="21"/>
        </w:rPr>
      </w:pPr>
      <w:r>
        <w:rPr>
          <w:rFonts w:ascii="宋体" w:hAnsi="宋体" w:eastAsia="宋体" w:cs="宋体"/>
          <w:sz w:val="21"/>
          <w:szCs w:val="21"/>
        </w:rPr>
        <w:t>除法律规定或合同另有约定外，未经承包人同意，发包</w:t>
      </w:r>
      <w:r>
        <w:rPr>
          <w:rFonts w:ascii="宋体" w:hAnsi="宋体" w:eastAsia="宋体" w:cs="宋体"/>
          <w:spacing w:val="-1"/>
          <w:sz w:val="21"/>
          <w:szCs w:val="21"/>
        </w:rPr>
        <w:t>人不得将承包人提供的技术秘密及声</w:t>
      </w:r>
      <w:r>
        <w:rPr>
          <w:rFonts w:ascii="宋体" w:hAnsi="宋体" w:eastAsia="宋体" w:cs="宋体"/>
          <w:spacing w:val="-2"/>
          <w:sz w:val="21"/>
          <w:szCs w:val="21"/>
        </w:rPr>
        <w:t>明需要保密的资料信息等商业秘密泄露给第三方。</w:t>
      </w:r>
    </w:p>
    <w:p w14:paraId="7A1D9D4C">
      <w:pPr>
        <w:spacing w:line="232" w:lineRule="auto"/>
        <w:ind w:left="10"/>
        <w:outlineLvl w:val="2"/>
        <w:rPr>
          <w:rFonts w:ascii="黑体" w:hAnsi="黑体" w:eastAsia="黑体" w:cs="黑体"/>
          <w:sz w:val="24"/>
          <w:szCs w:val="24"/>
        </w:rPr>
      </w:pPr>
      <w:bookmarkStart w:id="212" w:name="bookmark159"/>
      <w:bookmarkEnd w:id="212"/>
      <w:r>
        <w:rPr>
          <w:rFonts w:ascii="Times New Roman" w:hAnsi="Times New Roman" w:eastAsia="Times New Roman" w:cs="Times New Roman"/>
          <w:b/>
          <w:bCs/>
          <w:spacing w:val="-3"/>
          <w:sz w:val="24"/>
          <w:szCs w:val="24"/>
        </w:rPr>
        <w:t xml:space="preserve">1.13 </w:t>
      </w:r>
      <w:r>
        <w:rPr>
          <w:rFonts w:ascii="黑体" w:hAnsi="黑体" w:eastAsia="黑体" w:cs="黑体"/>
          <w:b/>
          <w:bCs/>
          <w:spacing w:val="-3"/>
          <w:sz w:val="24"/>
          <w:szCs w:val="24"/>
        </w:rPr>
        <w:t>工程量清单错误的修正</w:t>
      </w:r>
    </w:p>
    <w:p w14:paraId="50BCEF01">
      <w:pPr>
        <w:spacing w:before="124" w:line="351" w:lineRule="auto"/>
        <w:ind w:left="9" w:right="177" w:firstLine="425"/>
        <w:rPr>
          <w:rFonts w:ascii="宋体" w:hAnsi="宋体" w:eastAsia="宋体" w:cs="宋体"/>
          <w:sz w:val="21"/>
          <w:szCs w:val="21"/>
        </w:rPr>
      </w:pPr>
      <w:r>
        <w:rPr>
          <w:rFonts w:ascii="宋体" w:hAnsi="宋体" w:eastAsia="宋体" w:cs="宋体"/>
          <w:sz w:val="21"/>
          <w:szCs w:val="21"/>
        </w:rPr>
        <w:t>除专用合同条款另有约定外，发包人提供的工程量清单</w:t>
      </w:r>
      <w:r>
        <w:rPr>
          <w:rFonts w:ascii="宋体" w:hAnsi="宋体" w:eastAsia="宋体" w:cs="宋体"/>
          <w:spacing w:val="-1"/>
          <w:sz w:val="21"/>
          <w:szCs w:val="21"/>
        </w:rPr>
        <w:t>，应被认为是准确的和完整的。出现下列情形之一时，发包人应予以修正，并相应</w:t>
      </w:r>
      <w:r>
        <w:rPr>
          <w:rFonts w:ascii="宋体" w:hAnsi="宋体" w:eastAsia="宋体" w:cs="宋体"/>
          <w:spacing w:val="-2"/>
          <w:sz w:val="21"/>
          <w:szCs w:val="21"/>
        </w:rPr>
        <w:t>调整合同价格：</w:t>
      </w:r>
    </w:p>
    <w:p w14:paraId="500C4220">
      <w:pPr>
        <w:spacing w:before="1" w:line="234" w:lineRule="auto"/>
        <w:ind w:left="42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）工程量清单存在缺项、漏项的；</w:t>
      </w:r>
    </w:p>
    <w:p w14:paraId="18C41C2B">
      <w:pPr>
        <w:spacing w:before="135" w:line="234" w:lineRule="auto"/>
        <w:ind w:left="42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）工程量清单偏差超出专用合同条款约定的工程量</w:t>
      </w:r>
      <w:r>
        <w:rPr>
          <w:rFonts w:ascii="宋体" w:hAnsi="宋体" w:eastAsia="宋体" w:cs="宋体"/>
          <w:spacing w:val="-2"/>
          <w:sz w:val="21"/>
          <w:szCs w:val="21"/>
        </w:rPr>
        <w:t>偏差范围的；</w:t>
      </w:r>
    </w:p>
    <w:p w14:paraId="18ABEC4F">
      <w:pPr>
        <w:spacing w:before="134" w:line="234" w:lineRule="auto"/>
        <w:ind w:left="42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）未按照国家现行计量规范强制性规定计量的。</w:t>
      </w:r>
    </w:p>
    <w:p w14:paraId="2F8001CD">
      <w:pPr>
        <w:spacing w:before="174" w:line="232" w:lineRule="auto"/>
        <w:outlineLvl w:val="1"/>
        <w:rPr>
          <w:rFonts w:ascii="黑体" w:hAnsi="黑体" w:eastAsia="黑体" w:cs="黑体"/>
          <w:sz w:val="28"/>
          <w:szCs w:val="28"/>
        </w:rPr>
      </w:pPr>
      <w:bookmarkStart w:id="213" w:name="bookmark160"/>
      <w:bookmarkEnd w:id="213"/>
      <w:r>
        <w:rPr>
          <w:rFonts w:ascii="Times New Roman" w:hAnsi="Times New Roman" w:eastAsia="Times New Roman" w:cs="Times New Roman"/>
          <w:b/>
          <w:bCs/>
          <w:spacing w:val="-5"/>
          <w:sz w:val="28"/>
          <w:szCs w:val="28"/>
        </w:rPr>
        <w:t>2.</w:t>
      </w:r>
      <w:r>
        <w:rPr>
          <w:rFonts w:ascii="Times New Roman" w:hAnsi="Times New Roman" w:eastAsia="Times New Roman" w:cs="Times New Roman"/>
          <w:b/>
          <w:bCs/>
          <w:spacing w:val="7"/>
          <w:sz w:val="28"/>
          <w:szCs w:val="28"/>
        </w:rPr>
        <w:t xml:space="preserve">  </w:t>
      </w:r>
      <w:r>
        <w:rPr>
          <w:rFonts w:ascii="黑体" w:hAnsi="黑体" w:eastAsia="黑体" w:cs="黑体"/>
          <w:b/>
          <w:bCs/>
          <w:spacing w:val="-5"/>
          <w:sz w:val="28"/>
          <w:szCs w:val="28"/>
        </w:rPr>
        <w:t>发包人</w:t>
      </w:r>
    </w:p>
    <w:p w14:paraId="2871ABE8">
      <w:pPr>
        <w:spacing w:before="83" w:line="233" w:lineRule="auto"/>
        <w:outlineLvl w:val="2"/>
        <w:rPr>
          <w:rFonts w:ascii="黑体" w:hAnsi="黑体" w:eastAsia="黑体" w:cs="黑体"/>
          <w:sz w:val="24"/>
          <w:szCs w:val="24"/>
        </w:rPr>
      </w:pPr>
      <w:bookmarkStart w:id="214" w:name="bookmark161"/>
      <w:bookmarkEnd w:id="214"/>
      <w:r>
        <w:rPr>
          <w:rFonts w:ascii="Times New Roman" w:hAnsi="Times New Roman" w:eastAsia="Times New Roman" w:cs="Times New Roman"/>
          <w:b/>
          <w:bCs/>
          <w:spacing w:val="-2"/>
          <w:sz w:val="24"/>
          <w:szCs w:val="24"/>
        </w:rPr>
        <w:t xml:space="preserve">2.1  </w:t>
      </w:r>
      <w:r>
        <w:rPr>
          <w:rFonts w:ascii="黑体" w:hAnsi="黑体" w:eastAsia="黑体" w:cs="黑体"/>
          <w:b/>
          <w:bCs/>
          <w:spacing w:val="-2"/>
          <w:sz w:val="24"/>
          <w:szCs w:val="24"/>
        </w:rPr>
        <w:t>许可或批准</w:t>
      </w:r>
    </w:p>
    <w:p w14:paraId="35D47A0F">
      <w:pPr>
        <w:spacing w:before="120" w:line="352" w:lineRule="auto"/>
        <w:ind w:left="1" w:right="177" w:firstLine="424"/>
        <w:jc w:val="both"/>
        <w:rPr>
          <w:rFonts w:ascii="宋体" w:hAnsi="宋体" w:eastAsia="宋体" w:cs="宋体"/>
          <w:sz w:val="21"/>
          <w:szCs w:val="21"/>
        </w:rPr>
      </w:pPr>
      <w:r>
        <w:rPr>
          <w:rFonts w:ascii="宋体" w:hAnsi="宋体" w:eastAsia="宋体" w:cs="宋体"/>
          <w:sz w:val="21"/>
          <w:szCs w:val="21"/>
        </w:rPr>
        <w:t>发包人应遵守法律，并办理法律规定由其办理的许可、批准或备案，包括但</w:t>
      </w:r>
      <w:r>
        <w:rPr>
          <w:rFonts w:ascii="宋体" w:hAnsi="宋体" w:eastAsia="宋体" w:cs="宋体"/>
          <w:spacing w:val="-1"/>
          <w:sz w:val="21"/>
          <w:szCs w:val="21"/>
        </w:rPr>
        <w:t>不限于建设用地</w:t>
      </w:r>
      <w:r>
        <w:rPr>
          <w:rFonts w:ascii="宋体" w:hAnsi="宋体" w:eastAsia="宋体" w:cs="宋体"/>
          <w:sz w:val="21"/>
          <w:szCs w:val="21"/>
        </w:rPr>
        <w:t>规划许可证、建设工程规划许可证、建设工程施工许可证、施工所需临时用水、临时用电</w:t>
      </w:r>
      <w:r>
        <w:rPr>
          <w:rFonts w:ascii="宋体" w:hAnsi="宋体" w:eastAsia="宋体" w:cs="宋体"/>
          <w:spacing w:val="-1"/>
          <w:sz w:val="21"/>
          <w:szCs w:val="21"/>
        </w:rPr>
        <w:t>、中断</w:t>
      </w:r>
      <w:r>
        <w:rPr>
          <w:rFonts w:ascii="宋体" w:hAnsi="宋体" w:eastAsia="宋体" w:cs="宋体"/>
          <w:sz w:val="21"/>
          <w:szCs w:val="21"/>
        </w:rPr>
        <w:t>道路交通、临时占用土地等许可和批准。发包人应协助承包人办理法律规定的有关施工证</w:t>
      </w:r>
      <w:r>
        <w:rPr>
          <w:rFonts w:ascii="宋体" w:hAnsi="宋体" w:eastAsia="宋体" w:cs="宋体"/>
          <w:spacing w:val="-1"/>
          <w:sz w:val="21"/>
          <w:szCs w:val="21"/>
        </w:rPr>
        <w:t>件和批</w:t>
      </w:r>
      <w:r>
        <w:rPr>
          <w:rFonts w:ascii="宋体" w:hAnsi="宋体" w:eastAsia="宋体" w:cs="宋体"/>
          <w:spacing w:val="-10"/>
          <w:sz w:val="21"/>
          <w:szCs w:val="21"/>
        </w:rPr>
        <w:t>件。</w:t>
      </w:r>
    </w:p>
    <w:p w14:paraId="233D2C6D">
      <w:pPr>
        <w:spacing w:before="1" w:line="340" w:lineRule="auto"/>
        <w:ind w:left="8" w:right="178" w:firstLine="430"/>
        <w:rPr>
          <w:rFonts w:ascii="宋体" w:hAnsi="宋体" w:eastAsia="宋体" w:cs="宋体"/>
          <w:sz w:val="21"/>
          <w:szCs w:val="21"/>
        </w:rPr>
      </w:pPr>
      <w:r>
        <w:rPr>
          <w:rFonts w:ascii="宋体" w:hAnsi="宋体" w:eastAsia="宋体" w:cs="宋体"/>
          <w:spacing w:val="5"/>
          <w:sz w:val="21"/>
          <w:szCs w:val="21"/>
        </w:rPr>
        <w:t>因发包人原因未能及时办理完毕前述许可、批准或备案，由发包人承担由此</w:t>
      </w:r>
      <w:r>
        <w:rPr>
          <w:rFonts w:ascii="宋体" w:hAnsi="宋体" w:eastAsia="宋体" w:cs="宋体"/>
          <w:spacing w:val="4"/>
          <w:sz w:val="21"/>
          <w:szCs w:val="21"/>
        </w:rPr>
        <w:t>增加的费用和</w:t>
      </w:r>
      <w:r>
        <w:rPr>
          <w:rFonts w:ascii="宋体" w:hAnsi="宋体" w:eastAsia="宋体" w:cs="宋体"/>
          <w:spacing w:val="-1"/>
          <w:sz w:val="21"/>
          <w:szCs w:val="21"/>
        </w:rPr>
        <w:t>（或）延误的工期，并支付承包人合理的利润。</w:t>
      </w:r>
    </w:p>
    <w:p w14:paraId="119C3240">
      <w:pPr>
        <w:spacing w:before="1" w:line="231" w:lineRule="auto"/>
        <w:outlineLvl w:val="2"/>
        <w:rPr>
          <w:rFonts w:ascii="黑体" w:hAnsi="黑体" w:eastAsia="黑体" w:cs="黑体"/>
          <w:sz w:val="24"/>
          <w:szCs w:val="24"/>
        </w:rPr>
      </w:pPr>
      <w:bookmarkStart w:id="215" w:name="bookmark162"/>
      <w:bookmarkEnd w:id="215"/>
      <w:r>
        <w:rPr>
          <w:rFonts w:ascii="Times New Roman" w:hAnsi="Times New Roman" w:eastAsia="Times New Roman" w:cs="Times New Roman"/>
          <w:b/>
          <w:bCs/>
          <w:spacing w:val="-2"/>
          <w:sz w:val="24"/>
          <w:szCs w:val="24"/>
        </w:rPr>
        <w:t xml:space="preserve">2.2  </w:t>
      </w:r>
      <w:r>
        <w:rPr>
          <w:rFonts w:ascii="黑体" w:hAnsi="黑体" w:eastAsia="黑体" w:cs="黑体"/>
          <w:b/>
          <w:bCs/>
          <w:spacing w:val="-2"/>
          <w:sz w:val="24"/>
          <w:szCs w:val="24"/>
        </w:rPr>
        <w:t>发包人代表</w:t>
      </w:r>
    </w:p>
    <w:p w14:paraId="049548A2">
      <w:pPr>
        <w:spacing w:before="123" w:line="352" w:lineRule="auto"/>
        <w:ind w:left="1" w:right="177" w:firstLine="424"/>
        <w:jc w:val="both"/>
        <w:rPr>
          <w:rFonts w:ascii="宋体" w:hAnsi="宋体" w:eastAsia="宋体" w:cs="宋体"/>
          <w:sz w:val="21"/>
          <w:szCs w:val="21"/>
        </w:rPr>
      </w:pPr>
      <w:r>
        <w:rPr>
          <w:rFonts w:ascii="宋体" w:hAnsi="宋体" w:eastAsia="宋体" w:cs="宋体"/>
          <w:sz w:val="21"/>
          <w:szCs w:val="21"/>
        </w:rPr>
        <w:t>发包人应在专用合同条款中明确其派驻施工现场的发包人代表的姓名、职务</w:t>
      </w:r>
      <w:r>
        <w:rPr>
          <w:rFonts w:ascii="宋体" w:hAnsi="宋体" w:eastAsia="宋体" w:cs="宋体"/>
          <w:spacing w:val="-1"/>
          <w:sz w:val="21"/>
          <w:szCs w:val="21"/>
        </w:rPr>
        <w:t>、联系方式及授</w:t>
      </w:r>
      <w:r>
        <w:rPr>
          <w:rFonts w:ascii="宋体" w:hAnsi="宋体" w:eastAsia="宋体" w:cs="宋体"/>
          <w:sz w:val="21"/>
          <w:szCs w:val="21"/>
        </w:rPr>
        <w:t>权范围等事项。发包人代表在发包人的授权范围内，负责处理合同履行过程中与发包人有</w:t>
      </w:r>
      <w:r>
        <w:rPr>
          <w:rFonts w:ascii="宋体" w:hAnsi="宋体" w:eastAsia="宋体" w:cs="宋体"/>
          <w:spacing w:val="-1"/>
          <w:sz w:val="21"/>
          <w:szCs w:val="21"/>
        </w:rPr>
        <w:t>关的具</w:t>
      </w:r>
      <w:r>
        <w:rPr>
          <w:rFonts w:ascii="宋体" w:hAnsi="宋体" w:eastAsia="宋体" w:cs="宋体"/>
          <w:sz w:val="21"/>
          <w:szCs w:val="21"/>
        </w:rPr>
        <w:t>体事宜。发包人代表在授权范围内的行为由发包人承担法律责任。发包人更换发包人代表</w:t>
      </w:r>
      <w:r>
        <w:rPr>
          <w:rFonts w:ascii="宋体" w:hAnsi="宋体" w:eastAsia="宋体" w:cs="宋体"/>
          <w:spacing w:val="-1"/>
          <w:sz w:val="21"/>
          <w:szCs w:val="21"/>
        </w:rPr>
        <w:t>的，应提前</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天书面通知承包人。</w:t>
      </w:r>
    </w:p>
    <w:p w14:paraId="2222B14D">
      <w:pPr>
        <w:spacing w:before="2" w:line="351" w:lineRule="auto"/>
        <w:ind w:left="4" w:right="177" w:firstLine="421"/>
        <w:rPr>
          <w:rFonts w:ascii="宋体" w:hAnsi="宋体" w:eastAsia="宋体" w:cs="宋体"/>
          <w:sz w:val="21"/>
          <w:szCs w:val="21"/>
        </w:rPr>
      </w:pPr>
      <w:r>
        <w:rPr>
          <w:rFonts w:ascii="宋体" w:hAnsi="宋体" w:eastAsia="宋体" w:cs="宋体"/>
          <w:sz w:val="21"/>
          <w:szCs w:val="21"/>
        </w:rPr>
        <w:t>发包人代表不能按照合同约定履行其职责及义务，并导致合同无法继续正常</w:t>
      </w:r>
      <w:r>
        <w:rPr>
          <w:rFonts w:ascii="宋体" w:hAnsi="宋体" w:eastAsia="宋体" w:cs="宋体"/>
          <w:spacing w:val="-1"/>
          <w:sz w:val="21"/>
          <w:szCs w:val="21"/>
        </w:rPr>
        <w:t>履行的，承包人可以要求发包人撤换发包人代表。</w:t>
      </w:r>
    </w:p>
    <w:p w14:paraId="7268F618">
      <w:pPr>
        <w:spacing w:line="220" w:lineRule="auto"/>
        <w:jc w:val="right"/>
        <w:rPr>
          <w:rFonts w:ascii="宋体" w:hAnsi="宋体" w:eastAsia="宋体" w:cs="宋体"/>
          <w:sz w:val="21"/>
          <w:szCs w:val="21"/>
        </w:rPr>
      </w:pPr>
      <w:r>
        <w:rPr>
          <w:rFonts w:ascii="宋体" w:hAnsi="宋体" w:eastAsia="宋体" w:cs="宋体"/>
          <w:spacing w:val="-1"/>
          <w:sz w:val="21"/>
          <w:szCs w:val="21"/>
        </w:rPr>
        <w:t>不属于法定必须监理的工程，监理人的职权可以由发包人代表或发包人指定的其他人员行使。</w:t>
      </w:r>
    </w:p>
    <w:p w14:paraId="4594F63D">
      <w:pPr>
        <w:spacing w:line="220" w:lineRule="auto"/>
        <w:rPr>
          <w:rFonts w:ascii="宋体" w:hAnsi="宋体" w:eastAsia="宋体" w:cs="宋体"/>
          <w:sz w:val="21"/>
          <w:szCs w:val="21"/>
        </w:rPr>
        <w:sectPr>
          <w:footerReference r:id="rId93" w:type="default"/>
          <w:pgSz w:w="11905" w:h="16843"/>
          <w:pgMar w:top="969" w:right="1355" w:bottom="1026" w:left="1480" w:header="0" w:footer="754" w:gutter="0"/>
          <w:cols w:space="0" w:num="1"/>
          <w:rtlGutter w:val="0"/>
          <w:docGrid w:linePitch="0" w:charSpace="0"/>
        </w:sectPr>
      </w:pPr>
    </w:p>
    <w:p w14:paraId="67FD9E85">
      <w:pPr>
        <w:pStyle w:val="5"/>
        <w:spacing w:line="261" w:lineRule="auto"/>
      </w:pPr>
    </w:p>
    <w:p w14:paraId="22A7E9ED">
      <w:pPr>
        <w:pStyle w:val="5"/>
        <w:spacing w:line="262" w:lineRule="auto"/>
      </w:pPr>
    </w:p>
    <w:p w14:paraId="07969BFF">
      <w:pPr>
        <w:pStyle w:val="5"/>
        <w:spacing w:line="262" w:lineRule="auto"/>
      </w:pPr>
    </w:p>
    <w:p w14:paraId="01AF7869">
      <w:pPr>
        <w:pStyle w:val="5"/>
        <w:spacing w:line="262" w:lineRule="auto"/>
      </w:pPr>
    </w:p>
    <w:p w14:paraId="2B97F7C1">
      <w:pPr>
        <w:spacing w:before="78" w:line="232" w:lineRule="auto"/>
        <w:ind w:left="1"/>
        <w:outlineLvl w:val="2"/>
        <w:rPr>
          <w:rFonts w:ascii="黑体" w:hAnsi="黑体" w:eastAsia="黑体" w:cs="黑体"/>
          <w:sz w:val="24"/>
          <w:szCs w:val="24"/>
        </w:rPr>
      </w:pPr>
      <w:bookmarkStart w:id="216" w:name="bookmark163"/>
      <w:bookmarkEnd w:id="216"/>
      <w:bookmarkStart w:id="217" w:name="bookmark546"/>
      <w:bookmarkEnd w:id="217"/>
      <w:r>
        <w:rPr>
          <w:rFonts w:ascii="Times New Roman" w:hAnsi="Times New Roman" w:eastAsia="Times New Roman" w:cs="Times New Roman"/>
          <w:b/>
          <w:bCs/>
          <w:spacing w:val="-2"/>
          <w:sz w:val="24"/>
          <w:szCs w:val="24"/>
        </w:rPr>
        <w:t xml:space="preserve">2.3  </w:t>
      </w:r>
      <w:r>
        <w:rPr>
          <w:rFonts w:ascii="黑体" w:hAnsi="黑体" w:eastAsia="黑体" w:cs="黑体"/>
          <w:b/>
          <w:bCs/>
          <w:spacing w:val="-2"/>
          <w:sz w:val="24"/>
          <w:szCs w:val="24"/>
        </w:rPr>
        <w:t>发包人人员</w:t>
      </w:r>
    </w:p>
    <w:p w14:paraId="6030D92A">
      <w:pPr>
        <w:spacing w:before="124" w:line="351" w:lineRule="auto"/>
        <w:ind w:left="4" w:firstLine="422"/>
        <w:rPr>
          <w:rFonts w:ascii="宋体" w:hAnsi="宋体" w:eastAsia="宋体" w:cs="宋体"/>
          <w:sz w:val="21"/>
          <w:szCs w:val="21"/>
        </w:rPr>
      </w:pPr>
      <w:r>
        <w:rPr>
          <w:rFonts w:ascii="宋体" w:hAnsi="宋体" w:eastAsia="宋体" w:cs="宋体"/>
          <w:sz w:val="21"/>
          <w:szCs w:val="21"/>
        </w:rPr>
        <w:t>发包人应要求在施工现场的发包人人员遵守法律及有关安全、质量、环境保</w:t>
      </w:r>
      <w:r>
        <w:rPr>
          <w:rFonts w:ascii="宋体" w:hAnsi="宋体" w:eastAsia="宋体" w:cs="宋体"/>
          <w:spacing w:val="-1"/>
          <w:sz w:val="21"/>
          <w:szCs w:val="21"/>
        </w:rPr>
        <w:t>护、文明施工等</w:t>
      </w:r>
      <w:r>
        <w:rPr>
          <w:rFonts w:ascii="宋体" w:hAnsi="宋体" w:eastAsia="宋体" w:cs="宋体"/>
          <w:sz w:val="21"/>
          <w:szCs w:val="21"/>
        </w:rPr>
        <w:t>规定，并保障承包人免于承受因发包人人员未遵守上述要求给承包人造成的损失和责</w:t>
      </w:r>
      <w:r>
        <w:rPr>
          <w:rFonts w:ascii="宋体" w:hAnsi="宋体" w:eastAsia="宋体" w:cs="宋体"/>
          <w:spacing w:val="-1"/>
          <w:sz w:val="21"/>
          <w:szCs w:val="21"/>
        </w:rPr>
        <w:t>任。</w:t>
      </w:r>
    </w:p>
    <w:p w14:paraId="664A5668">
      <w:pPr>
        <w:spacing w:line="220" w:lineRule="auto"/>
        <w:ind w:left="427"/>
        <w:rPr>
          <w:rFonts w:ascii="宋体" w:hAnsi="宋体" w:eastAsia="宋体" w:cs="宋体"/>
          <w:sz w:val="21"/>
          <w:szCs w:val="21"/>
        </w:rPr>
      </w:pPr>
      <w:r>
        <w:rPr>
          <w:rFonts w:ascii="宋体" w:hAnsi="宋体" w:eastAsia="宋体" w:cs="宋体"/>
          <w:spacing w:val="-1"/>
          <w:sz w:val="21"/>
          <w:szCs w:val="21"/>
        </w:rPr>
        <w:t>发包人人员包括发包人代表及其他由发包人派驻施工现场的人员。</w:t>
      </w:r>
    </w:p>
    <w:p w14:paraId="026F2988">
      <w:pPr>
        <w:spacing w:before="125" w:line="232" w:lineRule="auto"/>
        <w:ind w:left="1"/>
        <w:outlineLvl w:val="2"/>
        <w:rPr>
          <w:rFonts w:ascii="黑体" w:hAnsi="黑体" w:eastAsia="黑体" w:cs="黑体"/>
          <w:sz w:val="24"/>
          <w:szCs w:val="24"/>
        </w:rPr>
      </w:pPr>
      <w:bookmarkStart w:id="218" w:name="bookmark164"/>
      <w:bookmarkEnd w:id="218"/>
      <w:r>
        <w:rPr>
          <w:rFonts w:ascii="Times New Roman" w:hAnsi="Times New Roman" w:eastAsia="Times New Roman" w:cs="Times New Roman"/>
          <w:b/>
          <w:bCs/>
          <w:spacing w:val="-2"/>
          <w:sz w:val="24"/>
          <w:szCs w:val="24"/>
        </w:rPr>
        <w:t xml:space="preserve">2.4  </w:t>
      </w:r>
      <w:r>
        <w:rPr>
          <w:rFonts w:ascii="黑体" w:hAnsi="黑体" w:eastAsia="黑体" w:cs="黑体"/>
          <w:b/>
          <w:bCs/>
          <w:spacing w:val="-2"/>
          <w:sz w:val="24"/>
          <w:szCs w:val="24"/>
        </w:rPr>
        <w:t>施工现场、施工条件和基础资料的提供</w:t>
      </w:r>
    </w:p>
    <w:p w14:paraId="0F23B7E5">
      <w:pPr>
        <w:spacing w:before="123"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2.4.1  </w:t>
      </w:r>
      <w:r>
        <w:rPr>
          <w:rFonts w:ascii="宋体" w:hAnsi="宋体" w:eastAsia="宋体" w:cs="宋体"/>
          <w:spacing w:val="-1"/>
          <w:sz w:val="21"/>
          <w:szCs w:val="21"/>
        </w:rPr>
        <w:t>提供施工现场</w:t>
      </w:r>
    </w:p>
    <w:p w14:paraId="2AF66439">
      <w:pPr>
        <w:spacing w:before="133" w:line="234" w:lineRule="auto"/>
        <w:ind w:left="436"/>
        <w:rPr>
          <w:rFonts w:ascii="宋体" w:hAnsi="宋体" w:eastAsia="宋体" w:cs="宋体"/>
          <w:sz w:val="21"/>
          <w:szCs w:val="21"/>
        </w:rPr>
      </w:pPr>
      <w:r>
        <w:rPr>
          <w:rFonts w:ascii="宋体" w:hAnsi="宋体" w:eastAsia="宋体" w:cs="宋体"/>
          <w:spacing w:val="1"/>
          <w:sz w:val="21"/>
          <w:szCs w:val="21"/>
        </w:rPr>
        <w:t>除专用合同条款另有约定外，发包人应最迟于开工日</w:t>
      </w:r>
      <w:r>
        <w:rPr>
          <w:rFonts w:ascii="宋体" w:hAnsi="宋体" w:eastAsia="宋体" w:cs="宋体"/>
          <w:sz w:val="21"/>
          <w:szCs w:val="21"/>
        </w:rPr>
        <w:t>期</w:t>
      </w:r>
      <w:r>
        <w:rPr>
          <w:rFonts w:ascii="Times New Roman" w:hAnsi="Times New Roman" w:eastAsia="Times New Roman" w:cs="Times New Roman"/>
          <w:sz w:val="21"/>
          <w:szCs w:val="21"/>
        </w:rPr>
        <w:t xml:space="preserve">7 </w:t>
      </w:r>
      <w:r>
        <w:rPr>
          <w:rFonts w:ascii="宋体" w:hAnsi="宋体" w:eastAsia="宋体" w:cs="宋体"/>
          <w:sz w:val="21"/>
          <w:szCs w:val="21"/>
        </w:rPr>
        <w:t>天前向承包人移交施工现场。</w:t>
      </w:r>
    </w:p>
    <w:p w14:paraId="131458AE">
      <w:pPr>
        <w:spacing w:before="134"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2.4.2  </w:t>
      </w:r>
      <w:r>
        <w:rPr>
          <w:rFonts w:ascii="宋体" w:hAnsi="宋体" w:eastAsia="宋体" w:cs="宋体"/>
          <w:spacing w:val="-1"/>
          <w:sz w:val="21"/>
          <w:szCs w:val="21"/>
        </w:rPr>
        <w:t>提供施工条件</w:t>
      </w:r>
    </w:p>
    <w:p w14:paraId="18BDCD0F">
      <w:pPr>
        <w:spacing w:before="135" w:line="220" w:lineRule="auto"/>
        <w:ind w:left="436"/>
        <w:rPr>
          <w:rFonts w:ascii="宋体" w:hAnsi="宋体" w:eastAsia="宋体" w:cs="宋体"/>
          <w:sz w:val="21"/>
          <w:szCs w:val="21"/>
        </w:rPr>
      </w:pPr>
      <w:r>
        <w:rPr>
          <w:rFonts w:ascii="宋体" w:hAnsi="宋体" w:eastAsia="宋体" w:cs="宋体"/>
          <w:spacing w:val="-1"/>
          <w:sz w:val="21"/>
          <w:szCs w:val="21"/>
        </w:rPr>
        <w:t>除专用合同条款另有约定外，发包人应负责提供</w:t>
      </w:r>
      <w:r>
        <w:rPr>
          <w:rFonts w:ascii="宋体" w:hAnsi="宋体" w:eastAsia="宋体" w:cs="宋体"/>
          <w:spacing w:val="-2"/>
          <w:sz w:val="21"/>
          <w:szCs w:val="21"/>
        </w:rPr>
        <w:t>施工所需要的条件，包括：</w:t>
      </w:r>
    </w:p>
    <w:p w14:paraId="25FD13AB">
      <w:pPr>
        <w:spacing w:before="149" w:line="234" w:lineRule="auto"/>
        <w:ind w:left="430"/>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）将施工用水、电力、通讯线路等施工所必需</w:t>
      </w:r>
      <w:r>
        <w:rPr>
          <w:rFonts w:ascii="宋体" w:hAnsi="宋体" w:eastAsia="宋体" w:cs="宋体"/>
          <w:spacing w:val="-1"/>
          <w:sz w:val="21"/>
          <w:szCs w:val="21"/>
        </w:rPr>
        <w:t>的条件接至施工现场内；</w:t>
      </w:r>
    </w:p>
    <w:p w14:paraId="410F5AC5">
      <w:pPr>
        <w:spacing w:before="134" w:line="234" w:lineRule="auto"/>
        <w:ind w:left="430"/>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）保证向承包人提供正常施工所需要的进</w:t>
      </w:r>
      <w:r>
        <w:rPr>
          <w:rFonts w:ascii="宋体" w:hAnsi="宋体" w:eastAsia="宋体" w:cs="宋体"/>
          <w:spacing w:val="-1"/>
          <w:sz w:val="21"/>
          <w:szCs w:val="21"/>
        </w:rPr>
        <w:t>入施工现场的交通条件；</w:t>
      </w:r>
    </w:p>
    <w:p w14:paraId="7981DDB9">
      <w:pPr>
        <w:spacing w:before="134" w:line="286" w:lineRule="auto"/>
        <w:ind w:left="4" w:right="18"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）协调处理施工现场周围地下管线和邻近建筑物、构筑物、古树名木的保护工作</w:t>
      </w:r>
      <w:r>
        <w:rPr>
          <w:rFonts w:ascii="宋体" w:hAnsi="宋体" w:eastAsia="宋体" w:cs="宋体"/>
          <w:spacing w:val="1"/>
          <w:sz w:val="21"/>
          <w:szCs w:val="21"/>
        </w:rPr>
        <w:t>，并承</w:t>
      </w:r>
      <w:r>
        <w:rPr>
          <w:rFonts w:ascii="宋体" w:hAnsi="宋体" w:eastAsia="宋体" w:cs="宋体"/>
          <w:spacing w:val="-1"/>
          <w:sz w:val="21"/>
          <w:szCs w:val="21"/>
        </w:rPr>
        <w:t>担相关费用；</w:t>
      </w:r>
    </w:p>
    <w:p w14:paraId="4B491B50">
      <w:pPr>
        <w:spacing w:before="149" w:line="234" w:lineRule="auto"/>
        <w:ind w:left="43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）按照专用合同条款约定应提供的其他设施和</w:t>
      </w:r>
      <w:r>
        <w:rPr>
          <w:rFonts w:ascii="宋体" w:hAnsi="宋体" w:eastAsia="宋体" w:cs="宋体"/>
          <w:spacing w:val="-2"/>
          <w:sz w:val="21"/>
          <w:szCs w:val="21"/>
        </w:rPr>
        <w:t>条件。</w:t>
      </w:r>
    </w:p>
    <w:p w14:paraId="2D67C2E9">
      <w:pPr>
        <w:spacing w:before="135"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2.4.3  </w:t>
      </w:r>
      <w:r>
        <w:rPr>
          <w:rFonts w:ascii="宋体" w:hAnsi="宋体" w:eastAsia="宋体" w:cs="宋体"/>
          <w:spacing w:val="-1"/>
          <w:sz w:val="21"/>
          <w:szCs w:val="21"/>
        </w:rPr>
        <w:t>提供基础资料</w:t>
      </w:r>
    </w:p>
    <w:p w14:paraId="41BBD154">
      <w:pPr>
        <w:spacing w:before="132" w:line="352" w:lineRule="auto"/>
        <w:ind w:left="3" w:firstLine="423"/>
        <w:rPr>
          <w:rFonts w:ascii="宋体" w:hAnsi="宋体" w:eastAsia="宋体" w:cs="宋体"/>
          <w:sz w:val="21"/>
          <w:szCs w:val="21"/>
        </w:rPr>
      </w:pPr>
      <w:r>
        <w:rPr>
          <w:rFonts w:ascii="宋体" w:hAnsi="宋体" w:eastAsia="宋体" w:cs="宋体"/>
          <w:sz w:val="21"/>
          <w:szCs w:val="21"/>
        </w:rPr>
        <w:t>发包人应当在移交施工现场前向承包人提供施工现场及工程施工所必需的毗</w:t>
      </w:r>
      <w:r>
        <w:rPr>
          <w:rFonts w:ascii="宋体" w:hAnsi="宋体" w:eastAsia="宋体" w:cs="宋体"/>
          <w:spacing w:val="-1"/>
          <w:sz w:val="21"/>
          <w:szCs w:val="21"/>
        </w:rPr>
        <w:t>邻区域内供水、</w:t>
      </w:r>
      <w:r>
        <w:rPr>
          <w:rFonts w:ascii="宋体" w:hAnsi="宋体" w:eastAsia="宋体" w:cs="宋体"/>
          <w:sz w:val="21"/>
          <w:szCs w:val="21"/>
        </w:rPr>
        <w:t>排水、供电、供气、供热、通信、广播电视等地下管线资料，气象和水文观测资料，地质</w:t>
      </w:r>
      <w:r>
        <w:rPr>
          <w:rFonts w:ascii="宋体" w:hAnsi="宋体" w:eastAsia="宋体" w:cs="宋体"/>
          <w:spacing w:val="-1"/>
          <w:sz w:val="21"/>
          <w:szCs w:val="21"/>
        </w:rPr>
        <w:t>勘察资</w:t>
      </w:r>
      <w:r>
        <w:rPr>
          <w:rFonts w:ascii="宋体" w:hAnsi="宋体" w:eastAsia="宋体" w:cs="宋体"/>
          <w:sz w:val="21"/>
          <w:szCs w:val="21"/>
        </w:rPr>
        <w:t>料，相邻建筑物、构筑物和地下工程等有关基础资料，并对所提供资料的真实性、准确性</w:t>
      </w:r>
      <w:r>
        <w:rPr>
          <w:rFonts w:ascii="宋体" w:hAnsi="宋体" w:eastAsia="宋体" w:cs="宋体"/>
          <w:spacing w:val="-1"/>
          <w:sz w:val="21"/>
          <w:szCs w:val="21"/>
        </w:rPr>
        <w:t>和完整</w:t>
      </w:r>
      <w:r>
        <w:rPr>
          <w:rFonts w:ascii="宋体" w:hAnsi="宋体" w:eastAsia="宋体" w:cs="宋体"/>
          <w:spacing w:val="-2"/>
          <w:sz w:val="21"/>
          <w:szCs w:val="21"/>
        </w:rPr>
        <w:t>性负责。</w:t>
      </w:r>
    </w:p>
    <w:p w14:paraId="48C879FE">
      <w:pPr>
        <w:spacing w:line="351" w:lineRule="auto"/>
        <w:ind w:left="7" w:firstLine="418"/>
        <w:rPr>
          <w:rFonts w:ascii="宋体" w:hAnsi="宋体" w:eastAsia="宋体" w:cs="宋体"/>
          <w:sz w:val="21"/>
          <w:szCs w:val="21"/>
        </w:rPr>
      </w:pPr>
      <w:r>
        <w:rPr>
          <w:rFonts w:ascii="宋体" w:hAnsi="宋体" w:eastAsia="宋体" w:cs="宋体"/>
          <w:sz w:val="21"/>
          <w:szCs w:val="21"/>
        </w:rPr>
        <w:t>按照法律规定确需在开工后方能提供的基础资料，发包人应尽其努力及时地在相</w:t>
      </w:r>
      <w:r>
        <w:rPr>
          <w:rFonts w:ascii="宋体" w:hAnsi="宋体" w:eastAsia="宋体" w:cs="宋体"/>
          <w:spacing w:val="-1"/>
          <w:sz w:val="21"/>
          <w:szCs w:val="21"/>
        </w:rPr>
        <w:t>应工程施工</w:t>
      </w:r>
      <w:r>
        <w:rPr>
          <w:rFonts w:ascii="宋体" w:hAnsi="宋体" w:eastAsia="宋体" w:cs="宋体"/>
          <w:sz w:val="21"/>
          <w:szCs w:val="21"/>
        </w:rPr>
        <w:t>前的合理期限内提供，合理期限应以不影响承包人的正</w:t>
      </w:r>
      <w:r>
        <w:rPr>
          <w:rFonts w:ascii="宋体" w:hAnsi="宋体" w:eastAsia="宋体" w:cs="宋体"/>
          <w:spacing w:val="-1"/>
          <w:sz w:val="21"/>
          <w:szCs w:val="21"/>
        </w:rPr>
        <w:t>常施工为限。</w:t>
      </w:r>
    </w:p>
    <w:p w14:paraId="6D9F5517">
      <w:pPr>
        <w:spacing w:before="1" w:line="233"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2.4.4  </w:t>
      </w:r>
      <w:r>
        <w:rPr>
          <w:rFonts w:ascii="宋体" w:hAnsi="宋体" w:eastAsia="宋体" w:cs="宋体"/>
          <w:spacing w:val="-1"/>
          <w:sz w:val="21"/>
          <w:szCs w:val="21"/>
        </w:rPr>
        <w:t>逾期提供的责任</w:t>
      </w:r>
    </w:p>
    <w:p w14:paraId="110F770C">
      <w:pPr>
        <w:spacing w:before="134" w:line="341" w:lineRule="auto"/>
        <w:ind w:left="5" w:firstLine="434"/>
        <w:rPr>
          <w:rFonts w:ascii="宋体" w:hAnsi="宋体" w:eastAsia="宋体" w:cs="宋体"/>
          <w:sz w:val="21"/>
          <w:szCs w:val="21"/>
        </w:rPr>
      </w:pPr>
      <w:r>
        <w:rPr>
          <w:rFonts w:ascii="宋体" w:hAnsi="宋体" w:eastAsia="宋体" w:cs="宋体"/>
          <w:sz w:val="21"/>
          <w:szCs w:val="21"/>
        </w:rPr>
        <w:t>因发包人原因未能按合同约定及时向承包人提</w:t>
      </w:r>
      <w:r>
        <w:rPr>
          <w:rFonts w:ascii="宋体" w:hAnsi="宋体" w:eastAsia="宋体" w:cs="宋体"/>
          <w:spacing w:val="-1"/>
          <w:sz w:val="21"/>
          <w:szCs w:val="21"/>
        </w:rPr>
        <w:t>供施工现场、施工条件、基础资料的，由发包</w:t>
      </w:r>
      <w:r>
        <w:rPr>
          <w:rFonts w:ascii="宋体" w:hAnsi="宋体" w:eastAsia="宋体" w:cs="宋体"/>
          <w:spacing w:val="-2"/>
          <w:sz w:val="21"/>
          <w:szCs w:val="21"/>
        </w:rPr>
        <w:t>人承担由此增加的费用和（或）延误的工期。</w:t>
      </w:r>
    </w:p>
    <w:p w14:paraId="0B8C1BA6">
      <w:pPr>
        <w:spacing w:before="2" w:line="231" w:lineRule="auto"/>
        <w:ind w:left="1"/>
        <w:outlineLvl w:val="2"/>
        <w:rPr>
          <w:rFonts w:ascii="黑体" w:hAnsi="黑体" w:eastAsia="黑体" w:cs="黑体"/>
          <w:sz w:val="24"/>
          <w:szCs w:val="24"/>
        </w:rPr>
      </w:pPr>
      <w:bookmarkStart w:id="219" w:name="bookmark165"/>
      <w:bookmarkEnd w:id="219"/>
      <w:r>
        <w:rPr>
          <w:rFonts w:ascii="Times New Roman" w:hAnsi="Times New Roman" w:eastAsia="Times New Roman" w:cs="Times New Roman"/>
          <w:b/>
          <w:bCs/>
          <w:spacing w:val="-2"/>
          <w:sz w:val="24"/>
          <w:szCs w:val="24"/>
        </w:rPr>
        <w:t xml:space="preserve">2.5  </w:t>
      </w:r>
      <w:r>
        <w:rPr>
          <w:rFonts w:ascii="黑体" w:hAnsi="黑体" w:eastAsia="黑体" w:cs="黑体"/>
          <w:b/>
          <w:bCs/>
          <w:spacing w:val="-2"/>
          <w:sz w:val="24"/>
          <w:szCs w:val="24"/>
        </w:rPr>
        <w:t>资金来源证明及支付担保</w:t>
      </w:r>
    </w:p>
    <w:p w14:paraId="632EF431">
      <w:pPr>
        <w:spacing w:before="124" w:line="351" w:lineRule="auto"/>
        <w:ind w:right="1" w:firstLine="436"/>
        <w:rPr>
          <w:rFonts w:ascii="宋体" w:hAnsi="宋体" w:eastAsia="宋体" w:cs="宋体"/>
          <w:sz w:val="21"/>
          <w:szCs w:val="21"/>
        </w:rPr>
      </w:pPr>
      <w:r>
        <w:rPr>
          <w:rFonts w:ascii="宋体" w:hAnsi="宋体" w:eastAsia="宋体" w:cs="宋体"/>
          <w:spacing w:val="5"/>
          <w:sz w:val="21"/>
          <w:szCs w:val="21"/>
        </w:rPr>
        <w:t>除专用合同条款另有约定外，发包人应在收到承包人要求提供资金来源证明的书面通</w:t>
      </w:r>
      <w:r>
        <w:rPr>
          <w:rFonts w:ascii="宋体" w:hAnsi="宋体" w:eastAsia="宋体" w:cs="宋体"/>
          <w:spacing w:val="4"/>
          <w:sz w:val="21"/>
          <w:szCs w:val="21"/>
        </w:rPr>
        <w:t>知后</w:t>
      </w:r>
      <w:r>
        <w:rPr>
          <w:rFonts w:ascii="Times New Roman" w:hAnsi="Times New Roman" w:eastAsia="Times New Roman" w:cs="Times New Roman"/>
          <w:sz w:val="21"/>
          <w:szCs w:val="21"/>
        </w:rPr>
        <w:t xml:space="preserve">28 </w:t>
      </w:r>
      <w:r>
        <w:rPr>
          <w:rFonts w:ascii="宋体" w:hAnsi="宋体" w:eastAsia="宋体" w:cs="宋体"/>
          <w:sz w:val="21"/>
          <w:szCs w:val="21"/>
        </w:rPr>
        <w:t>天内，向承包人提供能够按照合同约定支付合同价款的相应资金来源证明。</w:t>
      </w:r>
    </w:p>
    <w:p w14:paraId="7CC0B644">
      <w:pPr>
        <w:spacing w:before="2" w:line="344" w:lineRule="auto"/>
        <w:ind w:left="4" w:firstLine="431"/>
        <w:jc w:val="both"/>
        <w:rPr>
          <w:rFonts w:ascii="宋体" w:hAnsi="宋体" w:eastAsia="宋体" w:cs="宋体"/>
          <w:sz w:val="21"/>
          <w:szCs w:val="21"/>
        </w:rPr>
      </w:pPr>
      <w:r>
        <w:rPr>
          <w:rFonts w:ascii="宋体" w:hAnsi="宋体" w:eastAsia="宋体" w:cs="宋体"/>
          <w:sz w:val="21"/>
          <w:szCs w:val="21"/>
        </w:rPr>
        <w:t>除专用合同条款另有约定外，发包人要求承包人提供履</w:t>
      </w:r>
      <w:r>
        <w:rPr>
          <w:rFonts w:ascii="宋体" w:hAnsi="宋体" w:eastAsia="宋体" w:cs="宋体"/>
          <w:spacing w:val="-1"/>
          <w:sz w:val="21"/>
          <w:szCs w:val="21"/>
        </w:rPr>
        <w:t>约担保的，发包人应当向承包人提供</w:t>
      </w:r>
      <w:r>
        <w:rPr>
          <w:rFonts w:ascii="宋体" w:hAnsi="宋体" w:eastAsia="宋体" w:cs="宋体"/>
          <w:sz w:val="21"/>
          <w:szCs w:val="21"/>
        </w:rPr>
        <w:t>支付担保。支付担保可以采用银行保函或担保公司担保等形式，具体由合同当事人在专</w:t>
      </w:r>
      <w:r>
        <w:rPr>
          <w:rFonts w:ascii="宋体" w:hAnsi="宋体" w:eastAsia="宋体" w:cs="宋体"/>
          <w:spacing w:val="-1"/>
          <w:sz w:val="21"/>
          <w:szCs w:val="21"/>
        </w:rPr>
        <w:t>用合同条</w:t>
      </w:r>
      <w:r>
        <w:rPr>
          <w:rFonts w:ascii="宋体" w:hAnsi="宋体" w:eastAsia="宋体" w:cs="宋体"/>
          <w:spacing w:val="-5"/>
          <w:sz w:val="21"/>
          <w:szCs w:val="21"/>
        </w:rPr>
        <w:t>款中约定。</w:t>
      </w:r>
    </w:p>
    <w:p w14:paraId="3AD858CE">
      <w:pPr>
        <w:spacing w:before="1" w:line="232" w:lineRule="auto"/>
        <w:ind w:left="1"/>
        <w:outlineLvl w:val="2"/>
        <w:rPr>
          <w:rFonts w:ascii="黑体" w:hAnsi="黑体" w:eastAsia="黑体" w:cs="黑体"/>
          <w:sz w:val="24"/>
          <w:szCs w:val="24"/>
        </w:rPr>
      </w:pPr>
      <w:bookmarkStart w:id="220" w:name="bookmark166"/>
      <w:bookmarkEnd w:id="220"/>
      <w:r>
        <w:rPr>
          <w:rFonts w:ascii="Times New Roman" w:hAnsi="Times New Roman" w:eastAsia="Times New Roman" w:cs="Times New Roman"/>
          <w:b/>
          <w:bCs/>
          <w:spacing w:val="-4"/>
          <w:sz w:val="24"/>
          <w:szCs w:val="24"/>
        </w:rPr>
        <w:t>2.6</w:t>
      </w:r>
      <w:r>
        <w:rPr>
          <w:rFonts w:ascii="Times New Roman" w:hAnsi="Times New Roman" w:eastAsia="Times New Roman" w:cs="Times New Roman"/>
          <w:b/>
          <w:bCs/>
          <w:spacing w:val="10"/>
          <w:sz w:val="24"/>
          <w:szCs w:val="24"/>
        </w:rPr>
        <w:t xml:space="preserve">  </w:t>
      </w:r>
      <w:r>
        <w:rPr>
          <w:rFonts w:ascii="黑体" w:hAnsi="黑体" w:eastAsia="黑体" w:cs="黑体"/>
          <w:b/>
          <w:bCs/>
          <w:spacing w:val="-4"/>
          <w:sz w:val="24"/>
          <w:szCs w:val="24"/>
        </w:rPr>
        <w:t>支付合同价款</w:t>
      </w:r>
    </w:p>
    <w:p w14:paraId="75D1BC25">
      <w:pPr>
        <w:spacing w:before="123" w:line="219" w:lineRule="auto"/>
        <w:ind w:left="427"/>
        <w:rPr>
          <w:rFonts w:ascii="宋体" w:hAnsi="宋体" w:eastAsia="宋体" w:cs="宋体"/>
          <w:sz w:val="21"/>
          <w:szCs w:val="21"/>
        </w:rPr>
      </w:pPr>
      <w:r>
        <w:rPr>
          <w:rFonts w:ascii="宋体" w:hAnsi="宋体" w:eastAsia="宋体" w:cs="宋体"/>
          <w:spacing w:val="-1"/>
          <w:sz w:val="21"/>
          <w:szCs w:val="21"/>
        </w:rPr>
        <w:t>发包人应按合同约定向承包人及时支付合同价款。</w:t>
      </w:r>
    </w:p>
    <w:p w14:paraId="62ADE2B1">
      <w:pPr>
        <w:spacing w:before="127" w:line="232" w:lineRule="auto"/>
        <w:ind w:left="1"/>
        <w:outlineLvl w:val="2"/>
        <w:rPr>
          <w:rFonts w:ascii="黑体" w:hAnsi="黑体" w:eastAsia="黑体" w:cs="黑体"/>
          <w:sz w:val="24"/>
          <w:szCs w:val="24"/>
        </w:rPr>
      </w:pPr>
      <w:bookmarkStart w:id="221" w:name="bookmark167"/>
      <w:bookmarkEnd w:id="221"/>
      <w:r>
        <w:rPr>
          <w:rFonts w:ascii="Times New Roman" w:hAnsi="Times New Roman" w:eastAsia="Times New Roman" w:cs="Times New Roman"/>
          <w:b/>
          <w:bCs/>
          <w:spacing w:val="-2"/>
          <w:sz w:val="24"/>
          <w:szCs w:val="24"/>
        </w:rPr>
        <w:t xml:space="preserve">2.7  </w:t>
      </w:r>
      <w:r>
        <w:rPr>
          <w:rFonts w:ascii="黑体" w:hAnsi="黑体" w:eastAsia="黑体" w:cs="黑体"/>
          <w:b/>
          <w:bCs/>
          <w:spacing w:val="-2"/>
          <w:sz w:val="24"/>
          <w:szCs w:val="24"/>
        </w:rPr>
        <w:t>组织竣工验收</w:t>
      </w:r>
    </w:p>
    <w:p w14:paraId="0E344702">
      <w:pPr>
        <w:spacing w:before="121" w:line="221" w:lineRule="auto"/>
        <w:ind w:left="427"/>
        <w:rPr>
          <w:rFonts w:ascii="宋体" w:hAnsi="宋体" w:eastAsia="宋体" w:cs="宋体"/>
          <w:sz w:val="21"/>
          <w:szCs w:val="21"/>
        </w:rPr>
      </w:pPr>
      <w:r>
        <w:rPr>
          <w:rFonts w:ascii="宋体" w:hAnsi="宋体" w:eastAsia="宋体" w:cs="宋体"/>
          <w:spacing w:val="-2"/>
          <w:sz w:val="21"/>
          <w:szCs w:val="21"/>
        </w:rPr>
        <w:t>发包人应按合同约定及时组织竣工验收。</w:t>
      </w:r>
    </w:p>
    <w:p w14:paraId="1D3713BA">
      <w:pPr>
        <w:spacing w:line="221" w:lineRule="auto"/>
        <w:rPr>
          <w:rFonts w:ascii="宋体" w:hAnsi="宋体" w:eastAsia="宋体" w:cs="宋体"/>
          <w:sz w:val="21"/>
          <w:szCs w:val="21"/>
        </w:rPr>
        <w:sectPr>
          <w:footerReference r:id="rId94" w:type="default"/>
          <w:pgSz w:w="11905" w:h="16843"/>
          <w:pgMar w:top="969" w:right="1355" w:bottom="1026" w:left="1480" w:header="0" w:footer="754" w:gutter="0"/>
          <w:cols w:space="0" w:num="1"/>
          <w:rtlGutter w:val="0"/>
          <w:docGrid w:linePitch="0" w:charSpace="0"/>
        </w:sectPr>
      </w:pPr>
    </w:p>
    <w:p w14:paraId="5C5A135F">
      <w:pPr>
        <w:pStyle w:val="5"/>
        <w:spacing w:line="261" w:lineRule="auto"/>
      </w:pPr>
    </w:p>
    <w:p w14:paraId="5492FFDC">
      <w:pPr>
        <w:pStyle w:val="5"/>
        <w:spacing w:line="262" w:lineRule="auto"/>
      </w:pPr>
    </w:p>
    <w:p w14:paraId="2253927D">
      <w:pPr>
        <w:pStyle w:val="5"/>
        <w:spacing w:line="262" w:lineRule="auto"/>
      </w:pPr>
    </w:p>
    <w:p w14:paraId="70B73B45">
      <w:pPr>
        <w:pStyle w:val="5"/>
        <w:spacing w:line="262" w:lineRule="auto"/>
      </w:pPr>
    </w:p>
    <w:p w14:paraId="509CF29C">
      <w:pPr>
        <w:spacing w:before="78" w:line="232" w:lineRule="auto"/>
        <w:ind w:left="1"/>
        <w:outlineLvl w:val="2"/>
        <w:rPr>
          <w:rFonts w:ascii="黑体" w:hAnsi="黑体" w:eastAsia="黑体" w:cs="黑体"/>
          <w:sz w:val="24"/>
          <w:szCs w:val="24"/>
        </w:rPr>
      </w:pPr>
      <w:bookmarkStart w:id="222" w:name="bookmark547"/>
      <w:bookmarkEnd w:id="222"/>
      <w:bookmarkStart w:id="223" w:name="bookmark168"/>
      <w:bookmarkEnd w:id="223"/>
      <w:r>
        <w:rPr>
          <w:rFonts w:ascii="Times New Roman" w:hAnsi="Times New Roman" w:eastAsia="Times New Roman" w:cs="Times New Roman"/>
          <w:b/>
          <w:bCs/>
          <w:spacing w:val="-2"/>
          <w:sz w:val="24"/>
          <w:szCs w:val="24"/>
        </w:rPr>
        <w:t xml:space="preserve">2.8  </w:t>
      </w:r>
      <w:r>
        <w:rPr>
          <w:rFonts w:ascii="黑体" w:hAnsi="黑体" w:eastAsia="黑体" w:cs="黑体"/>
          <w:b/>
          <w:bCs/>
          <w:spacing w:val="-2"/>
          <w:sz w:val="24"/>
          <w:szCs w:val="24"/>
        </w:rPr>
        <w:t>现场统一管理协议</w:t>
      </w:r>
    </w:p>
    <w:p w14:paraId="2D957A91">
      <w:pPr>
        <w:spacing w:before="123" w:line="354" w:lineRule="auto"/>
        <w:ind w:left="4" w:right="153" w:firstLine="423"/>
        <w:rPr>
          <w:rFonts w:ascii="宋体" w:hAnsi="宋体" w:eastAsia="宋体" w:cs="宋体"/>
          <w:sz w:val="21"/>
          <w:szCs w:val="21"/>
        </w:rPr>
      </w:pPr>
      <w:r>
        <w:rPr>
          <w:rFonts w:ascii="宋体" w:hAnsi="宋体" w:eastAsia="宋体" w:cs="宋体"/>
          <w:sz w:val="21"/>
          <w:szCs w:val="21"/>
        </w:rPr>
        <w:t>发包人应与承包人、由发包人直接发包的专业工程的承包人签订施工现场统</w:t>
      </w:r>
      <w:r>
        <w:rPr>
          <w:rFonts w:ascii="宋体" w:hAnsi="宋体" w:eastAsia="宋体" w:cs="宋体"/>
          <w:spacing w:val="-1"/>
          <w:sz w:val="21"/>
          <w:szCs w:val="21"/>
        </w:rPr>
        <w:t>一管理协议，明确各方的权利义务。施工现场统一管理协议作为专用合同条款的附件。</w:t>
      </w:r>
    </w:p>
    <w:p w14:paraId="0BB3A780">
      <w:pPr>
        <w:spacing w:before="34" w:line="234" w:lineRule="auto"/>
        <w:outlineLvl w:val="1"/>
        <w:rPr>
          <w:rFonts w:ascii="黑体" w:hAnsi="黑体" w:eastAsia="黑体" w:cs="黑体"/>
          <w:sz w:val="28"/>
          <w:szCs w:val="28"/>
        </w:rPr>
      </w:pPr>
      <w:bookmarkStart w:id="224" w:name="bookmark169"/>
      <w:bookmarkEnd w:id="224"/>
      <w:r>
        <w:rPr>
          <w:rFonts w:ascii="Times New Roman" w:hAnsi="Times New Roman" w:eastAsia="Times New Roman" w:cs="Times New Roman"/>
          <w:b/>
          <w:bCs/>
          <w:spacing w:val="-2"/>
          <w:sz w:val="28"/>
          <w:szCs w:val="28"/>
        </w:rPr>
        <w:t xml:space="preserve">3.  </w:t>
      </w:r>
      <w:r>
        <w:rPr>
          <w:rFonts w:ascii="黑体" w:hAnsi="黑体" w:eastAsia="黑体" w:cs="黑体"/>
          <w:b/>
          <w:bCs/>
          <w:spacing w:val="-2"/>
          <w:sz w:val="28"/>
          <w:szCs w:val="28"/>
        </w:rPr>
        <w:t>承包人</w:t>
      </w:r>
    </w:p>
    <w:p w14:paraId="5737C29F">
      <w:pPr>
        <w:spacing w:before="81" w:line="232" w:lineRule="auto"/>
        <w:outlineLvl w:val="2"/>
        <w:rPr>
          <w:rFonts w:ascii="黑体" w:hAnsi="黑体" w:eastAsia="黑体" w:cs="黑体"/>
          <w:sz w:val="24"/>
          <w:szCs w:val="24"/>
        </w:rPr>
      </w:pPr>
      <w:bookmarkStart w:id="225" w:name="bookmark170"/>
      <w:bookmarkEnd w:id="225"/>
      <w:r>
        <w:rPr>
          <w:rFonts w:ascii="Times New Roman" w:hAnsi="Times New Roman" w:eastAsia="Times New Roman" w:cs="Times New Roman"/>
          <w:b/>
          <w:bCs/>
          <w:spacing w:val="-2"/>
          <w:sz w:val="24"/>
          <w:szCs w:val="24"/>
        </w:rPr>
        <w:t xml:space="preserve">3.1  </w:t>
      </w:r>
      <w:r>
        <w:rPr>
          <w:rFonts w:ascii="黑体" w:hAnsi="黑体" w:eastAsia="黑体" w:cs="黑体"/>
          <w:b/>
          <w:bCs/>
          <w:spacing w:val="-2"/>
          <w:sz w:val="24"/>
          <w:szCs w:val="24"/>
        </w:rPr>
        <w:t>承包人的一般义务</w:t>
      </w:r>
    </w:p>
    <w:p w14:paraId="42C04643">
      <w:pPr>
        <w:spacing w:before="121" w:line="221" w:lineRule="auto"/>
        <w:ind w:left="424"/>
        <w:rPr>
          <w:rFonts w:ascii="宋体" w:hAnsi="宋体" w:eastAsia="宋体" w:cs="宋体"/>
          <w:sz w:val="21"/>
          <w:szCs w:val="21"/>
        </w:rPr>
      </w:pPr>
      <w:r>
        <w:rPr>
          <w:rFonts w:ascii="宋体" w:hAnsi="宋体" w:eastAsia="宋体" w:cs="宋体"/>
          <w:sz w:val="21"/>
          <w:szCs w:val="21"/>
        </w:rPr>
        <w:t>承包人在履行合同过程中应遵守法律和工程建设标准规范，并履行以下</w:t>
      </w:r>
      <w:r>
        <w:rPr>
          <w:rFonts w:ascii="宋体" w:hAnsi="宋体" w:eastAsia="宋体" w:cs="宋体"/>
          <w:spacing w:val="-1"/>
          <w:sz w:val="21"/>
          <w:szCs w:val="21"/>
        </w:rPr>
        <w:t>义务：</w:t>
      </w:r>
    </w:p>
    <w:p w14:paraId="66C73C44">
      <w:pPr>
        <w:spacing w:before="149" w:line="234" w:lineRule="auto"/>
        <w:ind w:left="43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）办理法律规定应由承包人办理的许可和批准，并将办理结果书面报送发包人留存；</w:t>
      </w:r>
    </w:p>
    <w:p w14:paraId="340C13A9">
      <w:pPr>
        <w:spacing w:before="136" w:line="234" w:lineRule="auto"/>
        <w:ind w:left="430"/>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）按法律规定和合同约定完成工程，并在</w:t>
      </w:r>
      <w:r>
        <w:rPr>
          <w:rFonts w:ascii="宋体" w:hAnsi="宋体" w:eastAsia="宋体" w:cs="宋体"/>
          <w:spacing w:val="-1"/>
          <w:sz w:val="21"/>
          <w:szCs w:val="21"/>
        </w:rPr>
        <w:t>保修期内承担保修义务；</w:t>
      </w:r>
    </w:p>
    <w:p w14:paraId="5E0BEE4C">
      <w:pPr>
        <w:spacing w:before="132" w:line="286" w:lineRule="auto"/>
        <w:ind w:left="12" w:right="170" w:firstLine="41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）按法律规定和合同约定采取施工安全和环境保护措施，办理工伤保险，确保工程</w:t>
      </w:r>
      <w:r>
        <w:rPr>
          <w:rFonts w:ascii="宋体" w:hAnsi="宋体" w:eastAsia="宋体" w:cs="宋体"/>
          <w:spacing w:val="1"/>
          <w:sz w:val="21"/>
          <w:szCs w:val="21"/>
        </w:rPr>
        <w:t>及人</w:t>
      </w:r>
      <w:r>
        <w:rPr>
          <w:rFonts w:ascii="宋体" w:hAnsi="宋体" w:eastAsia="宋体" w:cs="宋体"/>
          <w:spacing w:val="-4"/>
          <w:sz w:val="21"/>
          <w:szCs w:val="21"/>
        </w:rPr>
        <w:t>员、材料、设备和设施的安全；</w:t>
      </w:r>
    </w:p>
    <w:p w14:paraId="3EC833E4">
      <w:pPr>
        <w:spacing w:before="152" w:line="285" w:lineRule="auto"/>
        <w:ind w:left="5" w:right="168"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）按合同约定的工作内容和施工进度要求，编制施工组织设计和施工措施计划，并对所</w:t>
      </w:r>
      <w:r>
        <w:rPr>
          <w:rFonts w:ascii="宋体" w:hAnsi="宋体" w:eastAsia="宋体" w:cs="宋体"/>
          <w:spacing w:val="-1"/>
          <w:sz w:val="21"/>
          <w:szCs w:val="21"/>
        </w:rPr>
        <w:t>有施工作业和施工方法的完备性和安全可靠性负责；</w:t>
      </w:r>
    </w:p>
    <w:p w14:paraId="03DE248F">
      <w:pPr>
        <w:spacing w:before="149" w:line="308" w:lineRule="auto"/>
        <w:ind w:left="15" w:right="153" w:firstLine="41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）在进行合同约定的各项工作时，不得侵害发包人与他人使用公用道路、水源、市政管</w:t>
      </w:r>
      <w:r>
        <w:rPr>
          <w:rFonts w:ascii="宋体" w:hAnsi="宋体" w:eastAsia="宋体" w:cs="宋体"/>
          <w:sz w:val="21"/>
          <w:szCs w:val="21"/>
        </w:rPr>
        <w:t>网等公共设施的权利，避免对邻近的公共设施产生干扰。承包人</w:t>
      </w:r>
      <w:r>
        <w:rPr>
          <w:rFonts w:ascii="宋体" w:hAnsi="宋体" w:eastAsia="宋体" w:cs="宋体"/>
          <w:spacing w:val="-1"/>
          <w:sz w:val="21"/>
          <w:szCs w:val="21"/>
        </w:rPr>
        <w:t>占用或使用他人的施工场地，影</w:t>
      </w:r>
      <w:r>
        <w:rPr>
          <w:rFonts w:ascii="宋体" w:hAnsi="宋体" w:eastAsia="宋体" w:cs="宋体"/>
          <w:spacing w:val="-3"/>
          <w:sz w:val="21"/>
          <w:szCs w:val="21"/>
        </w:rPr>
        <w:t>响他人作业或生活的，应承担相应责任；</w:t>
      </w:r>
    </w:p>
    <w:p w14:paraId="7F111D6B">
      <w:pPr>
        <w:spacing w:before="150" w:line="234" w:lineRule="auto"/>
        <w:ind w:left="430"/>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）按照第</w:t>
      </w:r>
      <w:r>
        <w:rPr>
          <w:rFonts w:ascii="宋体" w:hAnsi="宋体" w:eastAsia="宋体" w:cs="宋体"/>
          <w:spacing w:val="-43"/>
          <w:sz w:val="21"/>
          <w:szCs w:val="21"/>
        </w:rPr>
        <w:t xml:space="preserve"> </w:t>
      </w:r>
      <w:r>
        <w:rPr>
          <w:rFonts w:ascii="Times New Roman" w:hAnsi="Times New Roman" w:eastAsia="Times New Roman" w:cs="Times New Roman"/>
          <w:sz w:val="21"/>
          <w:szCs w:val="21"/>
        </w:rPr>
        <w:t xml:space="preserve">6.3 </w:t>
      </w:r>
      <w:r>
        <w:rPr>
          <w:rFonts w:ascii="宋体" w:hAnsi="宋体" w:eastAsia="宋体" w:cs="宋体"/>
          <w:sz w:val="21"/>
          <w:szCs w:val="21"/>
        </w:rPr>
        <w:t>款〔环境保护〕约定负责</w:t>
      </w:r>
      <w:r>
        <w:rPr>
          <w:rFonts w:ascii="宋体" w:hAnsi="宋体" w:eastAsia="宋体" w:cs="宋体"/>
          <w:spacing w:val="-1"/>
          <w:sz w:val="21"/>
          <w:szCs w:val="21"/>
        </w:rPr>
        <w:t>施工场地及其周边环境与生态的保护工作；</w:t>
      </w:r>
    </w:p>
    <w:p w14:paraId="7488FE23">
      <w:pPr>
        <w:spacing w:before="136" w:line="285" w:lineRule="auto"/>
        <w:ind w:left="6" w:right="156" w:firstLine="423"/>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 xml:space="preserve">）按第 </w:t>
      </w:r>
      <w:r>
        <w:rPr>
          <w:rFonts w:ascii="Times New Roman" w:hAnsi="Times New Roman" w:eastAsia="Times New Roman" w:cs="Times New Roman"/>
          <w:spacing w:val="1"/>
          <w:sz w:val="21"/>
          <w:szCs w:val="21"/>
        </w:rPr>
        <w:t xml:space="preserve">6.1  </w:t>
      </w:r>
      <w:r>
        <w:rPr>
          <w:rFonts w:ascii="宋体" w:hAnsi="宋体" w:eastAsia="宋体" w:cs="宋体"/>
          <w:spacing w:val="1"/>
          <w:sz w:val="21"/>
          <w:szCs w:val="21"/>
        </w:rPr>
        <w:t>款〔安全文明施工〕约定采取施工安全措施，确保工程及其人员</w:t>
      </w:r>
      <w:r>
        <w:rPr>
          <w:rFonts w:ascii="宋体" w:hAnsi="宋体" w:eastAsia="宋体" w:cs="宋体"/>
          <w:sz w:val="21"/>
          <w:szCs w:val="21"/>
        </w:rPr>
        <w:t>、材料、设备和设施的安全，防止因工程施工造成的人身伤害和</w:t>
      </w:r>
      <w:r>
        <w:rPr>
          <w:rFonts w:ascii="宋体" w:hAnsi="宋体" w:eastAsia="宋体" w:cs="宋体"/>
          <w:spacing w:val="-1"/>
          <w:sz w:val="21"/>
          <w:szCs w:val="21"/>
        </w:rPr>
        <w:t>财产损失；</w:t>
      </w:r>
    </w:p>
    <w:p w14:paraId="44522E6D">
      <w:pPr>
        <w:spacing w:before="149" w:line="286" w:lineRule="auto"/>
        <w:ind w:left="9" w:firstLine="421"/>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）将发包人按合同约定支付的各项价款专用于合同工程，且应及时支付其雇用人员</w:t>
      </w:r>
      <w:r>
        <w:rPr>
          <w:rFonts w:ascii="宋体" w:hAnsi="宋体" w:eastAsia="宋体" w:cs="宋体"/>
          <w:sz w:val="21"/>
          <w:szCs w:val="21"/>
        </w:rPr>
        <w:t>工资，</w:t>
      </w:r>
      <w:r>
        <w:rPr>
          <w:rFonts w:ascii="宋体" w:hAnsi="宋体" w:eastAsia="宋体" w:cs="宋体"/>
          <w:spacing w:val="-3"/>
          <w:sz w:val="21"/>
          <w:szCs w:val="21"/>
        </w:rPr>
        <w:t>并及时向分包人支付合同价款；</w:t>
      </w:r>
    </w:p>
    <w:p w14:paraId="0F58353D">
      <w:pPr>
        <w:spacing w:before="150" w:line="286" w:lineRule="auto"/>
        <w:ind w:left="5" w:right="170"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9</w:t>
      </w:r>
      <w:r>
        <w:rPr>
          <w:rFonts w:ascii="宋体" w:hAnsi="宋体" w:eastAsia="宋体" w:cs="宋体"/>
          <w:spacing w:val="2"/>
          <w:sz w:val="21"/>
          <w:szCs w:val="21"/>
        </w:rPr>
        <w:t>）按照法律规定和合同约定编制竣工资料，完成竣工资料立卷及归档，并按专用合</w:t>
      </w:r>
      <w:r>
        <w:rPr>
          <w:rFonts w:ascii="宋体" w:hAnsi="宋体" w:eastAsia="宋体" w:cs="宋体"/>
          <w:spacing w:val="1"/>
          <w:sz w:val="21"/>
          <w:szCs w:val="21"/>
        </w:rPr>
        <w:t>同条</w:t>
      </w:r>
      <w:r>
        <w:rPr>
          <w:rFonts w:ascii="宋体" w:hAnsi="宋体" w:eastAsia="宋体" w:cs="宋体"/>
          <w:sz w:val="21"/>
          <w:szCs w:val="21"/>
        </w:rPr>
        <w:t>款约定的竣工资料的套数、内容、时间等要求移交</w:t>
      </w:r>
      <w:r>
        <w:rPr>
          <w:rFonts w:ascii="宋体" w:hAnsi="宋体" w:eastAsia="宋体" w:cs="宋体"/>
          <w:spacing w:val="-1"/>
          <w:sz w:val="21"/>
          <w:szCs w:val="21"/>
        </w:rPr>
        <w:t>发包人；</w:t>
      </w:r>
    </w:p>
    <w:p w14:paraId="7C622C6D">
      <w:pPr>
        <w:spacing w:before="151" w:line="234" w:lineRule="auto"/>
        <w:ind w:left="43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10</w:t>
      </w:r>
      <w:r>
        <w:rPr>
          <w:rFonts w:ascii="宋体" w:hAnsi="宋体" w:eastAsia="宋体" w:cs="宋体"/>
          <w:spacing w:val="-1"/>
          <w:sz w:val="21"/>
          <w:szCs w:val="21"/>
        </w:rPr>
        <w:t>）应履行的其他义务。</w:t>
      </w:r>
    </w:p>
    <w:p w14:paraId="314D8444">
      <w:pPr>
        <w:spacing w:before="106" w:line="233" w:lineRule="auto"/>
        <w:outlineLvl w:val="2"/>
        <w:rPr>
          <w:rFonts w:ascii="黑体" w:hAnsi="黑体" w:eastAsia="黑体" w:cs="黑体"/>
          <w:sz w:val="24"/>
          <w:szCs w:val="24"/>
        </w:rPr>
      </w:pPr>
      <w:bookmarkStart w:id="226" w:name="bookmark171"/>
      <w:bookmarkEnd w:id="226"/>
      <w:r>
        <w:rPr>
          <w:rFonts w:ascii="Times New Roman" w:hAnsi="Times New Roman" w:eastAsia="Times New Roman" w:cs="Times New Roman"/>
          <w:b/>
          <w:bCs/>
          <w:spacing w:val="-2"/>
          <w:sz w:val="24"/>
          <w:szCs w:val="24"/>
        </w:rPr>
        <w:t xml:space="preserve">3.2  </w:t>
      </w:r>
      <w:r>
        <w:rPr>
          <w:rFonts w:ascii="黑体" w:hAnsi="黑体" w:eastAsia="黑体" w:cs="黑体"/>
          <w:b/>
          <w:bCs/>
          <w:spacing w:val="-2"/>
          <w:sz w:val="24"/>
          <w:szCs w:val="24"/>
        </w:rPr>
        <w:t>项目经理</w:t>
      </w:r>
    </w:p>
    <w:p w14:paraId="6F9633D6">
      <w:pPr>
        <w:spacing w:before="121" w:line="352" w:lineRule="auto"/>
        <w:ind w:left="4" w:right="153" w:firstLine="420"/>
        <w:rPr>
          <w:rFonts w:ascii="宋体" w:hAnsi="宋体" w:eastAsia="宋体" w:cs="宋体"/>
          <w:sz w:val="21"/>
          <w:szCs w:val="21"/>
        </w:rPr>
      </w:pPr>
      <w:r>
        <w:rPr>
          <w:rFonts w:ascii="Times New Roman" w:hAnsi="Times New Roman" w:eastAsia="Times New Roman" w:cs="Times New Roman"/>
          <w:spacing w:val="1"/>
          <w:sz w:val="21"/>
          <w:szCs w:val="21"/>
        </w:rPr>
        <w:t xml:space="preserve">3.2.1  </w:t>
      </w:r>
      <w:r>
        <w:rPr>
          <w:rFonts w:ascii="宋体" w:hAnsi="宋体" w:eastAsia="宋体" w:cs="宋体"/>
          <w:spacing w:val="1"/>
          <w:sz w:val="21"/>
          <w:szCs w:val="21"/>
        </w:rPr>
        <w:t>项目经理应为合同当事人所确认的人选，并在专用合同条款中明确项目经理的姓名、</w:t>
      </w:r>
      <w:r>
        <w:rPr>
          <w:rFonts w:ascii="宋体" w:hAnsi="宋体" w:eastAsia="宋体" w:cs="宋体"/>
          <w:sz w:val="21"/>
          <w:szCs w:val="21"/>
        </w:rPr>
        <w:t>职称、注册执业证书编号、联系方式及授权范围等事项，项目经理经承包人授权后代表承</w:t>
      </w:r>
      <w:r>
        <w:rPr>
          <w:rFonts w:ascii="宋体" w:hAnsi="宋体" w:eastAsia="宋体" w:cs="宋体"/>
          <w:spacing w:val="-1"/>
          <w:sz w:val="21"/>
          <w:szCs w:val="21"/>
        </w:rPr>
        <w:t>包人负</w:t>
      </w:r>
      <w:r>
        <w:rPr>
          <w:rFonts w:ascii="宋体" w:hAnsi="宋体" w:eastAsia="宋体" w:cs="宋体"/>
          <w:sz w:val="21"/>
          <w:szCs w:val="21"/>
        </w:rPr>
        <w:t>责履行合同。项目经理应是承包人正式聘用的员工，承包人应向发包人提交项目经理与承</w:t>
      </w:r>
      <w:r>
        <w:rPr>
          <w:rFonts w:ascii="宋体" w:hAnsi="宋体" w:eastAsia="宋体" w:cs="宋体"/>
          <w:spacing w:val="-1"/>
          <w:sz w:val="21"/>
          <w:szCs w:val="21"/>
        </w:rPr>
        <w:t>包人之</w:t>
      </w:r>
      <w:r>
        <w:rPr>
          <w:rFonts w:ascii="宋体" w:hAnsi="宋体" w:eastAsia="宋体" w:cs="宋体"/>
          <w:sz w:val="21"/>
          <w:szCs w:val="21"/>
        </w:rPr>
        <w:t>间的劳动合同，以及承包人为项目经理缴纳社会保险的有效证明。承包人不提交上述文件</w:t>
      </w:r>
      <w:r>
        <w:rPr>
          <w:rFonts w:ascii="宋体" w:hAnsi="宋体" w:eastAsia="宋体" w:cs="宋体"/>
          <w:spacing w:val="-1"/>
          <w:sz w:val="21"/>
          <w:szCs w:val="21"/>
        </w:rPr>
        <w:t>的，项</w:t>
      </w:r>
      <w:r>
        <w:rPr>
          <w:rFonts w:ascii="宋体" w:hAnsi="宋体" w:eastAsia="宋体" w:cs="宋体"/>
          <w:sz w:val="21"/>
          <w:szCs w:val="21"/>
        </w:rPr>
        <w:t>目经理无权履行职责，发包人有权要求更换项目经理，由此增加的费用和（或）延误的工</w:t>
      </w:r>
      <w:r>
        <w:rPr>
          <w:rFonts w:ascii="宋体" w:hAnsi="宋体" w:eastAsia="宋体" w:cs="宋体"/>
          <w:spacing w:val="-1"/>
          <w:sz w:val="21"/>
          <w:szCs w:val="21"/>
        </w:rPr>
        <w:t>期由承</w:t>
      </w:r>
      <w:r>
        <w:rPr>
          <w:rFonts w:ascii="宋体" w:hAnsi="宋体" w:eastAsia="宋体" w:cs="宋体"/>
          <w:spacing w:val="-5"/>
          <w:sz w:val="21"/>
          <w:szCs w:val="21"/>
        </w:rPr>
        <w:t>包人承担。</w:t>
      </w:r>
    </w:p>
    <w:p w14:paraId="3E62B292">
      <w:pPr>
        <w:spacing w:before="4" w:line="352" w:lineRule="auto"/>
        <w:ind w:left="6" w:right="153" w:firstLine="421"/>
        <w:jc w:val="both"/>
        <w:rPr>
          <w:rFonts w:ascii="宋体" w:hAnsi="宋体" w:eastAsia="宋体" w:cs="宋体"/>
          <w:sz w:val="21"/>
          <w:szCs w:val="21"/>
        </w:rPr>
      </w:pPr>
      <w:r>
        <w:rPr>
          <w:rFonts w:ascii="宋体" w:hAnsi="宋体" w:eastAsia="宋体" w:cs="宋体"/>
          <w:sz w:val="21"/>
          <w:szCs w:val="21"/>
        </w:rPr>
        <w:t>项目经理应常驻施工现场，且每月在施工现场时间不得少于专用合同条款约</w:t>
      </w:r>
      <w:r>
        <w:rPr>
          <w:rFonts w:ascii="宋体" w:hAnsi="宋体" w:eastAsia="宋体" w:cs="宋体"/>
          <w:spacing w:val="-1"/>
          <w:sz w:val="21"/>
          <w:szCs w:val="21"/>
        </w:rPr>
        <w:t>定的天数。项目</w:t>
      </w:r>
      <w:r>
        <w:rPr>
          <w:rFonts w:ascii="宋体" w:hAnsi="宋体" w:eastAsia="宋体" w:cs="宋体"/>
          <w:sz w:val="21"/>
          <w:szCs w:val="21"/>
        </w:rPr>
        <w:t>经理不得同时担任其他项目的项目经理。项目经理确需离开施工现场时，应事先通知</w:t>
      </w:r>
      <w:r>
        <w:rPr>
          <w:rFonts w:ascii="宋体" w:hAnsi="宋体" w:eastAsia="宋体" w:cs="宋体"/>
          <w:spacing w:val="-1"/>
          <w:sz w:val="21"/>
          <w:szCs w:val="21"/>
        </w:rPr>
        <w:t>监理人，并</w:t>
      </w:r>
      <w:r>
        <w:rPr>
          <w:rFonts w:ascii="宋体" w:hAnsi="宋体" w:eastAsia="宋体" w:cs="宋体"/>
          <w:sz w:val="21"/>
          <w:szCs w:val="21"/>
        </w:rPr>
        <w:t>取得发包人的书面同意。项目经理的通知中应当载明临时代行其职责的人员的注册执</w:t>
      </w:r>
      <w:r>
        <w:rPr>
          <w:rFonts w:ascii="宋体" w:hAnsi="宋体" w:eastAsia="宋体" w:cs="宋体"/>
          <w:spacing w:val="-1"/>
          <w:sz w:val="21"/>
          <w:szCs w:val="21"/>
        </w:rPr>
        <w:t>业资格、管理经验等资料，该人员应具备履行相应职责的能力。</w:t>
      </w:r>
    </w:p>
    <w:p w14:paraId="6EFACE45">
      <w:pPr>
        <w:spacing w:line="352" w:lineRule="auto"/>
        <w:rPr>
          <w:rFonts w:ascii="宋体" w:hAnsi="宋体" w:eastAsia="宋体" w:cs="宋体"/>
          <w:sz w:val="21"/>
          <w:szCs w:val="21"/>
        </w:rPr>
        <w:sectPr>
          <w:footerReference r:id="rId95" w:type="default"/>
          <w:pgSz w:w="11905" w:h="16843"/>
          <w:pgMar w:top="969" w:right="1355" w:bottom="1026" w:left="1480" w:header="0" w:footer="754" w:gutter="0"/>
          <w:cols w:space="0" w:num="1"/>
          <w:rtlGutter w:val="0"/>
          <w:docGrid w:linePitch="0" w:charSpace="0"/>
        </w:sectPr>
      </w:pPr>
    </w:p>
    <w:p w14:paraId="1F90D3FA">
      <w:pPr>
        <w:pStyle w:val="5"/>
        <w:spacing w:line="270" w:lineRule="auto"/>
      </w:pPr>
    </w:p>
    <w:p w14:paraId="2EFE4EAC">
      <w:pPr>
        <w:pStyle w:val="5"/>
        <w:spacing w:line="270" w:lineRule="auto"/>
      </w:pPr>
    </w:p>
    <w:p w14:paraId="60B2743D">
      <w:pPr>
        <w:pStyle w:val="5"/>
        <w:spacing w:line="270" w:lineRule="auto"/>
      </w:pPr>
    </w:p>
    <w:p w14:paraId="5D9222CF">
      <w:pPr>
        <w:pStyle w:val="5"/>
        <w:spacing w:line="271" w:lineRule="auto"/>
      </w:pPr>
    </w:p>
    <w:p w14:paraId="760D1F0D">
      <w:pPr>
        <w:spacing w:before="68" w:line="221" w:lineRule="auto"/>
        <w:ind w:left="424"/>
        <w:rPr>
          <w:rFonts w:ascii="宋体" w:hAnsi="宋体" w:eastAsia="宋体" w:cs="宋体"/>
          <w:sz w:val="21"/>
          <w:szCs w:val="21"/>
        </w:rPr>
      </w:pPr>
      <w:bookmarkStart w:id="227" w:name="bookmark548"/>
      <w:bookmarkEnd w:id="227"/>
      <w:r>
        <w:rPr>
          <w:rFonts w:ascii="宋体" w:hAnsi="宋体" w:eastAsia="宋体" w:cs="宋体"/>
          <w:spacing w:val="-1"/>
          <w:sz w:val="21"/>
          <w:szCs w:val="21"/>
        </w:rPr>
        <w:t>承包人违反上述约定的，应按照专用合同条款的约定，承担违约责任。</w:t>
      </w:r>
    </w:p>
    <w:p w14:paraId="39F73D1E">
      <w:pPr>
        <w:spacing w:before="149" w:line="312" w:lineRule="auto"/>
        <w:ind w:left="5" w:right="177"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3.2.2  </w:t>
      </w:r>
      <w:r>
        <w:rPr>
          <w:rFonts w:ascii="宋体" w:hAnsi="宋体" w:eastAsia="宋体" w:cs="宋体"/>
          <w:spacing w:val="2"/>
          <w:sz w:val="21"/>
          <w:szCs w:val="21"/>
        </w:rPr>
        <w:t>项目经理按合同约定组织工程实施。在紧急情况下为确保施工安全和人员安全，在无</w:t>
      </w:r>
      <w:r>
        <w:rPr>
          <w:rFonts w:ascii="宋体" w:hAnsi="宋体" w:eastAsia="宋体" w:cs="宋体"/>
          <w:sz w:val="21"/>
          <w:szCs w:val="21"/>
        </w:rPr>
        <w:t>法与发包人代表和总监理工程师及时取得联系时，项目经理有权采取必要的措施保证与</w:t>
      </w:r>
      <w:r>
        <w:rPr>
          <w:rFonts w:ascii="宋体" w:hAnsi="宋体" w:eastAsia="宋体" w:cs="宋体"/>
          <w:spacing w:val="-1"/>
          <w:sz w:val="21"/>
          <w:szCs w:val="21"/>
        </w:rPr>
        <w:t>工程有关</w:t>
      </w:r>
      <w:r>
        <w:rPr>
          <w:rFonts w:ascii="宋体" w:hAnsi="宋体" w:eastAsia="宋体" w:cs="宋体"/>
          <w:sz w:val="21"/>
          <w:szCs w:val="21"/>
        </w:rPr>
        <w:t>的人身、财产和工程的安全，但应在</w:t>
      </w:r>
      <w:r>
        <w:rPr>
          <w:rFonts w:ascii="宋体" w:hAnsi="宋体" w:eastAsia="宋体" w:cs="宋体"/>
          <w:spacing w:val="-49"/>
          <w:sz w:val="21"/>
          <w:szCs w:val="21"/>
        </w:rPr>
        <w:t xml:space="preserve"> </w:t>
      </w:r>
      <w:r>
        <w:rPr>
          <w:rFonts w:ascii="Times New Roman" w:hAnsi="Times New Roman" w:eastAsia="Times New Roman" w:cs="Times New Roman"/>
          <w:sz w:val="21"/>
          <w:szCs w:val="21"/>
        </w:rPr>
        <w:t xml:space="preserve">48 </w:t>
      </w:r>
      <w:r>
        <w:rPr>
          <w:rFonts w:ascii="宋体" w:hAnsi="宋体" w:eastAsia="宋体" w:cs="宋体"/>
          <w:spacing w:val="-1"/>
          <w:sz w:val="21"/>
          <w:szCs w:val="21"/>
        </w:rPr>
        <w:t>小时内向发包人代表和总监理工程师提交书面报告。</w:t>
      </w:r>
    </w:p>
    <w:p w14:paraId="79BDE613">
      <w:pPr>
        <w:spacing w:before="135" w:line="319" w:lineRule="auto"/>
        <w:ind w:left="5" w:right="177" w:firstLine="419"/>
        <w:rPr>
          <w:rFonts w:ascii="宋体" w:hAnsi="宋体" w:eastAsia="宋体" w:cs="宋体"/>
          <w:sz w:val="21"/>
          <w:szCs w:val="21"/>
        </w:rPr>
      </w:pPr>
      <w:r>
        <w:rPr>
          <w:rFonts w:ascii="Times New Roman" w:hAnsi="Times New Roman" w:eastAsia="Times New Roman" w:cs="Times New Roman"/>
          <w:sz w:val="21"/>
          <w:szCs w:val="21"/>
        </w:rPr>
        <w:t xml:space="preserve">3.2.3  </w:t>
      </w:r>
      <w:r>
        <w:rPr>
          <w:rFonts w:ascii="宋体" w:hAnsi="宋体" w:eastAsia="宋体" w:cs="宋体"/>
          <w:sz w:val="21"/>
          <w:szCs w:val="21"/>
        </w:rPr>
        <w:t>承包人需要更换项目经理的</w:t>
      </w:r>
      <w:r>
        <w:rPr>
          <w:rFonts w:ascii="宋体" w:hAnsi="宋体" w:eastAsia="宋体" w:cs="宋体"/>
          <w:spacing w:val="-1"/>
          <w:sz w:val="21"/>
          <w:szCs w:val="21"/>
        </w:rPr>
        <w:t>，应提前</w:t>
      </w:r>
      <w:r>
        <w:rPr>
          <w:rFonts w:ascii="宋体" w:hAnsi="宋体" w:eastAsia="宋体" w:cs="宋体"/>
          <w:spacing w:val="-3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天书面通知发包人和监理人，并征得发包人书</w:t>
      </w:r>
      <w:r>
        <w:rPr>
          <w:rFonts w:ascii="宋体" w:hAnsi="宋体" w:eastAsia="宋体" w:cs="宋体"/>
          <w:sz w:val="21"/>
          <w:szCs w:val="21"/>
        </w:rPr>
        <w:t>面同意。通知中应当载明继任项目经理的注册执业资格、管理经验等资料，继任项目经</w:t>
      </w:r>
      <w:r>
        <w:rPr>
          <w:rFonts w:ascii="宋体" w:hAnsi="宋体" w:eastAsia="宋体" w:cs="宋体"/>
          <w:spacing w:val="-1"/>
          <w:sz w:val="21"/>
          <w:szCs w:val="21"/>
        </w:rPr>
        <w:t>理继续履</w:t>
      </w:r>
      <w:r>
        <w:rPr>
          <w:rFonts w:ascii="宋体" w:hAnsi="宋体" w:eastAsia="宋体" w:cs="宋体"/>
          <w:sz w:val="21"/>
          <w:szCs w:val="21"/>
        </w:rPr>
        <w:t xml:space="preserve">行第 </w:t>
      </w:r>
      <w:r>
        <w:rPr>
          <w:rFonts w:ascii="Times New Roman" w:hAnsi="Times New Roman" w:eastAsia="Times New Roman" w:cs="Times New Roman"/>
          <w:sz w:val="21"/>
          <w:szCs w:val="21"/>
        </w:rPr>
        <w:t xml:space="preserve">3.2.1  </w:t>
      </w:r>
      <w:r>
        <w:rPr>
          <w:rFonts w:ascii="宋体" w:hAnsi="宋体" w:eastAsia="宋体" w:cs="宋体"/>
          <w:sz w:val="21"/>
          <w:szCs w:val="21"/>
        </w:rPr>
        <w:t>项约定的职责。未经发包人书面同意，承包人不得擅自更换项目经理。承</w:t>
      </w:r>
      <w:r>
        <w:rPr>
          <w:rFonts w:ascii="宋体" w:hAnsi="宋体" w:eastAsia="宋体" w:cs="宋体"/>
          <w:spacing w:val="-1"/>
          <w:sz w:val="21"/>
          <w:szCs w:val="21"/>
        </w:rPr>
        <w:t>包人擅自更</w:t>
      </w:r>
      <w:r>
        <w:rPr>
          <w:rFonts w:ascii="宋体" w:hAnsi="宋体" w:eastAsia="宋体" w:cs="宋体"/>
          <w:sz w:val="21"/>
          <w:szCs w:val="21"/>
        </w:rPr>
        <w:t>换项目经理的，应按照专用合同条款的约定承担违</w:t>
      </w:r>
      <w:r>
        <w:rPr>
          <w:rFonts w:ascii="宋体" w:hAnsi="宋体" w:eastAsia="宋体" w:cs="宋体"/>
          <w:spacing w:val="-1"/>
          <w:sz w:val="21"/>
          <w:szCs w:val="21"/>
        </w:rPr>
        <w:t>约责任。</w:t>
      </w:r>
    </w:p>
    <w:p w14:paraId="3A6F31BD">
      <w:pPr>
        <w:spacing w:before="151" w:line="325" w:lineRule="auto"/>
        <w:ind w:left="5" w:right="177"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3.2.4  </w:t>
      </w:r>
      <w:r>
        <w:rPr>
          <w:rFonts w:ascii="宋体" w:hAnsi="宋体" w:eastAsia="宋体" w:cs="宋体"/>
          <w:spacing w:val="2"/>
          <w:sz w:val="21"/>
          <w:szCs w:val="21"/>
        </w:rPr>
        <w:t>发包人有权书面通知承包人更换其认为不称职的项目经理，通知中应当载明要求更换</w:t>
      </w:r>
      <w:r>
        <w:rPr>
          <w:rFonts w:ascii="宋体" w:hAnsi="宋体" w:eastAsia="宋体" w:cs="宋体"/>
          <w:sz w:val="21"/>
          <w:szCs w:val="21"/>
        </w:rPr>
        <w:t xml:space="preserve">的理由。承包人应在接到更换通知后 </w:t>
      </w:r>
      <w:r>
        <w:rPr>
          <w:rFonts w:ascii="Times New Roman" w:hAnsi="Times New Roman" w:eastAsia="Times New Roman" w:cs="Times New Roman"/>
          <w:sz w:val="21"/>
          <w:szCs w:val="21"/>
        </w:rPr>
        <w:t xml:space="preserve">14  </w:t>
      </w:r>
      <w:r>
        <w:rPr>
          <w:rFonts w:ascii="宋体" w:hAnsi="宋体" w:eastAsia="宋体" w:cs="宋体"/>
          <w:sz w:val="21"/>
          <w:szCs w:val="21"/>
        </w:rPr>
        <w:t>天内向发包人提出书面的改进报告。发包人收</w:t>
      </w:r>
      <w:r>
        <w:rPr>
          <w:rFonts w:ascii="宋体" w:hAnsi="宋体" w:eastAsia="宋体" w:cs="宋体"/>
          <w:spacing w:val="-1"/>
          <w:sz w:val="21"/>
          <w:szCs w:val="21"/>
        </w:rPr>
        <w:t>到改进报</w:t>
      </w:r>
      <w:r>
        <w:rPr>
          <w:rFonts w:ascii="宋体" w:hAnsi="宋体" w:eastAsia="宋体" w:cs="宋体"/>
          <w:sz w:val="21"/>
          <w:szCs w:val="21"/>
        </w:rPr>
        <w:t xml:space="preserve">告后仍要求更换的，承包人应在接到第二次更换通知的 </w:t>
      </w:r>
      <w:r>
        <w:rPr>
          <w:rFonts w:ascii="Times New Roman" w:hAnsi="Times New Roman" w:eastAsia="Times New Roman" w:cs="Times New Roman"/>
          <w:sz w:val="21"/>
          <w:szCs w:val="21"/>
        </w:rPr>
        <w:t xml:space="preserve">28  </w:t>
      </w:r>
      <w:r>
        <w:rPr>
          <w:rFonts w:ascii="宋体" w:hAnsi="宋体" w:eastAsia="宋体" w:cs="宋体"/>
          <w:sz w:val="21"/>
          <w:szCs w:val="21"/>
        </w:rPr>
        <w:t>天内进行更换，并将新任命</w:t>
      </w:r>
      <w:r>
        <w:rPr>
          <w:rFonts w:ascii="宋体" w:hAnsi="宋体" w:eastAsia="宋体" w:cs="宋体"/>
          <w:spacing w:val="-1"/>
          <w:sz w:val="21"/>
          <w:szCs w:val="21"/>
        </w:rPr>
        <w:t>的项目经</w:t>
      </w:r>
      <w:r>
        <w:rPr>
          <w:rFonts w:ascii="宋体" w:hAnsi="宋体" w:eastAsia="宋体" w:cs="宋体"/>
          <w:sz w:val="21"/>
          <w:szCs w:val="21"/>
        </w:rPr>
        <w:t xml:space="preserve">理的注册执业资格、管理经验等资料书面通知发包人。继任项目经理继续履行第 </w:t>
      </w:r>
      <w:r>
        <w:rPr>
          <w:rFonts w:ascii="Times New Roman" w:hAnsi="Times New Roman" w:eastAsia="Times New Roman" w:cs="Times New Roman"/>
          <w:sz w:val="21"/>
          <w:szCs w:val="21"/>
        </w:rPr>
        <w:t xml:space="preserve">3.2.1  </w:t>
      </w:r>
      <w:r>
        <w:rPr>
          <w:rFonts w:ascii="宋体" w:hAnsi="宋体" w:eastAsia="宋体" w:cs="宋体"/>
          <w:spacing w:val="-1"/>
          <w:sz w:val="21"/>
          <w:szCs w:val="21"/>
        </w:rPr>
        <w:t>项约定的</w:t>
      </w:r>
      <w:r>
        <w:rPr>
          <w:rFonts w:ascii="宋体" w:hAnsi="宋体" w:eastAsia="宋体" w:cs="宋体"/>
          <w:sz w:val="21"/>
          <w:szCs w:val="21"/>
        </w:rPr>
        <w:t>职责。承包人无正当理由拒绝更换项目经理的，应</w:t>
      </w:r>
      <w:r>
        <w:rPr>
          <w:rFonts w:ascii="宋体" w:hAnsi="宋体" w:eastAsia="宋体" w:cs="宋体"/>
          <w:spacing w:val="-1"/>
          <w:sz w:val="21"/>
          <w:szCs w:val="21"/>
        </w:rPr>
        <w:t>按照专用合同条款的约定承担违约责任。</w:t>
      </w:r>
    </w:p>
    <w:p w14:paraId="6391E87A">
      <w:pPr>
        <w:spacing w:before="150" w:line="308" w:lineRule="auto"/>
        <w:ind w:left="4"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3.2.5  </w:t>
      </w:r>
      <w:r>
        <w:rPr>
          <w:rFonts w:ascii="宋体" w:hAnsi="宋体" w:eastAsia="宋体" w:cs="宋体"/>
          <w:spacing w:val="2"/>
          <w:sz w:val="21"/>
          <w:szCs w:val="21"/>
        </w:rPr>
        <w:t>项目经理因特殊情况授权其下属人员履行其某项工作职责的，该下属人员应具备履行</w:t>
      </w:r>
      <w:r>
        <w:rPr>
          <w:rFonts w:ascii="宋体" w:hAnsi="宋体" w:eastAsia="宋体" w:cs="宋体"/>
          <w:sz w:val="21"/>
          <w:szCs w:val="21"/>
        </w:rPr>
        <w:t>相应职责的能力，并应提前</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天将上述人员的姓名和授权范围书面通</w:t>
      </w:r>
      <w:r>
        <w:rPr>
          <w:rFonts w:ascii="宋体" w:hAnsi="宋体" w:eastAsia="宋体" w:cs="宋体"/>
          <w:spacing w:val="-1"/>
          <w:sz w:val="21"/>
          <w:szCs w:val="21"/>
        </w:rPr>
        <w:t>知监理人，并征得发包人书</w:t>
      </w:r>
      <w:r>
        <w:rPr>
          <w:rFonts w:ascii="宋体" w:hAnsi="宋体" w:eastAsia="宋体" w:cs="宋体"/>
          <w:spacing w:val="-2"/>
          <w:sz w:val="21"/>
          <w:szCs w:val="21"/>
        </w:rPr>
        <w:t>面同意。</w:t>
      </w:r>
    </w:p>
    <w:p w14:paraId="294AE49B">
      <w:pPr>
        <w:spacing w:before="123" w:line="232" w:lineRule="auto"/>
        <w:outlineLvl w:val="2"/>
        <w:rPr>
          <w:rFonts w:ascii="黑体" w:hAnsi="黑体" w:eastAsia="黑体" w:cs="黑体"/>
          <w:sz w:val="24"/>
          <w:szCs w:val="24"/>
        </w:rPr>
      </w:pPr>
      <w:bookmarkStart w:id="228" w:name="bookmark172"/>
      <w:bookmarkEnd w:id="228"/>
      <w:r>
        <w:rPr>
          <w:rFonts w:ascii="Times New Roman" w:hAnsi="Times New Roman" w:eastAsia="Times New Roman" w:cs="Times New Roman"/>
          <w:b/>
          <w:bCs/>
          <w:spacing w:val="-2"/>
          <w:sz w:val="24"/>
          <w:szCs w:val="24"/>
        </w:rPr>
        <w:t xml:space="preserve">3.3  </w:t>
      </w:r>
      <w:r>
        <w:rPr>
          <w:rFonts w:ascii="黑体" w:hAnsi="黑体" w:eastAsia="黑体" w:cs="黑体"/>
          <w:b/>
          <w:bCs/>
          <w:spacing w:val="-2"/>
          <w:sz w:val="24"/>
          <w:szCs w:val="24"/>
        </w:rPr>
        <w:t>承包人人员</w:t>
      </w:r>
    </w:p>
    <w:p w14:paraId="27F779CF">
      <w:pPr>
        <w:spacing w:before="123" w:line="319" w:lineRule="auto"/>
        <w:ind w:left="6" w:firstLine="418"/>
        <w:rPr>
          <w:rFonts w:ascii="宋体" w:hAnsi="宋体" w:eastAsia="宋体" w:cs="宋体"/>
          <w:sz w:val="21"/>
          <w:szCs w:val="21"/>
        </w:rPr>
      </w:pPr>
      <w:r>
        <w:rPr>
          <w:rFonts w:ascii="Times New Roman" w:hAnsi="Times New Roman" w:eastAsia="Times New Roman" w:cs="Times New Roman"/>
          <w:sz w:val="21"/>
          <w:szCs w:val="21"/>
        </w:rPr>
        <w:t xml:space="preserve">3.3.1  </w:t>
      </w:r>
      <w:r>
        <w:rPr>
          <w:rFonts w:ascii="宋体" w:hAnsi="宋体" w:eastAsia="宋体" w:cs="宋体"/>
          <w:sz w:val="21"/>
          <w:szCs w:val="21"/>
        </w:rPr>
        <w:t xml:space="preserve">除专用合同条款另有约定外，承包人应在接到开工通知后 </w:t>
      </w:r>
      <w:r>
        <w:rPr>
          <w:rFonts w:ascii="Times New Roman" w:hAnsi="Times New Roman" w:eastAsia="Times New Roman" w:cs="Times New Roman"/>
          <w:sz w:val="21"/>
          <w:szCs w:val="21"/>
        </w:rPr>
        <w:t xml:space="preserve">7  </w:t>
      </w:r>
      <w:r>
        <w:rPr>
          <w:rFonts w:ascii="宋体" w:hAnsi="宋体" w:eastAsia="宋体" w:cs="宋体"/>
          <w:sz w:val="21"/>
          <w:szCs w:val="21"/>
        </w:rPr>
        <w:t>天内，向监</w:t>
      </w:r>
      <w:r>
        <w:rPr>
          <w:rFonts w:ascii="宋体" w:hAnsi="宋体" w:eastAsia="宋体" w:cs="宋体"/>
          <w:spacing w:val="-1"/>
          <w:sz w:val="21"/>
          <w:szCs w:val="21"/>
        </w:rPr>
        <w:t>理人提交承包人项目管理机构及施工现场人员安排的报告，其内容应包括合同管理、施工、技术、材料、质量、</w:t>
      </w:r>
      <w:r>
        <w:rPr>
          <w:rFonts w:ascii="宋体" w:hAnsi="宋体" w:eastAsia="宋体" w:cs="宋体"/>
          <w:sz w:val="21"/>
          <w:szCs w:val="21"/>
        </w:rPr>
        <w:t>安全、财务等主要施工管理人员名单及其岗位、注册执业资格等，以及各工种技术工</w:t>
      </w:r>
      <w:r>
        <w:rPr>
          <w:rFonts w:ascii="宋体" w:hAnsi="宋体" w:eastAsia="宋体" w:cs="宋体"/>
          <w:spacing w:val="-1"/>
          <w:sz w:val="21"/>
          <w:szCs w:val="21"/>
        </w:rPr>
        <w:t>人的安排情</w:t>
      </w:r>
      <w:r>
        <w:rPr>
          <w:rFonts w:ascii="宋体" w:hAnsi="宋体" w:eastAsia="宋体" w:cs="宋体"/>
          <w:sz w:val="21"/>
          <w:szCs w:val="21"/>
        </w:rPr>
        <w:t>况，并同时提交主要施工管理人员与承包人之间的劳动关系证明和缴纳社会保险的有效</w:t>
      </w:r>
      <w:r>
        <w:rPr>
          <w:rFonts w:ascii="宋体" w:hAnsi="宋体" w:eastAsia="宋体" w:cs="宋体"/>
          <w:spacing w:val="-1"/>
          <w:sz w:val="21"/>
          <w:szCs w:val="21"/>
        </w:rPr>
        <w:t>证明。</w:t>
      </w:r>
    </w:p>
    <w:p w14:paraId="6CAE2CA1">
      <w:pPr>
        <w:spacing w:before="148" w:line="319" w:lineRule="auto"/>
        <w:ind w:left="3"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3.3.2  </w:t>
      </w:r>
      <w:r>
        <w:rPr>
          <w:rFonts w:ascii="宋体" w:hAnsi="宋体" w:eastAsia="宋体" w:cs="宋体"/>
          <w:spacing w:val="2"/>
          <w:sz w:val="21"/>
          <w:szCs w:val="21"/>
        </w:rPr>
        <w:t>承包人派驻到施工现场的主要施工管理人员应相对稳定。施工过程中如有变动，承包</w:t>
      </w:r>
      <w:r>
        <w:rPr>
          <w:rFonts w:ascii="宋体" w:hAnsi="宋体" w:eastAsia="宋体" w:cs="宋体"/>
          <w:sz w:val="21"/>
          <w:szCs w:val="21"/>
        </w:rPr>
        <w:t>人应及时向监理人提交施工现场人员变动情况的报告。承包人更换主要施工管理人员时，</w:t>
      </w:r>
      <w:r>
        <w:rPr>
          <w:rFonts w:ascii="宋体" w:hAnsi="宋体" w:eastAsia="宋体" w:cs="宋体"/>
          <w:spacing w:val="-1"/>
          <w:sz w:val="21"/>
          <w:szCs w:val="21"/>
        </w:rPr>
        <w:t>应提前</w:t>
      </w:r>
      <w:r>
        <w:rPr>
          <w:rFonts w:ascii="Times New Roman" w:hAnsi="Times New Roman" w:eastAsia="Times New Roman" w:cs="Times New Roman"/>
          <w:sz w:val="21"/>
          <w:szCs w:val="21"/>
        </w:rPr>
        <w:t xml:space="preserve">7  </w:t>
      </w:r>
      <w:r>
        <w:rPr>
          <w:rFonts w:ascii="宋体" w:hAnsi="宋体" w:eastAsia="宋体" w:cs="宋体"/>
          <w:sz w:val="21"/>
          <w:szCs w:val="21"/>
        </w:rPr>
        <w:t>天书面通知监理人，并征得发包人书面同意。通知中应当载明继任人员的注册执业资格</w:t>
      </w:r>
      <w:r>
        <w:rPr>
          <w:rFonts w:ascii="宋体" w:hAnsi="宋体" w:eastAsia="宋体" w:cs="宋体"/>
          <w:spacing w:val="-1"/>
          <w:sz w:val="21"/>
          <w:szCs w:val="21"/>
        </w:rPr>
        <w:t>、管理经验等资料。</w:t>
      </w:r>
    </w:p>
    <w:p w14:paraId="2BD71490">
      <w:pPr>
        <w:spacing w:before="150" w:line="221" w:lineRule="auto"/>
        <w:ind w:left="424"/>
        <w:rPr>
          <w:rFonts w:ascii="宋体" w:hAnsi="宋体" w:eastAsia="宋体" w:cs="宋体"/>
          <w:sz w:val="21"/>
          <w:szCs w:val="21"/>
        </w:rPr>
      </w:pPr>
      <w:r>
        <w:rPr>
          <w:rFonts w:ascii="宋体" w:hAnsi="宋体" w:eastAsia="宋体" w:cs="宋体"/>
          <w:sz w:val="21"/>
          <w:szCs w:val="21"/>
        </w:rPr>
        <w:t>特殊工种作业人员均应持有相应的资格证明，监理人可以随时</w:t>
      </w:r>
      <w:r>
        <w:rPr>
          <w:rFonts w:ascii="宋体" w:hAnsi="宋体" w:eastAsia="宋体" w:cs="宋体"/>
          <w:spacing w:val="-1"/>
          <w:sz w:val="21"/>
          <w:szCs w:val="21"/>
        </w:rPr>
        <w:t>检查。</w:t>
      </w:r>
    </w:p>
    <w:p w14:paraId="6D9FCE0F">
      <w:pPr>
        <w:spacing w:before="149" w:line="319" w:lineRule="auto"/>
        <w:ind w:left="4"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3.3.3  </w:t>
      </w:r>
      <w:r>
        <w:rPr>
          <w:rFonts w:ascii="宋体" w:hAnsi="宋体" w:eastAsia="宋体" w:cs="宋体"/>
          <w:spacing w:val="2"/>
          <w:sz w:val="21"/>
          <w:szCs w:val="21"/>
        </w:rPr>
        <w:t>发包人对于承包人主要施工管理人员的资格或能力有异议的，承包人应提供资料证明</w:t>
      </w:r>
      <w:r>
        <w:rPr>
          <w:rFonts w:ascii="宋体" w:hAnsi="宋体" w:eastAsia="宋体" w:cs="宋体"/>
          <w:sz w:val="21"/>
          <w:szCs w:val="21"/>
        </w:rPr>
        <w:t>被质疑人员有能力完成其岗位工作或不存在发包人所质疑的情形。发包人要求撤换不能按</w:t>
      </w:r>
      <w:r>
        <w:rPr>
          <w:rFonts w:ascii="宋体" w:hAnsi="宋体" w:eastAsia="宋体" w:cs="宋体"/>
          <w:spacing w:val="-1"/>
          <w:sz w:val="21"/>
          <w:szCs w:val="21"/>
        </w:rPr>
        <w:t>照合同</w:t>
      </w:r>
      <w:r>
        <w:rPr>
          <w:rFonts w:ascii="宋体" w:hAnsi="宋体" w:eastAsia="宋体" w:cs="宋体"/>
          <w:sz w:val="21"/>
          <w:szCs w:val="21"/>
        </w:rPr>
        <w:t>约定履行职责及义务的主要施工管理人员的，承包人应当撤换。承包人无正当理由拒绝撤</w:t>
      </w:r>
      <w:r>
        <w:rPr>
          <w:rFonts w:ascii="宋体" w:hAnsi="宋体" w:eastAsia="宋体" w:cs="宋体"/>
          <w:spacing w:val="-1"/>
          <w:sz w:val="21"/>
          <w:szCs w:val="21"/>
        </w:rPr>
        <w:t>换的，应按照专用合同条款的约定承担违约责任。</w:t>
      </w:r>
    </w:p>
    <w:p w14:paraId="1D0A8406">
      <w:pPr>
        <w:spacing w:before="148" w:line="319" w:lineRule="auto"/>
        <w:ind w:left="4"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3.3.4  </w:t>
      </w:r>
      <w:r>
        <w:rPr>
          <w:rFonts w:ascii="宋体" w:hAnsi="宋体" w:eastAsia="宋体" w:cs="宋体"/>
          <w:spacing w:val="2"/>
          <w:sz w:val="21"/>
          <w:szCs w:val="21"/>
        </w:rPr>
        <w:t>除专用合同条款另有约定外，承包人的主要施工管理人员离开施工现场每月累计不超</w:t>
      </w:r>
      <w:r>
        <w:rPr>
          <w:rFonts w:ascii="宋体" w:hAnsi="宋体" w:eastAsia="宋体" w:cs="宋体"/>
          <w:sz w:val="21"/>
          <w:szCs w:val="21"/>
        </w:rPr>
        <w:t>过</w:t>
      </w:r>
      <w:r>
        <w:rPr>
          <w:rFonts w:ascii="宋体" w:hAnsi="宋体" w:eastAsia="宋体" w:cs="宋体"/>
          <w:spacing w:val="-42"/>
          <w:sz w:val="21"/>
          <w:szCs w:val="21"/>
        </w:rPr>
        <w:t xml:space="preserve"> </w:t>
      </w:r>
      <w:r>
        <w:rPr>
          <w:rFonts w:ascii="Times New Roman" w:hAnsi="Times New Roman" w:eastAsia="Times New Roman" w:cs="Times New Roman"/>
          <w:sz w:val="21"/>
          <w:szCs w:val="21"/>
        </w:rPr>
        <w:t xml:space="preserve">5 </w:t>
      </w:r>
      <w:r>
        <w:rPr>
          <w:rFonts w:ascii="宋体" w:hAnsi="宋体" w:eastAsia="宋体" w:cs="宋体"/>
          <w:sz w:val="21"/>
          <w:szCs w:val="21"/>
        </w:rPr>
        <w:t>天的，应报监理人同意；离开施工现场每月</w:t>
      </w:r>
      <w:r>
        <w:rPr>
          <w:rFonts w:ascii="宋体" w:hAnsi="宋体" w:eastAsia="宋体" w:cs="宋体"/>
          <w:spacing w:val="-1"/>
          <w:sz w:val="21"/>
          <w:szCs w:val="21"/>
        </w:rPr>
        <w:t>累计超过</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天的，应通知监理人，并征得发包人</w:t>
      </w:r>
      <w:r>
        <w:rPr>
          <w:rFonts w:ascii="宋体" w:hAnsi="宋体" w:eastAsia="宋体" w:cs="宋体"/>
          <w:sz w:val="21"/>
          <w:szCs w:val="21"/>
        </w:rPr>
        <w:t>书面同意。主要施工管理人员离开施工现场前应指定一名有经验的人员临时代行其职责，</w:t>
      </w:r>
      <w:r>
        <w:rPr>
          <w:rFonts w:ascii="宋体" w:hAnsi="宋体" w:eastAsia="宋体" w:cs="宋体"/>
          <w:spacing w:val="-1"/>
          <w:sz w:val="21"/>
          <w:szCs w:val="21"/>
        </w:rPr>
        <w:t>该人员应具备履行相应职责的资格和能力，且应征得监理人或发包人的同意。</w:t>
      </w:r>
    </w:p>
    <w:p w14:paraId="360D4C3A">
      <w:pPr>
        <w:spacing w:before="150" w:line="234" w:lineRule="auto"/>
        <w:ind w:left="424"/>
        <w:rPr>
          <w:rFonts w:ascii="宋体" w:hAnsi="宋体" w:eastAsia="宋体" w:cs="宋体"/>
          <w:sz w:val="21"/>
          <w:szCs w:val="21"/>
        </w:rPr>
      </w:pPr>
      <w:r>
        <w:rPr>
          <w:rFonts w:ascii="Times New Roman" w:hAnsi="Times New Roman" w:eastAsia="Times New Roman" w:cs="Times New Roman"/>
          <w:spacing w:val="2"/>
          <w:sz w:val="21"/>
          <w:szCs w:val="21"/>
        </w:rPr>
        <w:t xml:space="preserve">3.3.5  </w:t>
      </w:r>
      <w:r>
        <w:rPr>
          <w:rFonts w:ascii="宋体" w:hAnsi="宋体" w:eastAsia="宋体" w:cs="宋体"/>
          <w:spacing w:val="2"/>
          <w:sz w:val="21"/>
          <w:szCs w:val="21"/>
        </w:rPr>
        <w:t>承包人擅自更换主要施工管理人员，或前述人员未经监理人或发包人同意擅自离开施</w:t>
      </w:r>
    </w:p>
    <w:p w14:paraId="1FD508B9">
      <w:pPr>
        <w:spacing w:line="234" w:lineRule="auto"/>
        <w:rPr>
          <w:rFonts w:ascii="宋体" w:hAnsi="宋体" w:eastAsia="宋体" w:cs="宋体"/>
          <w:sz w:val="21"/>
          <w:szCs w:val="21"/>
        </w:rPr>
        <w:sectPr>
          <w:footerReference r:id="rId96" w:type="default"/>
          <w:pgSz w:w="11905" w:h="16843"/>
          <w:pgMar w:top="969" w:right="1355" w:bottom="1026" w:left="1480" w:header="0" w:footer="754" w:gutter="0"/>
          <w:cols w:space="0" w:num="1"/>
          <w:rtlGutter w:val="0"/>
          <w:docGrid w:linePitch="0" w:charSpace="0"/>
        </w:sectPr>
      </w:pPr>
    </w:p>
    <w:p w14:paraId="6B675CA3">
      <w:pPr>
        <w:pStyle w:val="5"/>
        <w:spacing w:line="270" w:lineRule="auto"/>
      </w:pPr>
    </w:p>
    <w:p w14:paraId="1A816EF7">
      <w:pPr>
        <w:pStyle w:val="5"/>
        <w:spacing w:line="270" w:lineRule="auto"/>
      </w:pPr>
    </w:p>
    <w:p w14:paraId="1FFFE7B4">
      <w:pPr>
        <w:pStyle w:val="5"/>
        <w:spacing w:line="270" w:lineRule="auto"/>
      </w:pPr>
    </w:p>
    <w:p w14:paraId="21E31C4B">
      <w:pPr>
        <w:pStyle w:val="5"/>
        <w:spacing w:line="271" w:lineRule="auto"/>
      </w:pPr>
    </w:p>
    <w:p w14:paraId="0C8659D2">
      <w:pPr>
        <w:spacing w:before="68" w:line="221" w:lineRule="auto"/>
        <w:ind w:left="6"/>
        <w:rPr>
          <w:rFonts w:ascii="宋体" w:hAnsi="宋体" w:eastAsia="宋体" w:cs="宋体"/>
          <w:sz w:val="21"/>
          <w:szCs w:val="21"/>
        </w:rPr>
      </w:pPr>
      <w:r>
        <w:rPr>
          <w:rFonts w:ascii="宋体" w:hAnsi="宋体" w:eastAsia="宋体" w:cs="宋体"/>
          <w:spacing w:val="-1"/>
          <w:sz w:val="21"/>
          <w:szCs w:val="21"/>
        </w:rPr>
        <w:t>工现场的，应按照专用合同条款约定承担违约责任。</w:t>
      </w:r>
    </w:p>
    <w:p w14:paraId="436C0ED7">
      <w:pPr>
        <w:spacing w:before="124" w:line="233" w:lineRule="auto"/>
        <w:outlineLvl w:val="2"/>
        <w:rPr>
          <w:rFonts w:ascii="黑体" w:hAnsi="黑体" w:eastAsia="黑体" w:cs="黑体"/>
          <w:sz w:val="24"/>
          <w:szCs w:val="24"/>
        </w:rPr>
      </w:pPr>
      <w:bookmarkStart w:id="229" w:name="bookmark173"/>
      <w:bookmarkEnd w:id="229"/>
      <w:bookmarkStart w:id="230" w:name="bookmark549"/>
      <w:bookmarkEnd w:id="230"/>
      <w:r>
        <w:rPr>
          <w:rFonts w:ascii="Times New Roman" w:hAnsi="Times New Roman" w:eastAsia="Times New Roman" w:cs="Times New Roman"/>
          <w:b/>
          <w:bCs/>
          <w:spacing w:val="-2"/>
          <w:sz w:val="24"/>
          <w:szCs w:val="24"/>
        </w:rPr>
        <w:t xml:space="preserve">3.4  </w:t>
      </w:r>
      <w:r>
        <w:rPr>
          <w:rFonts w:ascii="黑体" w:hAnsi="黑体" w:eastAsia="黑体" w:cs="黑体"/>
          <w:b/>
          <w:bCs/>
          <w:spacing w:val="-2"/>
          <w:sz w:val="24"/>
          <w:szCs w:val="24"/>
        </w:rPr>
        <w:t>承包人现场查勘</w:t>
      </w:r>
    </w:p>
    <w:p w14:paraId="5CF58B24">
      <w:pPr>
        <w:spacing w:before="123" w:line="342" w:lineRule="auto"/>
        <w:ind w:left="12" w:firstLine="411"/>
        <w:rPr>
          <w:rFonts w:ascii="宋体" w:hAnsi="宋体" w:eastAsia="宋体" w:cs="宋体"/>
          <w:sz w:val="21"/>
          <w:szCs w:val="21"/>
        </w:rPr>
      </w:pPr>
      <w:r>
        <w:rPr>
          <w:rFonts w:ascii="宋体" w:hAnsi="宋体" w:eastAsia="宋体" w:cs="宋体"/>
          <w:sz w:val="21"/>
          <w:szCs w:val="21"/>
        </w:rPr>
        <w:t xml:space="preserve">承包人应对基于发包人按照第 </w:t>
      </w:r>
      <w:r>
        <w:rPr>
          <w:rFonts w:ascii="Times New Roman" w:hAnsi="Times New Roman" w:eastAsia="Times New Roman" w:cs="Times New Roman"/>
          <w:sz w:val="21"/>
          <w:szCs w:val="21"/>
        </w:rPr>
        <w:t xml:space="preserve">2.4.3  </w:t>
      </w:r>
      <w:r>
        <w:rPr>
          <w:rFonts w:ascii="宋体" w:hAnsi="宋体" w:eastAsia="宋体" w:cs="宋体"/>
          <w:sz w:val="21"/>
          <w:szCs w:val="21"/>
        </w:rPr>
        <w:t>项〔提供基础资料〕提交的基础资料所做出的解</w:t>
      </w:r>
      <w:r>
        <w:rPr>
          <w:rFonts w:ascii="宋体" w:hAnsi="宋体" w:eastAsia="宋体" w:cs="宋体"/>
          <w:spacing w:val="-1"/>
          <w:sz w:val="21"/>
          <w:szCs w:val="21"/>
        </w:rPr>
        <w:t>释和推断负责，但因基础资料存在错误、遗漏导致承包人解释或推断失实的，由发包人承担责任。</w:t>
      </w:r>
    </w:p>
    <w:p w14:paraId="419BB7B2">
      <w:pPr>
        <w:spacing w:before="21" w:line="344" w:lineRule="auto"/>
        <w:ind w:left="5" w:firstLine="419"/>
        <w:rPr>
          <w:rFonts w:ascii="宋体" w:hAnsi="宋体" w:eastAsia="宋体" w:cs="宋体"/>
          <w:sz w:val="21"/>
          <w:szCs w:val="21"/>
        </w:rPr>
      </w:pPr>
      <w:r>
        <w:rPr>
          <w:rFonts w:ascii="宋体" w:hAnsi="宋体" w:eastAsia="宋体" w:cs="宋体"/>
          <w:sz w:val="21"/>
          <w:szCs w:val="21"/>
        </w:rPr>
        <w:t>承包人应对施工现场和施工条件进行查勘，并充分了解工程所在地的气象条件、交通</w:t>
      </w:r>
      <w:r>
        <w:rPr>
          <w:rFonts w:ascii="宋体" w:hAnsi="宋体" w:eastAsia="宋体" w:cs="宋体"/>
          <w:spacing w:val="-1"/>
          <w:sz w:val="21"/>
          <w:szCs w:val="21"/>
        </w:rPr>
        <w:t>条件、</w:t>
      </w:r>
      <w:r>
        <w:rPr>
          <w:rFonts w:ascii="宋体" w:hAnsi="宋体" w:eastAsia="宋体" w:cs="宋体"/>
          <w:sz w:val="21"/>
          <w:szCs w:val="21"/>
        </w:rPr>
        <w:t>风俗习惯以及其他与完成合同工作有关的其他资料。因承包人未能充分查勘、了解前述</w:t>
      </w:r>
      <w:r>
        <w:rPr>
          <w:rFonts w:ascii="宋体" w:hAnsi="宋体" w:eastAsia="宋体" w:cs="宋体"/>
          <w:spacing w:val="-1"/>
          <w:sz w:val="21"/>
          <w:szCs w:val="21"/>
        </w:rPr>
        <w:t>情况或未</w:t>
      </w:r>
      <w:r>
        <w:rPr>
          <w:rFonts w:ascii="宋体" w:hAnsi="宋体" w:eastAsia="宋体" w:cs="宋体"/>
          <w:sz w:val="21"/>
          <w:szCs w:val="21"/>
        </w:rPr>
        <w:t>能充分估计前述情况所可能产生后果的，承包人承</w:t>
      </w:r>
      <w:r>
        <w:rPr>
          <w:rFonts w:ascii="宋体" w:hAnsi="宋体" w:eastAsia="宋体" w:cs="宋体"/>
          <w:spacing w:val="-1"/>
          <w:sz w:val="21"/>
          <w:szCs w:val="21"/>
        </w:rPr>
        <w:t>担由此增加的费用和（或）延误的工期。</w:t>
      </w:r>
    </w:p>
    <w:p w14:paraId="0B9DAA7F">
      <w:pPr>
        <w:spacing w:before="1" w:line="233" w:lineRule="auto"/>
        <w:outlineLvl w:val="2"/>
        <w:rPr>
          <w:rFonts w:ascii="黑体" w:hAnsi="黑体" w:eastAsia="黑体" w:cs="黑体"/>
          <w:sz w:val="24"/>
          <w:szCs w:val="24"/>
        </w:rPr>
      </w:pPr>
      <w:bookmarkStart w:id="231" w:name="bookmark174"/>
      <w:bookmarkEnd w:id="231"/>
      <w:r>
        <w:rPr>
          <w:rFonts w:ascii="Times New Roman" w:hAnsi="Times New Roman" w:eastAsia="Times New Roman" w:cs="Times New Roman"/>
          <w:b/>
          <w:bCs/>
          <w:spacing w:val="-4"/>
          <w:sz w:val="24"/>
          <w:szCs w:val="24"/>
        </w:rPr>
        <w:t>3.5</w:t>
      </w:r>
      <w:r>
        <w:rPr>
          <w:rFonts w:ascii="Times New Roman" w:hAnsi="Times New Roman" w:eastAsia="Times New Roman" w:cs="Times New Roman"/>
          <w:b/>
          <w:bCs/>
          <w:spacing w:val="9"/>
          <w:sz w:val="24"/>
          <w:szCs w:val="24"/>
        </w:rPr>
        <w:t xml:space="preserve">  </w:t>
      </w:r>
      <w:r>
        <w:rPr>
          <w:rFonts w:ascii="黑体" w:hAnsi="黑体" w:eastAsia="黑体" w:cs="黑体"/>
          <w:b/>
          <w:bCs/>
          <w:spacing w:val="-4"/>
          <w:sz w:val="24"/>
          <w:szCs w:val="24"/>
        </w:rPr>
        <w:t>分包</w:t>
      </w:r>
    </w:p>
    <w:p w14:paraId="4F6ACB5D">
      <w:pPr>
        <w:spacing w:before="123" w:line="235"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3.5.1  </w:t>
      </w:r>
      <w:r>
        <w:rPr>
          <w:rFonts w:ascii="宋体" w:hAnsi="宋体" w:eastAsia="宋体" w:cs="宋体"/>
          <w:spacing w:val="-1"/>
          <w:sz w:val="21"/>
          <w:szCs w:val="21"/>
        </w:rPr>
        <w:t>分包的一般约定</w:t>
      </w:r>
    </w:p>
    <w:p w14:paraId="34DCBB0B">
      <w:pPr>
        <w:spacing w:before="130" w:line="352" w:lineRule="auto"/>
        <w:ind w:left="5" w:firstLine="419"/>
        <w:rPr>
          <w:rFonts w:ascii="宋体" w:hAnsi="宋体" w:eastAsia="宋体" w:cs="宋体"/>
          <w:sz w:val="21"/>
          <w:szCs w:val="21"/>
        </w:rPr>
      </w:pPr>
      <w:r>
        <w:rPr>
          <w:rFonts w:ascii="宋体" w:hAnsi="宋体" w:eastAsia="宋体" w:cs="宋体"/>
          <w:sz w:val="21"/>
          <w:szCs w:val="21"/>
        </w:rPr>
        <w:t>承包人不得将其承包的全部工程转包给第三人，或将其承包的全部工程肢解后以分</w:t>
      </w:r>
      <w:r>
        <w:rPr>
          <w:rFonts w:ascii="宋体" w:hAnsi="宋体" w:eastAsia="宋体" w:cs="宋体"/>
          <w:spacing w:val="-1"/>
          <w:sz w:val="21"/>
          <w:szCs w:val="21"/>
        </w:rPr>
        <w:t>包的名义</w:t>
      </w:r>
      <w:r>
        <w:rPr>
          <w:rFonts w:ascii="宋体" w:hAnsi="宋体" w:eastAsia="宋体" w:cs="宋体"/>
          <w:sz w:val="21"/>
          <w:szCs w:val="21"/>
        </w:rPr>
        <w:t>转包给第三人。承包人不得将工程主体结构、关键性工作及专用合同条款中禁止分包的</w:t>
      </w:r>
      <w:r>
        <w:rPr>
          <w:rFonts w:ascii="宋体" w:hAnsi="宋体" w:eastAsia="宋体" w:cs="宋体"/>
          <w:spacing w:val="-1"/>
          <w:sz w:val="21"/>
          <w:szCs w:val="21"/>
        </w:rPr>
        <w:t>专业工程</w:t>
      </w:r>
      <w:r>
        <w:rPr>
          <w:rFonts w:ascii="宋体" w:hAnsi="宋体" w:eastAsia="宋体" w:cs="宋体"/>
          <w:sz w:val="21"/>
          <w:szCs w:val="21"/>
        </w:rPr>
        <w:t>分包给第三人，主体结构、关键性工作的范围由合同当事人按照法律规定在专用合同条</w:t>
      </w:r>
      <w:r>
        <w:rPr>
          <w:rFonts w:ascii="宋体" w:hAnsi="宋体" w:eastAsia="宋体" w:cs="宋体"/>
          <w:spacing w:val="-1"/>
          <w:sz w:val="21"/>
          <w:szCs w:val="21"/>
        </w:rPr>
        <w:t>款中予以</w:t>
      </w:r>
      <w:r>
        <w:rPr>
          <w:rFonts w:ascii="宋体" w:hAnsi="宋体" w:eastAsia="宋体" w:cs="宋体"/>
          <w:spacing w:val="-9"/>
          <w:sz w:val="21"/>
          <w:szCs w:val="21"/>
        </w:rPr>
        <w:t>明确。</w:t>
      </w:r>
    </w:p>
    <w:p w14:paraId="1544E2C7">
      <w:pPr>
        <w:spacing w:line="220" w:lineRule="auto"/>
        <w:ind w:left="424"/>
        <w:rPr>
          <w:rFonts w:ascii="宋体" w:hAnsi="宋体" w:eastAsia="宋体" w:cs="宋体"/>
          <w:sz w:val="21"/>
          <w:szCs w:val="21"/>
        </w:rPr>
      </w:pPr>
      <w:r>
        <w:rPr>
          <w:rFonts w:ascii="宋体" w:hAnsi="宋体" w:eastAsia="宋体" w:cs="宋体"/>
          <w:sz w:val="21"/>
          <w:szCs w:val="21"/>
        </w:rPr>
        <w:t>承包人不得以劳务分包的名义转包或违法分</w:t>
      </w:r>
      <w:r>
        <w:rPr>
          <w:rFonts w:ascii="宋体" w:hAnsi="宋体" w:eastAsia="宋体" w:cs="宋体"/>
          <w:spacing w:val="-1"/>
          <w:sz w:val="21"/>
          <w:szCs w:val="21"/>
        </w:rPr>
        <w:t>包工程。</w:t>
      </w:r>
    </w:p>
    <w:p w14:paraId="78F7AB4C">
      <w:pPr>
        <w:spacing w:before="151" w:line="235"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3.5.2  </w:t>
      </w:r>
      <w:r>
        <w:rPr>
          <w:rFonts w:ascii="宋体" w:hAnsi="宋体" w:eastAsia="宋体" w:cs="宋体"/>
          <w:spacing w:val="-1"/>
          <w:sz w:val="21"/>
          <w:szCs w:val="21"/>
        </w:rPr>
        <w:t>分包的确定</w:t>
      </w:r>
    </w:p>
    <w:p w14:paraId="053A3B0C">
      <w:pPr>
        <w:spacing w:before="131" w:line="350" w:lineRule="auto"/>
        <w:ind w:left="4" w:firstLine="420"/>
        <w:rPr>
          <w:rFonts w:ascii="宋体" w:hAnsi="宋体" w:eastAsia="宋体" w:cs="宋体"/>
          <w:sz w:val="21"/>
          <w:szCs w:val="21"/>
        </w:rPr>
      </w:pPr>
      <w:r>
        <w:rPr>
          <w:rFonts w:ascii="宋体" w:hAnsi="宋体" w:eastAsia="宋体" w:cs="宋体"/>
          <w:sz w:val="21"/>
          <w:szCs w:val="21"/>
        </w:rPr>
        <w:t>承包人应按专用合同条款的约定进行分包，确定分包人。已标价工程量清单或预算</w:t>
      </w:r>
      <w:r>
        <w:rPr>
          <w:rFonts w:ascii="宋体" w:hAnsi="宋体" w:eastAsia="宋体" w:cs="宋体"/>
          <w:spacing w:val="-1"/>
          <w:sz w:val="21"/>
          <w:szCs w:val="21"/>
        </w:rPr>
        <w:t>书中给定</w:t>
      </w:r>
      <w:r>
        <w:rPr>
          <w:rFonts w:ascii="宋体" w:hAnsi="宋体" w:eastAsia="宋体" w:cs="宋体"/>
          <w:spacing w:val="1"/>
          <w:sz w:val="21"/>
          <w:szCs w:val="21"/>
        </w:rPr>
        <w:t xml:space="preserve">暂估价的专业工程，按照第 </w:t>
      </w:r>
      <w:r>
        <w:rPr>
          <w:rFonts w:ascii="Times New Roman" w:hAnsi="Times New Roman" w:eastAsia="Times New Roman" w:cs="Times New Roman"/>
          <w:spacing w:val="1"/>
          <w:sz w:val="21"/>
          <w:szCs w:val="21"/>
        </w:rPr>
        <w:t xml:space="preserve">10.7  </w:t>
      </w:r>
      <w:r>
        <w:rPr>
          <w:rFonts w:ascii="宋体" w:hAnsi="宋体" w:eastAsia="宋体" w:cs="宋体"/>
          <w:spacing w:val="1"/>
          <w:sz w:val="21"/>
          <w:szCs w:val="21"/>
        </w:rPr>
        <w:t>款〔暂估价〕确定分包人。按照合同约定进行分包的，承包人</w:t>
      </w:r>
      <w:r>
        <w:rPr>
          <w:rFonts w:ascii="宋体" w:hAnsi="宋体" w:eastAsia="宋体" w:cs="宋体"/>
          <w:sz w:val="21"/>
          <w:szCs w:val="21"/>
        </w:rPr>
        <w:t>应确保分包人具有相应的资质和能力。工程分包不减轻或免除承包人的责任和义务，承包</w:t>
      </w:r>
      <w:r>
        <w:rPr>
          <w:rFonts w:ascii="宋体" w:hAnsi="宋体" w:eastAsia="宋体" w:cs="宋体"/>
          <w:spacing w:val="-1"/>
          <w:sz w:val="21"/>
          <w:szCs w:val="21"/>
        </w:rPr>
        <w:t>人和分</w:t>
      </w:r>
      <w:r>
        <w:rPr>
          <w:rFonts w:ascii="宋体" w:hAnsi="宋体" w:eastAsia="宋体" w:cs="宋体"/>
          <w:sz w:val="21"/>
          <w:szCs w:val="21"/>
        </w:rPr>
        <w:t>包人就分包工程向发包人承担连带责任。除合同另有约定外，承包人应</w:t>
      </w:r>
      <w:r>
        <w:rPr>
          <w:rFonts w:ascii="宋体" w:hAnsi="宋体" w:eastAsia="宋体" w:cs="宋体"/>
          <w:spacing w:val="-1"/>
          <w:sz w:val="21"/>
          <w:szCs w:val="21"/>
        </w:rPr>
        <w:t>在分包合同签订后</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天内向发包人和监理人提交分包合同副本。</w:t>
      </w:r>
    </w:p>
    <w:p w14:paraId="3C11D487">
      <w:pPr>
        <w:spacing w:before="11" w:line="234"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3.5.3  </w:t>
      </w:r>
      <w:r>
        <w:rPr>
          <w:rFonts w:ascii="宋体" w:hAnsi="宋体" w:eastAsia="宋体" w:cs="宋体"/>
          <w:spacing w:val="-1"/>
          <w:sz w:val="21"/>
          <w:szCs w:val="21"/>
        </w:rPr>
        <w:t>分包管理</w:t>
      </w:r>
    </w:p>
    <w:p w14:paraId="343818B2">
      <w:pPr>
        <w:spacing w:before="133" w:line="352" w:lineRule="auto"/>
        <w:ind w:left="6" w:firstLine="417"/>
        <w:rPr>
          <w:rFonts w:ascii="宋体" w:hAnsi="宋体" w:eastAsia="宋体" w:cs="宋体"/>
          <w:sz w:val="21"/>
          <w:szCs w:val="21"/>
        </w:rPr>
      </w:pPr>
      <w:r>
        <w:rPr>
          <w:rFonts w:ascii="宋体" w:hAnsi="宋体" w:eastAsia="宋体" w:cs="宋体"/>
          <w:sz w:val="21"/>
          <w:szCs w:val="21"/>
        </w:rPr>
        <w:t>承包人应向监理人提交分包人的主要施工管理人员表，并对分包人的施工人员进行</w:t>
      </w:r>
      <w:r>
        <w:rPr>
          <w:rFonts w:ascii="宋体" w:hAnsi="宋体" w:eastAsia="宋体" w:cs="宋体"/>
          <w:spacing w:val="-1"/>
          <w:sz w:val="21"/>
          <w:szCs w:val="21"/>
        </w:rPr>
        <w:t>实名制管</w:t>
      </w:r>
      <w:r>
        <w:rPr>
          <w:rFonts w:ascii="宋体" w:hAnsi="宋体" w:eastAsia="宋体" w:cs="宋体"/>
          <w:sz w:val="21"/>
          <w:szCs w:val="21"/>
        </w:rPr>
        <w:t>理，包括但不限于进出场管理、登记造册以及各种证</w:t>
      </w:r>
      <w:r>
        <w:rPr>
          <w:rFonts w:ascii="宋体" w:hAnsi="宋体" w:eastAsia="宋体" w:cs="宋体"/>
          <w:spacing w:val="-1"/>
          <w:sz w:val="21"/>
          <w:szCs w:val="21"/>
        </w:rPr>
        <w:t>照的办理。</w:t>
      </w:r>
    </w:p>
    <w:p w14:paraId="6042ADAA">
      <w:pPr>
        <w:spacing w:line="233"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3.5.4  </w:t>
      </w:r>
      <w:r>
        <w:rPr>
          <w:rFonts w:ascii="宋体" w:hAnsi="宋体" w:eastAsia="宋体" w:cs="宋体"/>
          <w:spacing w:val="-1"/>
          <w:sz w:val="21"/>
          <w:szCs w:val="21"/>
        </w:rPr>
        <w:t>分包合同价款</w:t>
      </w:r>
    </w:p>
    <w:p w14:paraId="7607BD54">
      <w:pPr>
        <w:spacing w:before="133" w:line="286" w:lineRule="auto"/>
        <w:ind w:left="4" w:right="9"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）除本项第（</w:t>
      </w:r>
      <w:r>
        <w:rPr>
          <w:rFonts w:ascii="Times New Roman" w:hAnsi="Times New Roman" w:eastAsia="Times New Roman" w:cs="Times New Roman"/>
          <w:spacing w:val="-2"/>
          <w:sz w:val="21"/>
          <w:szCs w:val="21"/>
        </w:rPr>
        <w:t>2</w:t>
      </w:r>
      <w:r>
        <w:rPr>
          <w:rFonts w:ascii="宋体" w:hAnsi="宋体" w:eastAsia="宋体" w:cs="宋体"/>
          <w:spacing w:val="-2"/>
          <w:sz w:val="21"/>
          <w:szCs w:val="21"/>
        </w:rPr>
        <w:t>）</w:t>
      </w:r>
      <w:r>
        <w:rPr>
          <w:rFonts w:ascii="宋体" w:hAnsi="宋体" w:eastAsia="宋体" w:cs="宋体"/>
          <w:spacing w:val="-42"/>
          <w:sz w:val="21"/>
          <w:szCs w:val="21"/>
        </w:rPr>
        <w:t xml:space="preserve"> </w:t>
      </w:r>
      <w:r>
        <w:rPr>
          <w:rFonts w:ascii="宋体" w:hAnsi="宋体" w:eastAsia="宋体" w:cs="宋体"/>
          <w:spacing w:val="-2"/>
          <w:sz w:val="21"/>
          <w:szCs w:val="21"/>
        </w:rPr>
        <w:t>目约定的情况或专用合同条款另有约定外，分包合同价款由承包人与分</w:t>
      </w:r>
      <w:r>
        <w:rPr>
          <w:rFonts w:ascii="宋体" w:hAnsi="宋体" w:eastAsia="宋体" w:cs="宋体"/>
          <w:spacing w:val="-1"/>
          <w:sz w:val="21"/>
          <w:szCs w:val="21"/>
        </w:rPr>
        <w:t>包人结算，未经承包人同意，发包人不得向分包人支付分包工程价款；</w:t>
      </w:r>
    </w:p>
    <w:p w14:paraId="6383C6BF">
      <w:pPr>
        <w:spacing w:before="153" w:line="285" w:lineRule="auto"/>
        <w:ind w:left="3" w:right="20" w:firstLine="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）生效法律文书要求发包人向分包人支付分包合同价款的，发包人有权从应</w:t>
      </w:r>
      <w:r>
        <w:rPr>
          <w:rFonts w:ascii="宋体" w:hAnsi="宋体" w:eastAsia="宋体" w:cs="宋体"/>
          <w:spacing w:val="1"/>
          <w:sz w:val="21"/>
          <w:szCs w:val="21"/>
        </w:rPr>
        <w:t>付承包人工</w:t>
      </w:r>
      <w:r>
        <w:rPr>
          <w:rFonts w:ascii="宋体" w:hAnsi="宋体" w:eastAsia="宋体" w:cs="宋体"/>
          <w:spacing w:val="-2"/>
          <w:sz w:val="21"/>
          <w:szCs w:val="21"/>
        </w:rPr>
        <w:t>程款中扣除该部分款项。</w:t>
      </w:r>
    </w:p>
    <w:p w14:paraId="294807EC">
      <w:pPr>
        <w:spacing w:before="150" w:line="234"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3.5.5  </w:t>
      </w:r>
      <w:r>
        <w:rPr>
          <w:rFonts w:ascii="宋体" w:hAnsi="宋体" w:eastAsia="宋体" w:cs="宋体"/>
          <w:spacing w:val="-1"/>
          <w:sz w:val="21"/>
          <w:szCs w:val="21"/>
        </w:rPr>
        <w:t>分包合同权益的转让</w:t>
      </w:r>
    </w:p>
    <w:p w14:paraId="1DB5693B">
      <w:pPr>
        <w:spacing w:before="136" w:line="344" w:lineRule="auto"/>
        <w:ind w:left="7" w:firstLine="419"/>
        <w:rPr>
          <w:rFonts w:ascii="宋体" w:hAnsi="宋体" w:eastAsia="宋体" w:cs="宋体"/>
          <w:sz w:val="21"/>
          <w:szCs w:val="21"/>
        </w:rPr>
      </w:pPr>
      <w:r>
        <w:rPr>
          <w:rFonts w:ascii="宋体" w:hAnsi="宋体" w:eastAsia="宋体" w:cs="宋体"/>
          <w:sz w:val="21"/>
          <w:szCs w:val="21"/>
        </w:rPr>
        <w:t>分包人在分包合同项下的义务持续到缺陷责任期届满以后的，发包人有权在缺</w:t>
      </w:r>
      <w:r>
        <w:rPr>
          <w:rFonts w:ascii="宋体" w:hAnsi="宋体" w:eastAsia="宋体" w:cs="宋体"/>
          <w:spacing w:val="-1"/>
          <w:sz w:val="21"/>
          <w:szCs w:val="21"/>
        </w:rPr>
        <w:t>陷责任期届满</w:t>
      </w:r>
      <w:r>
        <w:rPr>
          <w:rFonts w:ascii="宋体" w:hAnsi="宋体" w:eastAsia="宋体" w:cs="宋体"/>
          <w:sz w:val="21"/>
          <w:szCs w:val="21"/>
        </w:rPr>
        <w:t>前，要求承包人将其在分包合同项下的权益转让给发包人，承包人应当转让。除</w:t>
      </w:r>
      <w:r>
        <w:rPr>
          <w:rFonts w:ascii="宋体" w:hAnsi="宋体" w:eastAsia="宋体" w:cs="宋体"/>
          <w:spacing w:val="-1"/>
          <w:sz w:val="21"/>
          <w:szCs w:val="21"/>
        </w:rPr>
        <w:t>转让合同另有约定外，转让合同生效后，由分包人向发包人履行义务。</w:t>
      </w:r>
    </w:p>
    <w:p w14:paraId="6365EF89">
      <w:pPr>
        <w:spacing w:line="232" w:lineRule="auto"/>
        <w:outlineLvl w:val="2"/>
        <w:rPr>
          <w:rFonts w:ascii="黑体" w:hAnsi="黑体" w:eastAsia="黑体" w:cs="黑体"/>
          <w:sz w:val="24"/>
          <w:szCs w:val="24"/>
        </w:rPr>
      </w:pPr>
      <w:bookmarkStart w:id="232" w:name="bookmark175"/>
      <w:bookmarkEnd w:id="232"/>
      <w:r>
        <w:rPr>
          <w:rFonts w:ascii="Times New Roman" w:hAnsi="Times New Roman" w:eastAsia="Times New Roman" w:cs="Times New Roman"/>
          <w:b/>
          <w:bCs/>
          <w:spacing w:val="-2"/>
          <w:sz w:val="24"/>
          <w:szCs w:val="24"/>
        </w:rPr>
        <w:t xml:space="preserve">3.6  </w:t>
      </w:r>
      <w:r>
        <w:rPr>
          <w:rFonts w:ascii="黑体" w:hAnsi="黑体" w:eastAsia="黑体" w:cs="黑体"/>
          <w:b/>
          <w:bCs/>
          <w:spacing w:val="-2"/>
          <w:sz w:val="24"/>
          <w:szCs w:val="24"/>
        </w:rPr>
        <w:t>工程照管与成品、半成品保护</w:t>
      </w:r>
    </w:p>
    <w:p w14:paraId="7B3724EA">
      <w:pPr>
        <w:spacing w:before="121" w:line="344" w:lineRule="auto"/>
        <w:ind w:left="10" w:right="22" w:firstLine="419"/>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）除专用合同条款另有约定外，自发包人向承包人移交施工现场之日起</w:t>
      </w:r>
      <w:r>
        <w:rPr>
          <w:rFonts w:ascii="宋体" w:hAnsi="宋体" w:eastAsia="宋体" w:cs="宋体"/>
          <w:spacing w:val="1"/>
          <w:sz w:val="21"/>
          <w:szCs w:val="21"/>
        </w:rPr>
        <w:t>，承包人应负责</w:t>
      </w:r>
      <w:r>
        <w:rPr>
          <w:rFonts w:ascii="宋体" w:hAnsi="宋体" w:eastAsia="宋体" w:cs="宋体"/>
          <w:sz w:val="21"/>
          <w:szCs w:val="21"/>
        </w:rPr>
        <w:t>照管工程及工程相关的材料、工程设备，直到颁发工</w:t>
      </w:r>
      <w:r>
        <w:rPr>
          <w:rFonts w:ascii="宋体" w:hAnsi="宋体" w:eastAsia="宋体" w:cs="宋体"/>
          <w:spacing w:val="-1"/>
          <w:sz w:val="21"/>
          <w:szCs w:val="21"/>
        </w:rPr>
        <w:t>程接收证书之日止。</w:t>
      </w:r>
    </w:p>
    <w:p w14:paraId="33EF6305">
      <w:pPr>
        <w:spacing w:line="344" w:lineRule="auto"/>
        <w:rPr>
          <w:rFonts w:ascii="宋体" w:hAnsi="宋体" w:eastAsia="宋体" w:cs="宋体"/>
          <w:sz w:val="21"/>
          <w:szCs w:val="21"/>
        </w:rPr>
        <w:sectPr>
          <w:footerReference r:id="rId97" w:type="default"/>
          <w:pgSz w:w="11905" w:h="16843"/>
          <w:pgMar w:top="969" w:right="1355" w:bottom="1026" w:left="1480" w:header="0" w:footer="754" w:gutter="0"/>
          <w:cols w:space="0" w:num="1"/>
          <w:rtlGutter w:val="0"/>
          <w:docGrid w:linePitch="0" w:charSpace="0"/>
        </w:sectPr>
      </w:pPr>
    </w:p>
    <w:p w14:paraId="06367A9B">
      <w:pPr>
        <w:pStyle w:val="5"/>
        <w:spacing w:line="270" w:lineRule="auto"/>
      </w:pPr>
    </w:p>
    <w:p w14:paraId="19E03099">
      <w:pPr>
        <w:pStyle w:val="5"/>
        <w:spacing w:line="270" w:lineRule="auto"/>
      </w:pPr>
    </w:p>
    <w:p w14:paraId="63811C49">
      <w:pPr>
        <w:pStyle w:val="5"/>
        <w:spacing w:line="271" w:lineRule="auto"/>
      </w:pPr>
    </w:p>
    <w:p w14:paraId="3E7EEEDB">
      <w:pPr>
        <w:pStyle w:val="5"/>
        <w:spacing w:line="271" w:lineRule="auto"/>
      </w:pPr>
    </w:p>
    <w:p w14:paraId="2EEFB7E6">
      <w:pPr>
        <w:spacing w:before="68" w:line="286" w:lineRule="auto"/>
        <w:ind w:left="12" w:right="194" w:firstLine="418"/>
        <w:rPr>
          <w:rFonts w:ascii="宋体" w:hAnsi="宋体" w:eastAsia="宋体" w:cs="宋体"/>
          <w:sz w:val="21"/>
          <w:szCs w:val="21"/>
        </w:rPr>
      </w:pPr>
      <w:bookmarkStart w:id="233" w:name="bookmark550"/>
      <w:bookmarkEnd w:id="233"/>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）在承包人负责照管期间，因承包人原因造成工程、材料、工程设备损坏的，由承</w:t>
      </w:r>
      <w:r>
        <w:rPr>
          <w:rFonts w:ascii="宋体" w:hAnsi="宋体" w:eastAsia="宋体" w:cs="宋体"/>
          <w:spacing w:val="1"/>
          <w:sz w:val="21"/>
          <w:szCs w:val="21"/>
        </w:rPr>
        <w:t>包人</w:t>
      </w:r>
      <w:r>
        <w:rPr>
          <w:rFonts w:ascii="宋体" w:hAnsi="宋体" w:eastAsia="宋体" w:cs="宋体"/>
          <w:spacing w:val="-1"/>
          <w:sz w:val="21"/>
          <w:szCs w:val="21"/>
        </w:rPr>
        <w:t>负责修复或更换，并承担由此增加的费用和（或）延误的工期。</w:t>
      </w:r>
    </w:p>
    <w:p w14:paraId="4C6DE2AD">
      <w:pPr>
        <w:spacing w:before="149" w:line="308" w:lineRule="auto"/>
        <w:ind w:left="10" w:right="8" w:firstLine="42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）对合同内分期完成的成品和半成品，在工程接收证书颁发前，由承包人承担保护责任。</w:t>
      </w:r>
      <w:r>
        <w:rPr>
          <w:rFonts w:ascii="宋体" w:hAnsi="宋体" w:eastAsia="宋体" w:cs="宋体"/>
          <w:spacing w:val="4"/>
          <w:sz w:val="21"/>
          <w:szCs w:val="21"/>
        </w:rPr>
        <w:t>因承包人原因造成成品或半成品损坏的，</w:t>
      </w:r>
      <w:r>
        <w:rPr>
          <w:rFonts w:ascii="宋体" w:hAnsi="宋体" w:eastAsia="宋体" w:cs="宋体"/>
          <w:spacing w:val="-61"/>
          <w:sz w:val="21"/>
          <w:szCs w:val="21"/>
        </w:rPr>
        <w:t xml:space="preserve"> </w:t>
      </w:r>
      <w:r>
        <w:rPr>
          <w:rFonts w:ascii="宋体" w:hAnsi="宋体" w:eastAsia="宋体" w:cs="宋体"/>
          <w:spacing w:val="4"/>
          <w:sz w:val="21"/>
          <w:szCs w:val="21"/>
        </w:rPr>
        <w:t>由承包人负责</w:t>
      </w:r>
      <w:r>
        <w:rPr>
          <w:rFonts w:ascii="宋体" w:hAnsi="宋体" w:eastAsia="宋体" w:cs="宋体"/>
          <w:spacing w:val="3"/>
          <w:sz w:val="21"/>
          <w:szCs w:val="21"/>
        </w:rPr>
        <w:t>修复或更换，并承担由此增加的费用和</w:t>
      </w:r>
      <w:r>
        <w:rPr>
          <w:rFonts w:ascii="宋体" w:hAnsi="宋体" w:eastAsia="宋体" w:cs="宋体"/>
          <w:spacing w:val="-3"/>
          <w:sz w:val="21"/>
          <w:szCs w:val="21"/>
        </w:rPr>
        <w:t>（或）延误的工期。</w:t>
      </w:r>
    </w:p>
    <w:p w14:paraId="0AF93BB9">
      <w:pPr>
        <w:spacing w:before="123" w:line="233" w:lineRule="auto"/>
        <w:outlineLvl w:val="2"/>
        <w:rPr>
          <w:rFonts w:ascii="黑体" w:hAnsi="黑体" w:eastAsia="黑体" w:cs="黑体"/>
          <w:sz w:val="24"/>
          <w:szCs w:val="24"/>
        </w:rPr>
      </w:pPr>
      <w:bookmarkStart w:id="234" w:name="bookmark176"/>
      <w:bookmarkEnd w:id="234"/>
      <w:r>
        <w:rPr>
          <w:rFonts w:ascii="Times New Roman" w:hAnsi="Times New Roman" w:eastAsia="Times New Roman" w:cs="Times New Roman"/>
          <w:b/>
          <w:bCs/>
          <w:spacing w:val="-2"/>
          <w:sz w:val="24"/>
          <w:szCs w:val="24"/>
        </w:rPr>
        <w:t xml:space="preserve">3.7  </w:t>
      </w:r>
      <w:r>
        <w:rPr>
          <w:rFonts w:ascii="黑体" w:hAnsi="黑体" w:eastAsia="黑体" w:cs="黑体"/>
          <w:b/>
          <w:bCs/>
          <w:spacing w:val="-2"/>
          <w:sz w:val="24"/>
          <w:szCs w:val="24"/>
        </w:rPr>
        <w:t>履约担保</w:t>
      </w:r>
    </w:p>
    <w:p w14:paraId="2098A7C9">
      <w:pPr>
        <w:spacing w:before="120" w:line="352" w:lineRule="auto"/>
        <w:ind w:left="6" w:right="177" w:firstLine="421"/>
        <w:rPr>
          <w:rFonts w:ascii="宋体" w:hAnsi="宋体" w:eastAsia="宋体" w:cs="宋体"/>
          <w:sz w:val="21"/>
          <w:szCs w:val="21"/>
        </w:rPr>
      </w:pPr>
      <w:r>
        <w:rPr>
          <w:rFonts w:ascii="宋体" w:hAnsi="宋体" w:eastAsia="宋体" w:cs="宋体"/>
          <w:sz w:val="21"/>
          <w:szCs w:val="21"/>
        </w:rPr>
        <w:t>发包人需要承包人提供履约担保的，由合同当事人在专用合同条款中约定履</w:t>
      </w:r>
      <w:r>
        <w:rPr>
          <w:rFonts w:ascii="宋体" w:hAnsi="宋体" w:eastAsia="宋体" w:cs="宋体"/>
          <w:spacing w:val="-1"/>
          <w:sz w:val="21"/>
          <w:szCs w:val="21"/>
        </w:rPr>
        <w:t>约担保的方式、</w:t>
      </w:r>
      <w:r>
        <w:rPr>
          <w:rFonts w:ascii="宋体" w:hAnsi="宋体" w:eastAsia="宋体" w:cs="宋体"/>
          <w:sz w:val="21"/>
          <w:szCs w:val="21"/>
        </w:rPr>
        <w:t>金额及期限等。履约担保可以采用银行保函或担保公司担保等形式，具体由合同当事</w:t>
      </w:r>
      <w:r>
        <w:rPr>
          <w:rFonts w:ascii="宋体" w:hAnsi="宋体" w:eastAsia="宋体" w:cs="宋体"/>
          <w:spacing w:val="-1"/>
          <w:sz w:val="21"/>
          <w:szCs w:val="21"/>
        </w:rPr>
        <w:t>人在专用合</w:t>
      </w:r>
      <w:r>
        <w:rPr>
          <w:rFonts w:ascii="宋体" w:hAnsi="宋体" w:eastAsia="宋体" w:cs="宋体"/>
          <w:spacing w:val="-4"/>
          <w:sz w:val="21"/>
          <w:szCs w:val="21"/>
        </w:rPr>
        <w:t>同条款中约定。</w:t>
      </w:r>
    </w:p>
    <w:p w14:paraId="7F33D1A6">
      <w:pPr>
        <w:spacing w:before="1" w:line="341" w:lineRule="auto"/>
        <w:ind w:left="9" w:right="177" w:firstLine="431"/>
        <w:rPr>
          <w:rFonts w:ascii="宋体" w:hAnsi="宋体" w:eastAsia="宋体" w:cs="宋体"/>
          <w:sz w:val="21"/>
          <w:szCs w:val="21"/>
        </w:rPr>
      </w:pPr>
      <w:r>
        <w:rPr>
          <w:rFonts w:ascii="宋体" w:hAnsi="宋体" w:eastAsia="宋体" w:cs="宋体"/>
          <w:sz w:val="21"/>
          <w:szCs w:val="21"/>
        </w:rPr>
        <w:t>因承包人原因导致工期延长的，继续提供履约</w:t>
      </w:r>
      <w:r>
        <w:rPr>
          <w:rFonts w:ascii="宋体" w:hAnsi="宋体" w:eastAsia="宋体" w:cs="宋体"/>
          <w:spacing w:val="-1"/>
          <w:sz w:val="21"/>
          <w:szCs w:val="21"/>
        </w:rPr>
        <w:t>担保所增加的费用由承包人承担；非因承包人原因导致工期延长的，继续提供履约担保所增加的费用由发包人承担。</w:t>
      </w:r>
    </w:p>
    <w:p w14:paraId="7D0B467F">
      <w:pPr>
        <w:spacing w:before="1" w:line="232" w:lineRule="auto"/>
        <w:outlineLvl w:val="2"/>
        <w:rPr>
          <w:rFonts w:ascii="黑体" w:hAnsi="黑体" w:eastAsia="黑体" w:cs="黑体"/>
          <w:sz w:val="24"/>
          <w:szCs w:val="24"/>
        </w:rPr>
      </w:pPr>
      <w:bookmarkStart w:id="235" w:name="bookmark177"/>
      <w:bookmarkEnd w:id="235"/>
      <w:r>
        <w:rPr>
          <w:rFonts w:ascii="Times New Roman" w:hAnsi="Times New Roman" w:eastAsia="Times New Roman" w:cs="Times New Roman"/>
          <w:b/>
          <w:bCs/>
          <w:spacing w:val="-4"/>
          <w:sz w:val="24"/>
          <w:szCs w:val="24"/>
        </w:rPr>
        <w:t>3.8</w:t>
      </w:r>
      <w:r>
        <w:rPr>
          <w:rFonts w:ascii="Times New Roman" w:hAnsi="Times New Roman" w:eastAsia="Times New Roman" w:cs="Times New Roman"/>
          <w:b/>
          <w:bCs/>
          <w:spacing w:val="6"/>
          <w:sz w:val="24"/>
          <w:szCs w:val="24"/>
        </w:rPr>
        <w:t xml:space="preserve">  </w:t>
      </w:r>
      <w:r>
        <w:rPr>
          <w:rFonts w:ascii="黑体" w:hAnsi="黑体" w:eastAsia="黑体" w:cs="黑体"/>
          <w:b/>
          <w:bCs/>
          <w:spacing w:val="-4"/>
          <w:sz w:val="24"/>
          <w:szCs w:val="24"/>
        </w:rPr>
        <w:t>联合体</w:t>
      </w:r>
    </w:p>
    <w:p w14:paraId="35C0399B">
      <w:pPr>
        <w:spacing w:before="122" w:line="286" w:lineRule="auto"/>
        <w:ind w:left="5" w:right="179"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3.8.1  </w:t>
      </w:r>
      <w:r>
        <w:rPr>
          <w:rFonts w:ascii="宋体" w:hAnsi="宋体" w:eastAsia="宋体" w:cs="宋体"/>
          <w:spacing w:val="2"/>
          <w:sz w:val="21"/>
          <w:szCs w:val="21"/>
        </w:rPr>
        <w:t>联合体各方应共同与发包人签订合同协议书。联合体各方应为履行合同向发包人承担</w:t>
      </w:r>
      <w:r>
        <w:rPr>
          <w:rFonts w:ascii="宋体" w:hAnsi="宋体" w:eastAsia="宋体" w:cs="宋体"/>
          <w:spacing w:val="-5"/>
          <w:sz w:val="21"/>
          <w:szCs w:val="21"/>
        </w:rPr>
        <w:t>连带责任。</w:t>
      </w:r>
    </w:p>
    <w:p w14:paraId="4A8CB3C5">
      <w:pPr>
        <w:spacing w:before="151" w:line="285" w:lineRule="auto"/>
        <w:ind w:left="5" w:right="200"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3.8.2  </w:t>
      </w:r>
      <w:r>
        <w:rPr>
          <w:rFonts w:ascii="宋体" w:hAnsi="宋体" w:eastAsia="宋体" w:cs="宋体"/>
          <w:spacing w:val="2"/>
          <w:sz w:val="21"/>
          <w:szCs w:val="21"/>
        </w:rPr>
        <w:t>联合体协议经发包人确认后作为合同附件。在履行合同过程中</w:t>
      </w:r>
      <w:r>
        <w:rPr>
          <w:rFonts w:ascii="宋体" w:hAnsi="宋体" w:eastAsia="宋体" w:cs="宋体"/>
          <w:spacing w:val="1"/>
          <w:sz w:val="21"/>
          <w:szCs w:val="21"/>
        </w:rPr>
        <w:t>，未经发包人同意，不</w:t>
      </w:r>
      <w:r>
        <w:rPr>
          <w:rFonts w:ascii="宋体" w:hAnsi="宋体" w:eastAsia="宋体" w:cs="宋体"/>
          <w:spacing w:val="-3"/>
          <w:sz w:val="21"/>
          <w:szCs w:val="21"/>
        </w:rPr>
        <w:t>得修改联合体协议。</w:t>
      </w:r>
    </w:p>
    <w:p w14:paraId="459B7F10">
      <w:pPr>
        <w:spacing w:before="150" w:line="287" w:lineRule="auto"/>
        <w:ind w:left="7" w:right="188" w:firstLine="417"/>
        <w:rPr>
          <w:rFonts w:ascii="宋体" w:hAnsi="宋体" w:eastAsia="宋体" w:cs="宋体"/>
          <w:sz w:val="21"/>
          <w:szCs w:val="21"/>
        </w:rPr>
      </w:pPr>
      <w:r>
        <w:rPr>
          <w:rFonts w:ascii="Times New Roman" w:hAnsi="Times New Roman" w:eastAsia="Times New Roman" w:cs="Times New Roman"/>
          <w:spacing w:val="2"/>
          <w:sz w:val="21"/>
          <w:szCs w:val="21"/>
        </w:rPr>
        <w:t xml:space="preserve">3.8.3  </w:t>
      </w:r>
      <w:r>
        <w:rPr>
          <w:rFonts w:ascii="宋体" w:hAnsi="宋体" w:eastAsia="宋体" w:cs="宋体"/>
          <w:spacing w:val="2"/>
          <w:sz w:val="21"/>
          <w:szCs w:val="21"/>
        </w:rPr>
        <w:t>联合体牵头人负责与发包人和监理人联系，并接受指示，负责组织联合体各成员全面</w:t>
      </w:r>
      <w:r>
        <w:rPr>
          <w:rFonts w:ascii="宋体" w:hAnsi="宋体" w:eastAsia="宋体" w:cs="宋体"/>
          <w:spacing w:val="-5"/>
          <w:sz w:val="21"/>
          <w:szCs w:val="21"/>
        </w:rPr>
        <w:t>履行合同。</w:t>
      </w:r>
    </w:p>
    <w:p w14:paraId="2671AFCD">
      <w:pPr>
        <w:spacing w:before="187" w:line="236" w:lineRule="auto"/>
        <w:ind w:left="3"/>
        <w:outlineLvl w:val="1"/>
        <w:rPr>
          <w:rFonts w:ascii="黑体" w:hAnsi="黑体" w:eastAsia="黑体" w:cs="黑体"/>
          <w:sz w:val="28"/>
          <w:szCs w:val="28"/>
        </w:rPr>
      </w:pPr>
      <w:bookmarkStart w:id="236" w:name="bookmark178"/>
      <w:bookmarkEnd w:id="236"/>
      <w:r>
        <w:rPr>
          <w:rFonts w:ascii="Times New Roman" w:hAnsi="Times New Roman" w:eastAsia="Times New Roman" w:cs="Times New Roman"/>
          <w:b/>
          <w:bCs/>
          <w:spacing w:val="-2"/>
          <w:sz w:val="28"/>
          <w:szCs w:val="28"/>
        </w:rPr>
        <w:t xml:space="preserve">4.  </w:t>
      </w:r>
      <w:r>
        <w:rPr>
          <w:rFonts w:ascii="黑体" w:hAnsi="黑体" w:eastAsia="黑体" w:cs="黑体"/>
          <w:b/>
          <w:bCs/>
          <w:spacing w:val="-2"/>
          <w:sz w:val="28"/>
          <w:szCs w:val="28"/>
        </w:rPr>
        <w:t>监理人</w:t>
      </w:r>
    </w:p>
    <w:p w14:paraId="15E1CCEE">
      <w:pPr>
        <w:spacing w:before="78" w:line="232" w:lineRule="auto"/>
        <w:ind w:left="2"/>
        <w:outlineLvl w:val="2"/>
        <w:rPr>
          <w:rFonts w:ascii="黑体" w:hAnsi="黑体" w:eastAsia="黑体" w:cs="黑体"/>
          <w:sz w:val="24"/>
          <w:szCs w:val="24"/>
        </w:rPr>
      </w:pPr>
      <w:bookmarkStart w:id="237" w:name="bookmark179"/>
      <w:bookmarkEnd w:id="237"/>
      <w:r>
        <w:rPr>
          <w:rFonts w:ascii="Times New Roman" w:hAnsi="Times New Roman" w:eastAsia="Times New Roman" w:cs="Times New Roman"/>
          <w:b/>
          <w:bCs/>
          <w:spacing w:val="-2"/>
          <w:sz w:val="24"/>
          <w:szCs w:val="24"/>
        </w:rPr>
        <w:t xml:space="preserve">4.1 </w:t>
      </w:r>
      <w:r>
        <w:rPr>
          <w:rFonts w:ascii="黑体" w:hAnsi="黑体" w:eastAsia="黑体" w:cs="黑体"/>
          <w:b/>
          <w:bCs/>
          <w:spacing w:val="-2"/>
          <w:sz w:val="24"/>
          <w:szCs w:val="24"/>
        </w:rPr>
        <w:t>监理人的一般规定</w:t>
      </w:r>
    </w:p>
    <w:p w14:paraId="281E383A">
      <w:pPr>
        <w:spacing w:before="122" w:line="352" w:lineRule="auto"/>
        <w:ind w:left="3" w:firstLine="423"/>
        <w:jc w:val="both"/>
        <w:rPr>
          <w:rFonts w:ascii="宋体" w:hAnsi="宋体" w:eastAsia="宋体" w:cs="宋体"/>
          <w:sz w:val="21"/>
          <w:szCs w:val="21"/>
        </w:rPr>
      </w:pPr>
      <w:r>
        <w:rPr>
          <w:rFonts w:ascii="宋体" w:hAnsi="宋体" w:eastAsia="宋体" w:cs="宋体"/>
          <w:sz w:val="21"/>
          <w:szCs w:val="21"/>
        </w:rPr>
        <w:t>工程实行监理的，发包人和承包人应在专用合同条款中明确监理人的监理内容</w:t>
      </w:r>
      <w:r>
        <w:rPr>
          <w:rFonts w:ascii="宋体" w:hAnsi="宋体" w:eastAsia="宋体" w:cs="宋体"/>
          <w:spacing w:val="-1"/>
          <w:sz w:val="21"/>
          <w:szCs w:val="21"/>
        </w:rPr>
        <w:t>及监理权限等事项。监理人应当根据发包人授权及法律规定，代表发包人对工程施工相关事项进行检查、查验、</w:t>
      </w:r>
      <w:r>
        <w:rPr>
          <w:rFonts w:ascii="宋体" w:hAnsi="宋体" w:eastAsia="宋体" w:cs="宋体"/>
          <w:sz w:val="21"/>
          <w:szCs w:val="21"/>
        </w:rPr>
        <w:t>审核、验收，并签发相关指示，但监理人无权修改合同，且无权减轻或免除合同约定的承</w:t>
      </w:r>
      <w:r>
        <w:rPr>
          <w:rFonts w:ascii="宋体" w:hAnsi="宋体" w:eastAsia="宋体" w:cs="宋体"/>
          <w:spacing w:val="-1"/>
          <w:sz w:val="21"/>
          <w:szCs w:val="21"/>
        </w:rPr>
        <w:t>包人的任何责任与义务。</w:t>
      </w:r>
    </w:p>
    <w:p w14:paraId="2590D97E">
      <w:pPr>
        <w:spacing w:before="1" w:line="340" w:lineRule="auto"/>
        <w:ind w:left="6" w:right="177" w:firstLine="430"/>
        <w:rPr>
          <w:rFonts w:ascii="宋体" w:hAnsi="宋体" w:eastAsia="宋体" w:cs="宋体"/>
          <w:sz w:val="21"/>
          <w:szCs w:val="21"/>
        </w:rPr>
      </w:pPr>
      <w:r>
        <w:rPr>
          <w:rFonts w:ascii="宋体" w:hAnsi="宋体" w:eastAsia="宋体" w:cs="宋体"/>
          <w:sz w:val="21"/>
          <w:szCs w:val="21"/>
        </w:rPr>
        <w:t>除专用合同条款另有约定外，监理人在施工现场的办公</w:t>
      </w:r>
      <w:r>
        <w:rPr>
          <w:rFonts w:ascii="宋体" w:hAnsi="宋体" w:eastAsia="宋体" w:cs="宋体"/>
          <w:spacing w:val="-1"/>
          <w:sz w:val="21"/>
          <w:szCs w:val="21"/>
        </w:rPr>
        <w:t>场所、生活场所由承包人提供，所发</w:t>
      </w:r>
      <w:r>
        <w:rPr>
          <w:rFonts w:ascii="宋体" w:hAnsi="宋体" w:eastAsia="宋体" w:cs="宋体"/>
          <w:spacing w:val="-2"/>
          <w:sz w:val="21"/>
          <w:szCs w:val="21"/>
        </w:rPr>
        <w:t>生的费用由发包人承担。</w:t>
      </w:r>
    </w:p>
    <w:p w14:paraId="4164A3F8">
      <w:pPr>
        <w:spacing w:before="1" w:line="231" w:lineRule="auto"/>
        <w:ind w:left="2"/>
        <w:outlineLvl w:val="2"/>
        <w:rPr>
          <w:rFonts w:ascii="黑体" w:hAnsi="黑体" w:eastAsia="黑体" w:cs="黑体"/>
          <w:sz w:val="24"/>
          <w:szCs w:val="24"/>
        </w:rPr>
      </w:pPr>
      <w:bookmarkStart w:id="238" w:name="bookmark180"/>
      <w:bookmarkEnd w:id="238"/>
      <w:r>
        <w:rPr>
          <w:rFonts w:ascii="Times New Roman" w:hAnsi="Times New Roman" w:eastAsia="Times New Roman" w:cs="Times New Roman"/>
          <w:b/>
          <w:bCs/>
          <w:spacing w:val="-2"/>
          <w:sz w:val="24"/>
          <w:szCs w:val="24"/>
        </w:rPr>
        <w:t xml:space="preserve">4.2 </w:t>
      </w:r>
      <w:r>
        <w:rPr>
          <w:rFonts w:ascii="黑体" w:hAnsi="黑体" w:eastAsia="黑体" w:cs="黑体"/>
          <w:b/>
          <w:bCs/>
          <w:spacing w:val="-2"/>
          <w:sz w:val="24"/>
          <w:szCs w:val="24"/>
        </w:rPr>
        <w:t>监理人员</w:t>
      </w:r>
    </w:p>
    <w:p w14:paraId="32244870">
      <w:pPr>
        <w:spacing w:before="126" w:line="346" w:lineRule="auto"/>
        <w:ind w:left="4" w:right="177" w:firstLine="423"/>
        <w:jc w:val="both"/>
        <w:rPr>
          <w:rFonts w:ascii="宋体" w:hAnsi="宋体" w:eastAsia="宋体" w:cs="宋体"/>
          <w:sz w:val="21"/>
          <w:szCs w:val="21"/>
        </w:rPr>
      </w:pPr>
      <w:r>
        <w:rPr>
          <w:rFonts w:ascii="宋体" w:hAnsi="宋体" w:eastAsia="宋体" w:cs="宋体"/>
          <w:sz w:val="21"/>
          <w:szCs w:val="21"/>
        </w:rPr>
        <w:t>发包人授予监理人对工程实施监理的权利由监理人派驻施工现场的监理人员</w:t>
      </w:r>
      <w:r>
        <w:rPr>
          <w:rFonts w:ascii="宋体" w:hAnsi="宋体" w:eastAsia="宋体" w:cs="宋体"/>
          <w:spacing w:val="-1"/>
          <w:sz w:val="21"/>
          <w:szCs w:val="21"/>
        </w:rPr>
        <w:t>行使，监理人员</w:t>
      </w:r>
      <w:r>
        <w:rPr>
          <w:rFonts w:ascii="宋体" w:hAnsi="宋体" w:eastAsia="宋体" w:cs="宋体"/>
          <w:sz w:val="21"/>
          <w:szCs w:val="21"/>
        </w:rPr>
        <w:t>包括总监理工程师及监理工程师。监理人应将授权的总监理工程师和监理工程师的姓名及</w:t>
      </w:r>
      <w:r>
        <w:rPr>
          <w:rFonts w:ascii="宋体" w:hAnsi="宋体" w:eastAsia="宋体" w:cs="宋体"/>
          <w:spacing w:val="-1"/>
          <w:sz w:val="21"/>
          <w:szCs w:val="21"/>
        </w:rPr>
        <w:t>授权范</w:t>
      </w:r>
      <w:r>
        <w:rPr>
          <w:rFonts w:ascii="宋体" w:hAnsi="宋体" w:eastAsia="宋体" w:cs="宋体"/>
          <w:sz w:val="21"/>
          <w:szCs w:val="21"/>
        </w:rPr>
        <w:t>围以书面形式提前通知承包人。更换总监理工程师的，监理人应提前</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7</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天书面通知承包人；更换</w:t>
      </w:r>
      <w:r>
        <w:rPr>
          <w:rFonts w:ascii="宋体" w:hAnsi="宋体" w:eastAsia="宋体" w:cs="宋体"/>
          <w:spacing w:val="-2"/>
          <w:sz w:val="21"/>
          <w:szCs w:val="21"/>
        </w:rPr>
        <w:t>其他监理人员，监理人应提前</w:t>
      </w:r>
      <w:r>
        <w:rPr>
          <w:rFonts w:ascii="宋体" w:hAnsi="宋体" w:eastAsia="宋体" w:cs="宋体"/>
          <w:spacing w:val="-38"/>
          <w:sz w:val="21"/>
          <w:szCs w:val="21"/>
        </w:rPr>
        <w:t xml:space="preserve"> </w:t>
      </w:r>
      <w:r>
        <w:rPr>
          <w:rFonts w:ascii="Times New Roman" w:hAnsi="Times New Roman" w:eastAsia="Times New Roman" w:cs="Times New Roman"/>
          <w:spacing w:val="-2"/>
          <w:sz w:val="21"/>
          <w:szCs w:val="21"/>
        </w:rPr>
        <w:t>48</w:t>
      </w:r>
      <w:r>
        <w:rPr>
          <w:rFonts w:ascii="Times New Roman" w:hAnsi="Times New Roman" w:eastAsia="Times New Roman" w:cs="Times New Roman"/>
          <w:spacing w:val="14"/>
          <w:sz w:val="21"/>
          <w:szCs w:val="21"/>
        </w:rPr>
        <w:t xml:space="preserve"> </w:t>
      </w:r>
      <w:r>
        <w:rPr>
          <w:rFonts w:ascii="宋体" w:hAnsi="宋体" w:eastAsia="宋体" w:cs="宋体"/>
          <w:spacing w:val="-2"/>
          <w:sz w:val="21"/>
          <w:szCs w:val="21"/>
        </w:rPr>
        <w:t>小时书面通知承包人。</w:t>
      </w:r>
    </w:p>
    <w:p w14:paraId="57EB21B3">
      <w:pPr>
        <w:spacing w:line="232" w:lineRule="auto"/>
        <w:ind w:left="2"/>
        <w:outlineLvl w:val="2"/>
        <w:rPr>
          <w:rFonts w:ascii="黑体" w:hAnsi="黑体" w:eastAsia="黑体" w:cs="黑体"/>
          <w:sz w:val="24"/>
          <w:szCs w:val="24"/>
        </w:rPr>
      </w:pPr>
      <w:bookmarkStart w:id="239" w:name="bookmark181"/>
      <w:bookmarkEnd w:id="239"/>
      <w:r>
        <w:rPr>
          <w:rFonts w:ascii="Times New Roman" w:hAnsi="Times New Roman" w:eastAsia="Times New Roman" w:cs="Times New Roman"/>
          <w:b/>
          <w:bCs/>
          <w:spacing w:val="-2"/>
          <w:sz w:val="24"/>
          <w:szCs w:val="24"/>
        </w:rPr>
        <w:t xml:space="preserve">4.3 </w:t>
      </w:r>
      <w:r>
        <w:rPr>
          <w:rFonts w:ascii="黑体" w:hAnsi="黑体" w:eastAsia="黑体" w:cs="黑体"/>
          <w:b/>
          <w:bCs/>
          <w:spacing w:val="-2"/>
          <w:sz w:val="24"/>
          <w:szCs w:val="24"/>
        </w:rPr>
        <w:t>监理人的指示</w:t>
      </w:r>
    </w:p>
    <w:p w14:paraId="6EBC0D4F">
      <w:pPr>
        <w:spacing w:before="122" w:line="354" w:lineRule="auto"/>
        <w:ind w:left="6" w:right="177" w:firstLine="418"/>
        <w:rPr>
          <w:rFonts w:ascii="宋体" w:hAnsi="宋体" w:eastAsia="宋体" w:cs="宋体"/>
          <w:sz w:val="21"/>
          <w:szCs w:val="21"/>
        </w:rPr>
      </w:pPr>
      <w:r>
        <w:rPr>
          <w:rFonts w:ascii="宋体" w:hAnsi="宋体" w:eastAsia="宋体" w:cs="宋体"/>
          <w:sz w:val="21"/>
          <w:szCs w:val="21"/>
        </w:rPr>
        <w:t>监理人应按照发包人的授权发出监理指示。监理人的指示应采用书面形式，并经其</w:t>
      </w:r>
      <w:r>
        <w:rPr>
          <w:rFonts w:ascii="宋体" w:hAnsi="宋体" w:eastAsia="宋体" w:cs="宋体"/>
          <w:spacing w:val="-1"/>
          <w:sz w:val="21"/>
          <w:szCs w:val="21"/>
        </w:rPr>
        <w:t>授权的监</w:t>
      </w:r>
      <w:r>
        <w:rPr>
          <w:rFonts w:ascii="宋体" w:hAnsi="宋体" w:eastAsia="宋体" w:cs="宋体"/>
          <w:sz w:val="21"/>
          <w:szCs w:val="21"/>
        </w:rPr>
        <w:t>理人员签字。紧急情况下，为了保证施工人员的安全或避免工程受损，监理人员可</w:t>
      </w:r>
      <w:r>
        <w:rPr>
          <w:rFonts w:ascii="宋体" w:hAnsi="宋体" w:eastAsia="宋体" w:cs="宋体"/>
          <w:spacing w:val="-1"/>
          <w:sz w:val="21"/>
          <w:szCs w:val="21"/>
        </w:rPr>
        <w:t>以口头形式发</w:t>
      </w:r>
    </w:p>
    <w:p w14:paraId="36082BE9">
      <w:pPr>
        <w:spacing w:line="354" w:lineRule="auto"/>
        <w:rPr>
          <w:rFonts w:ascii="宋体" w:hAnsi="宋体" w:eastAsia="宋体" w:cs="宋体"/>
          <w:sz w:val="21"/>
          <w:szCs w:val="21"/>
        </w:rPr>
        <w:sectPr>
          <w:footerReference r:id="rId98" w:type="default"/>
          <w:pgSz w:w="11905" w:h="16843"/>
          <w:pgMar w:top="969" w:right="1355" w:bottom="1026" w:left="1480" w:header="0" w:footer="754" w:gutter="0"/>
          <w:cols w:space="0" w:num="1"/>
          <w:rtlGutter w:val="0"/>
          <w:docGrid w:linePitch="0" w:charSpace="0"/>
        </w:sectPr>
      </w:pPr>
    </w:p>
    <w:p w14:paraId="604F2AA7">
      <w:pPr>
        <w:pStyle w:val="5"/>
        <w:spacing w:line="270" w:lineRule="auto"/>
      </w:pPr>
    </w:p>
    <w:p w14:paraId="22D554E5">
      <w:pPr>
        <w:pStyle w:val="5"/>
        <w:spacing w:line="270" w:lineRule="auto"/>
      </w:pPr>
    </w:p>
    <w:p w14:paraId="12BD5FA0">
      <w:pPr>
        <w:pStyle w:val="5"/>
        <w:spacing w:line="270" w:lineRule="auto"/>
      </w:pPr>
    </w:p>
    <w:p w14:paraId="152DAAC4">
      <w:pPr>
        <w:pStyle w:val="5"/>
        <w:spacing w:line="271" w:lineRule="auto"/>
      </w:pPr>
    </w:p>
    <w:p w14:paraId="45AABCBA">
      <w:pPr>
        <w:spacing w:before="68" w:line="344" w:lineRule="auto"/>
        <w:ind w:left="6" w:firstLine="13"/>
        <w:rPr>
          <w:rFonts w:ascii="宋体" w:hAnsi="宋体" w:eastAsia="宋体" w:cs="宋体"/>
          <w:sz w:val="21"/>
          <w:szCs w:val="21"/>
        </w:rPr>
      </w:pPr>
      <w:bookmarkStart w:id="240" w:name="bookmark551"/>
      <w:bookmarkEnd w:id="240"/>
      <w:r>
        <w:rPr>
          <w:rFonts w:ascii="宋体" w:hAnsi="宋体" w:eastAsia="宋体" w:cs="宋体"/>
          <w:sz w:val="21"/>
          <w:szCs w:val="21"/>
        </w:rPr>
        <w:t>出指示，该指示与书面形式的指示具有同等法律效力，</w:t>
      </w:r>
      <w:r>
        <w:rPr>
          <w:rFonts w:ascii="宋体" w:hAnsi="宋体" w:eastAsia="宋体" w:cs="宋体"/>
          <w:spacing w:val="-1"/>
          <w:sz w:val="21"/>
          <w:szCs w:val="21"/>
        </w:rPr>
        <w:t xml:space="preserve">但必须在发出口头指示后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小时内补发书面监理指示，补发的书面监理指示应与口头指示一致。</w:t>
      </w:r>
    </w:p>
    <w:p w14:paraId="5713F311">
      <w:pPr>
        <w:spacing w:before="17" w:line="351" w:lineRule="auto"/>
        <w:ind w:left="2" w:firstLine="420"/>
        <w:jc w:val="both"/>
        <w:rPr>
          <w:rFonts w:ascii="宋体" w:hAnsi="宋体" w:eastAsia="宋体" w:cs="宋体"/>
          <w:sz w:val="21"/>
          <w:szCs w:val="21"/>
        </w:rPr>
      </w:pPr>
      <w:r>
        <w:rPr>
          <w:rFonts w:ascii="宋体" w:hAnsi="宋体" w:eastAsia="宋体" w:cs="宋体"/>
          <w:sz w:val="21"/>
          <w:szCs w:val="21"/>
        </w:rPr>
        <w:t>监理人发出的指示应送达承包人项目经理或经项目经理授权接收的人员。因监理人</w:t>
      </w:r>
      <w:r>
        <w:rPr>
          <w:rFonts w:ascii="宋体" w:hAnsi="宋体" w:eastAsia="宋体" w:cs="宋体"/>
          <w:spacing w:val="-1"/>
          <w:sz w:val="21"/>
          <w:szCs w:val="21"/>
        </w:rPr>
        <w:t>未能按合</w:t>
      </w:r>
      <w:r>
        <w:rPr>
          <w:rFonts w:ascii="宋体" w:hAnsi="宋体" w:eastAsia="宋体" w:cs="宋体"/>
          <w:sz w:val="21"/>
          <w:szCs w:val="21"/>
        </w:rPr>
        <w:t>同约定发出指示、指示延误或发出了错误指示而导致承包人费用增加和（或）工期延误的</w:t>
      </w:r>
      <w:r>
        <w:rPr>
          <w:rFonts w:ascii="宋体" w:hAnsi="宋体" w:eastAsia="宋体" w:cs="宋体"/>
          <w:spacing w:val="-1"/>
          <w:sz w:val="21"/>
          <w:szCs w:val="21"/>
        </w:rPr>
        <w:t>，由发</w:t>
      </w:r>
      <w:r>
        <w:rPr>
          <w:rFonts w:ascii="宋体" w:hAnsi="宋体" w:eastAsia="宋体" w:cs="宋体"/>
          <w:sz w:val="21"/>
          <w:szCs w:val="21"/>
        </w:rPr>
        <w:t>包人承担相应责任。除专用合同条款另有约定外，总监理工</w:t>
      </w:r>
      <w:r>
        <w:rPr>
          <w:rFonts w:ascii="宋体" w:hAnsi="宋体" w:eastAsia="宋体" w:cs="宋体"/>
          <w:spacing w:val="-1"/>
          <w:sz w:val="21"/>
          <w:szCs w:val="21"/>
        </w:rPr>
        <w:t>程师不应将第</w:t>
      </w:r>
      <w:r>
        <w:rPr>
          <w:rFonts w:ascii="宋体" w:hAnsi="宋体" w:eastAsia="宋体" w:cs="宋体"/>
          <w:spacing w:val="-22"/>
          <w:sz w:val="21"/>
          <w:szCs w:val="21"/>
        </w:rPr>
        <w:t xml:space="preserve"> </w:t>
      </w:r>
      <w:r>
        <w:rPr>
          <w:rFonts w:ascii="Times New Roman" w:hAnsi="Times New Roman" w:eastAsia="Times New Roman" w:cs="Times New Roman"/>
          <w:spacing w:val="-1"/>
          <w:sz w:val="21"/>
          <w:szCs w:val="21"/>
        </w:rPr>
        <w:t>4.4</w:t>
      </w:r>
      <w:r>
        <w:rPr>
          <w:rFonts w:ascii="Times New Roman" w:hAnsi="Times New Roman" w:eastAsia="Times New Roman" w:cs="Times New Roman"/>
          <w:spacing w:val="36"/>
          <w:sz w:val="21"/>
          <w:szCs w:val="21"/>
        </w:rPr>
        <w:t xml:space="preserve"> </w:t>
      </w:r>
      <w:r>
        <w:rPr>
          <w:rFonts w:ascii="宋体" w:hAnsi="宋体" w:eastAsia="宋体" w:cs="宋体"/>
          <w:spacing w:val="-1"/>
          <w:sz w:val="21"/>
          <w:szCs w:val="21"/>
        </w:rPr>
        <w:t>款〔商定或确定〕</w:t>
      </w:r>
      <w:r>
        <w:rPr>
          <w:rFonts w:ascii="宋体" w:hAnsi="宋体" w:eastAsia="宋体" w:cs="宋体"/>
          <w:sz w:val="21"/>
          <w:szCs w:val="21"/>
        </w:rPr>
        <w:t>约定应由总监理工程师作出确定的权力授权或委托给其他监理</w:t>
      </w:r>
      <w:r>
        <w:rPr>
          <w:rFonts w:ascii="宋体" w:hAnsi="宋体" w:eastAsia="宋体" w:cs="宋体"/>
          <w:spacing w:val="-1"/>
          <w:sz w:val="21"/>
          <w:szCs w:val="21"/>
        </w:rPr>
        <w:t>人员。</w:t>
      </w:r>
    </w:p>
    <w:p w14:paraId="7CCBED26">
      <w:pPr>
        <w:spacing w:before="3" w:line="344" w:lineRule="auto"/>
        <w:ind w:left="5" w:firstLine="416"/>
        <w:rPr>
          <w:rFonts w:ascii="宋体" w:hAnsi="宋体" w:eastAsia="宋体" w:cs="宋体"/>
          <w:sz w:val="21"/>
          <w:szCs w:val="21"/>
        </w:rPr>
      </w:pPr>
      <w:r>
        <w:rPr>
          <w:rFonts w:ascii="宋体" w:hAnsi="宋体" w:eastAsia="宋体" w:cs="宋体"/>
          <w:sz w:val="21"/>
          <w:szCs w:val="21"/>
        </w:rPr>
        <w:t xml:space="preserve">承包人对监理人发出的指示有疑问的，应向监理人提出书面异议，监理人应在 </w:t>
      </w:r>
      <w:r>
        <w:rPr>
          <w:rFonts w:ascii="Times New Roman" w:hAnsi="Times New Roman" w:eastAsia="Times New Roman" w:cs="Times New Roman"/>
          <w:sz w:val="21"/>
          <w:szCs w:val="21"/>
        </w:rPr>
        <w:t xml:space="preserve">48  </w:t>
      </w:r>
      <w:r>
        <w:rPr>
          <w:rFonts w:ascii="宋体" w:hAnsi="宋体" w:eastAsia="宋体" w:cs="宋体"/>
          <w:sz w:val="21"/>
          <w:szCs w:val="21"/>
        </w:rPr>
        <w:t>小</w:t>
      </w:r>
      <w:r>
        <w:rPr>
          <w:rFonts w:ascii="宋体" w:hAnsi="宋体" w:eastAsia="宋体" w:cs="宋体"/>
          <w:spacing w:val="-1"/>
          <w:sz w:val="21"/>
          <w:szCs w:val="21"/>
        </w:rPr>
        <w:t>时内对该指示予以确认、更改或撤销，监理人逾期未回复的，承包人有权拒绝执行上述指示。</w:t>
      </w:r>
    </w:p>
    <w:p w14:paraId="1D2B9136">
      <w:pPr>
        <w:spacing w:before="20" w:line="344" w:lineRule="auto"/>
        <w:ind w:left="4" w:firstLine="418"/>
        <w:jc w:val="both"/>
        <w:rPr>
          <w:rFonts w:ascii="宋体" w:hAnsi="宋体" w:eastAsia="宋体" w:cs="宋体"/>
          <w:sz w:val="21"/>
          <w:szCs w:val="21"/>
        </w:rPr>
      </w:pPr>
      <w:r>
        <w:rPr>
          <w:rFonts w:ascii="宋体" w:hAnsi="宋体" w:eastAsia="宋体" w:cs="宋体"/>
          <w:sz w:val="21"/>
          <w:szCs w:val="21"/>
        </w:rPr>
        <w:t>监理人对承包人的任何工作、工程或其采用的材料和工程设备未在约定的或合理期</w:t>
      </w:r>
      <w:r>
        <w:rPr>
          <w:rFonts w:ascii="宋体" w:hAnsi="宋体" w:eastAsia="宋体" w:cs="宋体"/>
          <w:spacing w:val="-1"/>
          <w:sz w:val="21"/>
          <w:szCs w:val="21"/>
        </w:rPr>
        <w:t>限内提出</w:t>
      </w:r>
      <w:r>
        <w:rPr>
          <w:rFonts w:ascii="宋体" w:hAnsi="宋体" w:eastAsia="宋体" w:cs="宋体"/>
          <w:sz w:val="21"/>
          <w:szCs w:val="21"/>
        </w:rPr>
        <w:t>意见的，视为批准，但不免除或减轻承包人对该工作、工程、材料、工程设备等应</w:t>
      </w:r>
      <w:r>
        <w:rPr>
          <w:rFonts w:ascii="宋体" w:hAnsi="宋体" w:eastAsia="宋体" w:cs="宋体"/>
          <w:spacing w:val="-1"/>
          <w:sz w:val="21"/>
          <w:szCs w:val="21"/>
        </w:rPr>
        <w:t>承担的责任和</w:t>
      </w:r>
      <w:r>
        <w:rPr>
          <w:rFonts w:ascii="宋体" w:hAnsi="宋体" w:eastAsia="宋体" w:cs="宋体"/>
          <w:spacing w:val="-9"/>
          <w:sz w:val="21"/>
          <w:szCs w:val="21"/>
        </w:rPr>
        <w:t>义务。</w:t>
      </w:r>
    </w:p>
    <w:p w14:paraId="14C852F3">
      <w:pPr>
        <w:spacing w:before="1" w:line="232" w:lineRule="auto"/>
        <w:outlineLvl w:val="2"/>
        <w:rPr>
          <w:rFonts w:ascii="黑体" w:hAnsi="黑体" w:eastAsia="黑体" w:cs="黑体"/>
          <w:sz w:val="24"/>
          <w:szCs w:val="24"/>
        </w:rPr>
      </w:pPr>
      <w:bookmarkStart w:id="241" w:name="bookmark182"/>
      <w:bookmarkEnd w:id="241"/>
      <w:r>
        <w:rPr>
          <w:rFonts w:ascii="Times New Roman" w:hAnsi="Times New Roman" w:eastAsia="Times New Roman" w:cs="Times New Roman"/>
          <w:b/>
          <w:bCs/>
          <w:spacing w:val="-5"/>
          <w:sz w:val="24"/>
          <w:szCs w:val="24"/>
        </w:rPr>
        <w:t>4.4</w:t>
      </w:r>
      <w:r>
        <w:rPr>
          <w:rFonts w:ascii="Times New Roman" w:hAnsi="Times New Roman" w:eastAsia="Times New Roman" w:cs="Times New Roman"/>
          <w:b/>
          <w:bCs/>
          <w:spacing w:val="12"/>
          <w:sz w:val="24"/>
          <w:szCs w:val="24"/>
        </w:rPr>
        <w:t xml:space="preserve">  </w:t>
      </w:r>
      <w:r>
        <w:rPr>
          <w:rFonts w:ascii="黑体" w:hAnsi="黑体" w:eastAsia="黑体" w:cs="黑体"/>
          <w:b/>
          <w:bCs/>
          <w:spacing w:val="-5"/>
          <w:sz w:val="24"/>
          <w:szCs w:val="24"/>
        </w:rPr>
        <w:t>商定或确定</w:t>
      </w:r>
    </w:p>
    <w:p w14:paraId="296E5549">
      <w:pPr>
        <w:spacing w:before="121" w:line="352" w:lineRule="auto"/>
        <w:ind w:left="5" w:right="47" w:firstLine="417"/>
        <w:rPr>
          <w:rFonts w:ascii="宋体" w:hAnsi="宋体" w:eastAsia="宋体" w:cs="宋体"/>
          <w:sz w:val="21"/>
          <w:szCs w:val="21"/>
        </w:rPr>
      </w:pPr>
      <w:r>
        <w:rPr>
          <w:rFonts w:ascii="宋体" w:hAnsi="宋体" w:eastAsia="宋体" w:cs="宋体"/>
          <w:spacing w:val="-1"/>
          <w:sz w:val="21"/>
          <w:szCs w:val="21"/>
        </w:rPr>
        <w:t>合同当事人进行商定或确定时，总监理工程师应当会同合同当事</w:t>
      </w:r>
      <w:r>
        <w:rPr>
          <w:rFonts w:ascii="宋体" w:hAnsi="宋体" w:eastAsia="宋体" w:cs="宋体"/>
          <w:spacing w:val="-2"/>
          <w:sz w:val="21"/>
          <w:szCs w:val="21"/>
        </w:rPr>
        <w:t>人尽量通过协商达成一致，</w:t>
      </w:r>
      <w:r>
        <w:rPr>
          <w:rFonts w:ascii="宋体" w:hAnsi="宋体" w:eastAsia="宋体" w:cs="宋体"/>
          <w:spacing w:val="-1"/>
          <w:sz w:val="21"/>
          <w:szCs w:val="21"/>
        </w:rPr>
        <w:t>不能达成一致的，由总监理工程师按照合同约定审慎做出公正的确定。</w:t>
      </w:r>
    </w:p>
    <w:p w14:paraId="41CC2613">
      <w:pPr>
        <w:spacing w:before="5" w:line="350" w:lineRule="auto"/>
        <w:ind w:left="1" w:firstLine="426"/>
        <w:jc w:val="both"/>
        <w:rPr>
          <w:rFonts w:ascii="宋体" w:hAnsi="宋体" w:eastAsia="宋体" w:cs="宋体"/>
          <w:sz w:val="21"/>
          <w:szCs w:val="21"/>
        </w:rPr>
      </w:pPr>
      <w:r>
        <w:rPr>
          <w:rFonts w:ascii="宋体" w:hAnsi="宋体" w:eastAsia="宋体" w:cs="宋体"/>
          <w:sz w:val="21"/>
          <w:szCs w:val="21"/>
        </w:rPr>
        <w:t>总监理工程师应将确定以书面形式通知发包人和承包人，并附详细依据</w:t>
      </w:r>
      <w:r>
        <w:rPr>
          <w:rFonts w:ascii="宋体" w:hAnsi="宋体" w:eastAsia="宋体" w:cs="宋体"/>
          <w:spacing w:val="-1"/>
          <w:sz w:val="21"/>
          <w:szCs w:val="21"/>
        </w:rPr>
        <w:t>。合同当事人对总监</w:t>
      </w:r>
      <w:r>
        <w:rPr>
          <w:rFonts w:ascii="宋体" w:hAnsi="宋体" w:eastAsia="宋体" w:cs="宋体"/>
          <w:sz w:val="21"/>
          <w:szCs w:val="21"/>
        </w:rPr>
        <w:t>理工程师的确定没有异议的，按照总监理工程师的确定执行。任何一方合同当事人有异议</w:t>
      </w:r>
      <w:r>
        <w:rPr>
          <w:rFonts w:ascii="宋体" w:hAnsi="宋体" w:eastAsia="宋体" w:cs="宋体"/>
          <w:spacing w:val="-1"/>
          <w:sz w:val="21"/>
          <w:szCs w:val="21"/>
        </w:rPr>
        <w:t>，按照</w:t>
      </w:r>
      <w:r>
        <w:rPr>
          <w:rFonts w:ascii="宋体" w:hAnsi="宋体" w:eastAsia="宋体" w:cs="宋体"/>
          <w:sz w:val="21"/>
          <w:szCs w:val="21"/>
        </w:rPr>
        <w:t xml:space="preserve">第 </w:t>
      </w:r>
      <w:r>
        <w:rPr>
          <w:rFonts w:ascii="Times New Roman" w:hAnsi="Times New Roman" w:eastAsia="Times New Roman" w:cs="Times New Roman"/>
          <w:sz w:val="21"/>
          <w:szCs w:val="21"/>
        </w:rPr>
        <w:t xml:space="preserve">20  </w:t>
      </w:r>
      <w:r>
        <w:rPr>
          <w:rFonts w:ascii="宋体" w:hAnsi="宋体" w:eastAsia="宋体" w:cs="宋体"/>
          <w:sz w:val="21"/>
          <w:szCs w:val="21"/>
        </w:rPr>
        <w:t>条〔争议解决〕约定处理。争议解决前，合同当事人暂按总监理工程师的确定执行</w:t>
      </w:r>
      <w:r>
        <w:rPr>
          <w:rFonts w:ascii="宋体" w:hAnsi="宋体" w:eastAsia="宋体" w:cs="宋体"/>
          <w:spacing w:val="-1"/>
          <w:sz w:val="21"/>
          <w:szCs w:val="21"/>
        </w:rPr>
        <w:t>；争议</w:t>
      </w:r>
      <w:r>
        <w:rPr>
          <w:rFonts w:ascii="宋体" w:hAnsi="宋体" w:eastAsia="宋体" w:cs="宋体"/>
          <w:sz w:val="21"/>
          <w:szCs w:val="21"/>
        </w:rPr>
        <w:t>解决后，争议解决的结果与总监理工程师的确定不一致的，按照争议解决的结果执行，由</w:t>
      </w:r>
      <w:r>
        <w:rPr>
          <w:rFonts w:ascii="宋体" w:hAnsi="宋体" w:eastAsia="宋体" w:cs="宋体"/>
          <w:spacing w:val="-1"/>
          <w:sz w:val="21"/>
          <w:szCs w:val="21"/>
        </w:rPr>
        <w:t>此造成的损失由责任人承担。</w:t>
      </w:r>
    </w:p>
    <w:p w14:paraId="142BC4A9">
      <w:pPr>
        <w:spacing w:before="43" w:line="233" w:lineRule="auto"/>
        <w:ind w:left="3"/>
        <w:outlineLvl w:val="1"/>
        <w:rPr>
          <w:rFonts w:ascii="黑体" w:hAnsi="黑体" w:eastAsia="黑体" w:cs="黑体"/>
          <w:sz w:val="28"/>
          <w:szCs w:val="28"/>
        </w:rPr>
      </w:pPr>
      <w:bookmarkStart w:id="242" w:name="bookmark183"/>
      <w:bookmarkEnd w:id="242"/>
      <w:r>
        <w:rPr>
          <w:rFonts w:ascii="Times New Roman" w:hAnsi="Times New Roman" w:eastAsia="Times New Roman" w:cs="Times New Roman"/>
          <w:b/>
          <w:bCs/>
          <w:spacing w:val="-2"/>
          <w:sz w:val="28"/>
          <w:szCs w:val="28"/>
        </w:rPr>
        <w:t xml:space="preserve">5.  </w:t>
      </w:r>
      <w:r>
        <w:rPr>
          <w:rFonts w:ascii="黑体" w:hAnsi="黑体" w:eastAsia="黑体" w:cs="黑体"/>
          <w:b/>
          <w:bCs/>
          <w:spacing w:val="-2"/>
          <w:sz w:val="28"/>
          <w:szCs w:val="28"/>
        </w:rPr>
        <w:t>工程质量</w:t>
      </w:r>
    </w:p>
    <w:p w14:paraId="4FAA0E8E">
      <w:pPr>
        <w:spacing w:before="83" w:line="233" w:lineRule="auto"/>
        <w:ind w:left="2"/>
        <w:outlineLvl w:val="2"/>
        <w:rPr>
          <w:rFonts w:ascii="黑体" w:hAnsi="黑体" w:eastAsia="黑体" w:cs="黑体"/>
          <w:sz w:val="24"/>
          <w:szCs w:val="24"/>
        </w:rPr>
      </w:pPr>
      <w:bookmarkStart w:id="243" w:name="bookmark184"/>
      <w:bookmarkEnd w:id="243"/>
      <w:r>
        <w:rPr>
          <w:rFonts w:ascii="Times New Roman" w:hAnsi="Times New Roman" w:eastAsia="Times New Roman" w:cs="Times New Roman"/>
          <w:b/>
          <w:bCs/>
          <w:spacing w:val="-4"/>
          <w:sz w:val="24"/>
          <w:szCs w:val="24"/>
        </w:rPr>
        <w:t>5.1</w:t>
      </w:r>
      <w:r>
        <w:rPr>
          <w:rFonts w:ascii="Times New Roman" w:hAnsi="Times New Roman" w:eastAsia="Times New Roman" w:cs="Times New Roman"/>
          <w:b/>
          <w:bCs/>
          <w:spacing w:val="13"/>
          <w:sz w:val="24"/>
          <w:szCs w:val="24"/>
        </w:rPr>
        <w:t xml:space="preserve"> </w:t>
      </w:r>
      <w:r>
        <w:rPr>
          <w:rFonts w:ascii="黑体" w:hAnsi="黑体" w:eastAsia="黑体" w:cs="黑体"/>
          <w:b/>
          <w:bCs/>
          <w:spacing w:val="-4"/>
          <w:sz w:val="24"/>
          <w:szCs w:val="24"/>
        </w:rPr>
        <w:t>质量要求</w:t>
      </w:r>
    </w:p>
    <w:p w14:paraId="505B72CA">
      <w:pPr>
        <w:spacing w:before="123" w:line="286" w:lineRule="auto"/>
        <w:ind w:left="3" w:right="11"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5.1.1  </w:t>
      </w:r>
      <w:r>
        <w:rPr>
          <w:rFonts w:ascii="宋体" w:hAnsi="宋体" w:eastAsia="宋体" w:cs="宋体"/>
          <w:spacing w:val="2"/>
          <w:sz w:val="21"/>
          <w:szCs w:val="21"/>
        </w:rPr>
        <w:t>工程质量标准必须符合现行国家有关工程施工质量验收规范和标准的要求。有关工程</w:t>
      </w:r>
      <w:r>
        <w:rPr>
          <w:rFonts w:ascii="宋体" w:hAnsi="宋体" w:eastAsia="宋体" w:cs="宋体"/>
          <w:spacing w:val="-1"/>
          <w:sz w:val="21"/>
          <w:szCs w:val="21"/>
        </w:rPr>
        <w:t>质量的特殊标准或要求由合同当事人在专用合同条款中约定。</w:t>
      </w:r>
    </w:p>
    <w:p w14:paraId="410D52C0">
      <w:pPr>
        <w:spacing w:before="147" w:line="287" w:lineRule="auto"/>
        <w:ind w:left="8" w:right="11" w:firstLine="415"/>
        <w:rPr>
          <w:rFonts w:ascii="宋体" w:hAnsi="宋体" w:eastAsia="宋体" w:cs="宋体"/>
          <w:sz w:val="21"/>
          <w:szCs w:val="21"/>
        </w:rPr>
      </w:pPr>
      <w:r>
        <w:rPr>
          <w:rFonts w:ascii="Times New Roman" w:hAnsi="Times New Roman" w:eastAsia="Times New Roman" w:cs="Times New Roman"/>
          <w:spacing w:val="2"/>
          <w:sz w:val="21"/>
          <w:szCs w:val="21"/>
        </w:rPr>
        <w:t xml:space="preserve">5.1.2  </w:t>
      </w:r>
      <w:r>
        <w:rPr>
          <w:rFonts w:ascii="宋体" w:hAnsi="宋体" w:eastAsia="宋体" w:cs="宋体"/>
          <w:spacing w:val="2"/>
          <w:sz w:val="21"/>
          <w:szCs w:val="21"/>
        </w:rPr>
        <w:t>因发包人原因造成工程质量未达到合同约定标准的，由发包人承担由此增加的费用和</w:t>
      </w:r>
      <w:r>
        <w:rPr>
          <w:rFonts w:ascii="宋体" w:hAnsi="宋体" w:eastAsia="宋体" w:cs="宋体"/>
          <w:spacing w:val="-1"/>
          <w:sz w:val="21"/>
          <w:szCs w:val="21"/>
        </w:rPr>
        <w:t>（或）延误的工期，并支付承包人合理的利润。</w:t>
      </w:r>
    </w:p>
    <w:p w14:paraId="63A826BE">
      <w:pPr>
        <w:spacing w:before="151" w:line="285" w:lineRule="auto"/>
        <w:ind w:left="4" w:right="11"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5.1.3  </w:t>
      </w:r>
      <w:r>
        <w:rPr>
          <w:rFonts w:ascii="宋体" w:hAnsi="宋体" w:eastAsia="宋体" w:cs="宋体"/>
          <w:spacing w:val="2"/>
          <w:sz w:val="21"/>
          <w:szCs w:val="21"/>
        </w:rPr>
        <w:t>因承包人原因造成工程质量未达到合同约定标准的，发包人有权要求承包人返工直至</w:t>
      </w:r>
      <w:r>
        <w:rPr>
          <w:rFonts w:ascii="宋体" w:hAnsi="宋体" w:eastAsia="宋体" w:cs="宋体"/>
          <w:sz w:val="21"/>
          <w:szCs w:val="21"/>
        </w:rPr>
        <w:t>工程质量达到合同约定的标准为止，并由承包人</w:t>
      </w:r>
      <w:r>
        <w:rPr>
          <w:rFonts w:ascii="宋体" w:hAnsi="宋体" w:eastAsia="宋体" w:cs="宋体"/>
          <w:spacing w:val="-1"/>
          <w:sz w:val="21"/>
          <w:szCs w:val="21"/>
        </w:rPr>
        <w:t>承担由此增加的费用和（或）延误的工期。</w:t>
      </w:r>
    </w:p>
    <w:p w14:paraId="6E631519">
      <w:pPr>
        <w:spacing w:before="125" w:line="233" w:lineRule="auto"/>
        <w:ind w:left="2"/>
        <w:outlineLvl w:val="2"/>
        <w:rPr>
          <w:rFonts w:ascii="黑体" w:hAnsi="黑体" w:eastAsia="黑体" w:cs="黑体"/>
          <w:sz w:val="24"/>
          <w:szCs w:val="24"/>
        </w:rPr>
      </w:pPr>
      <w:bookmarkStart w:id="244" w:name="bookmark185"/>
      <w:bookmarkEnd w:id="244"/>
      <w:r>
        <w:rPr>
          <w:rFonts w:ascii="Times New Roman" w:hAnsi="Times New Roman" w:eastAsia="Times New Roman" w:cs="Times New Roman"/>
          <w:b/>
          <w:bCs/>
          <w:spacing w:val="-2"/>
          <w:sz w:val="24"/>
          <w:szCs w:val="24"/>
        </w:rPr>
        <w:t xml:space="preserve">5.2 </w:t>
      </w:r>
      <w:r>
        <w:rPr>
          <w:rFonts w:ascii="黑体" w:hAnsi="黑体" w:eastAsia="黑体" w:cs="黑体"/>
          <w:b/>
          <w:bCs/>
          <w:spacing w:val="-2"/>
          <w:sz w:val="24"/>
          <w:szCs w:val="24"/>
        </w:rPr>
        <w:t>质量保证措施</w:t>
      </w:r>
    </w:p>
    <w:p w14:paraId="6CE78F31">
      <w:pPr>
        <w:spacing w:before="123" w:line="234"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5.2.1  </w:t>
      </w:r>
      <w:r>
        <w:rPr>
          <w:rFonts w:ascii="宋体" w:hAnsi="宋体" w:eastAsia="宋体" w:cs="宋体"/>
          <w:spacing w:val="-1"/>
          <w:sz w:val="21"/>
          <w:szCs w:val="21"/>
        </w:rPr>
        <w:t>发包人的质量管理</w:t>
      </w:r>
    </w:p>
    <w:p w14:paraId="1C4D1D95">
      <w:pPr>
        <w:spacing w:before="131" w:line="221" w:lineRule="auto"/>
        <w:ind w:left="425"/>
        <w:rPr>
          <w:rFonts w:ascii="宋体" w:hAnsi="宋体" w:eastAsia="宋体" w:cs="宋体"/>
          <w:sz w:val="21"/>
          <w:szCs w:val="21"/>
        </w:rPr>
      </w:pPr>
      <w:r>
        <w:rPr>
          <w:rFonts w:ascii="宋体" w:hAnsi="宋体" w:eastAsia="宋体" w:cs="宋体"/>
          <w:sz w:val="21"/>
          <w:szCs w:val="21"/>
        </w:rPr>
        <w:t>发包人应按照法律规定及合同约定完成与工程质量有关</w:t>
      </w:r>
      <w:r>
        <w:rPr>
          <w:rFonts w:ascii="宋体" w:hAnsi="宋体" w:eastAsia="宋体" w:cs="宋体"/>
          <w:spacing w:val="-1"/>
          <w:sz w:val="21"/>
          <w:szCs w:val="21"/>
        </w:rPr>
        <w:t>的各项工作。</w:t>
      </w:r>
    </w:p>
    <w:p w14:paraId="7389B366">
      <w:pPr>
        <w:spacing w:before="151" w:line="234" w:lineRule="auto"/>
        <w:ind w:left="424"/>
        <w:rPr>
          <w:rFonts w:ascii="宋体" w:hAnsi="宋体" w:eastAsia="宋体" w:cs="宋体"/>
          <w:sz w:val="21"/>
          <w:szCs w:val="21"/>
        </w:rPr>
      </w:pPr>
      <w:r>
        <w:rPr>
          <w:rFonts w:ascii="Times New Roman" w:hAnsi="Times New Roman" w:eastAsia="Times New Roman" w:cs="Times New Roman"/>
          <w:spacing w:val="-1"/>
          <w:sz w:val="21"/>
          <w:szCs w:val="21"/>
        </w:rPr>
        <w:t xml:space="preserve">5.2.2  </w:t>
      </w:r>
      <w:r>
        <w:rPr>
          <w:rFonts w:ascii="宋体" w:hAnsi="宋体" w:eastAsia="宋体" w:cs="宋体"/>
          <w:spacing w:val="-1"/>
          <w:sz w:val="21"/>
          <w:szCs w:val="21"/>
        </w:rPr>
        <w:t>承包人的质量管理</w:t>
      </w:r>
    </w:p>
    <w:p w14:paraId="14C594D0">
      <w:pPr>
        <w:spacing w:before="133" w:line="350" w:lineRule="auto"/>
        <w:ind w:left="3" w:firstLine="418"/>
        <w:rPr>
          <w:rFonts w:ascii="宋体" w:hAnsi="宋体" w:eastAsia="宋体" w:cs="宋体"/>
          <w:sz w:val="21"/>
          <w:szCs w:val="21"/>
        </w:rPr>
      </w:pPr>
      <w:r>
        <w:rPr>
          <w:rFonts w:ascii="宋体" w:hAnsi="宋体" w:eastAsia="宋体" w:cs="宋体"/>
          <w:sz w:val="21"/>
          <w:szCs w:val="21"/>
        </w:rPr>
        <w:t>承包人按照第</w:t>
      </w:r>
      <w:r>
        <w:rPr>
          <w:rFonts w:ascii="宋体" w:hAnsi="宋体" w:eastAsia="宋体" w:cs="宋体"/>
          <w:spacing w:val="-18"/>
          <w:sz w:val="21"/>
          <w:szCs w:val="21"/>
        </w:rPr>
        <w:t xml:space="preserve"> </w:t>
      </w:r>
      <w:r>
        <w:rPr>
          <w:rFonts w:ascii="Times New Roman" w:hAnsi="Times New Roman" w:eastAsia="Times New Roman" w:cs="Times New Roman"/>
          <w:sz w:val="21"/>
          <w:szCs w:val="21"/>
        </w:rPr>
        <w:t>7.1</w:t>
      </w:r>
      <w:r>
        <w:rPr>
          <w:rFonts w:ascii="Times New Roman" w:hAnsi="Times New Roman" w:eastAsia="Times New Roman" w:cs="Times New Roman"/>
          <w:spacing w:val="35"/>
          <w:w w:val="101"/>
          <w:sz w:val="21"/>
          <w:szCs w:val="21"/>
        </w:rPr>
        <w:t xml:space="preserve"> </w:t>
      </w:r>
      <w:r>
        <w:rPr>
          <w:rFonts w:ascii="宋体" w:hAnsi="宋体" w:eastAsia="宋体" w:cs="宋体"/>
          <w:sz w:val="21"/>
          <w:szCs w:val="21"/>
        </w:rPr>
        <w:t>款〔施工组织设计〕约定</w:t>
      </w:r>
      <w:r>
        <w:rPr>
          <w:rFonts w:ascii="宋体" w:hAnsi="宋体" w:eastAsia="宋体" w:cs="宋体"/>
          <w:spacing w:val="-1"/>
          <w:sz w:val="21"/>
          <w:szCs w:val="21"/>
        </w:rPr>
        <w:t>向发包人和监理人提交工程质量保证体系及措施</w:t>
      </w:r>
      <w:r>
        <w:rPr>
          <w:rFonts w:ascii="宋体" w:hAnsi="宋体" w:eastAsia="宋体" w:cs="宋体"/>
          <w:sz w:val="21"/>
          <w:szCs w:val="21"/>
        </w:rPr>
        <w:t>文件，建立完善的质量检查制度，并提交相应的工程质量文件。对于发包人和监理人</w:t>
      </w:r>
      <w:r>
        <w:rPr>
          <w:rFonts w:ascii="宋体" w:hAnsi="宋体" w:eastAsia="宋体" w:cs="宋体"/>
          <w:spacing w:val="-1"/>
          <w:sz w:val="21"/>
          <w:szCs w:val="21"/>
        </w:rPr>
        <w:t>违反法律规定和合同约定的错误指示，承包人有权拒绝实施。</w:t>
      </w:r>
    </w:p>
    <w:p w14:paraId="6D99A101">
      <w:pPr>
        <w:spacing w:line="350" w:lineRule="auto"/>
        <w:rPr>
          <w:rFonts w:ascii="宋体" w:hAnsi="宋体" w:eastAsia="宋体" w:cs="宋体"/>
          <w:sz w:val="21"/>
          <w:szCs w:val="21"/>
        </w:rPr>
        <w:sectPr>
          <w:footerReference r:id="rId99" w:type="default"/>
          <w:pgSz w:w="11905" w:h="16843"/>
          <w:pgMar w:top="969" w:right="1355" w:bottom="1026" w:left="1480" w:header="0" w:footer="754" w:gutter="0"/>
          <w:cols w:space="0" w:num="1"/>
          <w:rtlGutter w:val="0"/>
          <w:docGrid w:linePitch="0" w:charSpace="0"/>
        </w:sectPr>
      </w:pPr>
    </w:p>
    <w:p w14:paraId="047F2CC5">
      <w:pPr>
        <w:pStyle w:val="5"/>
        <w:spacing w:line="270" w:lineRule="auto"/>
      </w:pPr>
    </w:p>
    <w:p w14:paraId="070FB16C">
      <w:pPr>
        <w:pStyle w:val="5"/>
        <w:spacing w:line="270" w:lineRule="auto"/>
      </w:pPr>
    </w:p>
    <w:p w14:paraId="53A14634">
      <w:pPr>
        <w:pStyle w:val="5"/>
        <w:spacing w:line="271" w:lineRule="auto"/>
      </w:pPr>
    </w:p>
    <w:p w14:paraId="08D74A36">
      <w:pPr>
        <w:pStyle w:val="5"/>
        <w:spacing w:line="271" w:lineRule="auto"/>
      </w:pPr>
    </w:p>
    <w:p w14:paraId="3F6DF083">
      <w:pPr>
        <w:spacing w:before="68" w:line="352" w:lineRule="auto"/>
        <w:ind w:left="3" w:firstLine="417"/>
        <w:rPr>
          <w:rFonts w:ascii="宋体" w:hAnsi="宋体" w:eastAsia="宋体" w:cs="宋体"/>
          <w:sz w:val="21"/>
          <w:szCs w:val="21"/>
        </w:rPr>
      </w:pPr>
      <w:bookmarkStart w:id="245" w:name="bookmark552"/>
      <w:bookmarkEnd w:id="245"/>
      <w:r>
        <w:rPr>
          <w:rFonts w:ascii="宋体" w:hAnsi="宋体" w:eastAsia="宋体" w:cs="宋体"/>
          <w:sz w:val="21"/>
          <w:szCs w:val="21"/>
        </w:rPr>
        <w:t>承包人应对施工人员进行质量教育和技术培训，定期考核施工人员的劳动技能，严</w:t>
      </w:r>
      <w:r>
        <w:rPr>
          <w:rFonts w:ascii="宋体" w:hAnsi="宋体" w:eastAsia="宋体" w:cs="宋体"/>
          <w:spacing w:val="-1"/>
          <w:sz w:val="21"/>
          <w:szCs w:val="21"/>
        </w:rPr>
        <w:t>格执行施</w:t>
      </w:r>
      <w:r>
        <w:rPr>
          <w:rFonts w:ascii="宋体" w:hAnsi="宋体" w:eastAsia="宋体" w:cs="宋体"/>
          <w:spacing w:val="-3"/>
          <w:sz w:val="21"/>
          <w:szCs w:val="21"/>
        </w:rPr>
        <w:t>工规范和操作规程。</w:t>
      </w:r>
    </w:p>
    <w:p w14:paraId="79AD10F3">
      <w:pPr>
        <w:spacing w:before="1" w:line="351" w:lineRule="auto"/>
        <w:ind w:firstLine="420"/>
        <w:jc w:val="both"/>
        <w:rPr>
          <w:rFonts w:ascii="宋体" w:hAnsi="宋体" w:eastAsia="宋体" w:cs="宋体"/>
          <w:sz w:val="21"/>
          <w:szCs w:val="21"/>
        </w:rPr>
      </w:pPr>
      <w:r>
        <w:rPr>
          <w:rFonts w:ascii="宋体" w:hAnsi="宋体" w:eastAsia="宋体" w:cs="宋体"/>
          <w:sz w:val="21"/>
          <w:szCs w:val="21"/>
        </w:rPr>
        <w:t>承包人应按照法律规定和发包人的要求，对材料、工程设备以及工程的所有部位及</w:t>
      </w:r>
      <w:r>
        <w:rPr>
          <w:rFonts w:ascii="宋体" w:hAnsi="宋体" w:eastAsia="宋体" w:cs="宋体"/>
          <w:spacing w:val="-1"/>
          <w:sz w:val="21"/>
          <w:szCs w:val="21"/>
        </w:rPr>
        <w:t>其施工工</w:t>
      </w:r>
      <w:r>
        <w:rPr>
          <w:rFonts w:ascii="宋体" w:hAnsi="宋体" w:eastAsia="宋体" w:cs="宋体"/>
          <w:sz w:val="21"/>
          <w:szCs w:val="21"/>
        </w:rPr>
        <w:t>艺进行全过程的质量检查和检验，并作详细记录，编制工程质量报表，报送监理人审查。</w:t>
      </w:r>
      <w:r>
        <w:rPr>
          <w:rFonts w:ascii="宋体" w:hAnsi="宋体" w:eastAsia="宋体" w:cs="宋体"/>
          <w:spacing w:val="-1"/>
          <w:sz w:val="21"/>
          <w:szCs w:val="21"/>
        </w:rPr>
        <w:t>此外，</w:t>
      </w:r>
      <w:r>
        <w:rPr>
          <w:rFonts w:ascii="宋体" w:hAnsi="宋体" w:eastAsia="宋体" w:cs="宋体"/>
          <w:sz w:val="21"/>
          <w:szCs w:val="21"/>
        </w:rPr>
        <w:t>承包人还应按照法律规定和发包人的要求，进行施工现场取样试验、工程复核测量和设备</w:t>
      </w:r>
      <w:r>
        <w:rPr>
          <w:rFonts w:ascii="宋体" w:hAnsi="宋体" w:eastAsia="宋体" w:cs="宋体"/>
          <w:spacing w:val="-1"/>
          <w:sz w:val="21"/>
          <w:szCs w:val="21"/>
        </w:rPr>
        <w:t>性能检测，提供试验样品、提交试验报告和测量成果以及其他工作。</w:t>
      </w:r>
    </w:p>
    <w:p w14:paraId="36EE95FC">
      <w:pPr>
        <w:spacing w:line="234" w:lineRule="auto"/>
        <w:ind w:left="422"/>
        <w:rPr>
          <w:rFonts w:ascii="宋体" w:hAnsi="宋体" w:eastAsia="宋体" w:cs="宋体"/>
          <w:sz w:val="21"/>
          <w:szCs w:val="21"/>
        </w:rPr>
      </w:pPr>
      <w:r>
        <w:rPr>
          <w:rFonts w:ascii="Times New Roman" w:hAnsi="Times New Roman" w:eastAsia="Times New Roman" w:cs="Times New Roman"/>
          <w:spacing w:val="-1"/>
          <w:sz w:val="21"/>
          <w:szCs w:val="21"/>
        </w:rPr>
        <w:t xml:space="preserve">5.2.3  </w:t>
      </w:r>
      <w:r>
        <w:rPr>
          <w:rFonts w:ascii="宋体" w:hAnsi="宋体" w:eastAsia="宋体" w:cs="宋体"/>
          <w:spacing w:val="-1"/>
          <w:sz w:val="21"/>
          <w:szCs w:val="21"/>
        </w:rPr>
        <w:t>监理人的质量检查和检验</w:t>
      </w:r>
    </w:p>
    <w:p w14:paraId="52B57B36">
      <w:pPr>
        <w:spacing w:before="133" w:line="352" w:lineRule="auto"/>
        <w:ind w:left="3" w:firstLine="418"/>
        <w:rPr>
          <w:rFonts w:ascii="宋体" w:hAnsi="宋体" w:eastAsia="宋体" w:cs="宋体"/>
          <w:sz w:val="21"/>
          <w:szCs w:val="21"/>
        </w:rPr>
      </w:pPr>
      <w:r>
        <w:rPr>
          <w:rFonts w:ascii="宋体" w:hAnsi="宋体" w:eastAsia="宋体" w:cs="宋体"/>
          <w:sz w:val="21"/>
          <w:szCs w:val="21"/>
        </w:rPr>
        <w:t>监理人按照法律规定和发包人授权对工程的所有部位及其施工工艺、材料和工程设</w:t>
      </w:r>
      <w:r>
        <w:rPr>
          <w:rFonts w:ascii="宋体" w:hAnsi="宋体" w:eastAsia="宋体" w:cs="宋体"/>
          <w:spacing w:val="-1"/>
          <w:sz w:val="21"/>
          <w:szCs w:val="21"/>
        </w:rPr>
        <w:t>备进行检</w:t>
      </w:r>
      <w:r>
        <w:rPr>
          <w:rFonts w:ascii="宋体" w:hAnsi="宋体" w:eastAsia="宋体" w:cs="宋体"/>
          <w:sz w:val="21"/>
          <w:szCs w:val="21"/>
        </w:rPr>
        <w:t>查和检验。承包人应为监理人的检查和检验提供方便，包括监理人到施工现场，或</w:t>
      </w:r>
      <w:r>
        <w:rPr>
          <w:rFonts w:ascii="宋体" w:hAnsi="宋体" w:eastAsia="宋体" w:cs="宋体"/>
          <w:spacing w:val="-1"/>
          <w:sz w:val="21"/>
          <w:szCs w:val="21"/>
        </w:rPr>
        <w:t>制造、加工地</w:t>
      </w:r>
      <w:r>
        <w:rPr>
          <w:rFonts w:ascii="宋体" w:hAnsi="宋体" w:eastAsia="宋体" w:cs="宋体"/>
          <w:sz w:val="21"/>
          <w:szCs w:val="21"/>
        </w:rPr>
        <w:t>点，或合同约定的其他地方进行察看和查阅施工原始记录。监理人为此进行的检查</w:t>
      </w:r>
      <w:r>
        <w:rPr>
          <w:rFonts w:ascii="宋体" w:hAnsi="宋体" w:eastAsia="宋体" w:cs="宋体"/>
          <w:spacing w:val="-1"/>
          <w:sz w:val="21"/>
          <w:szCs w:val="21"/>
        </w:rPr>
        <w:t>和检验，不免除或减轻承包人按照合同约定应当承担的责任。</w:t>
      </w:r>
    </w:p>
    <w:p w14:paraId="1FE748E4">
      <w:pPr>
        <w:spacing w:before="1" w:line="344" w:lineRule="auto"/>
        <w:ind w:left="2" w:firstLine="419"/>
        <w:jc w:val="both"/>
        <w:rPr>
          <w:rFonts w:ascii="宋体" w:hAnsi="宋体" w:eastAsia="宋体" w:cs="宋体"/>
          <w:sz w:val="21"/>
          <w:szCs w:val="21"/>
        </w:rPr>
      </w:pPr>
      <w:r>
        <w:rPr>
          <w:rFonts w:ascii="宋体" w:hAnsi="宋体" w:eastAsia="宋体" w:cs="宋体"/>
          <w:sz w:val="21"/>
          <w:szCs w:val="21"/>
        </w:rPr>
        <w:t>监理人的检查和检验不应影响施工正常进行。监理人的检查和检验影响施工正常进</w:t>
      </w:r>
      <w:r>
        <w:rPr>
          <w:rFonts w:ascii="宋体" w:hAnsi="宋体" w:eastAsia="宋体" w:cs="宋体"/>
          <w:spacing w:val="-1"/>
          <w:sz w:val="21"/>
          <w:szCs w:val="21"/>
        </w:rPr>
        <w:t>行的，且</w:t>
      </w:r>
      <w:r>
        <w:rPr>
          <w:rFonts w:ascii="宋体" w:hAnsi="宋体" w:eastAsia="宋体" w:cs="宋体"/>
          <w:sz w:val="21"/>
          <w:szCs w:val="21"/>
        </w:rPr>
        <w:t>经检查检验不合格的，影响正常施工的费用由承包人承担，工期不予顺延；经检查检</w:t>
      </w:r>
      <w:r>
        <w:rPr>
          <w:rFonts w:ascii="宋体" w:hAnsi="宋体" w:eastAsia="宋体" w:cs="宋体"/>
          <w:spacing w:val="-1"/>
          <w:sz w:val="21"/>
          <w:szCs w:val="21"/>
        </w:rPr>
        <w:t>验合格的，由此增加的费用和（或）延误的工期由发包人承担。</w:t>
      </w:r>
    </w:p>
    <w:p w14:paraId="37F9AC69">
      <w:pPr>
        <w:spacing w:before="1" w:line="232" w:lineRule="auto"/>
        <w:outlineLvl w:val="2"/>
        <w:rPr>
          <w:rFonts w:ascii="黑体" w:hAnsi="黑体" w:eastAsia="黑体" w:cs="黑体"/>
          <w:sz w:val="24"/>
          <w:szCs w:val="24"/>
        </w:rPr>
      </w:pPr>
      <w:bookmarkStart w:id="246" w:name="bookmark186"/>
      <w:bookmarkEnd w:id="246"/>
      <w:r>
        <w:rPr>
          <w:rFonts w:ascii="Times New Roman" w:hAnsi="Times New Roman" w:eastAsia="Times New Roman" w:cs="Times New Roman"/>
          <w:b/>
          <w:bCs/>
          <w:spacing w:val="-4"/>
          <w:sz w:val="24"/>
          <w:szCs w:val="24"/>
        </w:rPr>
        <w:t>5.3</w:t>
      </w:r>
      <w:r>
        <w:rPr>
          <w:rFonts w:ascii="Times New Roman" w:hAnsi="Times New Roman" w:eastAsia="Times New Roman" w:cs="Times New Roman"/>
          <w:b/>
          <w:bCs/>
          <w:spacing w:val="9"/>
          <w:sz w:val="24"/>
          <w:szCs w:val="24"/>
        </w:rPr>
        <w:t xml:space="preserve">  </w:t>
      </w:r>
      <w:r>
        <w:rPr>
          <w:rFonts w:ascii="黑体" w:hAnsi="黑体" w:eastAsia="黑体" w:cs="黑体"/>
          <w:b/>
          <w:bCs/>
          <w:spacing w:val="-4"/>
          <w:sz w:val="24"/>
          <w:szCs w:val="24"/>
        </w:rPr>
        <w:t>隐蔽工程检查</w:t>
      </w:r>
    </w:p>
    <w:p w14:paraId="15DAECA3">
      <w:pPr>
        <w:spacing w:before="121" w:line="234" w:lineRule="auto"/>
        <w:ind w:left="422"/>
        <w:rPr>
          <w:rFonts w:ascii="宋体" w:hAnsi="宋体" w:eastAsia="宋体" w:cs="宋体"/>
          <w:sz w:val="21"/>
          <w:szCs w:val="21"/>
        </w:rPr>
      </w:pPr>
      <w:r>
        <w:rPr>
          <w:rFonts w:ascii="Times New Roman" w:hAnsi="Times New Roman" w:eastAsia="Times New Roman" w:cs="Times New Roman"/>
          <w:spacing w:val="-1"/>
          <w:sz w:val="21"/>
          <w:szCs w:val="21"/>
        </w:rPr>
        <w:t xml:space="preserve">5.3.1 </w:t>
      </w:r>
      <w:r>
        <w:rPr>
          <w:rFonts w:ascii="宋体" w:hAnsi="宋体" w:eastAsia="宋体" w:cs="宋体"/>
          <w:spacing w:val="-1"/>
          <w:sz w:val="21"/>
          <w:szCs w:val="21"/>
        </w:rPr>
        <w:t>承包人自检</w:t>
      </w:r>
    </w:p>
    <w:p w14:paraId="63FC3FDE">
      <w:pPr>
        <w:spacing w:before="134" w:line="221" w:lineRule="auto"/>
        <w:ind w:left="420"/>
        <w:rPr>
          <w:rFonts w:ascii="宋体" w:hAnsi="宋体" w:eastAsia="宋体" w:cs="宋体"/>
          <w:sz w:val="21"/>
          <w:szCs w:val="21"/>
        </w:rPr>
      </w:pPr>
      <w:r>
        <w:rPr>
          <w:rFonts w:ascii="宋体" w:hAnsi="宋体" w:eastAsia="宋体" w:cs="宋体"/>
          <w:sz w:val="21"/>
          <w:szCs w:val="21"/>
        </w:rPr>
        <w:t>承包人应当对工程隐蔽部位进行自检，并经自检确认是否具备覆盖</w:t>
      </w:r>
      <w:r>
        <w:rPr>
          <w:rFonts w:ascii="宋体" w:hAnsi="宋体" w:eastAsia="宋体" w:cs="宋体"/>
          <w:spacing w:val="-1"/>
          <w:sz w:val="21"/>
          <w:szCs w:val="21"/>
        </w:rPr>
        <w:t>条件。</w:t>
      </w:r>
    </w:p>
    <w:p w14:paraId="08E2E1A4">
      <w:pPr>
        <w:spacing w:before="151" w:line="234" w:lineRule="auto"/>
        <w:ind w:left="422"/>
        <w:rPr>
          <w:rFonts w:ascii="宋体" w:hAnsi="宋体" w:eastAsia="宋体" w:cs="宋体"/>
          <w:sz w:val="21"/>
          <w:szCs w:val="21"/>
        </w:rPr>
      </w:pPr>
      <w:r>
        <w:rPr>
          <w:rFonts w:ascii="Times New Roman" w:hAnsi="Times New Roman" w:eastAsia="Times New Roman" w:cs="Times New Roman"/>
          <w:spacing w:val="-1"/>
          <w:sz w:val="21"/>
          <w:szCs w:val="21"/>
        </w:rPr>
        <w:t xml:space="preserve">5.3.2 </w:t>
      </w:r>
      <w:r>
        <w:rPr>
          <w:rFonts w:ascii="宋体" w:hAnsi="宋体" w:eastAsia="宋体" w:cs="宋体"/>
          <w:spacing w:val="-1"/>
          <w:sz w:val="21"/>
          <w:szCs w:val="21"/>
        </w:rPr>
        <w:t>检查程序</w:t>
      </w:r>
    </w:p>
    <w:p w14:paraId="0E65ADAB">
      <w:pPr>
        <w:spacing w:before="130" w:line="350" w:lineRule="auto"/>
        <w:ind w:firstLine="433"/>
        <w:rPr>
          <w:rFonts w:ascii="宋体" w:hAnsi="宋体" w:eastAsia="宋体" w:cs="宋体"/>
          <w:sz w:val="21"/>
          <w:szCs w:val="21"/>
        </w:rPr>
      </w:pPr>
      <w:r>
        <w:rPr>
          <w:rFonts w:ascii="宋体" w:hAnsi="宋体" w:eastAsia="宋体" w:cs="宋体"/>
          <w:sz w:val="21"/>
          <w:szCs w:val="21"/>
        </w:rPr>
        <w:t>除专用合同条款另有约定外，工程隐蔽部位经承包人自</w:t>
      </w:r>
      <w:r>
        <w:rPr>
          <w:rFonts w:ascii="宋体" w:hAnsi="宋体" w:eastAsia="宋体" w:cs="宋体"/>
          <w:spacing w:val="-1"/>
          <w:sz w:val="21"/>
          <w:szCs w:val="21"/>
        </w:rPr>
        <w:t>检确认具备覆盖条件的，承包人应在</w:t>
      </w:r>
      <w:r>
        <w:rPr>
          <w:rFonts w:ascii="宋体" w:hAnsi="宋体" w:eastAsia="宋体" w:cs="宋体"/>
          <w:sz w:val="21"/>
          <w:szCs w:val="21"/>
        </w:rPr>
        <w:t xml:space="preserve">共同检查前 </w:t>
      </w:r>
      <w:r>
        <w:rPr>
          <w:rFonts w:ascii="Times New Roman" w:hAnsi="Times New Roman" w:eastAsia="Times New Roman" w:cs="Times New Roman"/>
          <w:sz w:val="21"/>
          <w:szCs w:val="21"/>
        </w:rPr>
        <w:t xml:space="preserve">48  </w:t>
      </w:r>
      <w:r>
        <w:rPr>
          <w:rFonts w:ascii="宋体" w:hAnsi="宋体" w:eastAsia="宋体" w:cs="宋体"/>
          <w:sz w:val="21"/>
          <w:szCs w:val="21"/>
        </w:rPr>
        <w:t>小时书面通知监理人检查，通知中应载明隐蔽检查的内容、时间和地点，</w:t>
      </w:r>
      <w:r>
        <w:rPr>
          <w:rFonts w:ascii="宋体" w:hAnsi="宋体" w:eastAsia="宋体" w:cs="宋体"/>
          <w:spacing w:val="-1"/>
          <w:sz w:val="21"/>
          <w:szCs w:val="21"/>
        </w:rPr>
        <w:t>并应附</w:t>
      </w:r>
      <w:r>
        <w:rPr>
          <w:rFonts w:ascii="宋体" w:hAnsi="宋体" w:eastAsia="宋体" w:cs="宋体"/>
          <w:spacing w:val="-2"/>
          <w:sz w:val="21"/>
          <w:szCs w:val="21"/>
        </w:rPr>
        <w:t>有自检记录和必要的检查资料。</w:t>
      </w:r>
    </w:p>
    <w:p w14:paraId="5F123A22">
      <w:pPr>
        <w:spacing w:before="7" w:line="352" w:lineRule="auto"/>
        <w:ind w:firstLine="420"/>
        <w:jc w:val="both"/>
        <w:rPr>
          <w:rFonts w:ascii="宋体" w:hAnsi="宋体" w:eastAsia="宋体" w:cs="宋体"/>
          <w:sz w:val="21"/>
          <w:szCs w:val="21"/>
        </w:rPr>
      </w:pPr>
      <w:r>
        <w:rPr>
          <w:rFonts w:ascii="宋体" w:hAnsi="宋体" w:eastAsia="宋体" w:cs="宋体"/>
          <w:sz w:val="21"/>
          <w:szCs w:val="21"/>
        </w:rPr>
        <w:t>监理人应按时到场并对隐蔽工程及其施工工艺、材料和工程设备进行检查。经监理</w:t>
      </w:r>
      <w:r>
        <w:rPr>
          <w:rFonts w:ascii="宋体" w:hAnsi="宋体" w:eastAsia="宋体" w:cs="宋体"/>
          <w:spacing w:val="-1"/>
          <w:sz w:val="21"/>
          <w:szCs w:val="21"/>
        </w:rPr>
        <w:t>人检查确</w:t>
      </w:r>
      <w:r>
        <w:rPr>
          <w:rFonts w:ascii="宋体" w:hAnsi="宋体" w:eastAsia="宋体" w:cs="宋体"/>
          <w:sz w:val="21"/>
          <w:szCs w:val="21"/>
        </w:rPr>
        <w:t>认质量符合隐蔽要求，并在验收记录上签字后，承包人才能进行覆盖。经监理人检查质量</w:t>
      </w:r>
      <w:r>
        <w:rPr>
          <w:rFonts w:ascii="宋体" w:hAnsi="宋体" w:eastAsia="宋体" w:cs="宋体"/>
          <w:spacing w:val="-1"/>
          <w:sz w:val="21"/>
          <w:szCs w:val="21"/>
        </w:rPr>
        <w:t>不合格</w:t>
      </w:r>
      <w:r>
        <w:rPr>
          <w:rFonts w:ascii="宋体" w:hAnsi="宋体" w:eastAsia="宋体" w:cs="宋体"/>
          <w:sz w:val="21"/>
          <w:szCs w:val="21"/>
        </w:rPr>
        <w:t>的，承包人应在监理人指示的时间内完成修复，并由监</w:t>
      </w:r>
      <w:r>
        <w:rPr>
          <w:rFonts w:ascii="宋体" w:hAnsi="宋体" w:eastAsia="宋体" w:cs="宋体"/>
          <w:spacing w:val="-1"/>
          <w:sz w:val="21"/>
          <w:szCs w:val="21"/>
        </w:rPr>
        <w:t>理人重新检查，由此增加的费用和（或）延误的工期由承包人承担。</w:t>
      </w:r>
    </w:p>
    <w:p w14:paraId="4B933892">
      <w:pPr>
        <w:spacing w:before="3" w:line="349" w:lineRule="auto"/>
        <w:ind w:left="1" w:firstLine="431"/>
        <w:jc w:val="both"/>
        <w:rPr>
          <w:rFonts w:ascii="宋体" w:hAnsi="宋体" w:eastAsia="宋体" w:cs="宋体"/>
          <w:sz w:val="21"/>
          <w:szCs w:val="21"/>
        </w:rPr>
      </w:pPr>
      <w:r>
        <w:rPr>
          <w:rFonts w:ascii="宋体" w:hAnsi="宋体" w:eastAsia="宋体" w:cs="宋体"/>
          <w:sz w:val="21"/>
          <w:szCs w:val="21"/>
        </w:rPr>
        <w:t>除专用合同条款另有约定外，监理人不能按时进行检查的，应</w:t>
      </w:r>
      <w:r>
        <w:rPr>
          <w:rFonts w:ascii="宋体" w:hAnsi="宋体" w:eastAsia="宋体" w:cs="宋体"/>
          <w:spacing w:val="-1"/>
          <w:sz w:val="21"/>
          <w:szCs w:val="21"/>
        </w:rPr>
        <w:t xml:space="preserve">在检查前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小时向承包人提</w:t>
      </w:r>
      <w:r>
        <w:rPr>
          <w:rFonts w:ascii="宋体" w:hAnsi="宋体" w:eastAsia="宋体" w:cs="宋体"/>
          <w:sz w:val="21"/>
          <w:szCs w:val="21"/>
        </w:rPr>
        <w:t xml:space="preserve">交书面延期要求，但延期不能超过 </w:t>
      </w:r>
      <w:r>
        <w:rPr>
          <w:rFonts w:ascii="Times New Roman" w:hAnsi="Times New Roman" w:eastAsia="Times New Roman" w:cs="Times New Roman"/>
          <w:sz w:val="21"/>
          <w:szCs w:val="21"/>
        </w:rPr>
        <w:t xml:space="preserve">48  </w:t>
      </w:r>
      <w:r>
        <w:rPr>
          <w:rFonts w:ascii="宋体" w:hAnsi="宋体" w:eastAsia="宋体" w:cs="宋体"/>
          <w:sz w:val="21"/>
          <w:szCs w:val="21"/>
        </w:rPr>
        <w:t>小时，由此导致工期延误的，工期应予以顺延。</w:t>
      </w:r>
      <w:r>
        <w:rPr>
          <w:rFonts w:ascii="宋体" w:hAnsi="宋体" w:eastAsia="宋体" w:cs="宋体"/>
          <w:spacing w:val="-1"/>
          <w:sz w:val="21"/>
          <w:szCs w:val="21"/>
        </w:rPr>
        <w:t>监理人未</w:t>
      </w:r>
      <w:r>
        <w:rPr>
          <w:rFonts w:ascii="宋体" w:hAnsi="宋体" w:eastAsia="宋体" w:cs="宋体"/>
          <w:sz w:val="21"/>
          <w:szCs w:val="21"/>
        </w:rPr>
        <w:t>按时进行检查，也未提出延期要求的，视为隐蔽工程检查合格，承包人可自行完成覆盖</w:t>
      </w:r>
      <w:r>
        <w:rPr>
          <w:rFonts w:ascii="宋体" w:hAnsi="宋体" w:eastAsia="宋体" w:cs="宋体"/>
          <w:spacing w:val="-1"/>
          <w:sz w:val="21"/>
          <w:szCs w:val="21"/>
        </w:rPr>
        <w:t>工作，并</w:t>
      </w:r>
      <w:r>
        <w:rPr>
          <w:rFonts w:ascii="宋体" w:hAnsi="宋体" w:eastAsia="宋体" w:cs="宋体"/>
          <w:sz w:val="21"/>
          <w:szCs w:val="21"/>
        </w:rPr>
        <w:t xml:space="preserve">作相应记录报送监理人，监理人应签字确认。监理人事后对检查记录有疑问的，可按第 </w:t>
      </w:r>
      <w:r>
        <w:rPr>
          <w:rFonts w:ascii="Times New Roman" w:hAnsi="Times New Roman" w:eastAsia="Times New Roman" w:cs="Times New Roman"/>
          <w:sz w:val="21"/>
          <w:szCs w:val="21"/>
        </w:rPr>
        <w:t>5.3.</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项</w:t>
      </w:r>
      <w:r>
        <w:rPr>
          <w:rFonts w:ascii="宋体" w:hAnsi="宋体" w:eastAsia="宋体" w:cs="宋体"/>
          <w:spacing w:val="-2"/>
          <w:sz w:val="21"/>
          <w:szCs w:val="21"/>
        </w:rPr>
        <w:t>〔重新检查〕的约定重新检查。</w:t>
      </w:r>
    </w:p>
    <w:p w14:paraId="2EC90FFC">
      <w:pPr>
        <w:spacing w:before="12" w:line="234" w:lineRule="auto"/>
        <w:ind w:left="422"/>
        <w:rPr>
          <w:rFonts w:ascii="宋体" w:hAnsi="宋体" w:eastAsia="宋体" w:cs="宋体"/>
          <w:sz w:val="21"/>
          <w:szCs w:val="21"/>
        </w:rPr>
      </w:pPr>
      <w:r>
        <w:rPr>
          <w:rFonts w:ascii="Times New Roman" w:hAnsi="Times New Roman" w:eastAsia="Times New Roman" w:cs="Times New Roman"/>
          <w:spacing w:val="-1"/>
          <w:sz w:val="21"/>
          <w:szCs w:val="21"/>
        </w:rPr>
        <w:t xml:space="preserve">5.3.3  </w:t>
      </w:r>
      <w:r>
        <w:rPr>
          <w:rFonts w:ascii="宋体" w:hAnsi="宋体" w:eastAsia="宋体" w:cs="宋体"/>
          <w:spacing w:val="-1"/>
          <w:sz w:val="21"/>
          <w:szCs w:val="21"/>
        </w:rPr>
        <w:t>重新检查</w:t>
      </w:r>
    </w:p>
    <w:p w14:paraId="53AB0C85">
      <w:pPr>
        <w:spacing w:before="133" w:line="353" w:lineRule="auto"/>
        <w:ind w:firstLine="420"/>
        <w:rPr>
          <w:rFonts w:ascii="宋体" w:hAnsi="宋体" w:eastAsia="宋体" w:cs="宋体"/>
          <w:sz w:val="21"/>
          <w:szCs w:val="21"/>
        </w:rPr>
      </w:pPr>
      <w:r>
        <w:rPr>
          <w:rFonts w:ascii="宋体" w:hAnsi="宋体" w:eastAsia="宋体" w:cs="宋体"/>
          <w:sz w:val="21"/>
          <w:szCs w:val="21"/>
        </w:rPr>
        <w:t>承包人覆盖工程隐蔽部位后，发包人或监理人对质量有疑问的，可要求承包人对已</w:t>
      </w:r>
      <w:r>
        <w:rPr>
          <w:rFonts w:ascii="宋体" w:hAnsi="宋体" w:eastAsia="宋体" w:cs="宋体"/>
          <w:spacing w:val="-1"/>
          <w:sz w:val="21"/>
          <w:szCs w:val="21"/>
        </w:rPr>
        <w:t>覆盖的部</w:t>
      </w:r>
      <w:r>
        <w:rPr>
          <w:rFonts w:ascii="宋体" w:hAnsi="宋体" w:eastAsia="宋体" w:cs="宋体"/>
          <w:sz w:val="21"/>
          <w:szCs w:val="21"/>
        </w:rPr>
        <w:t>位进行钻孔探测或揭开重新检查，承包人应遵照执行，并在检查后重新覆盖恢复原状。经</w:t>
      </w:r>
      <w:r>
        <w:rPr>
          <w:rFonts w:ascii="宋体" w:hAnsi="宋体" w:eastAsia="宋体" w:cs="宋体"/>
          <w:spacing w:val="-1"/>
          <w:sz w:val="21"/>
          <w:szCs w:val="21"/>
        </w:rPr>
        <w:t>检查证</w:t>
      </w:r>
      <w:r>
        <w:rPr>
          <w:rFonts w:ascii="宋体" w:hAnsi="宋体" w:eastAsia="宋体" w:cs="宋体"/>
          <w:sz w:val="21"/>
          <w:szCs w:val="21"/>
        </w:rPr>
        <w:t>明工程质量符合合同要求的，由发包人承担由此增加的费用和（或）延误的工期，并支付</w:t>
      </w:r>
      <w:r>
        <w:rPr>
          <w:rFonts w:ascii="宋体" w:hAnsi="宋体" w:eastAsia="宋体" w:cs="宋体"/>
          <w:spacing w:val="-1"/>
          <w:sz w:val="21"/>
          <w:szCs w:val="21"/>
        </w:rPr>
        <w:t>承包人</w:t>
      </w:r>
      <w:r>
        <w:rPr>
          <w:rFonts w:ascii="宋体" w:hAnsi="宋体" w:eastAsia="宋体" w:cs="宋体"/>
          <w:sz w:val="21"/>
          <w:szCs w:val="21"/>
        </w:rPr>
        <w:t>合理的利润；经检查证明工程质量不符合合同要求的，由此增加的费用和（或）延误的工</w:t>
      </w:r>
      <w:r>
        <w:rPr>
          <w:rFonts w:ascii="宋体" w:hAnsi="宋体" w:eastAsia="宋体" w:cs="宋体"/>
          <w:spacing w:val="-1"/>
          <w:sz w:val="21"/>
          <w:szCs w:val="21"/>
        </w:rPr>
        <w:t>期由承</w:t>
      </w:r>
    </w:p>
    <w:p w14:paraId="59FADE2C">
      <w:pPr>
        <w:spacing w:line="353" w:lineRule="auto"/>
        <w:rPr>
          <w:rFonts w:ascii="宋体" w:hAnsi="宋体" w:eastAsia="宋体" w:cs="宋体"/>
          <w:sz w:val="21"/>
          <w:szCs w:val="21"/>
        </w:rPr>
        <w:sectPr>
          <w:footerReference r:id="rId100" w:type="default"/>
          <w:pgSz w:w="11905" w:h="16843"/>
          <w:pgMar w:top="969" w:right="1355" w:bottom="1026" w:left="1480" w:header="0" w:footer="754" w:gutter="0"/>
          <w:cols w:space="0" w:num="1"/>
          <w:rtlGutter w:val="0"/>
          <w:docGrid w:linePitch="0" w:charSpace="0"/>
        </w:sectPr>
      </w:pPr>
    </w:p>
    <w:p w14:paraId="0474649E">
      <w:pPr>
        <w:pStyle w:val="5"/>
        <w:spacing w:line="270" w:lineRule="auto"/>
      </w:pPr>
    </w:p>
    <w:p w14:paraId="7DF11918">
      <w:pPr>
        <w:pStyle w:val="5"/>
        <w:spacing w:line="270" w:lineRule="auto"/>
      </w:pPr>
    </w:p>
    <w:p w14:paraId="16B4D785">
      <w:pPr>
        <w:pStyle w:val="5"/>
        <w:spacing w:line="270" w:lineRule="auto"/>
      </w:pPr>
    </w:p>
    <w:p w14:paraId="63383C35">
      <w:pPr>
        <w:pStyle w:val="5"/>
        <w:spacing w:line="271" w:lineRule="auto"/>
      </w:pPr>
    </w:p>
    <w:p w14:paraId="39EB415A">
      <w:pPr>
        <w:spacing w:before="68" w:line="221" w:lineRule="auto"/>
        <w:ind w:left="4"/>
        <w:rPr>
          <w:rFonts w:ascii="宋体" w:hAnsi="宋体" w:eastAsia="宋体" w:cs="宋体"/>
          <w:sz w:val="21"/>
          <w:szCs w:val="21"/>
        </w:rPr>
      </w:pPr>
      <w:bookmarkStart w:id="247" w:name="bookmark553"/>
      <w:bookmarkEnd w:id="247"/>
      <w:r>
        <w:rPr>
          <w:rFonts w:ascii="宋体" w:hAnsi="宋体" w:eastAsia="宋体" w:cs="宋体"/>
          <w:spacing w:val="-5"/>
          <w:sz w:val="21"/>
          <w:szCs w:val="21"/>
        </w:rPr>
        <w:t>包人承担。</w:t>
      </w:r>
    </w:p>
    <w:p w14:paraId="6DE3872A">
      <w:pPr>
        <w:spacing w:before="150" w:line="234" w:lineRule="auto"/>
        <w:ind w:left="426"/>
        <w:rPr>
          <w:rFonts w:ascii="宋体" w:hAnsi="宋体" w:eastAsia="宋体" w:cs="宋体"/>
          <w:sz w:val="21"/>
          <w:szCs w:val="21"/>
        </w:rPr>
      </w:pPr>
      <w:r>
        <w:rPr>
          <w:rFonts w:ascii="Times New Roman" w:hAnsi="Times New Roman" w:eastAsia="Times New Roman" w:cs="Times New Roman"/>
          <w:spacing w:val="-1"/>
          <w:sz w:val="21"/>
          <w:szCs w:val="21"/>
        </w:rPr>
        <w:t xml:space="preserve">5.3.4  </w:t>
      </w:r>
      <w:r>
        <w:rPr>
          <w:rFonts w:ascii="宋体" w:hAnsi="宋体" w:eastAsia="宋体" w:cs="宋体"/>
          <w:spacing w:val="-1"/>
          <w:sz w:val="21"/>
          <w:szCs w:val="21"/>
        </w:rPr>
        <w:t>承包人私自覆盖</w:t>
      </w:r>
    </w:p>
    <w:p w14:paraId="6337F9AD">
      <w:pPr>
        <w:spacing w:before="135" w:line="344" w:lineRule="auto"/>
        <w:ind w:left="5" w:right="152" w:firstLine="419"/>
        <w:rPr>
          <w:rFonts w:ascii="宋体" w:hAnsi="宋体" w:eastAsia="宋体" w:cs="宋体"/>
          <w:sz w:val="21"/>
          <w:szCs w:val="21"/>
        </w:rPr>
      </w:pPr>
      <w:r>
        <w:rPr>
          <w:rFonts w:ascii="宋体" w:hAnsi="宋体" w:eastAsia="宋体" w:cs="宋体"/>
          <w:sz w:val="21"/>
          <w:szCs w:val="21"/>
        </w:rPr>
        <w:t>承包人未通知监理人到场检查，私自将工程隐蔽部位覆盖的，监理人有权指示承包</w:t>
      </w:r>
      <w:r>
        <w:rPr>
          <w:rFonts w:ascii="宋体" w:hAnsi="宋体" w:eastAsia="宋体" w:cs="宋体"/>
          <w:spacing w:val="-1"/>
          <w:sz w:val="21"/>
          <w:szCs w:val="21"/>
        </w:rPr>
        <w:t>人钻孔探</w:t>
      </w:r>
      <w:r>
        <w:rPr>
          <w:rFonts w:ascii="宋体" w:hAnsi="宋体" w:eastAsia="宋体" w:cs="宋体"/>
          <w:sz w:val="21"/>
          <w:szCs w:val="21"/>
        </w:rPr>
        <w:t>测或揭开检查，无论工程隐蔽部位质量是否合格，由此增加的费用和（或）延误的工期</w:t>
      </w:r>
      <w:r>
        <w:rPr>
          <w:rFonts w:ascii="宋体" w:hAnsi="宋体" w:eastAsia="宋体" w:cs="宋体"/>
          <w:spacing w:val="-1"/>
          <w:sz w:val="21"/>
          <w:szCs w:val="21"/>
        </w:rPr>
        <w:t>均由承包</w:t>
      </w:r>
      <w:r>
        <w:rPr>
          <w:rFonts w:ascii="宋体" w:hAnsi="宋体" w:eastAsia="宋体" w:cs="宋体"/>
          <w:spacing w:val="-2"/>
          <w:sz w:val="21"/>
          <w:szCs w:val="21"/>
        </w:rPr>
        <w:t>人承担。</w:t>
      </w:r>
    </w:p>
    <w:p w14:paraId="6C9D4D2B">
      <w:pPr>
        <w:spacing w:line="232" w:lineRule="auto"/>
        <w:ind w:left="4"/>
        <w:outlineLvl w:val="2"/>
        <w:rPr>
          <w:rFonts w:ascii="黑体" w:hAnsi="黑体" w:eastAsia="黑体" w:cs="黑体"/>
          <w:sz w:val="24"/>
          <w:szCs w:val="24"/>
        </w:rPr>
      </w:pPr>
      <w:bookmarkStart w:id="248" w:name="bookmark187"/>
      <w:bookmarkEnd w:id="248"/>
      <w:r>
        <w:rPr>
          <w:rFonts w:ascii="Times New Roman" w:hAnsi="Times New Roman" w:eastAsia="Times New Roman" w:cs="Times New Roman"/>
          <w:b/>
          <w:bCs/>
          <w:spacing w:val="-2"/>
          <w:sz w:val="24"/>
          <w:szCs w:val="24"/>
        </w:rPr>
        <w:t xml:space="preserve">5.4 </w:t>
      </w:r>
      <w:r>
        <w:rPr>
          <w:rFonts w:ascii="黑体" w:hAnsi="黑体" w:eastAsia="黑体" w:cs="黑体"/>
          <w:b/>
          <w:bCs/>
          <w:spacing w:val="-2"/>
          <w:sz w:val="24"/>
          <w:szCs w:val="24"/>
        </w:rPr>
        <w:t>不合格工程的处理</w:t>
      </w:r>
    </w:p>
    <w:p w14:paraId="71339FFC">
      <w:pPr>
        <w:spacing w:before="121" w:line="313" w:lineRule="auto"/>
        <w:ind w:left="4" w:right="152"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5.4.1  </w:t>
      </w:r>
      <w:r>
        <w:rPr>
          <w:rFonts w:ascii="宋体" w:hAnsi="宋体" w:eastAsia="宋体" w:cs="宋体"/>
          <w:spacing w:val="2"/>
          <w:sz w:val="21"/>
          <w:szCs w:val="21"/>
        </w:rPr>
        <w:t>因承包人原因造成工程不合格的，发包人有权随时要求承包人采取补救措施，直至达</w:t>
      </w:r>
      <w:r>
        <w:rPr>
          <w:rFonts w:ascii="宋体" w:hAnsi="宋体" w:eastAsia="宋体" w:cs="宋体"/>
          <w:sz w:val="21"/>
          <w:szCs w:val="21"/>
        </w:rPr>
        <w:t>到合同要求的质量标准，由此增加的费用和（或）延误的工期由承包人承担。无法补救的</w:t>
      </w:r>
      <w:r>
        <w:rPr>
          <w:rFonts w:ascii="宋体" w:hAnsi="宋体" w:eastAsia="宋体" w:cs="宋体"/>
          <w:spacing w:val="-1"/>
          <w:sz w:val="21"/>
          <w:szCs w:val="21"/>
        </w:rPr>
        <w:t>，按照第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13.2.4 </w:t>
      </w:r>
      <w:r>
        <w:rPr>
          <w:rFonts w:ascii="宋体" w:hAnsi="宋体" w:eastAsia="宋体" w:cs="宋体"/>
          <w:spacing w:val="-1"/>
          <w:sz w:val="21"/>
          <w:szCs w:val="21"/>
        </w:rPr>
        <w:t>项〔拒绝接收全部或部分工程〕约定执</w:t>
      </w:r>
      <w:r>
        <w:rPr>
          <w:rFonts w:ascii="宋体" w:hAnsi="宋体" w:eastAsia="宋体" w:cs="宋体"/>
          <w:spacing w:val="-2"/>
          <w:sz w:val="21"/>
          <w:szCs w:val="21"/>
        </w:rPr>
        <w:t>行。</w:t>
      </w:r>
    </w:p>
    <w:p w14:paraId="63566DA8">
      <w:pPr>
        <w:spacing w:before="133" w:line="286" w:lineRule="auto"/>
        <w:ind w:left="9" w:firstLine="416"/>
        <w:rPr>
          <w:rFonts w:ascii="宋体" w:hAnsi="宋体" w:eastAsia="宋体" w:cs="宋体"/>
          <w:sz w:val="21"/>
          <w:szCs w:val="21"/>
        </w:rPr>
      </w:pPr>
      <w:r>
        <w:rPr>
          <w:rFonts w:ascii="Times New Roman" w:hAnsi="Times New Roman" w:eastAsia="Times New Roman" w:cs="Times New Roman"/>
          <w:sz w:val="21"/>
          <w:szCs w:val="21"/>
        </w:rPr>
        <w:t xml:space="preserve">5.4.2  </w:t>
      </w:r>
      <w:r>
        <w:rPr>
          <w:rFonts w:ascii="宋体" w:hAnsi="宋体" w:eastAsia="宋体" w:cs="宋体"/>
          <w:sz w:val="21"/>
          <w:szCs w:val="21"/>
        </w:rPr>
        <w:t>因发包人原因造成工程不合格的，由此增加的费用和（或）</w:t>
      </w:r>
      <w:r>
        <w:rPr>
          <w:rFonts w:ascii="宋体" w:hAnsi="宋体" w:eastAsia="宋体" w:cs="宋体"/>
          <w:spacing w:val="-58"/>
          <w:sz w:val="21"/>
          <w:szCs w:val="21"/>
        </w:rPr>
        <w:t xml:space="preserve"> </w:t>
      </w:r>
      <w:r>
        <w:rPr>
          <w:rFonts w:ascii="宋体" w:hAnsi="宋体" w:eastAsia="宋体" w:cs="宋体"/>
          <w:sz w:val="21"/>
          <w:szCs w:val="21"/>
        </w:rPr>
        <w:t>延误的工期由发</w:t>
      </w:r>
      <w:r>
        <w:rPr>
          <w:rFonts w:ascii="宋体" w:hAnsi="宋体" w:eastAsia="宋体" w:cs="宋体"/>
          <w:spacing w:val="-1"/>
          <w:sz w:val="21"/>
          <w:szCs w:val="21"/>
        </w:rPr>
        <w:t>包人承担，并支付承包人合理的利润。</w:t>
      </w:r>
    </w:p>
    <w:p w14:paraId="76203CF9">
      <w:pPr>
        <w:spacing w:before="125" w:line="233" w:lineRule="auto"/>
        <w:ind w:left="4"/>
        <w:outlineLvl w:val="2"/>
        <w:rPr>
          <w:rFonts w:ascii="黑体" w:hAnsi="黑体" w:eastAsia="黑体" w:cs="黑体"/>
          <w:sz w:val="24"/>
          <w:szCs w:val="24"/>
        </w:rPr>
      </w:pPr>
      <w:bookmarkStart w:id="249" w:name="bookmark188"/>
      <w:bookmarkEnd w:id="249"/>
      <w:r>
        <w:rPr>
          <w:rFonts w:ascii="Times New Roman" w:hAnsi="Times New Roman" w:eastAsia="Times New Roman" w:cs="Times New Roman"/>
          <w:b/>
          <w:bCs/>
          <w:spacing w:val="-2"/>
          <w:sz w:val="24"/>
          <w:szCs w:val="24"/>
        </w:rPr>
        <w:t xml:space="preserve">5.5  </w:t>
      </w:r>
      <w:r>
        <w:rPr>
          <w:rFonts w:ascii="黑体" w:hAnsi="黑体" w:eastAsia="黑体" w:cs="黑体"/>
          <w:b/>
          <w:bCs/>
          <w:spacing w:val="-2"/>
          <w:sz w:val="24"/>
          <w:szCs w:val="24"/>
        </w:rPr>
        <w:t>质量争议检测</w:t>
      </w:r>
    </w:p>
    <w:p w14:paraId="685288B8">
      <w:pPr>
        <w:spacing w:before="121" w:line="352" w:lineRule="auto"/>
        <w:ind w:left="6" w:right="152" w:firstLine="419"/>
        <w:rPr>
          <w:rFonts w:ascii="宋体" w:hAnsi="宋体" w:eastAsia="宋体" w:cs="宋体"/>
          <w:sz w:val="21"/>
          <w:szCs w:val="21"/>
        </w:rPr>
      </w:pPr>
      <w:r>
        <w:rPr>
          <w:rFonts w:ascii="宋体" w:hAnsi="宋体" w:eastAsia="宋体" w:cs="宋体"/>
          <w:sz w:val="21"/>
          <w:szCs w:val="21"/>
        </w:rPr>
        <w:t>合同当事人对工程质量有争议的，由双方协商确定的工程质量检测机构鉴定，由此</w:t>
      </w:r>
      <w:r>
        <w:rPr>
          <w:rFonts w:ascii="宋体" w:hAnsi="宋体" w:eastAsia="宋体" w:cs="宋体"/>
          <w:spacing w:val="-1"/>
          <w:sz w:val="21"/>
          <w:szCs w:val="21"/>
        </w:rPr>
        <w:t>产生的费用及因此造成的损失，由责任方承担。</w:t>
      </w:r>
    </w:p>
    <w:p w14:paraId="7C7C12E8">
      <w:pPr>
        <w:spacing w:before="2" w:line="361" w:lineRule="auto"/>
        <w:ind w:right="152" w:firstLine="425"/>
        <w:rPr>
          <w:rFonts w:ascii="宋体" w:hAnsi="宋体" w:eastAsia="宋体" w:cs="宋体"/>
          <w:sz w:val="21"/>
          <w:szCs w:val="21"/>
        </w:rPr>
      </w:pPr>
      <w:r>
        <w:rPr>
          <w:rFonts w:ascii="宋体" w:hAnsi="宋体" w:eastAsia="宋体" w:cs="宋体"/>
          <w:sz w:val="21"/>
          <w:szCs w:val="21"/>
        </w:rPr>
        <w:t>合同当事人均有责任的，由双方根据其责任分别承担。合同当事人无法达成一致的</w:t>
      </w:r>
      <w:r>
        <w:rPr>
          <w:rFonts w:ascii="宋体" w:hAnsi="宋体" w:eastAsia="宋体" w:cs="宋体"/>
          <w:spacing w:val="-1"/>
          <w:sz w:val="21"/>
          <w:szCs w:val="21"/>
        </w:rPr>
        <w:t>，按照第</w:t>
      </w:r>
      <w:r>
        <w:rPr>
          <w:rFonts w:ascii="Times New Roman" w:hAnsi="Times New Roman" w:eastAsia="Times New Roman" w:cs="Times New Roman"/>
          <w:spacing w:val="-2"/>
          <w:sz w:val="21"/>
          <w:szCs w:val="21"/>
        </w:rPr>
        <w:t xml:space="preserve">4.4 </w:t>
      </w:r>
      <w:r>
        <w:rPr>
          <w:rFonts w:ascii="宋体" w:hAnsi="宋体" w:eastAsia="宋体" w:cs="宋体"/>
          <w:spacing w:val="-2"/>
          <w:sz w:val="21"/>
          <w:szCs w:val="21"/>
        </w:rPr>
        <w:t>款〔商定或确定〕执行。</w:t>
      </w:r>
    </w:p>
    <w:p w14:paraId="7F8AA109">
      <w:pPr>
        <w:spacing w:before="16" w:line="232" w:lineRule="auto"/>
        <w:ind w:left="7"/>
        <w:outlineLvl w:val="1"/>
        <w:rPr>
          <w:rFonts w:ascii="黑体" w:hAnsi="黑体" w:eastAsia="黑体" w:cs="黑体"/>
          <w:sz w:val="28"/>
          <w:szCs w:val="28"/>
        </w:rPr>
      </w:pPr>
      <w:bookmarkStart w:id="250" w:name="bookmark189"/>
      <w:bookmarkEnd w:id="250"/>
      <w:r>
        <w:rPr>
          <w:rFonts w:ascii="Times New Roman" w:hAnsi="Times New Roman" w:eastAsia="Times New Roman" w:cs="Times New Roman"/>
          <w:b/>
          <w:bCs/>
          <w:spacing w:val="-2"/>
          <w:sz w:val="28"/>
          <w:szCs w:val="28"/>
        </w:rPr>
        <w:t xml:space="preserve">6.  </w:t>
      </w:r>
      <w:r>
        <w:rPr>
          <w:rFonts w:ascii="黑体" w:hAnsi="黑体" w:eastAsia="黑体" w:cs="黑体"/>
          <w:b/>
          <w:bCs/>
          <w:spacing w:val="-2"/>
          <w:sz w:val="28"/>
          <w:szCs w:val="28"/>
        </w:rPr>
        <w:t>安全文明施工与环境保护</w:t>
      </w:r>
    </w:p>
    <w:p w14:paraId="3B10B1D0">
      <w:pPr>
        <w:spacing w:before="83" w:line="232" w:lineRule="auto"/>
        <w:ind w:left="5"/>
        <w:outlineLvl w:val="2"/>
        <w:rPr>
          <w:rFonts w:ascii="黑体" w:hAnsi="黑体" w:eastAsia="黑体" w:cs="黑体"/>
          <w:sz w:val="24"/>
          <w:szCs w:val="24"/>
        </w:rPr>
      </w:pPr>
      <w:bookmarkStart w:id="251" w:name="bookmark190"/>
      <w:bookmarkEnd w:id="251"/>
      <w:r>
        <w:rPr>
          <w:rFonts w:ascii="Times New Roman" w:hAnsi="Times New Roman" w:eastAsia="Times New Roman" w:cs="Times New Roman"/>
          <w:b/>
          <w:bCs/>
          <w:spacing w:val="-5"/>
          <w:sz w:val="24"/>
          <w:szCs w:val="24"/>
        </w:rPr>
        <w:t>6.1</w:t>
      </w:r>
      <w:r>
        <w:rPr>
          <w:rFonts w:ascii="Times New Roman" w:hAnsi="Times New Roman" w:eastAsia="Times New Roman" w:cs="Times New Roman"/>
          <w:b/>
          <w:bCs/>
          <w:spacing w:val="26"/>
          <w:sz w:val="24"/>
          <w:szCs w:val="24"/>
        </w:rPr>
        <w:t xml:space="preserve"> </w:t>
      </w:r>
      <w:r>
        <w:rPr>
          <w:rFonts w:ascii="黑体" w:hAnsi="黑体" w:eastAsia="黑体" w:cs="黑体"/>
          <w:b/>
          <w:bCs/>
          <w:spacing w:val="-5"/>
          <w:sz w:val="24"/>
          <w:szCs w:val="24"/>
        </w:rPr>
        <w:t>安全文明施工</w:t>
      </w:r>
    </w:p>
    <w:p w14:paraId="03EDE5B4">
      <w:pPr>
        <w:spacing w:before="125"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6.1.1 </w:t>
      </w:r>
      <w:r>
        <w:rPr>
          <w:rFonts w:ascii="宋体" w:hAnsi="宋体" w:eastAsia="宋体" w:cs="宋体"/>
          <w:spacing w:val="-1"/>
          <w:sz w:val="21"/>
          <w:szCs w:val="21"/>
        </w:rPr>
        <w:t>安全生产要求</w:t>
      </w:r>
    </w:p>
    <w:p w14:paraId="7E218D00">
      <w:pPr>
        <w:spacing w:before="132" w:line="352" w:lineRule="auto"/>
        <w:ind w:left="5" w:right="152" w:firstLine="420"/>
        <w:rPr>
          <w:rFonts w:ascii="宋体" w:hAnsi="宋体" w:eastAsia="宋体" w:cs="宋体"/>
          <w:sz w:val="21"/>
          <w:szCs w:val="21"/>
        </w:rPr>
      </w:pPr>
      <w:r>
        <w:rPr>
          <w:rFonts w:ascii="宋体" w:hAnsi="宋体" w:eastAsia="宋体" w:cs="宋体"/>
          <w:sz w:val="21"/>
          <w:szCs w:val="21"/>
        </w:rPr>
        <w:t>合同履行期间，合同当事人均应当遵守国家和工程所在地有关安全生产的要求，合</w:t>
      </w:r>
      <w:r>
        <w:rPr>
          <w:rFonts w:ascii="宋体" w:hAnsi="宋体" w:eastAsia="宋体" w:cs="宋体"/>
          <w:spacing w:val="-1"/>
          <w:sz w:val="21"/>
          <w:szCs w:val="21"/>
        </w:rPr>
        <w:t>同当事人</w:t>
      </w:r>
      <w:r>
        <w:rPr>
          <w:rFonts w:ascii="宋体" w:hAnsi="宋体" w:eastAsia="宋体" w:cs="宋体"/>
          <w:sz w:val="21"/>
          <w:szCs w:val="21"/>
        </w:rPr>
        <w:t>有特别要求的，应在专用合同条款中明确施工项目安全生产标准化达标目标及相应事项</w:t>
      </w:r>
      <w:r>
        <w:rPr>
          <w:rFonts w:ascii="宋体" w:hAnsi="宋体" w:eastAsia="宋体" w:cs="宋体"/>
          <w:spacing w:val="-1"/>
          <w:sz w:val="21"/>
          <w:szCs w:val="21"/>
        </w:rPr>
        <w:t>。承包人有权拒绝发包人及监理人强令承包人违章作业、冒险施工的任何指示。</w:t>
      </w:r>
    </w:p>
    <w:p w14:paraId="58052916">
      <w:pPr>
        <w:spacing w:before="3" w:line="351" w:lineRule="auto"/>
        <w:ind w:left="6" w:right="152" w:firstLine="417"/>
        <w:jc w:val="both"/>
        <w:rPr>
          <w:rFonts w:ascii="宋体" w:hAnsi="宋体" w:eastAsia="宋体" w:cs="宋体"/>
          <w:sz w:val="21"/>
          <w:szCs w:val="21"/>
        </w:rPr>
      </w:pPr>
      <w:r>
        <w:rPr>
          <w:rFonts w:ascii="宋体" w:hAnsi="宋体" w:eastAsia="宋体" w:cs="宋体"/>
          <w:sz w:val="21"/>
          <w:szCs w:val="21"/>
        </w:rPr>
        <w:t>在施工过程中，如遇到突发的地质变动、事先未知的地下施工障碍等影响施工安全的</w:t>
      </w:r>
      <w:r>
        <w:rPr>
          <w:rFonts w:ascii="宋体" w:hAnsi="宋体" w:eastAsia="宋体" w:cs="宋体"/>
          <w:spacing w:val="-1"/>
          <w:sz w:val="21"/>
          <w:szCs w:val="21"/>
        </w:rPr>
        <w:t>紧急情</w:t>
      </w:r>
      <w:r>
        <w:rPr>
          <w:rFonts w:ascii="宋体" w:hAnsi="宋体" w:eastAsia="宋体" w:cs="宋体"/>
          <w:sz w:val="21"/>
          <w:szCs w:val="21"/>
        </w:rPr>
        <w:t>况，承包人应及时报告监理人和发包人，发包人应当及时下令停工并报政府有关行政</w:t>
      </w:r>
      <w:r>
        <w:rPr>
          <w:rFonts w:ascii="宋体" w:hAnsi="宋体" w:eastAsia="宋体" w:cs="宋体"/>
          <w:spacing w:val="-1"/>
          <w:sz w:val="21"/>
          <w:szCs w:val="21"/>
        </w:rPr>
        <w:t>管理部门采</w:t>
      </w:r>
      <w:r>
        <w:rPr>
          <w:rFonts w:ascii="宋体" w:hAnsi="宋体" w:eastAsia="宋体" w:cs="宋体"/>
          <w:spacing w:val="-2"/>
          <w:sz w:val="21"/>
          <w:szCs w:val="21"/>
        </w:rPr>
        <w:t>取应急措施。</w:t>
      </w:r>
    </w:p>
    <w:p w14:paraId="4E0EE1AE">
      <w:pPr>
        <w:spacing w:before="1" w:line="234" w:lineRule="auto"/>
        <w:ind w:left="441"/>
        <w:rPr>
          <w:rFonts w:ascii="宋体" w:hAnsi="宋体" w:eastAsia="宋体" w:cs="宋体"/>
          <w:sz w:val="21"/>
          <w:szCs w:val="21"/>
        </w:rPr>
      </w:pPr>
      <w:r>
        <w:rPr>
          <w:rFonts w:ascii="宋体" w:hAnsi="宋体" w:eastAsia="宋体" w:cs="宋体"/>
          <w:spacing w:val="-1"/>
          <w:sz w:val="21"/>
          <w:szCs w:val="21"/>
        </w:rPr>
        <w:t>因安全生产需要暂停施工的，按照第</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7.8 </w:t>
      </w:r>
      <w:r>
        <w:rPr>
          <w:rFonts w:ascii="宋体" w:hAnsi="宋体" w:eastAsia="宋体" w:cs="宋体"/>
          <w:spacing w:val="-1"/>
          <w:sz w:val="21"/>
          <w:szCs w:val="21"/>
        </w:rPr>
        <w:t>款〔暂</w:t>
      </w:r>
      <w:r>
        <w:rPr>
          <w:rFonts w:ascii="宋体" w:hAnsi="宋体" w:eastAsia="宋体" w:cs="宋体"/>
          <w:spacing w:val="-2"/>
          <w:sz w:val="21"/>
          <w:szCs w:val="21"/>
        </w:rPr>
        <w:t>停施工〕的约定执行。</w:t>
      </w:r>
    </w:p>
    <w:p w14:paraId="6781D183">
      <w:pPr>
        <w:spacing w:before="132"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6.1.2  </w:t>
      </w:r>
      <w:r>
        <w:rPr>
          <w:rFonts w:ascii="宋体" w:hAnsi="宋体" w:eastAsia="宋体" w:cs="宋体"/>
          <w:spacing w:val="-1"/>
          <w:sz w:val="21"/>
          <w:szCs w:val="21"/>
        </w:rPr>
        <w:t>安全生产保证措施</w:t>
      </w:r>
    </w:p>
    <w:p w14:paraId="6B62D7AD">
      <w:pPr>
        <w:spacing w:before="133" w:line="352" w:lineRule="auto"/>
        <w:ind w:left="5" w:right="152" w:firstLine="419"/>
        <w:rPr>
          <w:rFonts w:ascii="宋体" w:hAnsi="宋体" w:eastAsia="宋体" w:cs="宋体"/>
          <w:sz w:val="21"/>
          <w:szCs w:val="21"/>
        </w:rPr>
      </w:pPr>
      <w:r>
        <w:rPr>
          <w:rFonts w:ascii="宋体" w:hAnsi="宋体" w:eastAsia="宋体" w:cs="宋体"/>
          <w:sz w:val="21"/>
          <w:szCs w:val="21"/>
        </w:rPr>
        <w:t>承包人应当按照有关规定编制安全技术措施或者专项施工方案，建立安全生产责任</w:t>
      </w:r>
      <w:r>
        <w:rPr>
          <w:rFonts w:ascii="宋体" w:hAnsi="宋体" w:eastAsia="宋体" w:cs="宋体"/>
          <w:spacing w:val="-1"/>
          <w:sz w:val="21"/>
          <w:szCs w:val="21"/>
        </w:rPr>
        <w:t>制度、治</w:t>
      </w:r>
      <w:r>
        <w:rPr>
          <w:rFonts w:ascii="宋体" w:hAnsi="宋体" w:eastAsia="宋体" w:cs="宋体"/>
          <w:sz w:val="21"/>
          <w:szCs w:val="21"/>
        </w:rPr>
        <w:t>安保卫制度及安全生产教育培训制度，并按安全生产法律规定及合同约定履行安全职责</w:t>
      </w:r>
      <w:r>
        <w:rPr>
          <w:rFonts w:ascii="宋体" w:hAnsi="宋体" w:eastAsia="宋体" w:cs="宋体"/>
          <w:spacing w:val="-1"/>
          <w:sz w:val="21"/>
          <w:szCs w:val="21"/>
        </w:rPr>
        <w:t>，如实编</w:t>
      </w:r>
      <w:r>
        <w:rPr>
          <w:rFonts w:ascii="宋体" w:hAnsi="宋体" w:eastAsia="宋体" w:cs="宋体"/>
          <w:sz w:val="21"/>
          <w:szCs w:val="21"/>
        </w:rPr>
        <w:t>制工程安全生产的有关记录，接受发包人、监</w:t>
      </w:r>
      <w:r>
        <w:rPr>
          <w:rFonts w:ascii="宋体" w:hAnsi="宋体" w:eastAsia="宋体" w:cs="宋体"/>
          <w:spacing w:val="-1"/>
          <w:sz w:val="21"/>
          <w:szCs w:val="21"/>
        </w:rPr>
        <w:t>理人及政府安全监督部门的检查与监督。</w:t>
      </w:r>
    </w:p>
    <w:p w14:paraId="217C49B4">
      <w:pPr>
        <w:spacing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6.1.3 </w:t>
      </w:r>
      <w:r>
        <w:rPr>
          <w:rFonts w:ascii="宋体" w:hAnsi="宋体" w:eastAsia="宋体" w:cs="宋体"/>
          <w:spacing w:val="-1"/>
          <w:sz w:val="21"/>
          <w:szCs w:val="21"/>
        </w:rPr>
        <w:t>特别安全生产事项</w:t>
      </w:r>
    </w:p>
    <w:p w14:paraId="4E2446E8">
      <w:pPr>
        <w:spacing w:before="133" w:line="353" w:lineRule="auto"/>
        <w:ind w:left="4" w:right="152" w:firstLine="420"/>
        <w:rPr>
          <w:rFonts w:ascii="宋体" w:hAnsi="宋体" w:eastAsia="宋体" w:cs="宋体"/>
          <w:sz w:val="21"/>
          <w:szCs w:val="21"/>
        </w:rPr>
      </w:pPr>
      <w:r>
        <w:rPr>
          <w:rFonts w:ascii="宋体" w:hAnsi="宋体" w:eastAsia="宋体" w:cs="宋体"/>
          <w:sz w:val="21"/>
          <w:szCs w:val="21"/>
        </w:rPr>
        <w:t>承包人应按照法律规定进行施工，开工前做好安全技术交底工作，施工过程中做好</w:t>
      </w:r>
      <w:r>
        <w:rPr>
          <w:rFonts w:ascii="宋体" w:hAnsi="宋体" w:eastAsia="宋体" w:cs="宋体"/>
          <w:spacing w:val="-1"/>
          <w:sz w:val="21"/>
          <w:szCs w:val="21"/>
        </w:rPr>
        <w:t>各项安全</w:t>
      </w:r>
      <w:r>
        <w:rPr>
          <w:rFonts w:ascii="宋体" w:hAnsi="宋体" w:eastAsia="宋体" w:cs="宋体"/>
          <w:sz w:val="21"/>
          <w:szCs w:val="21"/>
        </w:rPr>
        <w:t>防护措施。承包人为实施合同而雇用的特殊工种的人员应受过专门的培训并已取得政府有</w:t>
      </w:r>
      <w:r>
        <w:rPr>
          <w:rFonts w:ascii="宋体" w:hAnsi="宋体" w:eastAsia="宋体" w:cs="宋体"/>
          <w:spacing w:val="-1"/>
          <w:sz w:val="21"/>
          <w:szCs w:val="21"/>
        </w:rPr>
        <w:t>关管理机构颁发的上岗证书。</w:t>
      </w:r>
    </w:p>
    <w:p w14:paraId="14D6F5AD">
      <w:pPr>
        <w:spacing w:line="353" w:lineRule="auto"/>
        <w:rPr>
          <w:rFonts w:ascii="宋体" w:hAnsi="宋体" w:eastAsia="宋体" w:cs="宋体"/>
          <w:sz w:val="21"/>
          <w:szCs w:val="21"/>
        </w:rPr>
        <w:sectPr>
          <w:footerReference r:id="rId101" w:type="default"/>
          <w:pgSz w:w="11905" w:h="16843"/>
          <w:pgMar w:top="969" w:right="1355" w:bottom="1026" w:left="1480" w:header="0" w:footer="754" w:gutter="0"/>
          <w:cols w:space="0" w:num="1"/>
          <w:rtlGutter w:val="0"/>
          <w:docGrid w:linePitch="0" w:charSpace="0"/>
        </w:sectPr>
      </w:pPr>
    </w:p>
    <w:p w14:paraId="2F423F43">
      <w:pPr>
        <w:pStyle w:val="5"/>
        <w:spacing w:line="270" w:lineRule="auto"/>
      </w:pPr>
    </w:p>
    <w:p w14:paraId="646E0E5A">
      <w:pPr>
        <w:pStyle w:val="5"/>
        <w:spacing w:line="270" w:lineRule="auto"/>
      </w:pPr>
    </w:p>
    <w:p w14:paraId="2147E845">
      <w:pPr>
        <w:pStyle w:val="5"/>
        <w:spacing w:line="271" w:lineRule="auto"/>
      </w:pPr>
    </w:p>
    <w:p w14:paraId="210309F8">
      <w:pPr>
        <w:pStyle w:val="5"/>
        <w:spacing w:line="271" w:lineRule="auto"/>
      </w:pPr>
    </w:p>
    <w:p w14:paraId="7FB1A722">
      <w:pPr>
        <w:spacing w:before="68" w:line="352" w:lineRule="auto"/>
        <w:ind w:left="17" w:right="160" w:firstLine="403"/>
        <w:rPr>
          <w:rFonts w:ascii="宋体" w:hAnsi="宋体" w:eastAsia="宋体" w:cs="宋体"/>
          <w:sz w:val="21"/>
          <w:szCs w:val="21"/>
        </w:rPr>
      </w:pPr>
      <w:bookmarkStart w:id="252" w:name="bookmark554"/>
      <w:bookmarkEnd w:id="252"/>
      <w:r>
        <w:rPr>
          <w:rFonts w:ascii="宋体" w:hAnsi="宋体" w:eastAsia="宋体" w:cs="宋体"/>
          <w:sz w:val="21"/>
          <w:szCs w:val="21"/>
        </w:rPr>
        <w:t>承包人在动力设备、输电线路、地下管道、密封防震车间、易燃易爆地段以及临街</w:t>
      </w:r>
      <w:r>
        <w:rPr>
          <w:rFonts w:ascii="宋体" w:hAnsi="宋体" w:eastAsia="宋体" w:cs="宋体"/>
          <w:spacing w:val="-1"/>
          <w:sz w:val="21"/>
          <w:szCs w:val="21"/>
        </w:rPr>
        <w:t>交通要道</w:t>
      </w:r>
      <w:r>
        <w:rPr>
          <w:rFonts w:ascii="宋体" w:hAnsi="宋体" w:eastAsia="宋体" w:cs="宋体"/>
          <w:sz w:val="21"/>
          <w:szCs w:val="21"/>
        </w:rPr>
        <w:t>附近施工时，施工开始前应向发包人和监理人提</w:t>
      </w:r>
      <w:r>
        <w:rPr>
          <w:rFonts w:ascii="宋体" w:hAnsi="宋体" w:eastAsia="宋体" w:cs="宋体"/>
          <w:spacing w:val="-1"/>
          <w:sz w:val="21"/>
          <w:szCs w:val="21"/>
        </w:rPr>
        <w:t>出安全防护措施，经发包人认可后实施。</w:t>
      </w:r>
    </w:p>
    <w:p w14:paraId="10AAAB6C">
      <w:pPr>
        <w:spacing w:before="2" w:line="348" w:lineRule="auto"/>
        <w:ind w:right="160" w:firstLine="425"/>
        <w:jc w:val="both"/>
        <w:rPr>
          <w:rFonts w:ascii="宋体" w:hAnsi="宋体" w:eastAsia="宋体" w:cs="宋体"/>
          <w:sz w:val="21"/>
          <w:szCs w:val="21"/>
        </w:rPr>
      </w:pPr>
      <w:r>
        <w:rPr>
          <w:rFonts w:ascii="宋体" w:hAnsi="宋体" w:eastAsia="宋体" w:cs="宋体"/>
          <w:sz w:val="21"/>
          <w:szCs w:val="21"/>
        </w:rPr>
        <w:t>实施爆破作业，在放射、毒害性环境中施工（含储存、运输、使用）及</w:t>
      </w:r>
      <w:r>
        <w:rPr>
          <w:rFonts w:ascii="宋体" w:hAnsi="宋体" w:eastAsia="宋体" w:cs="宋体"/>
          <w:spacing w:val="-1"/>
          <w:sz w:val="21"/>
          <w:szCs w:val="21"/>
        </w:rPr>
        <w:t>使用毒害性、腐蚀性</w:t>
      </w:r>
      <w:r>
        <w:rPr>
          <w:rFonts w:ascii="宋体" w:hAnsi="宋体" w:eastAsia="宋体" w:cs="宋体"/>
          <w:sz w:val="21"/>
          <w:szCs w:val="21"/>
        </w:rPr>
        <w:t>物品施工时，承包人应在施工前</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天以书面通知发包人和监理人，并报送相</w:t>
      </w:r>
      <w:r>
        <w:rPr>
          <w:rFonts w:ascii="宋体" w:hAnsi="宋体" w:eastAsia="宋体" w:cs="宋体"/>
          <w:spacing w:val="-1"/>
          <w:sz w:val="21"/>
          <w:szCs w:val="21"/>
        </w:rPr>
        <w:t>应的安全防护措施，经发包人认可后实施。</w:t>
      </w:r>
    </w:p>
    <w:p w14:paraId="69EF362B">
      <w:pPr>
        <w:spacing w:before="10" w:line="351" w:lineRule="auto"/>
        <w:ind w:left="18" w:right="160" w:firstLine="414"/>
        <w:rPr>
          <w:rFonts w:ascii="宋体" w:hAnsi="宋体" w:eastAsia="宋体" w:cs="宋体"/>
          <w:sz w:val="21"/>
          <w:szCs w:val="21"/>
        </w:rPr>
      </w:pPr>
      <w:r>
        <w:rPr>
          <w:rFonts w:ascii="宋体" w:hAnsi="宋体" w:eastAsia="宋体" w:cs="宋体"/>
          <w:sz w:val="21"/>
          <w:szCs w:val="21"/>
        </w:rPr>
        <w:t>需单独编制危险性较大分部分项专项工程施工方案的，及</w:t>
      </w:r>
      <w:r>
        <w:rPr>
          <w:rFonts w:ascii="宋体" w:hAnsi="宋体" w:eastAsia="宋体" w:cs="宋体"/>
          <w:spacing w:val="-1"/>
          <w:sz w:val="21"/>
          <w:szCs w:val="21"/>
        </w:rPr>
        <w:t>要求进行专家论证的超过一定规模的危险性较大的分部分项工程，承包人应及时编制和组织论证。</w:t>
      </w:r>
    </w:p>
    <w:p w14:paraId="15F1C177">
      <w:pPr>
        <w:spacing w:line="235" w:lineRule="auto"/>
        <w:ind w:left="421"/>
        <w:rPr>
          <w:rFonts w:ascii="宋体" w:hAnsi="宋体" w:eastAsia="宋体" w:cs="宋体"/>
          <w:sz w:val="21"/>
          <w:szCs w:val="21"/>
        </w:rPr>
      </w:pPr>
      <w:r>
        <w:rPr>
          <w:rFonts w:ascii="Times New Roman" w:hAnsi="Times New Roman" w:eastAsia="Times New Roman" w:cs="Times New Roman"/>
          <w:spacing w:val="-2"/>
          <w:sz w:val="21"/>
          <w:szCs w:val="21"/>
        </w:rPr>
        <w:t>6.1.4</w:t>
      </w:r>
      <w:r>
        <w:rPr>
          <w:rFonts w:ascii="Times New Roman" w:hAnsi="Times New Roman" w:eastAsia="Times New Roman" w:cs="Times New Roman"/>
          <w:spacing w:val="5"/>
          <w:sz w:val="21"/>
          <w:szCs w:val="21"/>
        </w:rPr>
        <w:t xml:space="preserve">  </w:t>
      </w:r>
      <w:r>
        <w:rPr>
          <w:rFonts w:ascii="宋体" w:hAnsi="宋体" w:eastAsia="宋体" w:cs="宋体"/>
          <w:spacing w:val="-2"/>
          <w:sz w:val="21"/>
          <w:szCs w:val="21"/>
        </w:rPr>
        <w:t>治安保卫</w:t>
      </w:r>
    </w:p>
    <w:p w14:paraId="2A5AF666">
      <w:pPr>
        <w:spacing w:before="134" w:line="351" w:lineRule="auto"/>
        <w:ind w:left="14" w:right="160" w:firstLine="419"/>
        <w:rPr>
          <w:rFonts w:ascii="宋体" w:hAnsi="宋体" w:eastAsia="宋体" w:cs="宋体"/>
          <w:sz w:val="21"/>
          <w:szCs w:val="21"/>
        </w:rPr>
      </w:pPr>
      <w:r>
        <w:rPr>
          <w:rFonts w:ascii="宋体" w:hAnsi="宋体" w:eastAsia="宋体" w:cs="宋体"/>
          <w:sz w:val="21"/>
          <w:szCs w:val="21"/>
        </w:rPr>
        <w:t>除专用合同条款另有约定外，发包人应与当地公安部门</w:t>
      </w:r>
      <w:r>
        <w:rPr>
          <w:rFonts w:ascii="宋体" w:hAnsi="宋体" w:eastAsia="宋体" w:cs="宋体"/>
          <w:spacing w:val="-1"/>
          <w:sz w:val="21"/>
          <w:szCs w:val="21"/>
        </w:rPr>
        <w:t>协商，在现场建立治安管理机构或联防组织，统一管理施工场地的治安保卫事项，履行合同工程的治安保卫职责。</w:t>
      </w:r>
    </w:p>
    <w:p w14:paraId="6A9AEEC6">
      <w:pPr>
        <w:spacing w:before="1" w:line="351" w:lineRule="auto"/>
        <w:ind w:right="160" w:firstLine="423"/>
        <w:rPr>
          <w:rFonts w:ascii="宋体" w:hAnsi="宋体" w:eastAsia="宋体" w:cs="宋体"/>
          <w:sz w:val="21"/>
          <w:szCs w:val="21"/>
        </w:rPr>
      </w:pPr>
      <w:r>
        <w:rPr>
          <w:rFonts w:ascii="宋体" w:hAnsi="宋体" w:eastAsia="宋体" w:cs="宋体"/>
          <w:sz w:val="21"/>
          <w:szCs w:val="21"/>
        </w:rPr>
        <w:t>发包人和承包人除应协助现场治安管理机构或联防组织维护施工场地的社会</w:t>
      </w:r>
      <w:r>
        <w:rPr>
          <w:rFonts w:ascii="宋体" w:hAnsi="宋体" w:eastAsia="宋体" w:cs="宋体"/>
          <w:spacing w:val="-1"/>
          <w:sz w:val="21"/>
          <w:szCs w:val="21"/>
        </w:rPr>
        <w:t>治安外，还应做好包括生活区在内的各自管辖区的治安保卫工作。</w:t>
      </w:r>
    </w:p>
    <w:p w14:paraId="696E3728">
      <w:pPr>
        <w:spacing w:line="352" w:lineRule="auto"/>
        <w:ind w:right="160" w:firstLine="433"/>
        <w:jc w:val="both"/>
        <w:rPr>
          <w:rFonts w:ascii="宋体" w:hAnsi="宋体" w:eastAsia="宋体" w:cs="宋体"/>
          <w:sz w:val="21"/>
          <w:szCs w:val="21"/>
        </w:rPr>
      </w:pPr>
      <w:r>
        <w:rPr>
          <w:rFonts w:ascii="宋体" w:hAnsi="宋体" w:eastAsia="宋体" w:cs="宋体"/>
          <w:sz w:val="21"/>
          <w:szCs w:val="21"/>
        </w:rPr>
        <w:t>除专用合同条款另有约定外，发包人和承包</w:t>
      </w:r>
      <w:r>
        <w:rPr>
          <w:rFonts w:ascii="宋体" w:hAnsi="宋体" w:eastAsia="宋体" w:cs="宋体"/>
          <w:spacing w:val="-1"/>
          <w:sz w:val="21"/>
          <w:szCs w:val="21"/>
        </w:rPr>
        <w:t>人应在工程开工后</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天内共同编制施工场地治安</w:t>
      </w:r>
      <w:r>
        <w:rPr>
          <w:rFonts w:ascii="宋体" w:hAnsi="宋体" w:eastAsia="宋体" w:cs="宋体"/>
          <w:sz w:val="21"/>
          <w:szCs w:val="21"/>
        </w:rPr>
        <w:t>管理计划，并制定应对突发治安事件的紧急预案。在工程施工过程中，发生暴乱、爆炸等</w:t>
      </w:r>
      <w:r>
        <w:rPr>
          <w:rFonts w:ascii="宋体" w:hAnsi="宋体" w:eastAsia="宋体" w:cs="宋体"/>
          <w:spacing w:val="-1"/>
          <w:sz w:val="21"/>
          <w:szCs w:val="21"/>
        </w:rPr>
        <w:t>恐怖事</w:t>
      </w:r>
      <w:r>
        <w:rPr>
          <w:rFonts w:ascii="宋体" w:hAnsi="宋体" w:eastAsia="宋体" w:cs="宋体"/>
          <w:sz w:val="21"/>
          <w:szCs w:val="21"/>
        </w:rPr>
        <w:t>件，以及群殴、械斗等群体性突发治安事件的，发包人和承包人应立即向当地政府报告。</w:t>
      </w:r>
      <w:r>
        <w:rPr>
          <w:rFonts w:ascii="宋体" w:hAnsi="宋体" w:eastAsia="宋体" w:cs="宋体"/>
          <w:spacing w:val="-1"/>
          <w:sz w:val="21"/>
          <w:szCs w:val="21"/>
        </w:rPr>
        <w:t>发包人</w:t>
      </w:r>
      <w:r>
        <w:rPr>
          <w:rFonts w:ascii="宋体" w:hAnsi="宋体" w:eastAsia="宋体" w:cs="宋体"/>
          <w:sz w:val="21"/>
          <w:szCs w:val="21"/>
        </w:rPr>
        <w:t>和承包人应积极协助当地有关部门采取措施平息事态，防止事态扩大，尽量避免人员伤亡</w:t>
      </w:r>
      <w:r>
        <w:rPr>
          <w:rFonts w:ascii="宋体" w:hAnsi="宋体" w:eastAsia="宋体" w:cs="宋体"/>
          <w:spacing w:val="-1"/>
          <w:sz w:val="21"/>
          <w:szCs w:val="21"/>
        </w:rPr>
        <w:t>和财产</w:t>
      </w:r>
      <w:r>
        <w:rPr>
          <w:rFonts w:ascii="宋体" w:hAnsi="宋体" w:eastAsia="宋体" w:cs="宋体"/>
          <w:spacing w:val="-8"/>
          <w:sz w:val="21"/>
          <w:szCs w:val="21"/>
        </w:rPr>
        <w:t>损失。</w:t>
      </w:r>
    </w:p>
    <w:p w14:paraId="3D52D552">
      <w:pPr>
        <w:spacing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6.1.5  </w:t>
      </w:r>
      <w:r>
        <w:rPr>
          <w:rFonts w:ascii="宋体" w:hAnsi="宋体" w:eastAsia="宋体" w:cs="宋体"/>
          <w:spacing w:val="-1"/>
          <w:sz w:val="21"/>
          <w:szCs w:val="21"/>
        </w:rPr>
        <w:t>文明施工</w:t>
      </w:r>
    </w:p>
    <w:p w14:paraId="04BB97F8">
      <w:pPr>
        <w:spacing w:before="131" w:line="352" w:lineRule="auto"/>
        <w:ind w:right="160" w:firstLine="420"/>
        <w:rPr>
          <w:rFonts w:ascii="宋体" w:hAnsi="宋体" w:eastAsia="宋体" w:cs="宋体"/>
          <w:sz w:val="21"/>
          <w:szCs w:val="21"/>
        </w:rPr>
      </w:pPr>
      <w:r>
        <w:rPr>
          <w:rFonts w:ascii="宋体" w:hAnsi="宋体" w:eastAsia="宋体" w:cs="宋体"/>
          <w:sz w:val="21"/>
          <w:szCs w:val="21"/>
        </w:rPr>
        <w:t>承包人在工程施工期间，应当采取措施保持施工现场平整，物料堆放整齐。工程所</w:t>
      </w:r>
      <w:r>
        <w:rPr>
          <w:rFonts w:ascii="宋体" w:hAnsi="宋体" w:eastAsia="宋体" w:cs="宋体"/>
          <w:spacing w:val="-1"/>
          <w:sz w:val="21"/>
          <w:szCs w:val="21"/>
        </w:rPr>
        <w:t>在地有关</w:t>
      </w:r>
      <w:r>
        <w:rPr>
          <w:rFonts w:ascii="宋体" w:hAnsi="宋体" w:eastAsia="宋体" w:cs="宋体"/>
          <w:sz w:val="21"/>
          <w:szCs w:val="21"/>
        </w:rPr>
        <w:t>政府行政管理部门有特殊要求的，按照其要求执行。合同当事人对文明施工有其他要求的，</w:t>
      </w:r>
      <w:r>
        <w:rPr>
          <w:rFonts w:ascii="宋体" w:hAnsi="宋体" w:eastAsia="宋体" w:cs="宋体"/>
          <w:spacing w:val="-1"/>
          <w:sz w:val="21"/>
          <w:szCs w:val="21"/>
        </w:rPr>
        <w:t>可以</w:t>
      </w:r>
      <w:r>
        <w:rPr>
          <w:rFonts w:ascii="宋体" w:hAnsi="宋体" w:eastAsia="宋体" w:cs="宋体"/>
          <w:spacing w:val="-2"/>
          <w:sz w:val="21"/>
          <w:szCs w:val="21"/>
        </w:rPr>
        <w:t>在专用合同条款中明确。</w:t>
      </w:r>
    </w:p>
    <w:p w14:paraId="78FE7F48">
      <w:pPr>
        <w:spacing w:before="3" w:line="351" w:lineRule="auto"/>
        <w:ind w:right="160" w:firstLine="419"/>
        <w:jc w:val="both"/>
        <w:rPr>
          <w:rFonts w:ascii="宋体" w:hAnsi="宋体" w:eastAsia="宋体" w:cs="宋体"/>
          <w:sz w:val="21"/>
          <w:szCs w:val="21"/>
        </w:rPr>
      </w:pPr>
      <w:r>
        <w:rPr>
          <w:rFonts w:ascii="宋体" w:hAnsi="宋体" w:eastAsia="宋体" w:cs="宋体"/>
          <w:sz w:val="21"/>
          <w:szCs w:val="21"/>
        </w:rPr>
        <w:t>在工程移交之前，承包人应当从施工现场清除承包人的全部工程设备、多余材料、垃</w:t>
      </w:r>
      <w:r>
        <w:rPr>
          <w:rFonts w:ascii="宋体" w:hAnsi="宋体" w:eastAsia="宋体" w:cs="宋体"/>
          <w:spacing w:val="-1"/>
          <w:sz w:val="21"/>
          <w:szCs w:val="21"/>
        </w:rPr>
        <w:t>圾和各</w:t>
      </w:r>
      <w:r>
        <w:rPr>
          <w:rFonts w:ascii="宋体" w:hAnsi="宋体" w:eastAsia="宋体" w:cs="宋体"/>
          <w:sz w:val="21"/>
          <w:szCs w:val="21"/>
        </w:rPr>
        <w:t>种临时工程，并保持施工现场清洁整齐。经发包人书面同意，承包人可在发包人指定的地</w:t>
      </w:r>
      <w:r>
        <w:rPr>
          <w:rFonts w:ascii="宋体" w:hAnsi="宋体" w:eastAsia="宋体" w:cs="宋体"/>
          <w:spacing w:val="-1"/>
          <w:sz w:val="21"/>
          <w:szCs w:val="21"/>
        </w:rPr>
        <w:t>点保留承包人履行保修期内的各项义务所需要的材料、施工设备和临时工程。</w:t>
      </w:r>
    </w:p>
    <w:p w14:paraId="6E52F398">
      <w:pPr>
        <w:spacing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6.1.6  </w:t>
      </w:r>
      <w:r>
        <w:rPr>
          <w:rFonts w:ascii="宋体" w:hAnsi="宋体" w:eastAsia="宋体" w:cs="宋体"/>
          <w:spacing w:val="-1"/>
          <w:sz w:val="21"/>
          <w:szCs w:val="21"/>
        </w:rPr>
        <w:t>安全文明施工费</w:t>
      </w:r>
    </w:p>
    <w:p w14:paraId="57FB89BB">
      <w:pPr>
        <w:spacing w:before="135" w:line="351" w:lineRule="auto"/>
        <w:ind w:right="160" w:firstLine="424"/>
        <w:rPr>
          <w:rFonts w:ascii="宋体" w:hAnsi="宋体" w:eastAsia="宋体" w:cs="宋体"/>
          <w:sz w:val="21"/>
          <w:szCs w:val="21"/>
        </w:rPr>
      </w:pPr>
      <w:r>
        <w:rPr>
          <w:rFonts w:ascii="宋体" w:hAnsi="宋体" w:eastAsia="宋体" w:cs="宋体"/>
          <w:sz w:val="21"/>
          <w:szCs w:val="21"/>
        </w:rPr>
        <w:t>安全文明施工费由发包人承担，发包人不得以任何形式扣减该部分费用。</w:t>
      </w:r>
      <w:r>
        <w:rPr>
          <w:rFonts w:ascii="宋体" w:hAnsi="宋体" w:eastAsia="宋体" w:cs="宋体"/>
          <w:spacing w:val="-1"/>
          <w:sz w:val="21"/>
          <w:szCs w:val="21"/>
        </w:rPr>
        <w:t>因基准日期后合同所适用的法律或政府有关规定发生变化，增加的安全文明施工费由发包人承担。</w:t>
      </w:r>
    </w:p>
    <w:p w14:paraId="03056E8C">
      <w:pPr>
        <w:spacing w:before="2" w:line="351" w:lineRule="auto"/>
        <w:ind w:left="2" w:right="160" w:firstLine="418"/>
        <w:jc w:val="both"/>
        <w:rPr>
          <w:rFonts w:ascii="宋体" w:hAnsi="宋体" w:eastAsia="宋体" w:cs="宋体"/>
          <w:sz w:val="21"/>
          <w:szCs w:val="21"/>
        </w:rPr>
      </w:pPr>
      <w:r>
        <w:rPr>
          <w:rFonts w:ascii="宋体" w:hAnsi="宋体" w:eastAsia="宋体" w:cs="宋体"/>
          <w:sz w:val="21"/>
          <w:szCs w:val="21"/>
        </w:rPr>
        <w:t>承包人经发包人同意采取合同约定以外的安全措施所产生的费用，由发包人承担。</w:t>
      </w:r>
      <w:r>
        <w:rPr>
          <w:rFonts w:ascii="宋体" w:hAnsi="宋体" w:eastAsia="宋体" w:cs="宋体"/>
          <w:spacing w:val="-1"/>
          <w:sz w:val="21"/>
          <w:szCs w:val="21"/>
        </w:rPr>
        <w:t>未经发包</w:t>
      </w:r>
      <w:r>
        <w:rPr>
          <w:rFonts w:ascii="宋体" w:hAnsi="宋体" w:eastAsia="宋体" w:cs="宋体"/>
          <w:sz w:val="21"/>
          <w:szCs w:val="21"/>
        </w:rPr>
        <w:t>人同意的，如果该措施避免了发包人的损失，则发包人在避免损失的额度内承担该措</w:t>
      </w:r>
      <w:r>
        <w:rPr>
          <w:rFonts w:ascii="宋体" w:hAnsi="宋体" w:eastAsia="宋体" w:cs="宋体"/>
          <w:spacing w:val="-1"/>
          <w:sz w:val="21"/>
          <w:szCs w:val="21"/>
        </w:rPr>
        <w:t>施费。如果该措施避免了承包人的损失，由承包人承担该措施费。</w:t>
      </w:r>
    </w:p>
    <w:p w14:paraId="3EA54471">
      <w:pPr>
        <w:spacing w:before="4" w:line="351" w:lineRule="auto"/>
        <w:ind w:left="1" w:right="160" w:firstLine="431"/>
        <w:jc w:val="both"/>
        <w:rPr>
          <w:rFonts w:ascii="宋体" w:hAnsi="宋体" w:eastAsia="宋体" w:cs="宋体"/>
          <w:sz w:val="21"/>
          <w:szCs w:val="21"/>
        </w:rPr>
      </w:pPr>
      <w:r>
        <w:rPr>
          <w:rFonts w:ascii="宋体" w:hAnsi="宋体" w:eastAsia="宋体" w:cs="宋体"/>
          <w:spacing w:val="-2"/>
          <w:sz w:val="21"/>
          <w:szCs w:val="21"/>
        </w:rPr>
        <w:t>除专用合同条款另有约定外，发包人应在开工后</w:t>
      </w:r>
      <w:r>
        <w:rPr>
          <w:rFonts w:ascii="宋体" w:hAnsi="宋体" w:eastAsia="宋体" w:cs="宋体"/>
          <w:spacing w:val="-13"/>
          <w:sz w:val="21"/>
          <w:szCs w:val="21"/>
        </w:rPr>
        <w:t xml:space="preserve"> </w:t>
      </w:r>
      <w:r>
        <w:rPr>
          <w:rFonts w:ascii="Times New Roman" w:hAnsi="Times New Roman" w:eastAsia="Times New Roman" w:cs="Times New Roman"/>
          <w:spacing w:val="-2"/>
          <w:sz w:val="21"/>
          <w:szCs w:val="21"/>
        </w:rPr>
        <w:t>28</w:t>
      </w:r>
      <w:r>
        <w:rPr>
          <w:rFonts w:ascii="Times New Roman" w:hAnsi="Times New Roman" w:eastAsia="Times New Roman" w:cs="Times New Roman"/>
          <w:spacing w:val="41"/>
          <w:w w:val="101"/>
          <w:sz w:val="21"/>
          <w:szCs w:val="21"/>
        </w:rPr>
        <w:t xml:space="preserve"> </w:t>
      </w:r>
      <w:r>
        <w:rPr>
          <w:rFonts w:ascii="宋体" w:hAnsi="宋体" w:eastAsia="宋体" w:cs="宋体"/>
          <w:spacing w:val="-2"/>
          <w:sz w:val="21"/>
          <w:szCs w:val="21"/>
        </w:rPr>
        <w:t xml:space="preserve">天内预付安全文明施工费总额的 </w:t>
      </w:r>
      <w:r>
        <w:rPr>
          <w:rFonts w:ascii="Times New Roman" w:hAnsi="Times New Roman" w:eastAsia="Times New Roman" w:cs="Times New Roman"/>
          <w:spacing w:val="-2"/>
          <w:sz w:val="21"/>
          <w:szCs w:val="21"/>
        </w:rPr>
        <w:t>50%</w:t>
      </w:r>
      <w:r>
        <w:rPr>
          <w:rFonts w:ascii="Times New Roman" w:hAnsi="Times New Roman" w:eastAsia="Times New Roman" w:cs="Times New Roman"/>
          <w:spacing w:val="-30"/>
          <w:sz w:val="21"/>
          <w:szCs w:val="21"/>
        </w:rPr>
        <w:t xml:space="preserve"> </w:t>
      </w:r>
      <w:r>
        <w:rPr>
          <w:rFonts w:ascii="宋体" w:hAnsi="宋体" w:eastAsia="宋体" w:cs="宋体"/>
          <w:spacing w:val="-2"/>
          <w:sz w:val="21"/>
          <w:szCs w:val="21"/>
        </w:rPr>
        <w:t>，</w:t>
      </w:r>
      <w:r>
        <w:rPr>
          <w:rFonts w:ascii="宋体" w:hAnsi="宋体" w:eastAsia="宋体" w:cs="宋体"/>
          <w:sz w:val="21"/>
          <w:szCs w:val="21"/>
        </w:rPr>
        <w:t>其余部分与进度款同期支付。发包人逾期支付安全文明施工费超过</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天的</w:t>
      </w:r>
      <w:r>
        <w:rPr>
          <w:rFonts w:ascii="宋体" w:hAnsi="宋体" w:eastAsia="宋体" w:cs="宋体"/>
          <w:spacing w:val="-1"/>
          <w:sz w:val="21"/>
          <w:szCs w:val="21"/>
        </w:rPr>
        <w:t>，承包人有权向发包人</w:t>
      </w:r>
      <w:r>
        <w:rPr>
          <w:rFonts w:ascii="宋体" w:hAnsi="宋体" w:eastAsia="宋体" w:cs="宋体"/>
          <w:sz w:val="21"/>
          <w:szCs w:val="21"/>
        </w:rPr>
        <w:t>发出要求预付的催告通知，发包人收到通知后</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天内仍未支付的，承包人</w:t>
      </w:r>
      <w:r>
        <w:rPr>
          <w:rFonts w:ascii="宋体" w:hAnsi="宋体" w:eastAsia="宋体" w:cs="宋体"/>
          <w:spacing w:val="-1"/>
          <w:sz w:val="21"/>
          <w:szCs w:val="21"/>
        </w:rPr>
        <w:t>有权暂停施工，并按第</w:t>
      </w:r>
      <w:r>
        <w:rPr>
          <w:rFonts w:ascii="Times New Roman" w:hAnsi="Times New Roman" w:eastAsia="Times New Roman" w:cs="Times New Roman"/>
          <w:spacing w:val="-1"/>
          <w:sz w:val="21"/>
          <w:szCs w:val="21"/>
        </w:rPr>
        <w:t xml:space="preserve">16.1.1 </w:t>
      </w:r>
      <w:r>
        <w:rPr>
          <w:rFonts w:ascii="宋体" w:hAnsi="宋体" w:eastAsia="宋体" w:cs="宋体"/>
          <w:spacing w:val="-1"/>
          <w:sz w:val="21"/>
          <w:szCs w:val="21"/>
        </w:rPr>
        <w:t>项〔发包人违约的情形〕执行。</w:t>
      </w:r>
    </w:p>
    <w:p w14:paraId="7F6A7783">
      <w:pPr>
        <w:spacing w:before="1" w:line="220" w:lineRule="auto"/>
        <w:jc w:val="right"/>
        <w:rPr>
          <w:rFonts w:ascii="宋体" w:hAnsi="宋体" w:eastAsia="宋体" w:cs="宋体"/>
          <w:sz w:val="21"/>
          <w:szCs w:val="21"/>
        </w:rPr>
      </w:pPr>
      <w:r>
        <w:rPr>
          <w:rFonts w:ascii="宋体" w:hAnsi="宋体" w:eastAsia="宋体" w:cs="宋体"/>
          <w:spacing w:val="-1"/>
          <w:sz w:val="21"/>
          <w:szCs w:val="21"/>
        </w:rPr>
        <w:t>承包人对安全文明施工费应专款专用，承包人应在财务账目中单独</w:t>
      </w:r>
      <w:r>
        <w:rPr>
          <w:rFonts w:ascii="宋体" w:hAnsi="宋体" w:eastAsia="宋体" w:cs="宋体"/>
          <w:spacing w:val="-2"/>
          <w:sz w:val="21"/>
          <w:szCs w:val="21"/>
        </w:rPr>
        <w:t>列项备查，不得挪作他用，</w:t>
      </w:r>
    </w:p>
    <w:p w14:paraId="530963AB">
      <w:pPr>
        <w:spacing w:line="220" w:lineRule="auto"/>
        <w:rPr>
          <w:rFonts w:ascii="宋体" w:hAnsi="宋体" w:eastAsia="宋体" w:cs="宋体"/>
          <w:sz w:val="21"/>
          <w:szCs w:val="21"/>
        </w:rPr>
        <w:sectPr>
          <w:footerReference r:id="rId102" w:type="default"/>
          <w:pgSz w:w="11905" w:h="16843"/>
          <w:pgMar w:top="969" w:right="1355" w:bottom="1026" w:left="1480" w:header="0" w:footer="754" w:gutter="0"/>
          <w:cols w:space="0" w:num="1"/>
          <w:rtlGutter w:val="0"/>
          <w:docGrid w:linePitch="0" w:charSpace="0"/>
        </w:sectPr>
      </w:pPr>
    </w:p>
    <w:p w14:paraId="51B638FB">
      <w:pPr>
        <w:pStyle w:val="5"/>
        <w:spacing w:line="270" w:lineRule="auto"/>
      </w:pPr>
    </w:p>
    <w:p w14:paraId="2F1CC7DE">
      <w:pPr>
        <w:pStyle w:val="5"/>
        <w:spacing w:line="270" w:lineRule="auto"/>
      </w:pPr>
    </w:p>
    <w:p w14:paraId="52583D49">
      <w:pPr>
        <w:pStyle w:val="5"/>
        <w:spacing w:line="271" w:lineRule="auto"/>
      </w:pPr>
    </w:p>
    <w:p w14:paraId="29D4EC79">
      <w:pPr>
        <w:pStyle w:val="5"/>
        <w:spacing w:line="271" w:lineRule="auto"/>
      </w:pPr>
    </w:p>
    <w:p w14:paraId="28F8A1DF">
      <w:pPr>
        <w:spacing w:before="68" w:line="352" w:lineRule="auto"/>
        <w:ind w:left="1" w:firstLine="5"/>
        <w:rPr>
          <w:rFonts w:ascii="宋体" w:hAnsi="宋体" w:eastAsia="宋体" w:cs="宋体"/>
          <w:sz w:val="21"/>
          <w:szCs w:val="21"/>
        </w:rPr>
      </w:pPr>
      <w:bookmarkStart w:id="253" w:name="bookmark555"/>
      <w:bookmarkEnd w:id="253"/>
      <w:r>
        <w:rPr>
          <w:rFonts w:ascii="宋体" w:hAnsi="宋体" w:eastAsia="宋体" w:cs="宋体"/>
          <w:spacing w:val="-1"/>
          <w:sz w:val="21"/>
          <w:szCs w:val="21"/>
        </w:rPr>
        <w:t>否则发包人有权责令其限期改正；逾期未改正的，可以责令其暂停施工，由此增加的费用和（或）延误的工期由承包人承担。</w:t>
      </w:r>
    </w:p>
    <w:p w14:paraId="647CF679">
      <w:pPr>
        <w:spacing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6.1.7  </w:t>
      </w:r>
      <w:r>
        <w:rPr>
          <w:rFonts w:ascii="宋体" w:hAnsi="宋体" w:eastAsia="宋体" w:cs="宋体"/>
          <w:spacing w:val="-1"/>
          <w:sz w:val="21"/>
          <w:szCs w:val="21"/>
        </w:rPr>
        <w:t>紧急情况处理</w:t>
      </w:r>
    </w:p>
    <w:p w14:paraId="2D11EA58">
      <w:pPr>
        <w:spacing w:before="130" w:line="352" w:lineRule="auto"/>
        <w:ind w:right="194" w:firstLine="419"/>
        <w:rPr>
          <w:rFonts w:ascii="宋体" w:hAnsi="宋体" w:eastAsia="宋体" w:cs="宋体"/>
          <w:sz w:val="21"/>
          <w:szCs w:val="21"/>
        </w:rPr>
      </w:pPr>
      <w:r>
        <w:rPr>
          <w:rFonts w:ascii="宋体" w:hAnsi="宋体" w:eastAsia="宋体" w:cs="宋体"/>
          <w:sz w:val="21"/>
          <w:szCs w:val="21"/>
        </w:rPr>
        <w:t>在工程实施期间或缺陷责任期内发生危及工程安全的事件，监理人通知承包人进行抢</w:t>
      </w:r>
      <w:r>
        <w:rPr>
          <w:rFonts w:ascii="宋体" w:hAnsi="宋体" w:eastAsia="宋体" w:cs="宋体"/>
          <w:spacing w:val="-1"/>
          <w:sz w:val="21"/>
          <w:szCs w:val="21"/>
        </w:rPr>
        <w:t>救，承</w:t>
      </w:r>
      <w:r>
        <w:rPr>
          <w:rFonts w:ascii="宋体" w:hAnsi="宋体" w:eastAsia="宋体" w:cs="宋体"/>
          <w:sz w:val="21"/>
          <w:szCs w:val="21"/>
        </w:rPr>
        <w:t>包人声明无能力或不愿立即执行的，发包人有权雇佣其他人员进行抢救。此类抢救按合同</w:t>
      </w:r>
      <w:r>
        <w:rPr>
          <w:rFonts w:ascii="宋体" w:hAnsi="宋体" w:eastAsia="宋体" w:cs="宋体"/>
          <w:spacing w:val="-1"/>
          <w:sz w:val="21"/>
          <w:szCs w:val="21"/>
        </w:rPr>
        <w:t>约定属于承包人义务的，由此增加的费用和（或）延误的工期由承包人承担。</w:t>
      </w:r>
    </w:p>
    <w:p w14:paraId="0E0ADC9A">
      <w:pPr>
        <w:spacing w:line="235"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6.1.8  </w:t>
      </w:r>
      <w:r>
        <w:rPr>
          <w:rFonts w:ascii="宋体" w:hAnsi="宋体" w:eastAsia="宋体" w:cs="宋体"/>
          <w:spacing w:val="-1"/>
          <w:sz w:val="21"/>
          <w:szCs w:val="21"/>
        </w:rPr>
        <w:t>事故处理</w:t>
      </w:r>
    </w:p>
    <w:p w14:paraId="750A0776">
      <w:pPr>
        <w:spacing w:before="131" w:line="352" w:lineRule="auto"/>
        <w:ind w:right="33" w:firstLine="423"/>
        <w:rPr>
          <w:rFonts w:ascii="宋体" w:hAnsi="宋体" w:eastAsia="宋体" w:cs="宋体"/>
          <w:sz w:val="21"/>
          <w:szCs w:val="21"/>
        </w:rPr>
      </w:pPr>
      <w:r>
        <w:rPr>
          <w:rFonts w:ascii="宋体" w:hAnsi="宋体" w:eastAsia="宋体" w:cs="宋体"/>
          <w:sz w:val="21"/>
          <w:szCs w:val="21"/>
        </w:rPr>
        <w:t>工程施工过程中发生事故的，承包人应立即通知监理人，监理人应立即通知发</w:t>
      </w:r>
      <w:r>
        <w:rPr>
          <w:rFonts w:ascii="宋体" w:hAnsi="宋体" w:eastAsia="宋体" w:cs="宋体"/>
          <w:spacing w:val="-1"/>
          <w:sz w:val="21"/>
          <w:szCs w:val="21"/>
        </w:rPr>
        <w:t>包人。发包人和承包人应立即组织人员和设备进行紧急抢救和抢修，减少人员伤亡和财产损</w:t>
      </w:r>
      <w:r>
        <w:rPr>
          <w:rFonts w:ascii="宋体" w:hAnsi="宋体" w:eastAsia="宋体" w:cs="宋体"/>
          <w:spacing w:val="-2"/>
          <w:sz w:val="21"/>
          <w:szCs w:val="21"/>
        </w:rPr>
        <w:t>失，防止事故扩大，</w:t>
      </w:r>
      <w:r>
        <w:rPr>
          <w:rFonts w:ascii="宋体" w:hAnsi="宋体" w:eastAsia="宋体" w:cs="宋体"/>
          <w:sz w:val="21"/>
          <w:szCs w:val="21"/>
        </w:rPr>
        <w:t>并保护事故现场。需要移动现场物品时，应作出标记和书面记录，妥善保管有关证据。发</w:t>
      </w:r>
      <w:r>
        <w:rPr>
          <w:rFonts w:ascii="宋体" w:hAnsi="宋体" w:eastAsia="宋体" w:cs="宋体"/>
          <w:spacing w:val="-1"/>
          <w:sz w:val="21"/>
          <w:szCs w:val="21"/>
        </w:rPr>
        <w:t>包人和</w:t>
      </w:r>
      <w:r>
        <w:rPr>
          <w:rFonts w:ascii="宋体" w:hAnsi="宋体" w:eastAsia="宋体" w:cs="宋体"/>
          <w:sz w:val="21"/>
          <w:szCs w:val="21"/>
        </w:rPr>
        <w:t>承包人应按国家有关规定，及时如实地向有关部门报告事故发生的情况，以及正在采取的</w:t>
      </w:r>
      <w:r>
        <w:rPr>
          <w:rFonts w:ascii="宋体" w:hAnsi="宋体" w:eastAsia="宋体" w:cs="宋体"/>
          <w:spacing w:val="-1"/>
          <w:sz w:val="21"/>
          <w:szCs w:val="21"/>
        </w:rPr>
        <w:t>紧急措</w:t>
      </w:r>
      <w:r>
        <w:rPr>
          <w:rFonts w:ascii="宋体" w:hAnsi="宋体" w:eastAsia="宋体" w:cs="宋体"/>
          <w:spacing w:val="-8"/>
          <w:sz w:val="21"/>
          <w:szCs w:val="21"/>
        </w:rPr>
        <w:t>施等。</w:t>
      </w:r>
    </w:p>
    <w:p w14:paraId="642D6502">
      <w:pPr>
        <w:spacing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6.1.9  </w:t>
      </w:r>
      <w:r>
        <w:rPr>
          <w:rFonts w:ascii="宋体" w:hAnsi="宋体" w:eastAsia="宋体" w:cs="宋体"/>
          <w:spacing w:val="-1"/>
          <w:sz w:val="21"/>
          <w:szCs w:val="21"/>
        </w:rPr>
        <w:t>安全生产责任</w:t>
      </w:r>
    </w:p>
    <w:p w14:paraId="2BC21A8D">
      <w:pPr>
        <w:spacing w:before="135"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6.1.9.1  </w:t>
      </w:r>
      <w:r>
        <w:rPr>
          <w:rFonts w:ascii="宋体" w:hAnsi="宋体" w:eastAsia="宋体" w:cs="宋体"/>
          <w:spacing w:val="-1"/>
          <w:sz w:val="21"/>
          <w:szCs w:val="21"/>
        </w:rPr>
        <w:t>发包人的安全责任</w:t>
      </w:r>
    </w:p>
    <w:p w14:paraId="2CD91B8D">
      <w:pPr>
        <w:spacing w:before="133" w:line="221" w:lineRule="auto"/>
        <w:ind w:left="424"/>
        <w:rPr>
          <w:rFonts w:ascii="宋体" w:hAnsi="宋体" w:eastAsia="宋体" w:cs="宋体"/>
          <w:sz w:val="21"/>
          <w:szCs w:val="21"/>
        </w:rPr>
      </w:pPr>
      <w:r>
        <w:rPr>
          <w:rFonts w:ascii="宋体" w:hAnsi="宋体" w:eastAsia="宋体" w:cs="宋体"/>
          <w:spacing w:val="-2"/>
          <w:sz w:val="21"/>
          <w:szCs w:val="21"/>
        </w:rPr>
        <w:t>发包人应负责赔偿以下各种情况造成的损失：</w:t>
      </w:r>
    </w:p>
    <w:p w14:paraId="1EB7C2E9">
      <w:pPr>
        <w:spacing w:before="148"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）工程或工程的任何部分对土地的占用所</w:t>
      </w:r>
      <w:r>
        <w:rPr>
          <w:rFonts w:ascii="宋体" w:hAnsi="宋体" w:eastAsia="宋体" w:cs="宋体"/>
          <w:spacing w:val="-1"/>
          <w:sz w:val="21"/>
          <w:szCs w:val="21"/>
        </w:rPr>
        <w:t>造成的第三者财产损失；</w:t>
      </w:r>
    </w:p>
    <w:p w14:paraId="5D8D9B5A">
      <w:pPr>
        <w:spacing w:before="135"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）由于发包人原因在施工场地及其毗邻地带造成的第三</w:t>
      </w:r>
      <w:r>
        <w:rPr>
          <w:rFonts w:ascii="宋体" w:hAnsi="宋体" w:eastAsia="宋体" w:cs="宋体"/>
          <w:spacing w:val="-1"/>
          <w:sz w:val="21"/>
          <w:szCs w:val="21"/>
        </w:rPr>
        <w:t>者人身伤亡和财产损失；</w:t>
      </w:r>
    </w:p>
    <w:p w14:paraId="75C7F0FE">
      <w:pPr>
        <w:spacing w:before="135"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）由于发包人原因对承包人、监理人造成的人</w:t>
      </w:r>
      <w:r>
        <w:rPr>
          <w:rFonts w:ascii="宋体" w:hAnsi="宋体" w:eastAsia="宋体" w:cs="宋体"/>
          <w:spacing w:val="-1"/>
          <w:sz w:val="21"/>
          <w:szCs w:val="21"/>
        </w:rPr>
        <w:t>员人身伤亡和财产损失；</w:t>
      </w:r>
    </w:p>
    <w:p w14:paraId="74F6A9E2">
      <w:pPr>
        <w:spacing w:before="132"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）由于发包人原因造成的发包人自身人员的人身伤害以及财产损失。</w:t>
      </w:r>
    </w:p>
    <w:p w14:paraId="5551145E">
      <w:pPr>
        <w:spacing w:before="135"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6.1.9.2  </w:t>
      </w:r>
      <w:r>
        <w:rPr>
          <w:rFonts w:ascii="宋体" w:hAnsi="宋体" w:eastAsia="宋体" w:cs="宋体"/>
          <w:spacing w:val="-1"/>
          <w:sz w:val="21"/>
          <w:szCs w:val="21"/>
        </w:rPr>
        <w:t>承包人的安全责任</w:t>
      </w:r>
    </w:p>
    <w:p w14:paraId="64200439">
      <w:pPr>
        <w:spacing w:before="135" w:line="340" w:lineRule="auto"/>
        <w:ind w:right="194" w:firstLine="445"/>
        <w:rPr>
          <w:rFonts w:ascii="宋体" w:hAnsi="宋体" w:eastAsia="宋体" w:cs="宋体"/>
          <w:sz w:val="21"/>
          <w:szCs w:val="21"/>
        </w:rPr>
      </w:pPr>
      <w:r>
        <w:rPr>
          <w:rFonts w:ascii="宋体" w:hAnsi="宋体" w:eastAsia="宋体" w:cs="宋体"/>
          <w:spacing w:val="-1"/>
          <w:sz w:val="21"/>
          <w:szCs w:val="21"/>
        </w:rPr>
        <w:t>由于承包人原因在施工场地内及其毗邻地带造成的发包人、监理人以及第三者人员伤亡和财</w:t>
      </w:r>
      <w:r>
        <w:rPr>
          <w:rFonts w:ascii="宋体" w:hAnsi="宋体" w:eastAsia="宋体" w:cs="宋体"/>
          <w:spacing w:val="-2"/>
          <w:sz w:val="21"/>
          <w:szCs w:val="21"/>
        </w:rPr>
        <w:t>产损失，由承包人负责赔偿。</w:t>
      </w:r>
    </w:p>
    <w:p w14:paraId="58E7414B">
      <w:pPr>
        <w:spacing w:before="1" w:line="234" w:lineRule="auto"/>
        <w:ind w:left="1"/>
        <w:outlineLvl w:val="2"/>
        <w:rPr>
          <w:rFonts w:ascii="黑体" w:hAnsi="黑体" w:eastAsia="黑体" w:cs="黑体"/>
          <w:sz w:val="24"/>
          <w:szCs w:val="24"/>
        </w:rPr>
      </w:pPr>
      <w:bookmarkStart w:id="254" w:name="bookmark191"/>
      <w:bookmarkEnd w:id="254"/>
      <w:r>
        <w:rPr>
          <w:rFonts w:ascii="Times New Roman" w:hAnsi="Times New Roman" w:eastAsia="Times New Roman" w:cs="Times New Roman"/>
          <w:b/>
          <w:bCs/>
          <w:spacing w:val="-2"/>
          <w:sz w:val="24"/>
          <w:szCs w:val="24"/>
        </w:rPr>
        <w:t xml:space="preserve">6.2  </w:t>
      </w:r>
      <w:r>
        <w:rPr>
          <w:rFonts w:ascii="黑体" w:hAnsi="黑体" w:eastAsia="黑体" w:cs="黑体"/>
          <w:b/>
          <w:bCs/>
          <w:spacing w:val="-2"/>
          <w:sz w:val="24"/>
          <w:szCs w:val="24"/>
        </w:rPr>
        <w:t>职业健康</w:t>
      </w:r>
    </w:p>
    <w:p w14:paraId="02271683">
      <w:pPr>
        <w:spacing w:before="121" w:line="234" w:lineRule="auto"/>
        <w:ind w:left="421"/>
        <w:rPr>
          <w:rFonts w:ascii="宋体" w:hAnsi="宋体" w:eastAsia="宋体" w:cs="宋体"/>
          <w:sz w:val="21"/>
          <w:szCs w:val="21"/>
        </w:rPr>
      </w:pPr>
      <w:r>
        <w:rPr>
          <w:rFonts w:ascii="Times New Roman" w:hAnsi="Times New Roman" w:eastAsia="Times New Roman" w:cs="Times New Roman"/>
          <w:spacing w:val="-2"/>
          <w:sz w:val="21"/>
          <w:szCs w:val="21"/>
        </w:rPr>
        <w:t>6.2.1</w:t>
      </w:r>
      <w:r>
        <w:rPr>
          <w:rFonts w:ascii="Times New Roman" w:hAnsi="Times New Roman" w:eastAsia="Times New Roman" w:cs="Times New Roman"/>
          <w:spacing w:val="5"/>
          <w:sz w:val="21"/>
          <w:szCs w:val="21"/>
        </w:rPr>
        <w:t xml:space="preserve">  </w:t>
      </w:r>
      <w:r>
        <w:rPr>
          <w:rFonts w:ascii="宋体" w:hAnsi="宋体" w:eastAsia="宋体" w:cs="宋体"/>
          <w:spacing w:val="-2"/>
          <w:sz w:val="21"/>
          <w:szCs w:val="21"/>
        </w:rPr>
        <w:t>劳动保护</w:t>
      </w:r>
    </w:p>
    <w:p w14:paraId="6CDFF9FA">
      <w:pPr>
        <w:spacing w:before="131" w:line="352" w:lineRule="auto"/>
        <w:ind w:right="194" w:firstLine="420"/>
        <w:rPr>
          <w:rFonts w:ascii="宋体" w:hAnsi="宋体" w:eastAsia="宋体" w:cs="宋体"/>
          <w:sz w:val="21"/>
          <w:szCs w:val="21"/>
        </w:rPr>
      </w:pPr>
      <w:r>
        <w:rPr>
          <w:rFonts w:ascii="宋体" w:hAnsi="宋体" w:eastAsia="宋体" w:cs="宋体"/>
          <w:sz w:val="21"/>
          <w:szCs w:val="21"/>
        </w:rPr>
        <w:t>承包人应按照法律规定安排现场施工人员的劳动和休息时间，保障劳动者的休息时</w:t>
      </w:r>
      <w:r>
        <w:rPr>
          <w:rFonts w:ascii="宋体" w:hAnsi="宋体" w:eastAsia="宋体" w:cs="宋体"/>
          <w:spacing w:val="-1"/>
          <w:sz w:val="21"/>
          <w:szCs w:val="21"/>
        </w:rPr>
        <w:t>间，并支</w:t>
      </w:r>
      <w:r>
        <w:rPr>
          <w:rFonts w:ascii="宋体" w:hAnsi="宋体" w:eastAsia="宋体" w:cs="宋体"/>
          <w:sz w:val="21"/>
          <w:szCs w:val="21"/>
        </w:rPr>
        <w:t>付合理的报酬和费用。承包人应依法为其履行合同所雇用的人员办理必要的证件、许可、</w:t>
      </w:r>
      <w:r>
        <w:rPr>
          <w:rFonts w:ascii="宋体" w:hAnsi="宋体" w:eastAsia="宋体" w:cs="宋体"/>
          <w:spacing w:val="-1"/>
          <w:sz w:val="21"/>
          <w:szCs w:val="21"/>
        </w:rPr>
        <w:t>保险和注册等，承包人应督促其分包人为分包人所雇用的人员办理必要的证件、许可、保险和注册等。</w:t>
      </w:r>
    </w:p>
    <w:p w14:paraId="1097A6C7">
      <w:pPr>
        <w:spacing w:before="4" w:line="351" w:lineRule="auto"/>
        <w:ind w:right="194" w:firstLine="420"/>
        <w:rPr>
          <w:rFonts w:ascii="宋体" w:hAnsi="宋体" w:eastAsia="宋体" w:cs="宋体"/>
          <w:sz w:val="21"/>
          <w:szCs w:val="21"/>
        </w:rPr>
      </w:pPr>
      <w:r>
        <w:rPr>
          <w:rFonts w:ascii="宋体" w:hAnsi="宋体" w:eastAsia="宋体" w:cs="宋体"/>
          <w:spacing w:val="4"/>
          <w:sz w:val="21"/>
          <w:szCs w:val="21"/>
        </w:rPr>
        <w:t>承包人应按照法律规定保障现场施工人员的劳动安全，并提供劳动保护</w:t>
      </w:r>
      <w:r>
        <w:rPr>
          <w:rFonts w:ascii="Times New Roman" w:hAnsi="Times New Roman" w:eastAsia="Times New Roman" w:cs="Times New Roman"/>
          <w:spacing w:val="4"/>
          <w:sz w:val="21"/>
          <w:szCs w:val="21"/>
        </w:rPr>
        <w:t>,</w:t>
      </w:r>
      <w:r>
        <w:rPr>
          <w:rFonts w:ascii="宋体" w:hAnsi="宋体" w:eastAsia="宋体" w:cs="宋体"/>
          <w:spacing w:val="3"/>
          <w:sz w:val="21"/>
          <w:szCs w:val="21"/>
        </w:rPr>
        <w:t>并应按国家有关劳</w:t>
      </w:r>
      <w:r>
        <w:rPr>
          <w:rFonts w:ascii="宋体" w:hAnsi="宋体" w:eastAsia="宋体" w:cs="宋体"/>
          <w:sz w:val="21"/>
          <w:szCs w:val="21"/>
        </w:rPr>
        <w:t>动保护的规定，采取有效的防止粉尘、降低噪声、控制有害气体和保障高温、高寒、高空</w:t>
      </w:r>
      <w:r>
        <w:rPr>
          <w:rFonts w:ascii="宋体" w:hAnsi="宋体" w:eastAsia="宋体" w:cs="宋体"/>
          <w:spacing w:val="-1"/>
          <w:sz w:val="21"/>
          <w:szCs w:val="21"/>
        </w:rPr>
        <w:t>作业安</w:t>
      </w:r>
      <w:r>
        <w:rPr>
          <w:rFonts w:ascii="宋体" w:hAnsi="宋体" w:eastAsia="宋体" w:cs="宋体"/>
          <w:sz w:val="21"/>
          <w:szCs w:val="21"/>
        </w:rPr>
        <w:t>全等劳动保护措施。承包人雇佣人员在施工中受到伤害的，承包人应立即采取有效措施进</w:t>
      </w:r>
      <w:r>
        <w:rPr>
          <w:rFonts w:ascii="宋体" w:hAnsi="宋体" w:eastAsia="宋体" w:cs="宋体"/>
          <w:spacing w:val="-1"/>
          <w:sz w:val="21"/>
          <w:szCs w:val="21"/>
        </w:rPr>
        <w:t>行抢救</w:t>
      </w:r>
      <w:r>
        <w:rPr>
          <w:rFonts w:ascii="宋体" w:hAnsi="宋体" w:eastAsia="宋体" w:cs="宋体"/>
          <w:spacing w:val="-2"/>
          <w:sz w:val="21"/>
          <w:szCs w:val="21"/>
        </w:rPr>
        <w:t>和治疗。</w:t>
      </w:r>
    </w:p>
    <w:p w14:paraId="5B7CA72F">
      <w:pPr>
        <w:spacing w:before="2" w:line="351" w:lineRule="auto"/>
        <w:ind w:right="194" w:firstLine="420"/>
        <w:jc w:val="both"/>
        <w:rPr>
          <w:rFonts w:ascii="宋体" w:hAnsi="宋体" w:eastAsia="宋体" w:cs="宋体"/>
          <w:sz w:val="21"/>
          <w:szCs w:val="21"/>
        </w:rPr>
      </w:pPr>
      <w:r>
        <w:rPr>
          <w:rFonts w:ascii="宋体" w:hAnsi="宋体" w:eastAsia="宋体" w:cs="宋体"/>
          <w:sz w:val="21"/>
          <w:szCs w:val="21"/>
        </w:rPr>
        <w:t>承包人应按法律规定安排工作时间，保证其雇佣人员享有休息和休假的权利。因工</w:t>
      </w:r>
      <w:r>
        <w:rPr>
          <w:rFonts w:ascii="宋体" w:hAnsi="宋体" w:eastAsia="宋体" w:cs="宋体"/>
          <w:spacing w:val="-1"/>
          <w:sz w:val="21"/>
          <w:szCs w:val="21"/>
        </w:rPr>
        <w:t>程施工的</w:t>
      </w:r>
      <w:r>
        <w:rPr>
          <w:rFonts w:ascii="宋体" w:hAnsi="宋体" w:eastAsia="宋体" w:cs="宋体"/>
          <w:sz w:val="21"/>
          <w:szCs w:val="21"/>
        </w:rPr>
        <w:t>特殊需要占用休假日或延长工作时间的，应不超过法律规定的限度，并按法律规定给予补</w:t>
      </w:r>
      <w:r>
        <w:rPr>
          <w:rFonts w:ascii="宋体" w:hAnsi="宋体" w:eastAsia="宋体" w:cs="宋体"/>
          <w:spacing w:val="-1"/>
          <w:sz w:val="21"/>
          <w:szCs w:val="21"/>
        </w:rPr>
        <w:t>休或付</w:t>
      </w:r>
      <w:r>
        <w:rPr>
          <w:rFonts w:ascii="宋体" w:hAnsi="宋体" w:eastAsia="宋体" w:cs="宋体"/>
          <w:spacing w:val="-10"/>
          <w:sz w:val="21"/>
          <w:szCs w:val="21"/>
        </w:rPr>
        <w:t>酬。</w:t>
      </w:r>
    </w:p>
    <w:p w14:paraId="12037B8D">
      <w:pPr>
        <w:spacing w:before="1" w:line="234" w:lineRule="auto"/>
        <w:ind w:left="421"/>
        <w:rPr>
          <w:rFonts w:ascii="宋体" w:hAnsi="宋体" w:eastAsia="宋体" w:cs="宋体"/>
          <w:sz w:val="21"/>
          <w:szCs w:val="21"/>
        </w:rPr>
      </w:pPr>
      <w:r>
        <w:rPr>
          <w:rFonts w:ascii="Times New Roman" w:hAnsi="Times New Roman" w:eastAsia="Times New Roman" w:cs="Times New Roman"/>
          <w:spacing w:val="-1"/>
          <w:sz w:val="21"/>
          <w:szCs w:val="21"/>
        </w:rPr>
        <w:t xml:space="preserve">6.2.2  </w:t>
      </w:r>
      <w:r>
        <w:rPr>
          <w:rFonts w:ascii="宋体" w:hAnsi="宋体" w:eastAsia="宋体" w:cs="宋体"/>
          <w:spacing w:val="-1"/>
          <w:sz w:val="21"/>
          <w:szCs w:val="21"/>
        </w:rPr>
        <w:t>生活条件</w:t>
      </w:r>
    </w:p>
    <w:p w14:paraId="01F65ECF">
      <w:pPr>
        <w:spacing w:line="234" w:lineRule="auto"/>
        <w:rPr>
          <w:rFonts w:ascii="宋体" w:hAnsi="宋体" w:eastAsia="宋体" w:cs="宋体"/>
          <w:sz w:val="21"/>
          <w:szCs w:val="21"/>
        </w:rPr>
        <w:sectPr>
          <w:footerReference r:id="rId103" w:type="default"/>
          <w:pgSz w:w="11905" w:h="16843"/>
          <w:pgMar w:top="969" w:right="1355" w:bottom="1026" w:left="1480" w:header="0" w:footer="754" w:gutter="0"/>
          <w:cols w:space="0" w:num="1"/>
          <w:rtlGutter w:val="0"/>
          <w:docGrid w:linePitch="0" w:charSpace="0"/>
        </w:sectPr>
      </w:pPr>
    </w:p>
    <w:p w14:paraId="00CB63DD">
      <w:pPr>
        <w:pStyle w:val="5"/>
        <w:spacing w:line="270" w:lineRule="auto"/>
      </w:pPr>
    </w:p>
    <w:p w14:paraId="61B2DB48">
      <w:pPr>
        <w:pStyle w:val="5"/>
        <w:spacing w:line="271" w:lineRule="auto"/>
      </w:pPr>
    </w:p>
    <w:p w14:paraId="3E015B5F">
      <w:pPr>
        <w:pStyle w:val="5"/>
        <w:spacing w:line="271" w:lineRule="auto"/>
      </w:pPr>
    </w:p>
    <w:p w14:paraId="739B3816">
      <w:pPr>
        <w:pStyle w:val="5"/>
        <w:spacing w:line="271" w:lineRule="auto"/>
      </w:pPr>
    </w:p>
    <w:p w14:paraId="0F8C3052">
      <w:pPr>
        <w:spacing w:before="68" w:line="346" w:lineRule="auto"/>
        <w:ind w:firstLine="420"/>
        <w:jc w:val="both"/>
        <w:rPr>
          <w:rFonts w:ascii="宋体" w:hAnsi="宋体" w:eastAsia="宋体" w:cs="宋体"/>
          <w:sz w:val="21"/>
          <w:szCs w:val="21"/>
        </w:rPr>
      </w:pPr>
      <w:r>
        <w:rPr>
          <w:rFonts w:ascii="宋体" w:hAnsi="宋体" w:eastAsia="宋体" w:cs="宋体"/>
          <w:sz w:val="21"/>
          <w:szCs w:val="21"/>
        </w:rPr>
        <w:t>承包人应为其履行合同所雇用的人员提供必要的膳宿条件和生活环境；承包人应采</w:t>
      </w:r>
      <w:r>
        <w:rPr>
          <w:rFonts w:ascii="宋体" w:hAnsi="宋体" w:eastAsia="宋体" w:cs="宋体"/>
          <w:spacing w:val="-1"/>
          <w:sz w:val="21"/>
          <w:szCs w:val="21"/>
        </w:rPr>
        <w:t>取有效措</w:t>
      </w:r>
      <w:r>
        <w:rPr>
          <w:rFonts w:ascii="宋体" w:hAnsi="宋体" w:eastAsia="宋体" w:cs="宋体"/>
          <w:sz w:val="21"/>
          <w:szCs w:val="21"/>
        </w:rPr>
        <w:t>施预防传染病，保证施工人员的健康，并定期对施工现场、施工人员生活基地和工程进行</w:t>
      </w:r>
      <w:r>
        <w:rPr>
          <w:rFonts w:ascii="宋体" w:hAnsi="宋体" w:eastAsia="宋体" w:cs="宋体"/>
          <w:spacing w:val="-1"/>
          <w:sz w:val="21"/>
          <w:szCs w:val="21"/>
        </w:rPr>
        <w:t>防疫和</w:t>
      </w:r>
      <w:r>
        <w:rPr>
          <w:rFonts w:ascii="宋体" w:hAnsi="宋体" w:eastAsia="宋体" w:cs="宋体"/>
          <w:spacing w:val="1"/>
          <w:sz w:val="21"/>
          <w:szCs w:val="21"/>
        </w:rPr>
        <w:t>卫生的专业检查和处理</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在远离城镇的施工场地，还应配备必要的伤病防治和急救的医务人员与</w:t>
      </w:r>
      <w:r>
        <w:rPr>
          <w:rFonts w:ascii="宋体" w:hAnsi="宋体" w:eastAsia="宋体" w:cs="宋体"/>
          <w:spacing w:val="-4"/>
          <w:sz w:val="21"/>
          <w:szCs w:val="21"/>
        </w:rPr>
        <w:t>医疗设施。</w:t>
      </w:r>
    </w:p>
    <w:p w14:paraId="0EDA5206">
      <w:pPr>
        <w:spacing w:line="232" w:lineRule="auto"/>
        <w:ind w:left="1"/>
        <w:outlineLvl w:val="2"/>
        <w:rPr>
          <w:rFonts w:ascii="黑体" w:hAnsi="黑体" w:eastAsia="黑体" w:cs="黑体"/>
          <w:sz w:val="24"/>
          <w:szCs w:val="24"/>
        </w:rPr>
      </w:pPr>
      <w:bookmarkStart w:id="255" w:name="bookmark556"/>
      <w:bookmarkEnd w:id="255"/>
      <w:bookmarkStart w:id="256" w:name="bookmark192"/>
      <w:bookmarkEnd w:id="256"/>
      <w:r>
        <w:rPr>
          <w:rFonts w:ascii="Times New Roman" w:hAnsi="Times New Roman" w:eastAsia="Times New Roman" w:cs="Times New Roman"/>
          <w:b/>
          <w:bCs/>
          <w:spacing w:val="-2"/>
          <w:sz w:val="24"/>
          <w:szCs w:val="24"/>
        </w:rPr>
        <w:t xml:space="preserve">6.3  </w:t>
      </w:r>
      <w:r>
        <w:rPr>
          <w:rFonts w:ascii="黑体" w:hAnsi="黑体" w:eastAsia="黑体" w:cs="黑体"/>
          <w:b/>
          <w:bCs/>
          <w:spacing w:val="-2"/>
          <w:sz w:val="24"/>
          <w:szCs w:val="24"/>
        </w:rPr>
        <w:t>环境保护</w:t>
      </w:r>
    </w:p>
    <w:p w14:paraId="02C6A919">
      <w:pPr>
        <w:spacing w:before="122" w:line="352" w:lineRule="auto"/>
        <w:ind w:firstLine="420"/>
        <w:jc w:val="both"/>
        <w:rPr>
          <w:rFonts w:ascii="宋体" w:hAnsi="宋体" w:eastAsia="宋体" w:cs="宋体"/>
          <w:sz w:val="21"/>
          <w:szCs w:val="21"/>
        </w:rPr>
      </w:pPr>
      <w:r>
        <w:rPr>
          <w:rFonts w:ascii="宋体" w:hAnsi="宋体" w:eastAsia="宋体" w:cs="宋体"/>
          <w:sz w:val="21"/>
          <w:szCs w:val="21"/>
        </w:rPr>
        <w:t>承包人应在施工组织设计中列明环境保护的具体措施。在合同履行期间，承包人应</w:t>
      </w:r>
      <w:r>
        <w:rPr>
          <w:rFonts w:ascii="宋体" w:hAnsi="宋体" w:eastAsia="宋体" w:cs="宋体"/>
          <w:spacing w:val="-1"/>
          <w:sz w:val="21"/>
          <w:szCs w:val="21"/>
        </w:rPr>
        <w:t>采取合理</w:t>
      </w:r>
      <w:r>
        <w:rPr>
          <w:rFonts w:ascii="宋体" w:hAnsi="宋体" w:eastAsia="宋体" w:cs="宋体"/>
          <w:sz w:val="21"/>
          <w:szCs w:val="21"/>
        </w:rPr>
        <w:t>措施保护施工现场环境。对施工作业过程中可能引起的大气、水、噪音以及固体废物污染</w:t>
      </w:r>
      <w:r>
        <w:rPr>
          <w:rFonts w:ascii="宋体" w:hAnsi="宋体" w:eastAsia="宋体" w:cs="宋体"/>
          <w:spacing w:val="-1"/>
          <w:sz w:val="21"/>
          <w:szCs w:val="21"/>
        </w:rPr>
        <w:t>采取具</w:t>
      </w:r>
      <w:r>
        <w:rPr>
          <w:rFonts w:ascii="宋体" w:hAnsi="宋体" w:eastAsia="宋体" w:cs="宋体"/>
          <w:spacing w:val="-3"/>
          <w:sz w:val="21"/>
          <w:szCs w:val="21"/>
        </w:rPr>
        <w:t>体可行的防范措施。</w:t>
      </w:r>
    </w:p>
    <w:p w14:paraId="06824C54">
      <w:pPr>
        <w:spacing w:line="352" w:lineRule="auto"/>
        <w:ind w:firstLine="420"/>
        <w:rPr>
          <w:rFonts w:ascii="宋体" w:hAnsi="宋体" w:eastAsia="宋体" w:cs="宋体"/>
          <w:sz w:val="21"/>
          <w:szCs w:val="21"/>
        </w:rPr>
      </w:pPr>
      <w:r>
        <w:rPr>
          <w:rFonts w:ascii="宋体" w:hAnsi="宋体" w:eastAsia="宋体" w:cs="宋体"/>
          <w:sz w:val="21"/>
          <w:szCs w:val="21"/>
        </w:rPr>
        <w:t>承包人应当承担因其原因引起的环境污染侵权损害赔偿责任，因上述环境污染引起</w:t>
      </w:r>
      <w:r>
        <w:rPr>
          <w:rFonts w:ascii="宋体" w:hAnsi="宋体" w:eastAsia="宋体" w:cs="宋体"/>
          <w:spacing w:val="-1"/>
          <w:sz w:val="21"/>
          <w:szCs w:val="21"/>
        </w:rPr>
        <w:t>纠纷而导</w:t>
      </w:r>
      <w:r>
        <w:rPr>
          <w:rFonts w:ascii="宋体" w:hAnsi="宋体" w:eastAsia="宋体" w:cs="宋体"/>
          <w:sz w:val="21"/>
          <w:szCs w:val="21"/>
        </w:rPr>
        <w:t>致暂停施工的，由此增加的费用和（或）延误的工期由承包人</w:t>
      </w:r>
      <w:r>
        <w:rPr>
          <w:rFonts w:ascii="宋体" w:hAnsi="宋体" w:eastAsia="宋体" w:cs="宋体"/>
          <w:spacing w:val="-1"/>
          <w:sz w:val="21"/>
          <w:szCs w:val="21"/>
        </w:rPr>
        <w:t>承担。</w:t>
      </w:r>
    </w:p>
    <w:p w14:paraId="14E68EB2">
      <w:pPr>
        <w:spacing w:before="37" w:line="233" w:lineRule="auto"/>
        <w:ind w:left="2"/>
        <w:outlineLvl w:val="1"/>
        <w:rPr>
          <w:rFonts w:ascii="黑体" w:hAnsi="黑体" w:eastAsia="黑体" w:cs="黑体"/>
          <w:sz w:val="28"/>
          <w:szCs w:val="28"/>
        </w:rPr>
      </w:pPr>
      <w:bookmarkStart w:id="257" w:name="bookmark193"/>
      <w:bookmarkEnd w:id="257"/>
      <w:r>
        <w:rPr>
          <w:rFonts w:ascii="Times New Roman" w:hAnsi="Times New Roman" w:eastAsia="Times New Roman" w:cs="Times New Roman"/>
          <w:b/>
          <w:bCs/>
          <w:spacing w:val="-2"/>
          <w:sz w:val="28"/>
          <w:szCs w:val="28"/>
        </w:rPr>
        <w:t xml:space="preserve">7.  </w:t>
      </w:r>
      <w:r>
        <w:rPr>
          <w:rFonts w:ascii="黑体" w:hAnsi="黑体" w:eastAsia="黑体" w:cs="黑体"/>
          <w:b/>
          <w:bCs/>
          <w:spacing w:val="-2"/>
          <w:sz w:val="28"/>
          <w:szCs w:val="28"/>
        </w:rPr>
        <w:t>工期和进度</w:t>
      </w:r>
    </w:p>
    <w:p w14:paraId="3C3CFF8C">
      <w:pPr>
        <w:spacing w:before="82" w:line="233" w:lineRule="auto"/>
        <w:outlineLvl w:val="2"/>
        <w:rPr>
          <w:rFonts w:ascii="黑体" w:hAnsi="黑体" w:eastAsia="黑体" w:cs="黑体"/>
          <w:sz w:val="24"/>
          <w:szCs w:val="24"/>
        </w:rPr>
      </w:pPr>
      <w:bookmarkStart w:id="258" w:name="bookmark194"/>
      <w:bookmarkEnd w:id="258"/>
      <w:r>
        <w:rPr>
          <w:rFonts w:ascii="Times New Roman" w:hAnsi="Times New Roman" w:eastAsia="Times New Roman" w:cs="Times New Roman"/>
          <w:b/>
          <w:bCs/>
          <w:spacing w:val="-2"/>
          <w:sz w:val="24"/>
          <w:szCs w:val="24"/>
        </w:rPr>
        <w:t xml:space="preserve">7.1 </w:t>
      </w:r>
      <w:r>
        <w:rPr>
          <w:rFonts w:ascii="黑体" w:hAnsi="黑体" w:eastAsia="黑体" w:cs="黑体"/>
          <w:b/>
          <w:bCs/>
          <w:spacing w:val="-2"/>
          <w:sz w:val="24"/>
          <w:szCs w:val="24"/>
        </w:rPr>
        <w:t>施工组织设计</w:t>
      </w:r>
    </w:p>
    <w:p w14:paraId="238DC775">
      <w:pPr>
        <w:spacing w:before="123"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7.1.1  </w:t>
      </w:r>
      <w:r>
        <w:rPr>
          <w:rFonts w:ascii="宋体" w:hAnsi="宋体" w:eastAsia="宋体" w:cs="宋体"/>
          <w:spacing w:val="-1"/>
          <w:sz w:val="21"/>
          <w:szCs w:val="21"/>
        </w:rPr>
        <w:t>施工组织设计的内容</w:t>
      </w:r>
    </w:p>
    <w:p w14:paraId="66D98DF5">
      <w:pPr>
        <w:spacing w:before="134" w:line="221" w:lineRule="auto"/>
        <w:ind w:left="420"/>
        <w:rPr>
          <w:rFonts w:ascii="宋体" w:hAnsi="宋体" w:eastAsia="宋体" w:cs="宋体"/>
          <w:sz w:val="21"/>
          <w:szCs w:val="21"/>
        </w:rPr>
      </w:pPr>
      <w:r>
        <w:rPr>
          <w:rFonts w:ascii="宋体" w:hAnsi="宋体" w:eastAsia="宋体" w:cs="宋体"/>
          <w:spacing w:val="-3"/>
          <w:sz w:val="21"/>
          <w:szCs w:val="21"/>
        </w:rPr>
        <w:t>施工组织设计应包含以下内容：</w:t>
      </w:r>
    </w:p>
    <w:p w14:paraId="43D37432">
      <w:pPr>
        <w:spacing w:before="148" w:line="235"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）施工方案；</w:t>
      </w:r>
    </w:p>
    <w:p w14:paraId="0015C2A4">
      <w:pPr>
        <w:spacing w:before="132"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）施工现场平面布置图；</w:t>
      </w:r>
    </w:p>
    <w:p w14:paraId="11D42C87">
      <w:pPr>
        <w:spacing w:before="136" w:line="235"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）施工进度计划和保证措施；</w:t>
      </w:r>
    </w:p>
    <w:p w14:paraId="0E25E2D8">
      <w:pPr>
        <w:spacing w:before="131"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4</w:t>
      </w:r>
      <w:r>
        <w:rPr>
          <w:rFonts w:ascii="宋体" w:hAnsi="宋体" w:eastAsia="宋体" w:cs="宋体"/>
          <w:spacing w:val="-3"/>
          <w:sz w:val="21"/>
          <w:szCs w:val="21"/>
        </w:rPr>
        <w:t>）劳动力及材料供应计划；</w:t>
      </w:r>
    </w:p>
    <w:p w14:paraId="1382234A">
      <w:pPr>
        <w:spacing w:before="134"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）施工机械设备的选用；</w:t>
      </w:r>
    </w:p>
    <w:p w14:paraId="3D38EEB7">
      <w:pPr>
        <w:spacing w:before="135" w:line="235"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）质量保证体系及措施；</w:t>
      </w:r>
    </w:p>
    <w:p w14:paraId="064992AC">
      <w:pPr>
        <w:spacing w:before="132"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7</w:t>
      </w:r>
      <w:r>
        <w:rPr>
          <w:rFonts w:ascii="宋体" w:hAnsi="宋体" w:eastAsia="宋体" w:cs="宋体"/>
          <w:spacing w:val="-3"/>
          <w:sz w:val="21"/>
          <w:szCs w:val="21"/>
        </w:rPr>
        <w:t>）安全生产、文明施工措施；</w:t>
      </w:r>
    </w:p>
    <w:p w14:paraId="724D448F">
      <w:pPr>
        <w:spacing w:before="134"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）环境保护、成本控制措施；</w:t>
      </w:r>
    </w:p>
    <w:p w14:paraId="72D32D05">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9</w:t>
      </w:r>
      <w:r>
        <w:rPr>
          <w:rFonts w:ascii="宋体" w:hAnsi="宋体" w:eastAsia="宋体" w:cs="宋体"/>
          <w:spacing w:val="-1"/>
          <w:sz w:val="21"/>
          <w:szCs w:val="21"/>
        </w:rPr>
        <w:t>）合同当事人约定的其他内容。</w:t>
      </w:r>
    </w:p>
    <w:p w14:paraId="4D8F41D0">
      <w:pPr>
        <w:spacing w:before="132"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7.1.2  </w:t>
      </w:r>
      <w:r>
        <w:rPr>
          <w:rFonts w:ascii="宋体" w:hAnsi="宋体" w:eastAsia="宋体" w:cs="宋体"/>
          <w:spacing w:val="-1"/>
          <w:sz w:val="21"/>
          <w:szCs w:val="21"/>
        </w:rPr>
        <w:t>施工组织设计的提交和修改</w:t>
      </w:r>
    </w:p>
    <w:p w14:paraId="38786754">
      <w:pPr>
        <w:spacing w:before="132" w:line="350" w:lineRule="auto"/>
        <w:ind w:left="1" w:firstLine="431"/>
        <w:rPr>
          <w:rFonts w:ascii="宋体" w:hAnsi="宋体" w:eastAsia="宋体" w:cs="宋体"/>
          <w:sz w:val="21"/>
          <w:szCs w:val="21"/>
        </w:rPr>
      </w:pPr>
      <w:r>
        <w:rPr>
          <w:rFonts w:ascii="宋体" w:hAnsi="宋体" w:eastAsia="宋体" w:cs="宋体"/>
          <w:sz w:val="21"/>
          <w:szCs w:val="21"/>
        </w:rPr>
        <w:t>除专用合同条款另有约定外，承包人应在合同</w:t>
      </w:r>
      <w:r>
        <w:rPr>
          <w:rFonts w:ascii="宋体" w:hAnsi="宋体" w:eastAsia="宋体" w:cs="宋体"/>
          <w:spacing w:val="-1"/>
          <w:sz w:val="21"/>
          <w:szCs w:val="21"/>
        </w:rPr>
        <w:t xml:space="preserve">签订后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 xml:space="preserve">天内，但至迟不得晚于第 </w:t>
      </w:r>
      <w:r>
        <w:rPr>
          <w:rFonts w:ascii="Times New Roman" w:hAnsi="Times New Roman" w:eastAsia="Times New Roman" w:cs="Times New Roman"/>
          <w:spacing w:val="-1"/>
          <w:sz w:val="21"/>
          <w:szCs w:val="21"/>
        </w:rPr>
        <w:t>7.3.2</w:t>
      </w:r>
      <w:r>
        <w:rPr>
          <w:rFonts w:ascii="Times New Roman" w:hAnsi="Times New Roman" w:eastAsia="Times New Roman" w:cs="Times New Roman"/>
          <w:spacing w:val="5"/>
          <w:sz w:val="21"/>
          <w:szCs w:val="21"/>
        </w:rPr>
        <w:t xml:space="preserve">  </w:t>
      </w:r>
      <w:r>
        <w:rPr>
          <w:rFonts w:ascii="宋体" w:hAnsi="宋体" w:eastAsia="宋体" w:cs="宋体"/>
          <w:spacing w:val="-1"/>
          <w:sz w:val="21"/>
          <w:szCs w:val="21"/>
        </w:rPr>
        <w:t>项</w:t>
      </w:r>
      <w:r>
        <w:rPr>
          <w:rFonts w:ascii="宋体" w:hAnsi="宋体" w:eastAsia="宋体" w:cs="宋体"/>
          <w:sz w:val="21"/>
          <w:szCs w:val="21"/>
        </w:rPr>
        <w:t>〔开工通知〕载明的开工日期前</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天，向监理人提交详细的施工组织设计</w:t>
      </w:r>
      <w:r>
        <w:rPr>
          <w:rFonts w:ascii="宋体" w:hAnsi="宋体" w:eastAsia="宋体" w:cs="宋体"/>
          <w:spacing w:val="-1"/>
          <w:sz w:val="21"/>
          <w:szCs w:val="21"/>
        </w:rPr>
        <w:t>，并由监理人报送发包</w:t>
      </w:r>
      <w:r>
        <w:rPr>
          <w:rFonts w:ascii="宋体" w:hAnsi="宋体" w:eastAsia="宋体" w:cs="宋体"/>
          <w:sz w:val="21"/>
          <w:szCs w:val="21"/>
        </w:rPr>
        <w:t>人。除专用合同条款另有约定外，发包人和监理人应在监理人收到施工组织</w:t>
      </w:r>
      <w:r>
        <w:rPr>
          <w:rFonts w:ascii="宋体" w:hAnsi="宋体" w:eastAsia="宋体" w:cs="宋体"/>
          <w:spacing w:val="-1"/>
          <w:sz w:val="21"/>
          <w:szCs w:val="21"/>
        </w:rPr>
        <w:t>设计后</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天内确认或</w:t>
      </w:r>
      <w:r>
        <w:rPr>
          <w:rFonts w:ascii="宋体" w:hAnsi="宋体" w:eastAsia="宋体" w:cs="宋体"/>
          <w:sz w:val="21"/>
          <w:szCs w:val="21"/>
        </w:rPr>
        <w:t>提出修改意见。对发包人和监理人提出的合理意见和要求，承包人应自费修改完善。</w:t>
      </w:r>
      <w:r>
        <w:rPr>
          <w:rFonts w:ascii="宋体" w:hAnsi="宋体" w:eastAsia="宋体" w:cs="宋体"/>
          <w:spacing w:val="-1"/>
          <w:sz w:val="21"/>
          <w:szCs w:val="21"/>
        </w:rPr>
        <w:t>根据工程实</w:t>
      </w:r>
      <w:r>
        <w:rPr>
          <w:rFonts w:ascii="宋体" w:hAnsi="宋体" w:eastAsia="宋体" w:cs="宋体"/>
          <w:sz w:val="21"/>
          <w:szCs w:val="21"/>
        </w:rPr>
        <w:t>际情况需要修改施工组织设计的，承包人应向发包</w:t>
      </w:r>
      <w:r>
        <w:rPr>
          <w:rFonts w:ascii="宋体" w:hAnsi="宋体" w:eastAsia="宋体" w:cs="宋体"/>
          <w:spacing w:val="-1"/>
          <w:sz w:val="21"/>
          <w:szCs w:val="21"/>
        </w:rPr>
        <w:t>人和监理人提交修改后的施工组织设计。</w:t>
      </w:r>
    </w:p>
    <w:p w14:paraId="7D086C5C">
      <w:pPr>
        <w:spacing w:before="12" w:line="234" w:lineRule="auto"/>
        <w:ind w:left="420"/>
        <w:rPr>
          <w:rFonts w:ascii="宋体" w:hAnsi="宋体" w:eastAsia="宋体" w:cs="宋体"/>
          <w:sz w:val="21"/>
          <w:szCs w:val="21"/>
        </w:rPr>
      </w:pPr>
      <w:r>
        <w:rPr>
          <w:rFonts w:ascii="宋体" w:hAnsi="宋体" w:eastAsia="宋体" w:cs="宋体"/>
          <w:spacing w:val="-1"/>
          <w:sz w:val="21"/>
          <w:szCs w:val="21"/>
        </w:rPr>
        <w:t>施工进度计划的编制和修改按照第</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 xml:space="preserve">7.2 </w:t>
      </w:r>
      <w:r>
        <w:rPr>
          <w:rFonts w:ascii="宋体" w:hAnsi="宋体" w:eastAsia="宋体" w:cs="宋体"/>
          <w:spacing w:val="-1"/>
          <w:sz w:val="21"/>
          <w:szCs w:val="21"/>
        </w:rPr>
        <w:t>款〔施工进度计划〕执行。</w:t>
      </w:r>
    </w:p>
    <w:p w14:paraId="706A92C7">
      <w:pPr>
        <w:spacing w:before="109" w:line="233" w:lineRule="auto"/>
        <w:outlineLvl w:val="2"/>
        <w:rPr>
          <w:rFonts w:ascii="黑体" w:hAnsi="黑体" w:eastAsia="黑体" w:cs="黑体"/>
          <w:sz w:val="24"/>
          <w:szCs w:val="24"/>
        </w:rPr>
      </w:pPr>
      <w:bookmarkStart w:id="259" w:name="bookmark195"/>
      <w:bookmarkEnd w:id="259"/>
      <w:r>
        <w:rPr>
          <w:rFonts w:ascii="Times New Roman" w:hAnsi="Times New Roman" w:eastAsia="Times New Roman" w:cs="Times New Roman"/>
          <w:b/>
          <w:bCs/>
          <w:spacing w:val="-2"/>
          <w:sz w:val="24"/>
          <w:szCs w:val="24"/>
        </w:rPr>
        <w:t xml:space="preserve">7.2  </w:t>
      </w:r>
      <w:r>
        <w:rPr>
          <w:rFonts w:ascii="黑体" w:hAnsi="黑体" w:eastAsia="黑体" w:cs="黑体"/>
          <w:b/>
          <w:bCs/>
          <w:spacing w:val="-2"/>
          <w:sz w:val="24"/>
          <w:szCs w:val="24"/>
        </w:rPr>
        <w:t>施工进度计划</w:t>
      </w:r>
    </w:p>
    <w:p w14:paraId="753A6744">
      <w:pPr>
        <w:spacing w:before="124"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7.2.1  </w:t>
      </w:r>
      <w:r>
        <w:rPr>
          <w:rFonts w:ascii="宋体" w:hAnsi="宋体" w:eastAsia="宋体" w:cs="宋体"/>
          <w:spacing w:val="-1"/>
          <w:sz w:val="21"/>
          <w:szCs w:val="21"/>
        </w:rPr>
        <w:t>施工进度计划的编制</w:t>
      </w:r>
    </w:p>
    <w:p w14:paraId="4BE60BE3">
      <w:pPr>
        <w:spacing w:before="131" w:line="344" w:lineRule="auto"/>
        <w:ind w:left="1" w:firstLine="419"/>
        <w:rPr>
          <w:rFonts w:ascii="宋体" w:hAnsi="宋体" w:eastAsia="宋体" w:cs="宋体"/>
          <w:sz w:val="21"/>
          <w:szCs w:val="21"/>
        </w:rPr>
      </w:pPr>
      <w:r>
        <w:rPr>
          <w:rFonts w:ascii="宋体" w:hAnsi="宋体" w:eastAsia="宋体" w:cs="宋体"/>
          <w:sz w:val="21"/>
          <w:szCs w:val="21"/>
        </w:rPr>
        <w:t>承包人应按照第</w:t>
      </w:r>
      <w:r>
        <w:rPr>
          <w:rFonts w:ascii="宋体" w:hAnsi="宋体" w:eastAsia="宋体" w:cs="宋体"/>
          <w:spacing w:val="-21"/>
          <w:sz w:val="21"/>
          <w:szCs w:val="21"/>
        </w:rPr>
        <w:t xml:space="preserve"> </w:t>
      </w:r>
      <w:r>
        <w:rPr>
          <w:rFonts w:ascii="Times New Roman" w:hAnsi="Times New Roman" w:eastAsia="Times New Roman" w:cs="Times New Roman"/>
          <w:sz w:val="21"/>
          <w:szCs w:val="21"/>
        </w:rPr>
        <w:t>7.1</w:t>
      </w:r>
      <w:r>
        <w:rPr>
          <w:rFonts w:ascii="Times New Roman" w:hAnsi="Times New Roman" w:eastAsia="Times New Roman" w:cs="Times New Roman"/>
          <w:spacing w:val="34"/>
          <w:w w:val="101"/>
          <w:sz w:val="21"/>
          <w:szCs w:val="21"/>
        </w:rPr>
        <w:t xml:space="preserve"> </w:t>
      </w:r>
      <w:r>
        <w:rPr>
          <w:rFonts w:ascii="宋体" w:hAnsi="宋体" w:eastAsia="宋体" w:cs="宋体"/>
          <w:sz w:val="21"/>
          <w:szCs w:val="21"/>
        </w:rPr>
        <w:t>款〔施工组织设计〕约定提交详</w:t>
      </w:r>
      <w:r>
        <w:rPr>
          <w:rFonts w:ascii="宋体" w:hAnsi="宋体" w:eastAsia="宋体" w:cs="宋体"/>
          <w:spacing w:val="-1"/>
          <w:sz w:val="21"/>
          <w:szCs w:val="21"/>
        </w:rPr>
        <w:t>细的施工进度计划，施工进度计划的编</w:t>
      </w:r>
      <w:r>
        <w:rPr>
          <w:rFonts w:ascii="宋体" w:hAnsi="宋体" w:eastAsia="宋体" w:cs="宋体"/>
          <w:sz w:val="21"/>
          <w:szCs w:val="21"/>
        </w:rPr>
        <w:t>制应当符合国家法律规定和一般工程实践惯例，施工进度计划经发包人批准后实施。施</w:t>
      </w:r>
      <w:r>
        <w:rPr>
          <w:rFonts w:ascii="宋体" w:hAnsi="宋体" w:eastAsia="宋体" w:cs="宋体"/>
          <w:spacing w:val="-1"/>
          <w:sz w:val="21"/>
          <w:szCs w:val="21"/>
        </w:rPr>
        <w:t>工进度计</w:t>
      </w:r>
    </w:p>
    <w:p w14:paraId="4BD46F9F">
      <w:pPr>
        <w:spacing w:line="344" w:lineRule="auto"/>
        <w:rPr>
          <w:rFonts w:ascii="宋体" w:hAnsi="宋体" w:eastAsia="宋体" w:cs="宋体"/>
          <w:sz w:val="21"/>
          <w:szCs w:val="21"/>
        </w:rPr>
        <w:sectPr>
          <w:footerReference r:id="rId104" w:type="default"/>
          <w:pgSz w:w="11905" w:h="16843"/>
          <w:pgMar w:top="969" w:right="1355" w:bottom="1026" w:left="1480" w:header="0" w:footer="754" w:gutter="0"/>
          <w:cols w:space="0" w:num="1"/>
          <w:rtlGutter w:val="0"/>
          <w:docGrid w:linePitch="0" w:charSpace="0"/>
        </w:sectPr>
      </w:pPr>
    </w:p>
    <w:p w14:paraId="43BE6992">
      <w:pPr>
        <w:pStyle w:val="5"/>
        <w:spacing w:line="270" w:lineRule="auto"/>
      </w:pPr>
    </w:p>
    <w:p w14:paraId="5B550A5A">
      <w:pPr>
        <w:pStyle w:val="5"/>
        <w:spacing w:line="270" w:lineRule="auto"/>
      </w:pPr>
    </w:p>
    <w:p w14:paraId="386B2BD3">
      <w:pPr>
        <w:pStyle w:val="5"/>
        <w:spacing w:line="270" w:lineRule="auto"/>
      </w:pPr>
    </w:p>
    <w:p w14:paraId="3AB40336">
      <w:pPr>
        <w:pStyle w:val="5"/>
        <w:spacing w:line="271" w:lineRule="auto"/>
      </w:pPr>
    </w:p>
    <w:p w14:paraId="20E15040">
      <w:pPr>
        <w:spacing w:before="68" w:line="220" w:lineRule="auto"/>
        <w:rPr>
          <w:rFonts w:ascii="宋体" w:hAnsi="宋体" w:eastAsia="宋体" w:cs="宋体"/>
          <w:sz w:val="21"/>
          <w:szCs w:val="21"/>
        </w:rPr>
      </w:pPr>
      <w:bookmarkStart w:id="260" w:name="bookmark557"/>
      <w:bookmarkEnd w:id="260"/>
      <w:r>
        <w:rPr>
          <w:rFonts w:ascii="宋体" w:hAnsi="宋体" w:eastAsia="宋体" w:cs="宋体"/>
          <w:sz w:val="21"/>
          <w:szCs w:val="21"/>
        </w:rPr>
        <w:t>划是控制工程进度的依据，发包人和监理人有权按</w:t>
      </w:r>
      <w:r>
        <w:rPr>
          <w:rFonts w:ascii="宋体" w:hAnsi="宋体" w:eastAsia="宋体" w:cs="宋体"/>
          <w:spacing w:val="-1"/>
          <w:sz w:val="21"/>
          <w:szCs w:val="21"/>
        </w:rPr>
        <w:t>照施工进度计划检查工程进度情况。</w:t>
      </w:r>
    </w:p>
    <w:p w14:paraId="6245860B">
      <w:pPr>
        <w:spacing w:before="151"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7.2.2  </w:t>
      </w:r>
      <w:r>
        <w:rPr>
          <w:rFonts w:ascii="宋体" w:hAnsi="宋体" w:eastAsia="宋体" w:cs="宋体"/>
          <w:spacing w:val="-1"/>
          <w:sz w:val="21"/>
          <w:szCs w:val="21"/>
        </w:rPr>
        <w:t>施工进度计划的修订</w:t>
      </w:r>
    </w:p>
    <w:p w14:paraId="4F2A2F77">
      <w:pPr>
        <w:spacing w:before="134" w:line="347" w:lineRule="auto"/>
        <w:ind w:firstLine="420"/>
        <w:rPr>
          <w:rFonts w:ascii="宋体" w:hAnsi="宋体" w:eastAsia="宋体" w:cs="宋体"/>
          <w:sz w:val="21"/>
          <w:szCs w:val="21"/>
        </w:rPr>
      </w:pPr>
      <w:r>
        <w:rPr>
          <w:rFonts w:ascii="宋体" w:hAnsi="宋体" w:eastAsia="宋体" w:cs="宋体"/>
          <w:sz w:val="21"/>
          <w:szCs w:val="21"/>
        </w:rPr>
        <w:t>施工进度计划不符合合同要求或与工程的实际进度不一致的，承包人应向监理人提交</w:t>
      </w:r>
      <w:r>
        <w:rPr>
          <w:rFonts w:ascii="宋体" w:hAnsi="宋体" w:eastAsia="宋体" w:cs="宋体"/>
          <w:spacing w:val="-1"/>
          <w:sz w:val="21"/>
          <w:szCs w:val="21"/>
        </w:rPr>
        <w:t>修订的施工进度计划，并附具有关措施和相关资料，由监理人报送发包人。除专用合</w:t>
      </w:r>
      <w:r>
        <w:rPr>
          <w:rFonts w:ascii="宋体" w:hAnsi="宋体" w:eastAsia="宋体" w:cs="宋体"/>
          <w:spacing w:val="-2"/>
          <w:sz w:val="21"/>
          <w:szCs w:val="21"/>
        </w:rPr>
        <w:t>同条款另有约定外，</w:t>
      </w:r>
      <w:r>
        <w:rPr>
          <w:rFonts w:ascii="宋体" w:hAnsi="宋体" w:eastAsia="宋体" w:cs="宋体"/>
          <w:sz w:val="21"/>
          <w:szCs w:val="21"/>
        </w:rPr>
        <w:t>发包人和监理人应在收到修订的施工进度计划后</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天内完成审核和批准</w:t>
      </w:r>
      <w:r>
        <w:rPr>
          <w:rFonts w:ascii="宋体" w:hAnsi="宋体" w:eastAsia="宋体" w:cs="宋体"/>
          <w:spacing w:val="-1"/>
          <w:sz w:val="21"/>
          <w:szCs w:val="21"/>
        </w:rPr>
        <w:t>或提出修改意见。发包人</w:t>
      </w:r>
      <w:r>
        <w:rPr>
          <w:rFonts w:ascii="宋体" w:hAnsi="宋体" w:eastAsia="宋体" w:cs="宋体"/>
          <w:sz w:val="21"/>
          <w:szCs w:val="21"/>
        </w:rPr>
        <w:t>和监理人对承包人提交的施工进度计划的确认，不能减轻或免除承包人根据法律规定和合</w:t>
      </w:r>
      <w:r>
        <w:rPr>
          <w:rFonts w:ascii="宋体" w:hAnsi="宋体" w:eastAsia="宋体" w:cs="宋体"/>
          <w:spacing w:val="-1"/>
          <w:sz w:val="21"/>
          <w:szCs w:val="21"/>
        </w:rPr>
        <w:t>同约定应承担的任何责任或义务。</w:t>
      </w:r>
    </w:p>
    <w:p w14:paraId="36CA9F3E">
      <w:pPr>
        <w:spacing w:line="235" w:lineRule="auto"/>
        <w:outlineLvl w:val="2"/>
        <w:rPr>
          <w:rFonts w:ascii="黑体" w:hAnsi="黑体" w:eastAsia="黑体" w:cs="黑体"/>
          <w:sz w:val="24"/>
          <w:szCs w:val="24"/>
        </w:rPr>
      </w:pPr>
      <w:bookmarkStart w:id="261" w:name="bookmark196"/>
      <w:bookmarkEnd w:id="261"/>
      <w:r>
        <w:rPr>
          <w:rFonts w:ascii="Times New Roman" w:hAnsi="Times New Roman" w:eastAsia="Times New Roman" w:cs="Times New Roman"/>
          <w:b/>
          <w:bCs/>
          <w:spacing w:val="-4"/>
          <w:sz w:val="24"/>
          <w:szCs w:val="24"/>
        </w:rPr>
        <w:t>7.3</w:t>
      </w:r>
      <w:r>
        <w:rPr>
          <w:rFonts w:ascii="Times New Roman" w:hAnsi="Times New Roman" w:eastAsia="Times New Roman" w:cs="Times New Roman"/>
          <w:b/>
          <w:bCs/>
          <w:spacing w:val="6"/>
          <w:sz w:val="24"/>
          <w:szCs w:val="24"/>
        </w:rPr>
        <w:t xml:space="preserve">  </w:t>
      </w:r>
      <w:r>
        <w:rPr>
          <w:rFonts w:ascii="黑体" w:hAnsi="黑体" w:eastAsia="黑体" w:cs="黑体"/>
          <w:b/>
          <w:bCs/>
          <w:spacing w:val="-4"/>
          <w:sz w:val="24"/>
          <w:szCs w:val="24"/>
        </w:rPr>
        <w:t>开工</w:t>
      </w:r>
    </w:p>
    <w:p w14:paraId="2C107743">
      <w:pPr>
        <w:spacing w:before="120" w:line="236"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7.3.1  </w:t>
      </w:r>
      <w:r>
        <w:rPr>
          <w:rFonts w:ascii="宋体" w:hAnsi="宋体" w:eastAsia="宋体" w:cs="宋体"/>
          <w:spacing w:val="-1"/>
          <w:sz w:val="21"/>
          <w:szCs w:val="21"/>
        </w:rPr>
        <w:t>开工准备</w:t>
      </w:r>
    </w:p>
    <w:p w14:paraId="44CB9501">
      <w:pPr>
        <w:spacing w:before="128" w:line="352" w:lineRule="auto"/>
        <w:ind w:right="160" w:firstLine="433"/>
        <w:rPr>
          <w:rFonts w:ascii="宋体" w:hAnsi="宋体" w:eastAsia="宋体" w:cs="宋体"/>
          <w:sz w:val="21"/>
          <w:szCs w:val="21"/>
        </w:rPr>
      </w:pPr>
      <w:r>
        <w:rPr>
          <w:rFonts w:ascii="宋体" w:hAnsi="宋体" w:eastAsia="宋体" w:cs="宋体"/>
          <w:spacing w:val="-1"/>
          <w:sz w:val="21"/>
          <w:szCs w:val="21"/>
        </w:rPr>
        <w:t>除专用合同条款另有约定外，承包人应按照第</w:t>
      </w:r>
      <w:r>
        <w:rPr>
          <w:rFonts w:ascii="宋体" w:hAnsi="宋体" w:eastAsia="宋体" w:cs="宋体"/>
          <w:spacing w:val="-9"/>
          <w:sz w:val="21"/>
          <w:szCs w:val="21"/>
        </w:rPr>
        <w:t xml:space="preserve"> </w:t>
      </w:r>
      <w:r>
        <w:rPr>
          <w:rFonts w:ascii="Times New Roman" w:hAnsi="Times New Roman" w:eastAsia="Times New Roman" w:cs="Times New Roman"/>
          <w:spacing w:val="-1"/>
          <w:sz w:val="21"/>
          <w:szCs w:val="21"/>
        </w:rPr>
        <w:t>7.1</w:t>
      </w:r>
      <w:r>
        <w:rPr>
          <w:rFonts w:ascii="Times New Roman" w:hAnsi="Times New Roman" w:eastAsia="Times New Roman" w:cs="Times New Roman"/>
          <w:spacing w:val="34"/>
          <w:sz w:val="21"/>
          <w:szCs w:val="21"/>
        </w:rPr>
        <w:t xml:space="preserve"> </w:t>
      </w:r>
      <w:r>
        <w:rPr>
          <w:rFonts w:ascii="宋体" w:hAnsi="宋体" w:eastAsia="宋体" w:cs="宋体"/>
          <w:spacing w:val="-1"/>
          <w:sz w:val="21"/>
          <w:szCs w:val="21"/>
        </w:rPr>
        <w:t>款〔施工组织设计〕约定的期限，向监理</w:t>
      </w:r>
      <w:r>
        <w:rPr>
          <w:rFonts w:ascii="宋体" w:hAnsi="宋体" w:eastAsia="宋体" w:cs="宋体"/>
          <w:sz w:val="21"/>
          <w:szCs w:val="21"/>
        </w:rPr>
        <w:t>人提交工程开工报审表，经监理人报发包人批准后执行。开工报审表应详细说明按施工进</w:t>
      </w:r>
      <w:r>
        <w:rPr>
          <w:rFonts w:ascii="宋体" w:hAnsi="宋体" w:eastAsia="宋体" w:cs="宋体"/>
          <w:spacing w:val="-1"/>
          <w:sz w:val="21"/>
          <w:szCs w:val="21"/>
        </w:rPr>
        <w:t>度计划</w:t>
      </w:r>
      <w:r>
        <w:rPr>
          <w:rFonts w:ascii="宋体" w:hAnsi="宋体" w:eastAsia="宋体" w:cs="宋体"/>
          <w:sz w:val="21"/>
          <w:szCs w:val="21"/>
        </w:rPr>
        <w:t>正常施工所需的施工道路、临时设施、材料、工程设备、施工设备、施工人员等落实情况</w:t>
      </w:r>
      <w:r>
        <w:rPr>
          <w:rFonts w:ascii="宋体" w:hAnsi="宋体" w:eastAsia="宋体" w:cs="宋体"/>
          <w:spacing w:val="-1"/>
          <w:sz w:val="21"/>
          <w:szCs w:val="21"/>
        </w:rPr>
        <w:t>以及工</w:t>
      </w:r>
      <w:r>
        <w:rPr>
          <w:rFonts w:ascii="宋体" w:hAnsi="宋体" w:eastAsia="宋体" w:cs="宋体"/>
          <w:spacing w:val="-3"/>
          <w:sz w:val="21"/>
          <w:szCs w:val="21"/>
        </w:rPr>
        <w:t>程的进度安排。</w:t>
      </w:r>
    </w:p>
    <w:p w14:paraId="45897CAC">
      <w:pPr>
        <w:spacing w:before="1" w:line="221" w:lineRule="auto"/>
        <w:ind w:left="433"/>
        <w:rPr>
          <w:rFonts w:ascii="宋体" w:hAnsi="宋体" w:eastAsia="宋体" w:cs="宋体"/>
          <w:sz w:val="21"/>
          <w:szCs w:val="21"/>
        </w:rPr>
      </w:pPr>
      <w:r>
        <w:rPr>
          <w:rFonts w:ascii="宋体" w:hAnsi="宋体" w:eastAsia="宋体" w:cs="宋体"/>
          <w:spacing w:val="-1"/>
          <w:sz w:val="21"/>
          <w:szCs w:val="21"/>
        </w:rPr>
        <w:t>除专用合同条款另有约定外，合同当事人应按约定完成开工准备工作。</w:t>
      </w:r>
    </w:p>
    <w:p w14:paraId="1D8A9983">
      <w:pPr>
        <w:spacing w:before="150" w:line="236"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7.3.2  </w:t>
      </w:r>
      <w:r>
        <w:rPr>
          <w:rFonts w:ascii="宋体" w:hAnsi="宋体" w:eastAsia="宋体" w:cs="宋体"/>
          <w:spacing w:val="-1"/>
          <w:sz w:val="21"/>
          <w:szCs w:val="21"/>
        </w:rPr>
        <w:t>开工通知</w:t>
      </w:r>
    </w:p>
    <w:p w14:paraId="476CC690">
      <w:pPr>
        <w:spacing w:before="129" w:line="350" w:lineRule="auto"/>
        <w:ind w:right="161" w:firstLine="423"/>
        <w:rPr>
          <w:rFonts w:ascii="宋体" w:hAnsi="宋体" w:eastAsia="宋体" w:cs="宋体"/>
          <w:sz w:val="21"/>
          <w:szCs w:val="21"/>
        </w:rPr>
      </w:pPr>
      <w:r>
        <w:rPr>
          <w:rFonts w:ascii="宋体" w:hAnsi="宋体" w:eastAsia="宋体" w:cs="宋体"/>
          <w:sz w:val="21"/>
          <w:szCs w:val="21"/>
        </w:rPr>
        <w:t>发包人应按照法律规定获得工程施工所需的许可。经发包人同意后，监理人</w:t>
      </w:r>
      <w:r>
        <w:rPr>
          <w:rFonts w:ascii="宋体" w:hAnsi="宋体" w:eastAsia="宋体" w:cs="宋体"/>
          <w:spacing w:val="-1"/>
          <w:sz w:val="21"/>
          <w:szCs w:val="21"/>
        </w:rPr>
        <w:t>发出的开工通知</w:t>
      </w:r>
      <w:r>
        <w:rPr>
          <w:rFonts w:ascii="宋体" w:hAnsi="宋体" w:eastAsia="宋体" w:cs="宋体"/>
          <w:sz w:val="21"/>
          <w:szCs w:val="21"/>
        </w:rPr>
        <w:t>应符合法律规定。监理人应在计划开工日期</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天前向承包人发出开工</w:t>
      </w:r>
      <w:r>
        <w:rPr>
          <w:rFonts w:ascii="宋体" w:hAnsi="宋体" w:eastAsia="宋体" w:cs="宋体"/>
          <w:spacing w:val="-1"/>
          <w:sz w:val="21"/>
          <w:szCs w:val="21"/>
        </w:rPr>
        <w:t>通知，工期自开工通知中载</w:t>
      </w:r>
      <w:r>
        <w:rPr>
          <w:rFonts w:ascii="宋体" w:hAnsi="宋体" w:eastAsia="宋体" w:cs="宋体"/>
          <w:spacing w:val="-3"/>
          <w:sz w:val="21"/>
          <w:szCs w:val="21"/>
        </w:rPr>
        <w:t>明的开工日期起算。</w:t>
      </w:r>
    </w:p>
    <w:p w14:paraId="73C24B6B">
      <w:pPr>
        <w:spacing w:before="8" w:line="344" w:lineRule="auto"/>
        <w:ind w:left="2" w:right="160" w:firstLine="430"/>
        <w:jc w:val="both"/>
        <w:rPr>
          <w:rFonts w:ascii="宋体" w:hAnsi="宋体" w:eastAsia="宋体" w:cs="宋体"/>
          <w:sz w:val="21"/>
          <w:szCs w:val="21"/>
        </w:rPr>
      </w:pPr>
      <w:r>
        <w:rPr>
          <w:rFonts w:ascii="宋体" w:hAnsi="宋体" w:eastAsia="宋体" w:cs="宋体"/>
          <w:sz w:val="21"/>
          <w:szCs w:val="21"/>
        </w:rPr>
        <w:t>除专用合同条款另有约定外，因发包人原因造成监理人未能在</w:t>
      </w:r>
      <w:r>
        <w:rPr>
          <w:rFonts w:ascii="宋体" w:hAnsi="宋体" w:eastAsia="宋体" w:cs="宋体"/>
          <w:spacing w:val="-1"/>
          <w:sz w:val="21"/>
          <w:szCs w:val="21"/>
        </w:rPr>
        <w:t xml:space="preserve">计划开工日期之日起 </w:t>
      </w:r>
      <w:r>
        <w:rPr>
          <w:rFonts w:ascii="Times New Roman" w:hAnsi="Times New Roman" w:eastAsia="Times New Roman" w:cs="Times New Roman"/>
          <w:spacing w:val="-1"/>
          <w:sz w:val="21"/>
          <w:szCs w:val="21"/>
        </w:rPr>
        <w:t xml:space="preserve">90  </w:t>
      </w:r>
      <w:r>
        <w:rPr>
          <w:rFonts w:ascii="宋体" w:hAnsi="宋体" w:eastAsia="宋体" w:cs="宋体"/>
          <w:spacing w:val="-1"/>
          <w:sz w:val="21"/>
          <w:szCs w:val="21"/>
        </w:rPr>
        <w:t>天内</w:t>
      </w:r>
      <w:r>
        <w:rPr>
          <w:rFonts w:ascii="宋体" w:hAnsi="宋体" w:eastAsia="宋体" w:cs="宋体"/>
          <w:sz w:val="21"/>
          <w:szCs w:val="21"/>
        </w:rPr>
        <w:t>发出开工通知的，承包人有权提出价格调整要求，或者解除合同。发包人应当承担由</w:t>
      </w:r>
      <w:r>
        <w:rPr>
          <w:rFonts w:ascii="宋体" w:hAnsi="宋体" w:eastAsia="宋体" w:cs="宋体"/>
          <w:spacing w:val="-1"/>
          <w:sz w:val="21"/>
          <w:szCs w:val="21"/>
        </w:rPr>
        <w:t>此增加的费用和（或）延误的工期，并向承包人支付合理利润。</w:t>
      </w:r>
    </w:p>
    <w:p w14:paraId="08E36188">
      <w:pPr>
        <w:spacing w:before="1" w:line="230" w:lineRule="auto"/>
        <w:outlineLvl w:val="2"/>
        <w:rPr>
          <w:rFonts w:ascii="黑体" w:hAnsi="黑体" w:eastAsia="黑体" w:cs="黑体"/>
          <w:sz w:val="24"/>
          <w:szCs w:val="24"/>
        </w:rPr>
      </w:pPr>
      <w:bookmarkStart w:id="262" w:name="bookmark197"/>
      <w:bookmarkEnd w:id="262"/>
      <w:r>
        <w:rPr>
          <w:rFonts w:ascii="Times New Roman" w:hAnsi="Times New Roman" w:eastAsia="Times New Roman" w:cs="Times New Roman"/>
          <w:b/>
          <w:bCs/>
          <w:spacing w:val="-2"/>
          <w:sz w:val="24"/>
          <w:szCs w:val="24"/>
        </w:rPr>
        <w:t xml:space="preserve">7.4 </w:t>
      </w:r>
      <w:r>
        <w:rPr>
          <w:rFonts w:ascii="黑体" w:hAnsi="黑体" w:eastAsia="黑体" w:cs="黑体"/>
          <w:b/>
          <w:bCs/>
          <w:spacing w:val="-2"/>
          <w:sz w:val="24"/>
          <w:szCs w:val="24"/>
        </w:rPr>
        <w:t>测量放线</w:t>
      </w:r>
    </w:p>
    <w:p w14:paraId="787C7089">
      <w:pPr>
        <w:spacing w:before="124" w:line="346" w:lineRule="auto"/>
        <w:ind w:right="160" w:firstLine="420"/>
        <w:jc w:val="both"/>
        <w:rPr>
          <w:rFonts w:ascii="宋体" w:hAnsi="宋体" w:eastAsia="宋体" w:cs="宋体"/>
          <w:sz w:val="21"/>
          <w:szCs w:val="21"/>
        </w:rPr>
      </w:pPr>
      <w:r>
        <w:rPr>
          <w:rFonts w:ascii="Times New Roman" w:hAnsi="Times New Roman" w:eastAsia="Times New Roman" w:cs="Times New Roman"/>
          <w:sz w:val="21"/>
          <w:szCs w:val="21"/>
        </w:rPr>
        <w:t xml:space="preserve">7.4.1  </w:t>
      </w:r>
      <w:r>
        <w:rPr>
          <w:rFonts w:ascii="宋体" w:hAnsi="宋体" w:eastAsia="宋体" w:cs="宋体"/>
          <w:sz w:val="21"/>
          <w:szCs w:val="21"/>
        </w:rPr>
        <w:t>除专用合同条款另有约定外，发包人应在至迟不得晚于第</w:t>
      </w:r>
      <w:r>
        <w:rPr>
          <w:rFonts w:ascii="宋体" w:hAnsi="宋体" w:eastAsia="宋体" w:cs="宋体"/>
          <w:spacing w:val="-46"/>
          <w:sz w:val="21"/>
          <w:szCs w:val="21"/>
        </w:rPr>
        <w:t xml:space="preserve"> </w:t>
      </w:r>
      <w:r>
        <w:rPr>
          <w:rFonts w:ascii="Times New Roman" w:hAnsi="Times New Roman" w:eastAsia="Times New Roman" w:cs="Times New Roman"/>
          <w:sz w:val="21"/>
          <w:szCs w:val="21"/>
        </w:rPr>
        <w:t xml:space="preserve">7.3.2 </w:t>
      </w:r>
      <w:r>
        <w:rPr>
          <w:rFonts w:ascii="宋体" w:hAnsi="宋体" w:eastAsia="宋体" w:cs="宋体"/>
          <w:sz w:val="21"/>
          <w:szCs w:val="21"/>
        </w:rPr>
        <w:t>项</w:t>
      </w:r>
      <w:r>
        <w:rPr>
          <w:rFonts w:ascii="宋体" w:hAnsi="宋体" w:eastAsia="宋体" w:cs="宋体"/>
          <w:spacing w:val="-1"/>
          <w:sz w:val="21"/>
          <w:szCs w:val="21"/>
        </w:rPr>
        <w:t>〔开工通知〕载明的</w:t>
      </w:r>
      <w:r>
        <w:rPr>
          <w:rFonts w:ascii="宋体" w:hAnsi="宋体" w:eastAsia="宋体" w:cs="宋体"/>
          <w:sz w:val="21"/>
          <w:szCs w:val="21"/>
        </w:rPr>
        <w:t>开工日期前</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天通过监理人向承包人提供测量基准点、基准线和水准点及其书</w:t>
      </w:r>
      <w:r>
        <w:rPr>
          <w:rFonts w:ascii="宋体" w:hAnsi="宋体" w:eastAsia="宋体" w:cs="宋体"/>
          <w:spacing w:val="-1"/>
          <w:sz w:val="21"/>
          <w:szCs w:val="21"/>
        </w:rPr>
        <w:t>面资料。发包人应</w:t>
      </w:r>
      <w:r>
        <w:rPr>
          <w:rFonts w:ascii="宋体" w:hAnsi="宋体" w:eastAsia="宋体" w:cs="宋体"/>
          <w:sz w:val="21"/>
          <w:szCs w:val="21"/>
        </w:rPr>
        <w:t>对其提供的测量基准点、基准线和水准点及其书面资料的真实性、准确性和完整性负责。</w:t>
      </w:r>
    </w:p>
    <w:p w14:paraId="26881176">
      <w:pPr>
        <w:spacing w:before="20" w:line="352" w:lineRule="auto"/>
        <w:ind w:right="160" w:firstLine="420"/>
        <w:jc w:val="both"/>
        <w:rPr>
          <w:rFonts w:ascii="宋体" w:hAnsi="宋体" w:eastAsia="宋体" w:cs="宋体"/>
          <w:sz w:val="21"/>
          <w:szCs w:val="21"/>
        </w:rPr>
      </w:pPr>
      <w:r>
        <w:rPr>
          <w:rFonts w:ascii="宋体" w:hAnsi="宋体" w:eastAsia="宋体" w:cs="宋体"/>
          <w:sz w:val="21"/>
          <w:szCs w:val="21"/>
        </w:rPr>
        <w:t>承包人发现发包人提供的测量基准点、基准线和水准点及其书面资料存在错误或疏</w:t>
      </w:r>
      <w:r>
        <w:rPr>
          <w:rFonts w:ascii="宋体" w:hAnsi="宋体" w:eastAsia="宋体" w:cs="宋体"/>
          <w:spacing w:val="-1"/>
          <w:sz w:val="21"/>
          <w:szCs w:val="21"/>
        </w:rPr>
        <w:t>漏的，应</w:t>
      </w:r>
      <w:r>
        <w:rPr>
          <w:rFonts w:ascii="宋体" w:hAnsi="宋体" w:eastAsia="宋体" w:cs="宋体"/>
          <w:sz w:val="21"/>
          <w:szCs w:val="21"/>
        </w:rPr>
        <w:t>及时通知监理人。监理人应及时报告发包人，并会同发包人和承包人予以核实。发包人应</w:t>
      </w:r>
      <w:r>
        <w:rPr>
          <w:rFonts w:ascii="宋体" w:hAnsi="宋体" w:eastAsia="宋体" w:cs="宋体"/>
          <w:spacing w:val="-1"/>
          <w:sz w:val="21"/>
          <w:szCs w:val="21"/>
        </w:rPr>
        <w:t>就如何处理和是否继续施工作出决定，并通知监理人和承包人。</w:t>
      </w:r>
    </w:p>
    <w:p w14:paraId="0D71040A">
      <w:pPr>
        <w:spacing w:before="2" w:line="349" w:lineRule="auto"/>
        <w:ind w:right="160" w:firstLine="420"/>
        <w:jc w:val="both"/>
        <w:rPr>
          <w:rFonts w:ascii="宋体" w:hAnsi="宋体" w:eastAsia="宋体" w:cs="宋体"/>
          <w:sz w:val="21"/>
          <w:szCs w:val="21"/>
        </w:rPr>
      </w:pPr>
      <w:r>
        <w:rPr>
          <w:rFonts w:ascii="Times New Roman" w:hAnsi="Times New Roman" w:eastAsia="Times New Roman" w:cs="Times New Roman"/>
          <w:spacing w:val="2"/>
          <w:sz w:val="21"/>
          <w:szCs w:val="21"/>
        </w:rPr>
        <w:t xml:space="preserve">7.4.2  </w:t>
      </w:r>
      <w:r>
        <w:rPr>
          <w:rFonts w:ascii="宋体" w:hAnsi="宋体" w:eastAsia="宋体" w:cs="宋体"/>
          <w:spacing w:val="2"/>
          <w:sz w:val="21"/>
          <w:szCs w:val="21"/>
        </w:rPr>
        <w:t>承包人负责施工过程中的全部施工测量放线工作，并配置具有相应资质的人员、合格</w:t>
      </w:r>
      <w:r>
        <w:rPr>
          <w:rFonts w:ascii="宋体" w:hAnsi="宋体" w:eastAsia="宋体" w:cs="宋体"/>
          <w:sz w:val="21"/>
          <w:szCs w:val="21"/>
        </w:rPr>
        <w:t>的仪器、设备和其他物品。承包人应矫正工程的位置、标高、尺寸或准线中出现的任何差</w:t>
      </w:r>
      <w:r>
        <w:rPr>
          <w:rFonts w:ascii="宋体" w:hAnsi="宋体" w:eastAsia="宋体" w:cs="宋体"/>
          <w:spacing w:val="-1"/>
          <w:sz w:val="21"/>
          <w:szCs w:val="21"/>
        </w:rPr>
        <w:t>错，并对工程各部分的定位负责。</w:t>
      </w:r>
    </w:p>
    <w:p w14:paraId="1BD1D118">
      <w:pPr>
        <w:spacing w:before="7" w:line="221" w:lineRule="auto"/>
        <w:ind w:left="420"/>
        <w:rPr>
          <w:rFonts w:ascii="宋体" w:hAnsi="宋体" w:eastAsia="宋体" w:cs="宋体"/>
          <w:sz w:val="21"/>
          <w:szCs w:val="21"/>
        </w:rPr>
      </w:pPr>
      <w:r>
        <w:rPr>
          <w:rFonts w:ascii="宋体" w:hAnsi="宋体" w:eastAsia="宋体" w:cs="宋体"/>
          <w:sz w:val="21"/>
          <w:szCs w:val="21"/>
        </w:rPr>
        <w:t>施工过程中对施工现场内水准点等测量标志物的保护工作由承包人负</w:t>
      </w:r>
      <w:r>
        <w:rPr>
          <w:rFonts w:ascii="宋体" w:hAnsi="宋体" w:eastAsia="宋体" w:cs="宋体"/>
          <w:spacing w:val="-1"/>
          <w:sz w:val="21"/>
          <w:szCs w:val="21"/>
        </w:rPr>
        <w:t>责。</w:t>
      </w:r>
    </w:p>
    <w:p w14:paraId="7F419DD9">
      <w:pPr>
        <w:spacing w:before="124" w:line="233" w:lineRule="auto"/>
        <w:outlineLvl w:val="2"/>
        <w:rPr>
          <w:rFonts w:ascii="黑体" w:hAnsi="黑体" w:eastAsia="黑体" w:cs="黑体"/>
          <w:sz w:val="24"/>
          <w:szCs w:val="24"/>
        </w:rPr>
      </w:pPr>
      <w:bookmarkStart w:id="263" w:name="bookmark198"/>
      <w:bookmarkEnd w:id="263"/>
      <w:r>
        <w:rPr>
          <w:rFonts w:ascii="Times New Roman" w:hAnsi="Times New Roman" w:eastAsia="Times New Roman" w:cs="Times New Roman"/>
          <w:b/>
          <w:bCs/>
          <w:spacing w:val="-2"/>
          <w:sz w:val="24"/>
          <w:szCs w:val="24"/>
        </w:rPr>
        <w:t xml:space="preserve">7.5  </w:t>
      </w:r>
      <w:r>
        <w:rPr>
          <w:rFonts w:ascii="黑体" w:hAnsi="黑体" w:eastAsia="黑体" w:cs="黑体"/>
          <w:b/>
          <w:bCs/>
          <w:spacing w:val="-2"/>
          <w:sz w:val="24"/>
          <w:szCs w:val="24"/>
        </w:rPr>
        <w:t>工期延误</w:t>
      </w:r>
    </w:p>
    <w:p w14:paraId="45E6D1E6">
      <w:pPr>
        <w:spacing w:before="122" w:line="235"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7.5.1  </w:t>
      </w:r>
      <w:r>
        <w:rPr>
          <w:rFonts w:ascii="宋体" w:hAnsi="宋体" w:eastAsia="宋体" w:cs="宋体"/>
          <w:spacing w:val="-1"/>
          <w:sz w:val="21"/>
          <w:szCs w:val="21"/>
        </w:rPr>
        <w:t>因发包人原因导致工期延误</w:t>
      </w:r>
    </w:p>
    <w:p w14:paraId="55E4D49A">
      <w:pPr>
        <w:spacing w:before="133" w:line="221" w:lineRule="auto"/>
        <w:ind w:left="420"/>
        <w:rPr>
          <w:rFonts w:ascii="宋体" w:hAnsi="宋体" w:eastAsia="宋体" w:cs="宋体"/>
          <w:sz w:val="21"/>
          <w:szCs w:val="21"/>
        </w:rPr>
      </w:pPr>
      <w:r>
        <w:rPr>
          <w:rFonts w:ascii="宋体" w:hAnsi="宋体" w:eastAsia="宋体" w:cs="宋体"/>
          <w:sz w:val="21"/>
          <w:szCs w:val="21"/>
        </w:rPr>
        <w:t>在合同履行过程中，因下列情况导致工期延误和（或）费用增加的，由发包人承担由此</w:t>
      </w:r>
      <w:r>
        <w:rPr>
          <w:rFonts w:ascii="宋体" w:hAnsi="宋体" w:eastAsia="宋体" w:cs="宋体"/>
          <w:spacing w:val="-1"/>
          <w:sz w:val="21"/>
          <w:szCs w:val="21"/>
        </w:rPr>
        <w:t>延误</w:t>
      </w:r>
    </w:p>
    <w:p w14:paraId="19312271">
      <w:pPr>
        <w:spacing w:line="221" w:lineRule="auto"/>
        <w:rPr>
          <w:rFonts w:ascii="宋体" w:hAnsi="宋体" w:eastAsia="宋体" w:cs="宋体"/>
          <w:sz w:val="21"/>
          <w:szCs w:val="21"/>
        </w:rPr>
        <w:sectPr>
          <w:footerReference r:id="rId105" w:type="default"/>
          <w:pgSz w:w="11905" w:h="16843"/>
          <w:pgMar w:top="969" w:right="1355" w:bottom="1026" w:left="1480" w:header="0" w:footer="754" w:gutter="0"/>
          <w:cols w:space="0" w:num="1"/>
          <w:rtlGutter w:val="0"/>
          <w:docGrid w:linePitch="0" w:charSpace="0"/>
        </w:sectPr>
      </w:pPr>
    </w:p>
    <w:p w14:paraId="1D595FAF">
      <w:pPr>
        <w:pStyle w:val="5"/>
        <w:spacing w:line="270" w:lineRule="auto"/>
      </w:pPr>
    </w:p>
    <w:p w14:paraId="27D4C835">
      <w:pPr>
        <w:pStyle w:val="5"/>
        <w:spacing w:line="270" w:lineRule="auto"/>
      </w:pPr>
    </w:p>
    <w:p w14:paraId="7CB46B9C">
      <w:pPr>
        <w:pStyle w:val="5"/>
        <w:spacing w:line="270" w:lineRule="auto"/>
      </w:pPr>
    </w:p>
    <w:p w14:paraId="573B0EE0">
      <w:pPr>
        <w:pStyle w:val="5"/>
        <w:spacing w:line="271" w:lineRule="auto"/>
      </w:pPr>
    </w:p>
    <w:p w14:paraId="7B992680">
      <w:pPr>
        <w:spacing w:before="68" w:line="221" w:lineRule="auto"/>
        <w:ind w:left="18"/>
        <w:rPr>
          <w:rFonts w:ascii="宋体" w:hAnsi="宋体" w:eastAsia="宋体" w:cs="宋体"/>
          <w:sz w:val="21"/>
          <w:szCs w:val="21"/>
        </w:rPr>
      </w:pPr>
      <w:bookmarkStart w:id="264" w:name="bookmark558"/>
      <w:bookmarkEnd w:id="264"/>
      <w:r>
        <w:rPr>
          <w:rFonts w:ascii="宋体" w:hAnsi="宋体" w:eastAsia="宋体" w:cs="宋体"/>
          <w:spacing w:val="-2"/>
          <w:sz w:val="21"/>
          <w:szCs w:val="21"/>
        </w:rPr>
        <w:t>的工期和（或）增加的费用，且发包人应支付承包人合理的利润：</w:t>
      </w:r>
    </w:p>
    <w:p w14:paraId="228EDBCE">
      <w:pPr>
        <w:spacing w:before="149"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）发包人未能按合同约定提供图纸或所提供图纸不符合合同</w:t>
      </w:r>
      <w:r>
        <w:rPr>
          <w:rFonts w:ascii="宋体" w:hAnsi="宋体" w:eastAsia="宋体" w:cs="宋体"/>
          <w:spacing w:val="-2"/>
          <w:sz w:val="21"/>
          <w:szCs w:val="21"/>
        </w:rPr>
        <w:t>约定的；</w:t>
      </w:r>
    </w:p>
    <w:p w14:paraId="21A6C2A1">
      <w:pPr>
        <w:spacing w:before="135" w:line="286" w:lineRule="auto"/>
        <w:ind w:left="18" w:right="17" w:firstLine="40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）发包人未能按合同约定提供施工现场、施工条件、基础资料、许可、批准等开工</w:t>
      </w:r>
      <w:r>
        <w:rPr>
          <w:rFonts w:ascii="宋体" w:hAnsi="宋体" w:eastAsia="宋体" w:cs="宋体"/>
          <w:spacing w:val="1"/>
          <w:sz w:val="21"/>
          <w:szCs w:val="21"/>
        </w:rPr>
        <w:t>条件</w:t>
      </w:r>
      <w:r>
        <w:rPr>
          <w:rFonts w:ascii="宋体" w:hAnsi="宋体" w:eastAsia="宋体" w:cs="宋体"/>
          <w:spacing w:val="-19"/>
          <w:sz w:val="21"/>
          <w:szCs w:val="21"/>
        </w:rPr>
        <w:t>的；</w:t>
      </w:r>
    </w:p>
    <w:p w14:paraId="4F0BC5CD">
      <w:pPr>
        <w:spacing w:before="147"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）发包人提供的测量基准点、基准线和水准点及其书面资料存在错</w:t>
      </w:r>
      <w:r>
        <w:rPr>
          <w:rFonts w:ascii="宋体" w:hAnsi="宋体" w:eastAsia="宋体" w:cs="宋体"/>
          <w:spacing w:val="-2"/>
          <w:sz w:val="21"/>
          <w:szCs w:val="21"/>
        </w:rPr>
        <w:t>误或疏漏的；</w:t>
      </w:r>
    </w:p>
    <w:p w14:paraId="13BF2D72">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）发包人未能在计划开工日期之日起</w:t>
      </w:r>
      <w:r>
        <w:rPr>
          <w:rFonts w:ascii="宋体" w:hAnsi="宋体" w:eastAsia="宋体" w:cs="宋体"/>
          <w:spacing w:val="-32"/>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天内同意下达开工通知的；</w:t>
      </w:r>
    </w:p>
    <w:p w14:paraId="42A8E180">
      <w:pPr>
        <w:spacing w:before="132"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）发包人未能按合同约定日期支付工程预付款、进度款或竣工结算款</w:t>
      </w:r>
      <w:r>
        <w:rPr>
          <w:rFonts w:ascii="宋体" w:hAnsi="宋体" w:eastAsia="宋体" w:cs="宋体"/>
          <w:spacing w:val="-2"/>
          <w:sz w:val="21"/>
          <w:szCs w:val="21"/>
        </w:rPr>
        <w:t>的；</w:t>
      </w:r>
    </w:p>
    <w:p w14:paraId="2B0BDDBA">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）监理人未按合同约定发出指示、批准等文件的；</w:t>
      </w:r>
    </w:p>
    <w:p w14:paraId="783A7573">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）专用合同条款中约定的其他情形。</w:t>
      </w:r>
    </w:p>
    <w:p w14:paraId="1C36331F">
      <w:pPr>
        <w:spacing w:before="131" w:line="352" w:lineRule="auto"/>
        <w:ind w:left="2" w:firstLine="434"/>
        <w:jc w:val="both"/>
        <w:rPr>
          <w:rFonts w:ascii="宋体" w:hAnsi="宋体" w:eastAsia="宋体" w:cs="宋体"/>
          <w:sz w:val="21"/>
          <w:szCs w:val="21"/>
        </w:rPr>
      </w:pPr>
      <w:r>
        <w:rPr>
          <w:rFonts w:ascii="宋体" w:hAnsi="宋体" w:eastAsia="宋体" w:cs="宋体"/>
          <w:sz w:val="21"/>
          <w:szCs w:val="21"/>
        </w:rPr>
        <w:t>因发包人原因未按计划开工日期开工的，发包</w:t>
      </w:r>
      <w:r>
        <w:rPr>
          <w:rFonts w:ascii="宋体" w:hAnsi="宋体" w:eastAsia="宋体" w:cs="宋体"/>
          <w:spacing w:val="-1"/>
          <w:sz w:val="21"/>
          <w:szCs w:val="21"/>
        </w:rPr>
        <w:t>人应按实际开工日期顺延竣工日期，确保实际</w:t>
      </w:r>
      <w:r>
        <w:rPr>
          <w:rFonts w:ascii="宋体" w:hAnsi="宋体" w:eastAsia="宋体" w:cs="宋体"/>
          <w:sz w:val="21"/>
          <w:szCs w:val="21"/>
        </w:rPr>
        <w:t>工期不低于合同约定的工期总日历天数。因发包人原因导致工期延误需要修订施工进</w:t>
      </w:r>
      <w:r>
        <w:rPr>
          <w:rFonts w:ascii="宋体" w:hAnsi="宋体" w:eastAsia="宋体" w:cs="宋体"/>
          <w:spacing w:val="-1"/>
          <w:sz w:val="21"/>
          <w:szCs w:val="21"/>
        </w:rPr>
        <w:t>度计划的，</w:t>
      </w:r>
      <w:r>
        <w:rPr>
          <w:rFonts w:ascii="宋体" w:hAnsi="宋体" w:eastAsia="宋体" w:cs="宋体"/>
          <w:spacing w:val="-2"/>
          <w:sz w:val="21"/>
          <w:szCs w:val="21"/>
        </w:rPr>
        <w:t>按照第</w:t>
      </w:r>
      <w:r>
        <w:rPr>
          <w:rFonts w:ascii="宋体" w:hAnsi="宋体" w:eastAsia="宋体" w:cs="宋体"/>
          <w:spacing w:val="-28"/>
          <w:sz w:val="21"/>
          <w:szCs w:val="21"/>
        </w:rPr>
        <w:t xml:space="preserve"> </w:t>
      </w:r>
      <w:r>
        <w:rPr>
          <w:rFonts w:ascii="Times New Roman" w:hAnsi="Times New Roman" w:eastAsia="Times New Roman" w:cs="Times New Roman"/>
          <w:spacing w:val="-2"/>
          <w:sz w:val="21"/>
          <w:szCs w:val="21"/>
        </w:rPr>
        <w:t xml:space="preserve">7.2.2 </w:t>
      </w:r>
      <w:r>
        <w:rPr>
          <w:rFonts w:ascii="宋体" w:hAnsi="宋体" w:eastAsia="宋体" w:cs="宋体"/>
          <w:spacing w:val="-2"/>
          <w:sz w:val="21"/>
          <w:szCs w:val="21"/>
        </w:rPr>
        <w:t>项〔施工进度计划的修订〕执行。</w:t>
      </w:r>
    </w:p>
    <w:p w14:paraId="1C3CFE00">
      <w:pPr>
        <w:spacing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7.5.2  </w:t>
      </w:r>
      <w:r>
        <w:rPr>
          <w:rFonts w:ascii="宋体" w:hAnsi="宋体" w:eastAsia="宋体" w:cs="宋体"/>
          <w:spacing w:val="-1"/>
          <w:sz w:val="21"/>
          <w:szCs w:val="21"/>
        </w:rPr>
        <w:t>因承包人原因导致工期延误</w:t>
      </w:r>
    </w:p>
    <w:p w14:paraId="441205F0">
      <w:pPr>
        <w:spacing w:before="133" w:line="345" w:lineRule="auto"/>
        <w:ind w:left="3" w:firstLine="433"/>
        <w:rPr>
          <w:rFonts w:ascii="宋体" w:hAnsi="宋体" w:eastAsia="宋体" w:cs="宋体"/>
          <w:sz w:val="21"/>
          <w:szCs w:val="21"/>
        </w:rPr>
      </w:pPr>
      <w:r>
        <w:rPr>
          <w:rFonts w:ascii="宋体" w:hAnsi="宋体" w:eastAsia="宋体" w:cs="宋体"/>
          <w:sz w:val="21"/>
          <w:szCs w:val="21"/>
        </w:rPr>
        <w:t>因承包人原因造成工期延误的，可以在专用合</w:t>
      </w:r>
      <w:r>
        <w:rPr>
          <w:rFonts w:ascii="宋体" w:hAnsi="宋体" w:eastAsia="宋体" w:cs="宋体"/>
          <w:spacing w:val="-1"/>
          <w:sz w:val="21"/>
          <w:szCs w:val="21"/>
        </w:rPr>
        <w:t>同条款中约定逾期竣工违约金的计算方法和逾</w:t>
      </w:r>
      <w:r>
        <w:rPr>
          <w:rFonts w:ascii="宋体" w:hAnsi="宋体" w:eastAsia="宋体" w:cs="宋体"/>
          <w:sz w:val="21"/>
          <w:szCs w:val="21"/>
        </w:rPr>
        <w:t>期竣工违约金的上限。承包人支付逾期竣工违约金后，不免除承包人继续完成工程</w:t>
      </w:r>
      <w:r>
        <w:rPr>
          <w:rFonts w:ascii="宋体" w:hAnsi="宋体" w:eastAsia="宋体" w:cs="宋体"/>
          <w:spacing w:val="-1"/>
          <w:sz w:val="21"/>
          <w:szCs w:val="21"/>
        </w:rPr>
        <w:t>及修补缺陷的</w:t>
      </w:r>
      <w:r>
        <w:rPr>
          <w:rFonts w:ascii="宋体" w:hAnsi="宋体" w:eastAsia="宋体" w:cs="宋体"/>
          <w:spacing w:val="-9"/>
          <w:sz w:val="21"/>
          <w:szCs w:val="21"/>
        </w:rPr>
        <w:t>义务。</w:t>
      </w:r>
    </w:p>
    <w:p w14:paraId="1571DBFC">
      <w:pPr>
        <w:spacing w:before="1" w:line="232" w:lineRule="auto"/>
        <w:outlineLvl w:val="2"/>
        <w:rPr>
          <w:rFonts w:ascii="黑体" w:hAnsi="黑体" w:eastAsia="黑体" w:cs="黑体"/>
          <w:sz w:val="24"/>
          <w:szCs w:val="24"/>
        </w:rPr>
      </w:pPr>
      <w:bookmarkStart w:id="265" w:name="bookmark199"/>
      <w:bookmarkEnd w:id="265"/>
      <w:r>
        <w:rPr>
          <w:rFonts w:ascii="Times New Roman" w:hAnsi="Times New Roman" w:eastAsia="Times New Roman" w:cs="Times New Roman"/>
          <w:b/>
          <w:bCs/>
          <w:spacing w:val="-2"/>
          <w:sz w:val="24"/>
          <w:szCs w:val="24"/>
        </w:rPr>
        <w:t xml:space="preserve">7.6  </w:t>
      </w:r>
      <w:r>
        <w:rPr>
          <w:rFonts w:ascii="黑体" w:hAnsi="黑体" w:eastAsia="黑体" w:cs="黑体"/>
          <w:b/>
          <w:bCs/>
          <w:spacing w:val="-2"/>
          <w:sz w:val="24"/>
          <w:szCs w:val="24"/>
        </w:rPr>
        <w:t>不利物质条件</w:t>
      </w:r>
    </w:p>
    <w:p w14:paraId="0B96BD30">
      <w:pPr>
        <w:spacing w:before="121" w:line="352" w:lineRule="auto"/>
        <w:ind w:firstLine="423"/>
        <w:jc w:val="both"/>
        <w:rPr>
          <w:rFonts w:ascii="宋体" w:hAnsi="宋体" w:eastAsia="宋体" w:cs="宋体"/>
          <w:sz w:val="21"/>
          <w:szCs w:val="21"/>
        </w:rPr>
      </w:pPr>
      <w:r>
        <w:rPr>
          <w:rFonts w:ascii="宋体" w:hAnsi="宋体" w:eastAsia="宋体" w:cs="宋体"/>
          <w:sz w:val="21"/>
          <w:szCs w:val="21"/>
        </w:rPr>
        <w:t>不利物质条件是指有经验的承包人在施工现场遇到的不可预见的自然物质条</w:t>
      </w:r>
      <w:r>
        <w:rPr>
          <w:rFonts w:ascii="宋体" w:hAnsi="宋体" w:eastAsia="宋体" w:cs="宋体"/>
          <w:spacing w:val="-1"/>
          <w:sz w:val="21"/>
          <w:szCs w:val="21"/>
        </w:rPr>
        <w:t>件、非自然的物</w:t>
      </w:r>
      <w:r>
        <w:rPr>
          <w:rFonts w:ascii="宋体" w:hAnsi="宋体" w:eastAsia="宋体" w:cs="宋体"/>
          <w:sz w:val="21"/>
          <w:szCs w:val="21"/>
        </w:rPr>
        <w:t>质障碍和污染物，包括地表以下物质条件和水文条件以及专用合同条款约定的其他情形，</w:t>
      </w:r>
      <w:r>
        <w:rPr>
          <w:rFonts w:ascii="宋体" w:hAnsi="宋体" w:eastAsia="宋体" w:cs="宋体"/>
          <w:spacing w:val="-1"/>
          <w:sz w:val="21"/>
          <w:szCs w:val="21"/>
        </w:rPr>
        <w:t>但不包括气候条件。</w:t>
      </w:r>
    </w:p>
    <w:p w14:paraId="249F9ED0">
      <w:pPr>
        <w:spacing w:before="5" w:line="345" w:lineRule="auto"/>
        <w:ind w:firstLine="420"/>
        <w:jc w:val="both"/>
        <w:rPr>
          <w:rFonts w:ascii="宋体" w:hAnsi="宋体" w:eastAsia="宋体" w:cs="宋体"/>
          <w:sz w:val="21"/>
          <w:szCs w:val="21"/>
        </w:rPr>
      </w:pPr>
      <w:r>
        <w:rPr>
          <w:rFonts w:ascii="宋体" w:hAnsi="宋体" w:eastAsia="宋体" w:cs="宋体"/>
          <w:sz w:val="21"/>
          <w:szCs w:val="21"/>
        </w:rPr>
        <w:t>承包人遇到不利物质条件时，应采取克服不利物质条件的合理措施继续施工，并及</w:t>
      </w:r>
      <w:r>
        <w:rPr>
          <w:rFonts w:ascii="宋体" w:hAnsi="宋体" w:eastAsia="宋体" w:cs="宋体"/>
          <w:spacing w:val="-1"/>
          <w:sz w:val="21"/>
          <w:szCs w:val="21"/>
        </w:rPr>
        <w:t>时通知发</w:t>
      </w:r>
      <w:r>
        <w:rPr>
          <w:rFonts w:ascii="宋体" w:hAnsi="宋体" w:eastAsia="宋体" w:cs="宋体"/>
          <w:sz w:val="21"/>
          <w:szCs w:val="21"/>
        </w:rPr>
        <w:t>包人和监理人。通知应载明不利物质条件的内容以及承包人认为不可预见的理由。监理人</w:t>
      </w:r>
      <w:r>
        <w:rPr>
          <w:rFonts w:ascii="宋体" w:hAnsi="宋体" w:eastAsia="宋体" w:cs="宋体"/>
          <w:spacing w:val="-1"/>
          <w:sz w:val="21"/>
          <w:szCs w:val="21"/>
        </w:rPr>
        <w:t>经发包</w:t>
      </w:r>
      <w:r>
        <w:rPr>
          <w:rFonts w:ascii="宋体" w:hAnsi="宋体" w:eastAsia="宋体" w:cs="宋体"/>
          <w:sz w:val="21"/>
          <w:szCs w:val="21"/>
        </w:rPr>
        <w:t xml:space="preserve">人同意后应当及时发出指示，指示构成变更的，按第 </w:t>
      </w:r>
      <w:r>
        <w:rPr>
          <w:rFonts w:ascii="Times New Roman" w:hAnsi="Times New Roman" w:eastAsia="Times New Roman" w:cs="Times New Roman"/>
          <w:sz w:val="21"/>
          <w:szCs w:val="21"/>
        </w:rPr>
        <w:t xml:space="preserve">10  </w:t>
      </w:r>
      <w:r>
        <w:rPr>
          <w:rFonts w:ascii="宋体" w:hAnsi="宋体" w:eastAsia="宋体" w:cs="宋体"/>
          <w:sz w:val="21"/>
          <w:szCs w:val="21"/>
        </w:rPr>
        <w:t>条〔变更〕约定执行。承包人</w:t>
      </w:r>
      <w:r>
        <w:rPr>
          <w:rFonts w:ascii="宋体" w:hAnsi="宋体" w:eastAsia="宋体" w:cs="宋体"/>
          <w:spacing w:val="-1"/>
          <w:sz w:val="21"/>
          <w:szCs w:val="21"/>
        </w:rPr>
        <w:t>因采取合理措施而增加的费用和（或）延误的工期由发包人承担。</w:t>
      </w:r>
    </w:p>
    <w:p w14:paraId="5CE09794">
      <w:pPr>
        <w:spacing w:before="1" w:line="231" w:lineRule="auto"/>
        <w:outlineLvl w:val="2"/>
        <w:rPr>
          <w:rFonts w:ascii="黑体" w:hAnsi="黑体" w:eastAsia="黑体" w:cs="黑体"/>
          <w:sz w:val="24"/>
          <w:szCs w:val="24"/>
        </w:rPr>
      </w:pPr>
      <w:bookmarkStart w:id="266" w:name="bookmark200"/>
      <w:bookmarkEnd w:id="266"/>
      <w:r>
        <w:rPr>
          <w:rFonts w:ascii="Times New Roman" w:hAnsi="Times New Roman" w:eastAsia="Times New Roman" w:cs="Times New Roman"/>
          <w:b/>
          <w:bCs/>
          <w:spacing w:val="-2"/>
          <w:sz w:val="24"/>
          <w:szCs w:val="24"/>
        </w:rPr>
        <w:t xml:space="preserve">7.7  </w:t>
      </w:r>
      <w:r>
        <w:rPr>
          <w:rFonts w:ascii="黑体" w:hAnsi="黑体" w:eastAsia="黑体" w:cs="黑体"/>
          <w:b/>
          <w:bCs/>
          <w:spacing w:val="-2"/>
          <w:sz w:val="24"/>
          <w:szCs w:val="24"/>
        </w:rPr>
        <w:t>异常恶劣的气候条件</w:t>
      </w:r>
    </w:p>
    <w:p w14:paraId="55B7CD03">
      <w:pPr>
        <w:spacing w:before="123" w:line="352" w:lineRule="auto"/>
        <w:ind w:firstLine="423"/>
        <w:jc w:val="both"/>
        <w:rPr>
          <w:rFonts w:ascii="宋体" w:hAnsi="宋体" w:eastAsia="宋体" w:cs="宋体"/>
          <w:sz w:val="21"/>
          <w:szCs w:val="21"/>
        </w:rPr>
      </w:pPr>
      <w:r>
        <w:rPr>
          <w:rFonts w:ascii="宋体" w:hAnsi="宋体" w:eastAsia="宋体" w:cs="宋体"/>
          <w:sz w:val="21"/>
          <w:szCs w:val="21"/>
        </w:rPr>
        <w:t>异常恶劣的气候条件是指在施工过程中遇到的，有经验的承包人在签订合同时</w:t>
      </w:r>
      <w:r>
        <w:rPr>
          <w:rFonts w:ascii="宋体" w:hAnsi="宋体" w:eastAsia="宋体" w:cs="宋体"/>
          <w:spacing w:val="-1"/>
          <w:sz w:val="21"/>
          <w:szCs w:val="21"/>
        </w:rPr>
        <w:t>不可预见的，</w:t>
      </w:r>
      <w:r>
        <w:rPr>
          <w:rFonts w:ascii="宋体" w:hAnsi="宋体" w:eastAsia="宋体" w:cs="宋体"/>
          <w:sz w:val="21"/>
          <w:szCs w:val="21"/>
        </w:rPr>
        <w:t>对合同履行造成实质性影响的，但尚未构成不可抗力事件的恶劣气候条件。合同当事人可</w:t>
      </w:r>
      <w:r>
        <w:rPr>
          <w:rFonts w:ascii="宋体" w:hAnsi="宋体" w:eastAsia="宋体" w:cs="宋体"/>
          <w:spacing w:val="-1"/>
          <w:sz w:val="21"/>
          <w:szCs w:val="21"/>
        </w:rPr>
        <w:t>以在专</w:t>
      </w:r>
      <w:r>
        <w:rPr>
          <w:rFonts w:ascii="宋体" w:hAnsi="宋体" w:eastAsia="宋体" w:cs="宋体"/>
          <w:sz w:val="21"/>
          <w:szCs w:val="21"/>
        </w:rPr>
        <w:t>用合同条款中约定异常恶劣的气候条件的具体</w:t>
      </w:r>
      <w:r>
        <w:rPr>
          <w:rFonts w:ascii="宋体" w:hAnsi="宋体" w:eastAsia="宋体" w:cs="宋体"/>
          <w:spacing w:val="-1"/>
          <w:sz w:val="21"/>
          <w:szCs w:val="21"/>
        </w:rPr>
        <w:t>情形。</w:t>
      </w:r>
    </w:p>
    <w:p w14:paraId="31A3ED93">
      <w:pPr>
        <w:spacing w:before="1" w:line="344" w:lineRule="auto"/>
        <w:ind w:firstLine="420"/>
        <w:rPr>
          <w:rFonts w:ascii="宋体" w:hAnsi="宋体" w:eastAsia="宋体" w:cs="宋体"/>
          <w:sz w:val="21"/>
          <w:szCs w:val="21"/>
        </w:rPr>
      </w:pPr>
      <w:r>
        <w:rPr>
          <w:rFonts w:ascii="宋体" w:hAnsi="宋体" w:eastAsia="宋体" w:cs="宋体"/>
          <w:sz w:val="21"/>
          <w:szCs w:val="21"/>
        </w:rPr>
        <w:t>承包人应采取克服异常恶劣的气候条件的合理措施继续施工，并及时通知发包人和监</w:t>
      </w:r>
      <w:r>
        <w:rPr>
          <w:rFonts w:ascii="宋体" w:hAnsi="宋体" w:eastAsia="宋体" w:cs="宋体"/>
          <w:spacing w:val="-1"/>
          <w:sz w:val="21"/>
          <w:szCs w:val="21"/>
        </w:rPr>
        <w:t>理人。</w:t>
      </w:r>
      <w:r>
        <w:rPr>
          <w:rFonts w:ascii="宋体" w:hAnsi="宋体" w:eastAsia="宋体" w:cs="宋体"/>
          <w:sz w:val="21"/>
          <w:szCs w:val="21"/>
        </w:rPr>
        <w:t xml:space="preserve">监理人经发包人同意后应当及时发出指示，指示构成变更的，按第 </w:t>
      </w:r>
      <w:r>
        <w:rPr>
          <w:rFonts w:ascii="Times New Roman" w:hAnsi="Times New Roman" w:eastAsia="Times New Roman" w:cs="Times New Roman"/>
          <w:sz w:val="21"/>
          <w:szCs w:val="21"/>
        </w:rPr>
        <w:t xml:space="preserve">10  </w:t>
      </w:r>
      <w:r>
        <w:rPr>
          <w:rFonts w:ascii="宋体" w:hAnsi="宋体" w:eastAsia="宋体" w:cs="宋体"/>
          <w:sz w:val="21"/>
          <w:szCs w:val="21"/>
        </w:rPr>
        <w:t>条〔变更〕约定办</w:t>
      </w:r>
      <w:r>
        <w:rPr>
          <w:rFonts w:ascii="宋体" w:hAnsi="宋体" w:eastAsia="宋体" w:cs="宋体"/>
          <w:spacing w:val="-1"/>
          <w:sz w:val="21"/>
          <w:szCs w:val="21"/>
        </w:rPr>
        <w:t>理。承包人因采取合理措施而增加的费用和（或）延误的工期由发包人承担。</w:t>
      </w:r>
    </w:p>
    <w:p w14:paraId="7B1FD01F">
      <w:pPr>
        <w:spacing w:line="234" w:lineRule="auto"/>
        <w:outlineLvl w:val="2"/>
        <w:rPr>
          <w:rFonts w:ascii="黑体" w:hAnsi="黑体" w:eastAsia="黑体" w:cs="黑体"/>
          <w:sz w:val="24"/>
          <w:szCs w:val="24"/>
        </w:rPr>
      </w:pPr>
      <w:bookmarkStart w:id="267" w:name="bookmark201"/>
      <w:bookmarkEnd w:id="267"/>
      <w:r>
        <w:rPr>
          <w:rFonts w:ascii="Times New Roman" w:hAnsi="Times New Roman" w:eastAsia="Times New Roman" w:cs="Times New Roman"/>
          <w:b/>
          <w:bCs/>
          <w:spacing w:val="-5"/>
          <w:sz w:val="24"/>
          <w:szCs w:val="24"/>
        </w:rPr>
        <w:t>7.8</w:t>
      </w:r>
      <w:r>
        <w:rPr>
          <w:rFonts w:ascii="Times New Roman" w:hAnsi="Times New Roman" w:eastAsia="Times New Roman" w:cs="Times New Roman"/>
          <w:b/>
          <w:bCs/>
          <w:spacing w:val="10"/>
          <w:sz w:val="24"/>
          <w:szCs w:val="24"/>
        </w:rPr>
        <w:t xml:space="preserve">  </w:t>
      </w:r>
      <w:r>
        <w:rPr>
          <w:rFonts w:ascii="黑体" w:hAnsi="黑体" w:eastAsia="黑体" w:cs="黑体"/>
          <w:b/>
          <w:bCs/>
          <w:spacing w:val="-5"/>
          <w:sz w:val="24"/>
          <w:szCs w:val="24"/>
        </w:rPr>
        <w:t>暂停施工</w:t>
      </w:r>
    </w:p>
    <w:p w14:paraId="2A9B4B62">
      <w:pPr>
        <w:spacing w:before="122" w:line="235"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7.8.1 </w:t>
      </w:r>
      <w:r>
        <w:rPr>
          <w:rFonts w:ascii="宋体" w:hAnsi="宋体" w:eastAsia="宋体" w:cs="宋体"/>
          <w:spacing w:val="-1"/>
          <w:sz w:val="21"/>
          <w:szCs w:val="21"/>
        </w:rPr>
        <w:t>发包人原因引起的暂停施工</w:t>
      </w:r>
    </w:p>
    <w:p w14:paraId="6F6D0C34">
      <w:pPr>
        <w:spacing w:before="131" w:line="364" w:lineRule="auto"/>
        <w:ind w:left="7" w:firstLine="429"/>
        <w:rPr>
          <w:rFonts w:ascii="宋体" w:hAnsi="宋体" w:eastAsia="宋体" w:cs="宋体"/>
          <w:sz w:val="21"/>
          <w:szCs w:val="21"/>
        </w:rPr>
      </w:pPr>
      <w:r>
        <w:rPr>
          <w:rFonts w:ascii="宋体" w:hAnsi="宋体" w:eastAsia="宋体" w:cs="宋体"/>
          <w:sz w:val="21"/>
          <w:szCs w:val="21"/>
        </w:rPr>
        <w:t>因发包人原因引起暂停施工的，监理人经发包</w:t>
      </w:r>
      <w:r>
        <w:rPr>
          <w:rFonts w:ascii="宋体" w:hAnsi="宋体" w:eastAsia="宋体" w:cs="宋体"/>
          <w:spacing w:val="-1"/>
          <w:sz w:val="21"/>
          <w:szCs w:val="21"/>
        </w:rPr>
        <w:t>人同意后，应及时下达暂停施工指示。情况紧</w:t>
      </w:r>
      <w:r>
        <w:rPr>
          <w:rFonts w:ascii="宋体" w:hAnsi="宋体" w:eastAsia="宋体" w:cs="宋体"/>
          <w:sz w:val="21"/>
          <w:szCs w:val="21"/>
        </w:rPr>
        <w:t>急且监理人未及时下达暂停施工指示的，按照第</w:t>
      </w:r>
      <w:r>
        <w:rPr>
          <w:rFonts w:ascii="宋体" w:hAnsi="宋体" w:eastAsia="宋体" w:cs="宋体"/>
          <w:spacing w:val="-45"/>
          <w:sz w:val="21"/>
          <w:szCs w:val="21"/>
        </w:rPr>
        <w:t xml:space="preserve"> </w:t>
      </w:r>
      <w:r>
        <w:rPr>
          <w:rFonts w:ascii="Times New Roman" w:hAnsi="Times New Roman" w:eastAsia="Times New Roman" w:cs="Times New Roman"/>
          <w:sz w:val="21"/>
          <w:szCs w:val="21"/>
        </w:rPr>
        <w:t>7.8.4</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项〔紧急情况下的暂停施工〕执行。</w:t>
      </w:r>
    </w:p>
    <w:p w14:paraId="68CB8344">
      <w:pPr>
        <w:spacing w:line="364" w:lineRule="auto"/>
        <w:rPr>
          <w:rFonts w:ascii="宋体" w:hAnsi="宋体" w:eastAsia="宋体" w:cs="宋体"/>
          <w:sz w:val="21"/>
          <w:szCs w:val="21"/>
        </w:rPr>
        <w:sectPr>
          <w:footerReference r:id="rId106" w:type="default"/>
          <w:pgSz w:w="11905" w:h="16843"/>
          <w:pgMar w:top="969" w:right="1355" w:bottom="1026" w:left="1480" w:header="0" w:footer="754" w:gutter="0"/>
          <w:cols w:space="0" w:num="1"/>
          <w:rtlGutter w:val="0"/>
          <w:docGrid w:linePitch="0" w:charSpace="0"/>
        </w:sectPr>
      </w:pPr>
    </w:p>
    <w:p w14:paraId="5AEE189A">
      <w:pPr>
        <w:pStyle w:val="5"/>
        <w:spacing w:line="270" w:lineRule="auto"/>
      </w:pPr>
    </w:p>
    <w:p w14:paraId="5E98CD67">
      <w:pPr>
        <w:pStyle w:val="5"/>
        <w:spacing w:line="270" w:lineRule="auto"/>
      </w:pPr>
    </w:p>
    <w:p w14:paraId="66B82F75">
      <w:pPr>
        <w:pStyle w:val="5"/>
        <w:spacing w:line="271" w:lineRule="auto"/>
      </w:pPr>
    </w:p>
    <w:p w14:paraId="77792E59">
      <w:pPr>
        <w:pStyle w:val="5"/>
        <w:spacing w:line="271" w:lineRule="auto"/>
      </w:pPr>
    </w:p>
    <w:p w14:paraId="1063FE12">
      <w:pPr>
        <w:spacing w:before="68" w:line="352" w:lineRule="auto"/>
        <w:ind w:right="177" w:firstLine="436"/>
        <w:rPr>
          <w:rFonts w:ascii="宋体" w:hAnsi="宋体" w:eastAsia="宋体" w:cs="宋体"/>
          <w:sz w:val="21"/>
          <w:szCs w:val="21"/>
        </w:rPr>
      </w:pPr>
      <w:bookmarkStart w:id="268" w:name="bookmark559"/>
      <w:bookmarkEnd w:id="268"/>
      <w:r>
        <w:rPr>
          <w:rFonts w:ascii="宋体" w:hAnsi="宋体" w:eastAsia="宋体" w:cs="宋体"/>
          <w:sz w:val="21"/>
          <w:szCs w:val="21"/>
        </w:rPr>
        <w:t>因发包人原因引起的暂停施工，发包人应承担</w:t>
      </w:r>
      <w:r>
        <w:rPr>
          <w:rFonts w:ascii="宋体" w:hAnsi="宋体" w:eastAsia="宋体" w:cs="宋体"/>
          <w:spacing w:val="-1"/>
          <w:sz w:val="21"/>
          <w:szCs w:val="21"/>
        </w:rPr>
        <w:t>由此增加的费用和（或）延误的工期，并支付</w:t>
      </w:r>
      <w:r>
        <w:rPr>
          <w:rFonts w:ascii="宋体" w:hAnsi="宋体" w:eastAsia="宋体" w:cs="宋体"/>
          <w:spacing w:val="-3"/>
          <w:sz w:val="21"/>
          <w:szCs w:val="21"/>
        </w:rPr>
        <w:t>承包人合理的利润。</w:t>
      </w:r>
    </w:p>
    <w:p w14:paraId="4EBF15F0">
      <w:pPr>
        <w:spacing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7.8.2  </w:t>
      </w:r>
      <w:r>
        <w:rPr>
          <w:rFonts w:ascii="宋体" w:hAnsi="宋体" w:eastAsia="宋体" w:cs="宋体"/>
          <w:spacing w:val="-1"/>
          <w:sz w:val="21"/>
          <w:szCs w:val="21"/>
        </w:rPr>
        <w:t>承包人原因引起的暂停施工</w:t>
      </w:r>
    </w:p>
    <w:p w14:paraId="53BE4708">
      <w:pPr>
        <w:spacing w:before="130" w:line="350" w:lineRule="auto"/>
        <w:ind w:left="2" w:right="177" w:firstLine="434"/>
        <w:rPr>
          <w:rFonts w:ascii="宋体" w:hAnsi="宋体" w:eastAsia="宋体" w:cs="宋体"/>
          <w:sz w:val="21"/>
          <w:szCs w:val="21"/>
        </w:rPr>
      </w:pPr>
      <w:r>
        <w:rPr>
          <w:rFonts w:ascii="宋体" w:hAnsi="宋体" w:eastAsia="宋体" w:cs="宋体"/>
          <w:sz w:val="21"/>
          <w:szCs w:val="21"/>
        </w:rPr>
        <w:t>因承包人原因引起的暂停施工，承包人应承担</w:t>
      </w:r>
      <w:r>
        <w:rPr>
          <w:rFonts w:ascii="宋体" w:hAnsi="宋体" w:eastAsia="宋体" w:cs="宋体"/>
          <w:spacing w:val="-1"/>
          <w:sz w:val="21"/>
          <w:szCs w:val="21"/>
        </w:rPr>
        <w:t>由此增加的费用和（或）延误的工期，且承包人在收到监理人复工指示后</w:t>
      </w:r>
      <w:r>
        <w:rPr>
          <w:rFonts w:ascii="宋体" w:hAnsi="宋体" w:eastAsia="宋体" w:cs="宋体"/>
          <w:spacing w:val="-35"/>
          <w:sz w:val="21"/>
          <w:szCs w:val="21"/>
        </w:rPr>
        <w:t xml:space="preserve"> </w:t>
      </w:r>
      <w:r>
        <w:rPr>
          <w:rFonts w:ascii="Times New Roman" w:hAnsi="Times New Roman" w:eastAsia="Times New Roman" w:cs="Times New Roman"/>
          <w:spacing w:val="-1"/>
          <w:sz w:val="21"/>
          <w:szCs w:val="21"/>
        </w:rPr>
        <w:t xml:space="preserve">84 </w:t>
      </w:r>
      <w:r>
        <w:rPr>
          <w:rFonts w:ascii="宋体" w:hAnsi="宋体" w:eastAsia="宋体" w:cs="宋体"/>
          <w:spacing w:val="-1"/>
          <w:sz w:val="21"/>
          <w:szCs w:val="21"/>
        </w:rPr>
        <w:t>天内仍未复工的，视为第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16.2.1 </w:t>
      </w:r>
      <w:r>
        <w:rPr>
          <w:rFonts w:ascii="宋体" w:hAnsi="宋体" w:eastAsia="宋体" w:cs="宋体"/>
          <w:spacing w:val="-1"/>
          <w:sz w:val="21"/>
          <w:szCs w:val="21"/>
        </w:rPr>
        <w:t>项〔承包人违约的情形〕第（</w:t>
      </w:r>
      <w:r>
        <w:rPr>
          <w:rFonts w:ascii="Times New Roman" w:hAnsi="Times New Roman" w:eastAsia="Times New Roman" w:cs="Times New Roman"/>
          <w:spacing w:val="-1"/>
          <w:sz w:val="21"/>
          <w:szCs w:val="21"/>
        </w:rPr>
        <w:t>7</w:t>
      </w:r>
      <w:r>
        <w:rPr>
          <w:rFonts w:ascii="宋体" w:hAnsi="宋体" w:eastAsia="宋体" w:cs="宋体"/>
          <w:spacing w:val="-1"/>
          <w:sz w:val="21"/>
          <w:szCs w:val="21"/>
        </w:rPr>
        <w:t>）目约定的承包人无法继续履行合同的情形。</w:t>
      </w:r>
    </w:p>
    <w:p w14:paraId="16B02814">
      <w:pPr>
        <w:spacing w:before="7" w:line="235"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7.8.3  </w:t>
      </w:r>
      <w:r>
        <w:rPr>
          <w:rFonts w:ascii="宋体" w:hAnsi="宋体" w:eastAsia="宋体" w:cs="宋体"/>
          <w:spacing w:val="-1"/>
          <w:sz w:val="21"/>
          <w:szCs w:val="21"/>
        </w:rPr>
        <w:t>指示暂停施工</w:t>
      </w:r>
    </w:p>
    <w:p w14:paraId="529D2BAD">
      <w:pPr>
        <w:spacing w:before="132" w:line="352" w:lineRule="auto"/>
        <w:ind w:left="3" w:right="177" w:firstLine="418"/>
        <w:rPr>
          <w:rFonts w:ascii="宋体" w:hAnsi="宋体" w:eastAsia="宋体" w:cs="宋体"/>
          <w:sz w:val="21"/>
          <w:szCs w:val="21"/>
        </w:rPr>
      </w:pPr>
      <w:r>
        <w:rPr>
          <w:rFonts w:ascii="宋体" w:hAnsi="宋体" w:eastAsia="宋体" w:cs="宋体"/>
          <w:sz w:val="21"/>
          <w:szCs w:val="21"/>
        </w:rPr>
        <w:t>监理人认为有必要时，并经发包人批准后，可向承包人作出暂停施工的指示，承包</w:t>
      </w:r>
      <w:r>
        <w:rPr>
          <w:rFonts w:ascii="宋体" w:hAnsi="宋体" w:eastAsia="宋体" w:cs="宋体"/>
          <w:spacing w:val="-1"/>
          <w:sz w:val="21"/>
          <w:szCs w:val="21"/>
        </w:rPr>
        <w:t>人应按监</w:t>
      </w:r>
      <w:r>
        <w:rPr>
          <w:rFonts w:ascii="宋体" w:hAnsi="宋体" w:eastAsia="宋体" w:cs="宋体"/>
          <w:spacing w:val="-3"/>
          <w:sz w:val="21"/>
          <w:szCs w:val="21"/>
        </w:rPr>
        <w:t>理人指示暂停施工。</w:t>
      </w:r>
    </w:p>
    <w:p w14:paraId="072DE92E">
      <w:pPr>
        <w:spacing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7.8.4  </w:t>
      </w:r>
      <w:r>
        <w:rPr>
          <w:rFonts w:ascii="宋体" w:hAnsi="宋体" w:eastAsia="宋体" w:cs="宋体"/>
          <w:spacing w:val="-1"/>
          <w:sz w:val="21"/>
          <w:szCs w:val="21"/>
        </w:rPr>
        <w:t>紧急情况下的暂停施工</w:t>
      </w:r>
    </w:p>
    <w:p w14:paraId="15313150">
      <w:pPr>
        <w:spacing w:before="133" w:line="352" w:lineRule="auto"/>
        <w:ind w:right="177" w:firstLine="436"/>
        <w:rPr>
          <w:rFonts w:ascii="宋体" w:hAnsi="宋体" w:eastAsia="宋体" w:cs="宋体"/>
          <w:sz w:val="21"/>
          <w:szCs w:val="21"/>
        </w:rPr>
      </w:pPr>
      <w:r>
        <w:rPr>
          <w:rFonts w:ascii="宋体" w:hAnsi="宋体" w:eastAsia="宋体" w:cs="宋体"/>
          <w:sz w:val="21"/>
          <w:szCs w:val="21"/>
        </w:rPr>
        <w:t>因紧急情况需暂停施工，且监理人未及时下达</w:t>
      </w:r>
      <w:r>
        <w:rPr>
          <w:rFonts w:ascii="宋体" w:hAnsi="宋体" w:eastAsia="宋体" w:cs="宋体"/>
          <w:spacing w:val="-1"/>
          <w:sz w:val="21"/>
          <w:szCs w:val="21"/>
        </w:rPr>
        <w:t>暂停施工指示的，承包人可先暂停施工，并及</w:t>
      </w:r>
      <w:r>
        <w:rPr>
          <w:rFonts w:ascii="宋体" w:hAnsi="宋体" w:eastAsia="宋体" w:cs="宋体"/>
          <w:sz w:val="21"/>
          <w:szCs w:val="21"/>
        </w:rPr>
        <w:t xml:space="preserve">时通知监理人。监理人应在接到通知后 </w:t>
      </w:r>
      <w:r>
        <w:rPr>
          <w:rFonts w:ascii="Times New Roman" w:hAnsi="Times New Roman" w:eastAsia="Times New Roman" w:cs="Times New Roman"/>
          <w:sz w:val="21"/>
          <w:szCs w:val="21"/>
        </w:rPr>
        <w:t xml:space="preserve">24  </w:t>
      </w:r>
      <w:r>
        <w:rPr>
          <w:rFonts w:ascii="宋体" w:hAnsi="宋体" w:eastAsia="宋体" w:cs="宋体"/>
          <w:sz w:val="21"/>
          <w:szCs w:val="21"/>
        </w:rPr>
        <w:t>小时内发出指示，逾期未发出指示，视为同</w:t>
      </w:r>
      <w:r>
        <w:rPr>
          <w:rFonts w:ascii="宋体" w:hAnsi="宋体" w:eastAsia="宋体" w:cs="宋体"/>
          <w:spacing w:val="-1"/>
          <w:sz w:val="21"/>
          <w:szCs w:val="21"/>
        </w:rPr>
        <w:t>意承包人</w:t>
      </w:r>
      <w:r>
        <w:rPr>
          <w:rFonts w:ascii="宋体" w:hAnsi="宋体" w:eastAsia="宋体" w:cs="宋体"/>
          <w:sz w:val="21"/>
          <w:szCs w:val="21"/>
        </w:rPr>
        <w:t>暂停施工。监理人不同意承包人暂停施工的，应说明理由，承包人对监理人的答复有异议</w:t>
      </w:r>
      <w:r>
        <w:rPr>
          <w:rFonts w:ascii="宋体" w:hAnsi="宋体" w:eastAsia="宋体" w:cs="宋体"/>
          <w:spacing w:val="-1"/>
          <w:sz w:val="21"/>
          <w:szCs w:val="21"/>
        </w:rPr>
        <w:t>，按照</w:t>
      </w:r>
      <w:r>
        <w:rPr>
          <w:rFonts w:ascii="宋体" w:hAnsi="宋体" w:eastAsia="宋体" w:cs="宋体"/>
          <w:spacing w:val="-2"/>
          <w:sz w:val="21"/>
          <w:szCs w:val="21"/>
        </w:rPr>
        <w:t>第</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 xml:space="preserve">20 </w:t>
      </w:r>
      <w:r>
        <w:rPr>
          <w:rFonts w:ascii="宋体" w:hAnsi="宋体" w:eastAsia="宋体" w:cs="宋体"/>
          <w:spacing w:val="-2"/>
          <w:sz w:val="21"/>
          <w:szCs w:val="21"/>
        </w:rPr>
        <w:t>条〔争议解决〕约定处理。</w:t>
      </w:r>
    </w:p>
    <w:p w14:paraId="1E83D7D1">
      <w:pPr>
        <w:spacing w:before="1" w:line="235"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7.8.5  </w:t>
      </w:r>
      <w:r>
        <w:rPr>
          <w:rFonts w:ascii="宋体" w:hAnsi="宋体" w:eastAsia="宋体" w:cs="宋体"/>
          <w:spacing w:val="-1"/>
          <w:sz w:val="21"/>
          <w:szCs w:val="21"/>
        </w:rPr>
        <w:t>暂停施工后的复工</w:t>
      </w:r>
    </w:p>
    <w:p w14:paraId="0D1E3526">
      <w:pPr>
        <w:spacing w:before="130" w:line="352" w:lineRule="auto"/>
        <w:ind w:right="177" w:firstLine="427"/>
        <w:rPr>
          <w:rFonts w:ascii="宋体" w:hAnsi="宋体" w:eastAsia="宋体" w:cs="宋体"/>
          <w:sz w:val="21"/>
          <w:szCs w:val="21"/>
        </w:rPr>
      </w:pPr>
      <w:r>
        <w:rPr>
          <w:rFonts w:ascii="宋体" w:hAnsi="宋体" w:eastAsia="宋体" w:cs="宋体"/>
          <w:sz w:val="21"/>
          <w:szCs w:val="21"/>
        </w:rPr>
        <w:t>暂停施工后，发包人和承包人应采取有效措施积极消除暂停施工的影</w:t>
      </w:r>
      <w:r>
        <w:rPr>
          <w:rFonts w:ascii="宋体" w:hAnsi="宋体" w:eastAsia="宋体" w:cs="宋体"/>
          <w:spacing w:val="-1"/>
          <w:sz w:val="21"/>
          <w:szCs w:val="21"/>
        </w:rPr>
        <w:t>响。在工程复工前，监</w:t>
      </w:r>
      <w:r>
        <w:rPr>
          <w:rFonts w:ascii="宋体" w:hAnsi="宋体" w:eastAsia="宋体" w:cs="宋体"/>
          <w:sz w:val="21"/>
          <w:szCs w:val="21"/>
        </w:rPr>
        <w:t>理人会同发包人和承包人确定因暂停施工造成的损失，并确定工程复工条件。当工程具备</w:t>
      </w:r>
      <w:r>
        <w:rPr>
          <w:rFonts w:ascii="宋体" w:hAnsi="宋体" w:eastAsia="宋体" w:cs="宋体"/>
          <w:spacing w:val="-1"/>
          <w:sz w:val="21"/>
          <w:szCs w:val="21"/>
        </w:rPr>
        <w:t>复工条</w:t>
      </w:r>
      <w:r>
        <w:rPr>
          <w:rFonts w:ascii="宋体" w:hAnsi="宋体" w:eastAsia="宋体" w:cs="宋体"/>
          <w:sz w:val="21"/>
          <w:szCs w:val="21"/>
        </w:rPr>
        <w:t>件时，监理人应经发包人批准后向承包人发出复工通知</w:t>
      </w:r>
      <w:r>
        <w:rPr>
          <w:rFonts w:ascii="宋体" w:hAnsi="宋体" w:eastAsia="宋体" w:cs="宋体"/>
          <w:spacing w:val="-1"/>
          <w:sz w:val="21"/>
          <w:szCs w:val="21"/>
        </w:rPr>
        <w:t>，承包人应按照复工通知要求复工。</w:t>
      </w:r>
    </w:p>
    <w:p w14:paraId="1520F85C">
      <w:pPr>
        <w:spacing w:line="352" w:lineRule="auto"/>
        <w:ind w:left="5" w:right="177" w:firstLine="414"/>
        <w:rPr>
          <w:rFonts w:ascii="宋体" w:hAnsi="宋体" w:eastAsia="宋体" w:cs="宋体"/>
          <w:sz w:val="21"/>
          <w:szCs w:val="21"/>
        </w:rPr>
      </w:pPr>
      <w:r>
        <w:rPr>
          <w:rFonts w:ascii="宋体" w:hAnsi="宋体" w:eastAsia="宋体" w:cs="宋体"/>
          <w:sz w:val="21"/>
          <w:szCs w:val="21"/>
        </w:rPr>
        <w:t>承包人无故拖延和拒绝复工的，承包人承担由此增加的费用和（或）延误的工期；</w:t>
      </w:r>
      <w:r>
        <w:rPr>
          <w:rFonts w:ascii="宋体" w:hAnsi="宋体" w:eastAsia="宋体" w:cs="宋体"/>
          <w:spacing w:val="-1"/>
          <w:sz w:val="21"/>
          <w:szCs w:val="21"/>
        </w:rPr>
        <w:t>因发包人原因无法按时复工的，按照第</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 xml:space="preserve">7.5.1 </w:t>
      </w:r>
      <w:r>
        <w:rPr>
          <w:rFonts w:ascii="宋体" w:hAnsi="宋体" w:eastAsia="宋体" w:cs="宋体"/>
          <w:spacing w:val="-1"/>
          <w:sz w:val="21"/>
          <w:szCs w:val="21"/>
        </w:rPr>
        <w:t>项〔因发包人原因导致工期延误〕约定办理。</w:t>
      </w:r>
    </w:p>
    <w:p w14:paraId="0EDAEA43">
      <w:pPr>
        <w:spacing w:before="1" w:line="234" w:lineRule="auto"/>
        <w:ind w:left="420"/>
        <w:rPr>
          <w:rFonts w:ascii="宋体" w:hAnsi="宋体" w:eastAsia="宋体" w:cs="宋体"/>
          <w:sz w:val="21"/>
          <w:szCs w:val="21"/>
        </w:rPr>
      </w:pPr>
      <w:r>
        <w:rPr>
          <w:rFonts w:ascii="Times New Roman" w:hAnsi="Times New Roman" w:eastAsia="Times New Roman" w:cs="Times New Roman"/>
          <w:spacing w:val="-2"/>
          <w:sz w:val="21"/>
          <w:szCs w:val="21"/>
        </w:rPr>
        <w:t xml:space="preserve">7.8.6  </w:t>
      </w:r>
      <w:r>
        <w:rPr>
          <w:rFonts w:ascii="宋体" w:hAnsi="宋体" w:eastAsia="宋体" w:cs="宋体"/>
          <w:spacing w:val="-2"/>
          <w:sz w:val="21"/>
          <w:szCs w:val="21"/>
        </w:rPr>
        <w:t>暂停施工持续</w:t>
      </w:r>
      <w:r>
        <w:rPr>
          <w:rFonts w:ascii="宋体" w:hAnsi="宋体" w:eastAsia="宋体" w:cs="宋体"/>
          <w:spacing w:val="-34"/>
          <w:sz w:val="21"/>
          <w:szCs w:val="21"/>
        </w:rPr>
        <w:t xml:space="preserve"> </w:t>
      </w:r>
      <w:r>
        <w:rPr>
          <w:rFonts w:ascii="Times New Roman" w:hAnsi="Times New Roman" w:eastAsia="Times New Roman" w:cs="Times New Roman"/>
          <w:spacing w:val="-2"/>
          <w:sz w:val="21"/>
          <w:szCs w:val="21"/>
        </w:rPr>
        <w:t>56</w:t>
      </w:r>
      <w:r>
        <w:rPr>
          <w:rFonts w:ascii="Times New Roman" w:hAnsi="Times New Roman" w:eastAsia="Times New Roman" w:cs="Times New Roman"/>
          <w:spacing w:val="12"/>
          <w:sz w:val="21"/>
          <w:szCs w:val="21"/>
        </w:rPr>
        <w:t xml:space="preserve"> </w:t>
      </w:r>
      <w:r>
        <w:rPr>
          <w:rFonts w:ascii="宋体" w:hAnsi="宋体" w:eastAsia="宋体" w:cs="宋体"/>
          <w:spacing w:val="-2"/>
          <w:sz w:val="21"/>
          <w:szCs w:val="21"/>
        </w:rPr>
        <w:t>天以上</w:t>
      </w:r>
    </w:p>
    <w:p w14:paraId="7DA928CB">
      <w:pPr>
        <w:spacing w:before="132" w:line="352" w:lineRule="auto"/>
        <w:ind w:left="3" w:right="177" w:firstLine="418"/>
        <w:rPr>
          <w:rFonts w:ascii="宋体" w:hAnsi="宋体" w:eastAsia="宋体" w:cs="宋体"/>
          <w:sz w:val="21"/>
          <w:szCs w:val="21"/>
        </w:rPr>
      </w:pPr>
      <w:r>
        <w:rPr>
          <w:rFonts w:ascii="宋体" w:hAnsi="宋体" w:eastAsia="宋体" w:cs="宋体"/>
          <w:sz w:val="21"/>
          <w:szCs w:val="21"/>
        </w:rPr>
        <w:t xml:space="preserve">监理人发出暂停施工指示后 </w:t>
      </w:r>
      <w:r>
        <w:rPr>
          <w:rFonts w:ascii="Times New Roman" w:hAnsi="Times New Roman" w:eastAsia="Times New Roman" w:cs="Times New Roman"/>
          <w:sz w:val="21"/>
          <w:szCs w:val="21"/>
        </w:rPr>
        <w:t xml:space="preserve">56  </w:t>
      </w:r>
      <w:r>
        <w:rPr>
          <w:rFonts w:ascii="宋体" w:hAnsi="宋体" w:eastAsia="宋体" w:cs="宋体"/>
          <w:sz w:val="21"/>
          <w:szCs w:val="21"/>
        </w:rPr>
        <w:t xml:space="preserve">天内未向承包人发出复工通知，除该项停工属于第 </w:t>
      </w:r>
      <w:r>
        <w:rPr>
          <w:rFonts w:ascii="Times New Roman" w:hAnsi="Times New Roman" w:eastAsia="Times New Roman" w:cs="Times New Roman"/>
          <w:sz w:val="21"/>
          <w:szCs w:val="21"/>
        </w:rPr>
        <w:t>7.8.</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项</w:t>
      </w:r>
      <w:r>
        <w:rPr>
          <w:rFonts w:ascii="宋体" w:hAnsi="宋体" w:eastAsia="宋体" w:cs="宋体"/>
          <w:sz w:val="21"/>
          <w:szCs w:val="21"/>
        </w:rPr>
        <w:t xml:space="preserve">〔承包人原因引起的暂停施工〕及第 </w:t>
      </w:r>
      <w:r>
        <w:rPr>
          <w:rFonts w:ascii="Times New Roman" w:hAnsi="Times New Roman" w:eastAsia="Times New Roman" w:cs="Times New Roman"/>
          <w:sz w:val="21"/>
          <w:szCs w:val="21"/>
        </w:rPr>
        <w:t xml:space="preserve">17  </w:t>
      </w:r>
      <w:r>
        <w:rPr>
          <w:rFonts w:ascii="宋体" w:hAnsi="宋体" w:eastAsia="宋体" w:cs="宋体"/>
          <w:sz w:val="21"/>
          <w:szCs w:val="21"/>
        </w:rPr>
        <w:t>条〔不可抗力〕约定的情形外，承包人可</w:t>
      </w:r>
      <w:r>
        <w:rPr>
          <w:rFonts w:ascii="宋体" w:hAnsi="宋体" w:eastAsia="宋体" w:cs="宋体"/>
          <w:spacing w:val="-1"/>
          <w:sz w:val="21"/>
          <w:szCs w:val="21"/>
        </w:rPr>
        <w:t>向发包人提交</w:t>
      </w:r>
      <w:r>
        <w:rPr>
          <w:rFonts w:ascii="宋体" w:hAnsi="宋体" w:eastAsia="宋体" w:cs="宋体"/>
          <w:sz w:val="21"/>
          <w:szCs w:val="21"/>
        </w:rPr>
        <w:t xml:space="preserve">书面通知，要求发包人在收到书面通知后 </w:t>
      </w:r>
      <w:r>
        <w:rPr>
          <w:rFonts w:ascii="Times New Roman" w:hAnsi="Times New Roman" w:eastAsia="Times New Roman" w:cs="Times New Roman"/>
          <w:sz w:val="21"/>
          <w:szCs w:val="21"/>
        </w:rPr>
        <w:t xml:space="preserve">28  </w:t>
      </w:r>
      <w:r>
        <w:rPr>
          <w:rFonts w:ascii="宋体" w:hAnsi="宋体" w:eastAsia="宋体" w:cs="宋体"/>
          <w:sz w:val="21"/>
          <w:szCs w:val="21"/>
        </w:rPr>
        <w:t>天内准许已暂停施工的部分或全部工</w:t>
      </w:r>
      <w:r>
        <w:rPr>
          <w:rFonts w:ascii="宋体" w:hAnsi="宋体" w:eastAsia="宋体" w:cs="宋体"/>
          <w:spacing w:val="-1"/>
          <w:sz w:val="21"/>
          <w:szCs w:val="21"/>
        </w:rPr>
        <w:t>程继续施工。</w:t>
      </w:r>
      <w:r>
        <w:rPr>
          <w:rFonts w:ascii="宋体" w:hAnsi="宋体" w:eastAsia="宋体" w:cs="宋体"/>
          <w:sz w:val="21"/>
          <w:szCs w:val="21"/>
        </w:rPr>
        <w:t>发包人逾期不予批准的，则承包人可以通知发包人，将工程受影响的部分视为按第</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10.1  </w:t>
      </w:r>
      <w:r>
        <w:rPr>
          <w:rFonts w:ascii="宋体" w:hAnsi="宋体" w:eastAsia="宋体" w:cs="宋体"/>
          <w:sz w:val="21"/>
          <w:szCs w:val="21"/>
        </w:rPr>
        <w:t>款〔变</w:t>
      </w:r>
      <w:r>
        <w:rPr>
          <w:rFonts w:ascii="宋体" w:hAnsi="宋体" w:eastAsia="宋体" w:cs="宋体"/>
          <w:spacing w:val="-2"/>
          <w:sz w:val="21"/>
          <w:szCs w:val="21"/>
        </w:rPr>
        <w:t>更的范围〕第（</w:t>
      </w:r>
      <w:r>
        <w:rPr>
          <w:rFonts w:ascii="Times New Roman" w:hAnsi="Times New Roman" w:eastAsia="Times New Roman" w:cs="Times New Roman"/>
          <w:spacing w:val="-2"/>
          <w:sz w:val="21"/>
          <w:szCs w:val="21"/>
        </w:rPr>
        <w:t>2</w:t>
      </w:r>
      <w:r>
        <w:rPr>
          <w:rFonts w:ascii="宋体" w:hAnsi="宋体" w:eastAsia="宋体" w:cs="宋体"/>
          <w:spacing w:val="-2"/>
          <w:sz w:val="21"/>
          <w:szCs w:val="21"/>
        </w:rPr>
        <w:t>）项的可取消工作。</w:t>
      </w:r>
    </w:p>
    <w:p w14:paraId="1C8DA5A1">
      <w:pPr>
        <w:spacing w:before="2" w:line="351" w:lineRule="auto"/>
        <w:ind w:left="2" w:right="177" w:firstLine="424"/>
        <w:jc w:val="both"/>
        <w:rPr>
          <w:rFonts w:ascii="宋体" w:hAnsi="宋体" w:eastAsia="宋体" w:cs="宋体"/>
          <w:sz w:val="21"/>
          <w:szCs w:val="21"/>
        </w:rPr>
      </w:pPr>
      <w:r>
        <w:rPr>
          <w:rFonts w:ascii="宋体" w:hAnsi="宋体" w:eastAsia="宋体" w:cs="宋体"/>
          <w:spacing w:val="-1"/>
          <w:sz w:val="21"/>
          <w:szCs w:val="21"/>
        </w:rPr>
        <w:t>暂停施工持续</w:t>
      </w:r>
      <w:r>
        <w:rPr>
          <w:rFonts w:ascii="宋体" w:hAnsi="宋体" w:eastAsia="宋体" w:cs="宋体"/>
          <w:spacing w:val="-24"/>
          <w:sz w:val="21"/>
          <w:szCs w:val="21"/>
        </w:rPr>
        <w:t xml:space="preserve"> </w:t>
      </w:r>
      <w:r>
        <w:rPr>
          <w:rFonts w:ascii="Times New Roman" w:hAnsi="Times New Roman" w:eastAsia="Times New Roman" w:cs="Times New Roman"/>
          <w:spacing w:val="-1"/>
          <w:sz w:val="21"/>
          <w:szCs w:val="21"/>
        </w:rPr>
        <w:t xml:space="preserve">84 </w:t>
      </w:r>
      <w:r>
        <w:rPr>
          <w:rFonts w:ascii="宋体" w:hAnsi="宋体" w:eastAsia="宋体" w:cs="宋体"/>
          <w:spacing w:val="-1"/>
          <w:sz w:val="21"/>
          <w:szCs w:val="21"/>
        </w:rPr>
        <w:t>天以上不复工的，且不属于第</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 xml:space="preserve">7.8.2 </w:t>
      </w:r>
      <w:r>
        <w:rPr>
          <w:rFonts w:ascii="宋体" w:hAnsi="宋体" w:eastAsia="宋体" w:cs="宋体"/>
          <w:spacing w:val="-1"/>
          <w:sz w:val="21"/>
          <w:szCs w:val="21"/>
        </w:rPr>
        <w:t>项〔承包人原因引起的暂停施工〕及第</w:t>
      </w:r>
      <w:r>
        <w:rPr>
          <w:rFonts w:ascii="Times New Roman" w:hAnsi="Times New Roman" w:eastAsia="Times New Roman" w:cs="Times New Roman"/>
          <w:spacing w:val="2"/>
          <w:sz w:val="21"/>
          <w:szCs w:val="21"/>
        </w:rPr>
        <w:t xml:space="preserve">17  </w:t>
      </w:r>
      <w:r>
        <w:rPr>
          <w:rFonts w:ascii="宋体" w:hAnsi="宋体" w:eastAsia="宋体" w:cs="宋体"/>
          <w:spacing w:val="2"/>
          <w:sz w:val="21"/>
          <w:szCs w:val="21"/>
        </w:rPr>
        <w:t>条〔不可抗力〕约定的情形，并影响到整个工程以及合同目的实现的，承包人有权提出价格</w:t>
      </w:r>
      <w:r>
        <w:rPr>
          <w:rFonts w:ascii="宋体" w:hAnsi="宋体" w:eastAsia="宋体" w:cs="宋体"/>
          <w:spacing w:val="-1"/>
          <w:sz w:val="21"/>
          <w:szCs w:val="21"/>
        </w:rPr>
        <w:t>调整要求，或者解除合同。解除合同的，按照第</w:t>
      </w:r>
      <w:r>
        <w:rPr>
          <w:rFonts w:ascii="宋体" w:hAnsi="宋体" w:eastAsia="宋体" w:cs="宋体"/>
          <w:spacing w:val="-15"/>
          <w:sz w:val="21"/>
          <w:szCs w:val="21"/>
        </w:rPr>
        <w:t xml:space="preserve"> </w:t>
      </w:r>
      <w:r>
        <w:rPr>
          <w:rFonts w:ascii="Times New Roman" w:hAnsi="Times New Roman" w:eastAsia="Times New Roman" w:cs="Times New Roman"/>
          <w:spacing w:val="-1"/>
          <w:sz w:val="21"/>
          <w:szCs w:val="21"/>
        </w:rPr>
        <w:t xml:space="preserve">16.1.3 </w:t>
      </w:r>
      <w:r>
        <w:rPr>
          <w:rFonts w:ascii="宋体" w:hAnsi="宋体" w:eastAsia="宋体" w:cs="宋体"/>
          <w:spacing w:val="-1"/>
          <w:sz w:val="21"/>
          <w:szCs w:val="21"/>
        </w:rPr>
        <w:t>项〔因发包人违约解除合同〕执行。</w:t>
      </w:r>
    </w:p>
    <w:p w14:paraId="061BF23E">
      <w:pPr>
        <w:spacing w:before="1" w:line="234"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7.8.7  </w:t>
      </w:r>
      <w:r>
        <w:rPr>
          <w:rFonts w:ascii="宋体" w:hAnsi="宋体" w:eastAsia="宋体" w:cs="宋体"/>
          <w:spacing w:val="-1"/>
          <w:sz w:val="21"/>
          <w:szCs w:val="21"/>
        </w:rPr>
        <w:t>暂停施工期间的工程照管</w:t>
      </w:r>
    </w:p>
    <w:p w14:paraId="0EA0E108">
      <w:pPr>
        <w:spacing w:before="131" w:line="220" w:lineRule="auto"/>
        <w:jc w:val="right"/>
        <w:rPr>
          <w:rFonts w:ascii="宋体" w:hAnsi="宋体" w:eastAsia="宋体" w:cs="宋体"/>
          <w:sz w:val="21"/>
          <w:szCs w:val="21"/>
        </w:rPr>
      </w:pPr>
      <w:r>
        <w:rPr>
          <w:rFonts w:ascii="宋体" w:hAnsi="宋体" w:eastAsia="宋体" w:cs="宋体"/>
          <w:spacing w:val="-1"/>
          <w:sz w:val="21"/>
          <w:szCs w:val="21"/>
        </w:rPr>
        <w:t>暂停施工期间，承包人应负责妥善照管工程并提供安全保障，由此增加的费用由责任方承</w:t>
      </w:r>
      <w:r>
        <w:rPr>
          <w:rFonts w:ascii="宋体" w:hAnsi="宋体" w:eastAsia="宋体" w:cs="宋体"/>
          <w:spacing w:val="-2"/>
          <w:sz w:val="21"/>
          <w:szCs w:val="21"/>
        </w:rPr>
        <w:t>担。</w:t>
      </w:r>
    </w:p>
    <w:p w14:paraId="113B2854">
      <w:pPr>
        <w:spacing w:before="151" w:line="235" w:lineRule="auto"/>
        <w:ind w:left="420"/>
        <w:rPr>
          <w:rFonts w:ascii="宋体" w:hAnsi="宋体" w:eastAsia="宋体" w:cs="宋体"/>
          <w:sz w:val="21"/>
          <w:szCs w:val="21"/>
        </w:rPr>
      </w:pPr>
      <w:r>
        <w:rPr>
          <w:rFonts w:ascii="Times New Roman" w:hAnsi="Times New Roman" w:eastAsia="Times New Roman" w:cs="Times New Roman"/>
          <w:spacing w:val="-1"/>
          <w:sz w:val="21"/>
          <w:szCs w:val="21"/>
        </w:rPr>
        <w:t xml:space="preserve">7.8.8  </w:t>
      </w:r>
      <w:r>
        <w:rPr>
          <w:rFonts w:ascii="宋体" w:hAnsi="宋体" w:eastAsia="宋体" w:cs="宋体"/>
          <w:spacing w:val="-1"/>
          <w:sz w:val="21"/>
          <w:szCs w:val="21"/>
        </w:rPr>
        <w:t>暂停施工的措施</w:t>
      </w:r>
    </w:p>
    <w:p w14:paraId="63824EB2">
      <w:pPr>
        <w:spacing w:before="133" w:line="353" w:lineRule="auto"/>
        <w:ind w:right="177" w:firstLine="426"/>
        <w:rPr>
          <w:rFonts w:ascii="宋体" w:hAnsi="宋体" w:eastAsia="宋体" w:cs="宋体"/>
          <w:sz w:val="21"/>
          <w:szCs w:val="21"/>
        </w:rPr>
      </w:pPr>
      <w:r>
        <w:rPr>
          <w:rFonts w:ascii="宋体" w:hAnsi="宋体" w:eastAsia="宋体" w:cs="宋体"/>
          <w:sz w:val="21"/>
          <w:szCs w:val="21"/>
        </w:rPr>
        <w:t>暂停施工期间，发包人和承包人均应采取必要的措施确保工程质量及</w:t>
      </w:r>
      <w:r>
        <w:rPr>
          <w:rFonts w:ascii="宋体" w:hAnsi="宋体" w:eastAsia="宋体" w:cs="宋体"/>
          <w:spacing w:val="-1"/>
          <w:sz w:val="21"/>
          <w:szCs w:val="21"/>
        </w:rPr>
        <w:t>安全，防止因暂停施工</w:t>
      </w:r>
      <w:r>
        <w:rPr>
          <w:rFonts w:ascii="宋体" w:hAnsi="宋体" w:eastAsia="宋体" w:cs="宋体"/>
          <w:spacing w:val="-5"/>
          <w:sz w:val="21"/>
          <w:szCs w:val="21"/>
        </w:rPr>
        <w:t>扩大损失。</w:t>
      </w:r>
    </w:p>
    <w:p w14:paraId="135C1588">
      <w:pPr>
        <w:spacing w:line="353" w:lineRule="auto"/>
        <w:rPr>
          <w:rFonts w:ascii="宋体" w:hAnsi="宋体" w:eastAsia="宋体" w:cs="宋体"/>
          <w:sz w:val="21"/>
          <w:szCs w:val="21"/>
        </w:rPr>
        <w:sectPr>
          <w:footerReference r:id="rId107" w:type="default"/>
          <w:pgSz w:w="11905" w:h="16843"/>
          <w:pgMar w:top="969" w:right="1355" w:bottom="1026" w:left="1480" w:header="0" w:footer="754" w:gutter="0"/>
          <w:cols w:space="0" w:num="1"/>
          <w:rtlGutter w:val="0"/>
          <w:docGrid w:linePitch="0" w:charSpace="0"/>
        </w:sectPr>
      </w:pPr>
    </w:p>
    <w:p w14:paraId="1E7CA800">
      <w:pPr>
        <w:pStyle w:val="5"/>
        <w:spacing w:line="261" w:lineRule="auto"/>
      </w:pPr>
    </w:p>
    <w:p w14:paraId="2937DC6B">
      <w:pPr>
        <w:pStyle w:val="5"/>
        <w:spacing w:line="262" w:lineRule="auto"/>
      </w:pPr>
    </w:p>
    <w:p w14:paraId="2BD4EBB2">
      <w:pPr>
        <w:pStyle w:val="5"/>
        <w:spacing w:line="262" w:lineRule="auto"/>
      </w:pPr>
    </w:p>
    <w:p w14:paraId="5A7BE9C6">
      <w:pPr>
        <w:pStyle w:val="5"/>
        <w:spacing w:line="262" w:lineRule="auto"/>
      </w:pPr>
    </w:p>
    <w:p w14:paraId="29C39720">
      <w:pPr>
        <w:spacing w:before="78" w:line="232" w:lineRule="auto"/>
        <w:outlineLvl w:val="2"/>
        <w:rPr>
          <w:rFonts w:ascii="黑体" w:hAnsi="黑体" w:eastAsia="黑体" w:cs="黑体"/>
          <w:sz w:val="24"/>
          <w:szCs w:val="24"/>
        </w:rPr>
      </w:pPr>
      <w:bookmarkStart w:id="269" w:name="bookmark202"/>
      <w:bookmarkEnd w:id="269"/>
      <w:bookmarkStart w:id="270" w:name="bookmark560"/>
      <w:bookmarkEnd w:id="270"/>
      <w:r>
        <w:rPr>
          <w:rFonts w:ascii="Times New Roman" w:hAnsi="Times New Roman" w:eastAsia="Times New Roman" w:cs="Times New Roman"/>
          <w:b/>
          <w:bCs/>
          <w:spacing w:val="-2"/>
          <w:sz w:val="24"/>
          <w:szCs w:val="24"/>
        </w:rPr>
        <w:t xml:space="preserve">7.9 </w:t>
      </w:r>
      <w:r>
        <w:rPr>
          <w:rFonts w:ascii="黑体" w:hAnsi="黑体" w:eastAsia="黑体" w:cs="黑体"/>
          <w:b/>
          <w:bCs/>
          <w:spacing w:val="-2"/>
          <w:sz w:val="24"/>
          <w:szCs w:val="24"/>
        </w:rPr>
        <w:t>提前竣工</w:t>
      </w:r>
    </w:p>
    <w:p w14:paraId="1905172D">
      <w:pPr>
        <w:spacing w:before="121" w:line="330" w:lineRule="auto"/>
        <w:ind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7.9.1  </w:t>
      </w:r>
      <w:r>
        <w:rPr>
          <w:rFonts w:ascii="宋体" w:hAnsi="宋体" w:eastAsia="宋体" w:cs="宋体"/>
          <w:spacing w:val="2"/>
          <w:sz w:val="21"/>
          <w:szCs w:val="21"/>
        </w:rPr>
        <w:t>发包人要求承包人提前竣工的，发包人应通过监理人向承包人下达提</w:t>
      </w:r>
      <w:r>
        <w:rPr>
          <w:rFonts w:ascii="宋体" w:hAnsi="宋体" w:eastAsia="宋体" w:cs="宋体"/>
          <w:spacing w:val="1"/>
          <w:sz w:val="21"/>
          <w:szCs w:val="21"/>
        </w:rPr>
        <w:t>前竣工指示，承</w:t>
      </w:r>
      <w:r>
        <w:rPr>
          <w:rFonts w:ascii="宋体" w:hAnsi="宋体" w:eastAsia="宋体" w:cs="宋体"/>
          <w:spacing w:val="-1"/>
          <w:sz w:val="21"/>
          <w:szCs w:val="21"/>
        </w:rPr>
        <w:t>包人应向发包人和监理人提交提前竣工建议书，提前竣工建议书应包括实施的方案、缩短的时间、</w:t>
      </w:r>
      <w:r>
        <w:rPr>
          <w:rFonts w:ascii="宋体" w:hAnsi="宋体" w:eastAsia="宋体" w:cs="宋体"/>
          <w:sz w:val="21"/>
          <w:szCs w:val="21"/>
        </w:rPr>
        <w:t>增加的合同价格等内容。发包人接受该提前竣工建议书的，监理人应与发包人和承包人协</w:t>
      </w:r>
      <w:r>
        <w:rPr>
          <w:rFonts w:ascii="宋体" w:hAnsi="宋体" w:eastAsia="宋体" w:cs="宋体"/>
          <w:spacing w:val="-1"/>
          <w:sz w:val="21"/>
          <w:szCs w:val="21"/>
        </w:rPr>
        <w:t>商采取</w:t>
      </w:r>
      <w:r>
        <w:rPr>
          <w:rFonts w:ascii="宋体" w:hAnsi="宋体" w:eastAsia="宋体" w:cs="宋体"/>
          <w:sz w:val="21"/>
          <w:szCs w:val="21"/>
        </w:rPr>
        <w:t>加快工程进度的措施，并修订施工进度计划，由此增加的费用由发包人承担。承包人认</w:t>
      </w:r>
      <w:r>
        <w:rPr>
          <w:rFonts w:ascii="宋体" w:hAnsi="宋体" w:eastAsia="宋体" w:cs="宋体"/>
          <w:spacing w:val="-1"/>
          <w:sz w:val="21"/>
          <w:szCs w:val="21"/>
        </w:rPr>
        <w:t>为提前竣</w:t>
      </w:r>
      <w:r>
        <w:rPr>
          <w:rFonts w:ascii="宋体" w:hAnsi="宋体" w:eastAsia="宋体" w:cs="宋体"/>
          <w:sz w:val="21"/>
          <w:szCs w:val="21"/>
        </w:rPr>
        <w:t>工指示无法执行的，应向监理人和发包人提出书面异议，发包人和监理</w:t>
      </w:r>
      <w:r>
        <w:rPr>
          <w:rFonts w:ascii="宋体" w:hAnsi="宋体" w:eastAsia="宋体" w:cs="宋体"/>
          <w:spacing w:val="-1"/>
          <w:sz w:val="21"/>
          <w:szCs w:val="21"/>
        </w:rPr>
        <w:t>人应在收到异议后</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w:t>
      </w:r>
      <w:r>
        <w:rPr>
          <w:rFonts w:ascii="宋体" w:hAnsi="宋体" w:eastAsia="宋体" w:cs="宋体"/>
          <w:sz w:val="21"/>
          <w:szCs w:val="21"/>
        </w:rPr>
        <w:t>予以答复。任何情况下，发包人不得压缩合</w:t>
      </w:r>
      <w:r>
        <w:rPr>
          <w:rFonts w:ascii="宋体" w:hAnsi="宋体" w:eastAsia="宋体" w:cs="宋体"/>
          <w:spacing w:val="-1"/>
          <w:sz w:val="21"/>
          <w:szCs w:val="21"/>
        </w:rPr>
        <w:t>理工期。</w:t>
      </w:r>
    </w:p>
    <w:p w14:paraId="06A35F5B">
      <w:pPr>
        <w:spacing w:before="150" w:line="287" w:lineRule="auto"/>
        <w:ind w:left="1" w:right="25" w:firstLine="418"/>
        <w:rPr>
          <w:rFonts w:ascii="宋体" w:hAnsi="宋体" w:eastAsia="宋体" w:cs="宋体"/>
          <w:sz w:val="21"/>
          <w:szCs w:val="21"/>
        </w:rPr>
      </w:pPr>
      <w:r>
        <w:rPr>
          <w:rFonts w:ascii="Times New Roman" w:hAnsi="Times New Roman" w:eastAsia="Times New Roman" w:cs="Times New Roman"/>
          <w:spacing w:val="1"/>
          <w:sz w:val="21"/>
          <w:szCs w:val="21"/>
        </w:rPr>
        <w:t xml:space="preserve">7.9.2  </w:t>
      </w:r>
      <w:r>
        <w:rPr>
          <w:rFonts w:ascii="宋体" w:hAnsi="宋体" w:eastAsia="宋体" w:cs="宋体"/>
          <w:spacing w:val="1"/>
          <w:sz w:val="21"/>
          <w:szCs w:val="21"/>
        </w:rPr>
        <w:t>发包人要求承包人提前竣工，或承包人提出提前竣工的建议能够给发包人带来效益的，</w:t>
      </w:r>
      <w:r>
        <w:rPr>
          <w:rFonts w:ascii="宋体" w:hAnsi="宋体" w:eastAsia="宋体" w:cs="宋体"/>
          <w:spacing w:val="-1"/>
          <w:sz w:val="21"/>
          <w:szCs w:val="21"/>
        </w:rPr>
        <w:t>合同当事人可以在专用合同条款中约定提前竣工的奖励。</w:t>
      </w:r>
    </w:p>
    <w:p w14:paraId="541ADE8D">
      <w:pPr>
        <w:spacing w:before="188" w:line="233" w:lineRule="auto"/>
        <w:ind w:left="2"/>
        <w:outlineLvl w:val="1"/>
        <w:rPr>
          <w:rFonts w:ascii="黑体" w:hAnsi="黑体" w:eastAsia="黑体" w:cs="黑体"/>
          <w:sz w:val="28"/>
          <w:szCs w:val="28"/>
        </w:rPr>
      </w:pPr>
      <w:bookmarkStart w:id="271" w:name="bookmark203"/>
      <w:bookmarkEnd w:id="271"/>
      <w:r>
        <w:rPr>
          <w:rFonts w:ascii="Times New Roman" w:hAnsi="Times New Roman" w:eastAsia="Times New Roman" w:cs="Times New Roman"/>
          <w:b/>
          <w:bCs/>
          <w:spacing w:val="-2"/>
          <w:sz w:val="28"/>
          <w:szCs w:val="28"/>
        </w:rPr>
        <w:t xml:space="preserve">8.  </w:t>
      </w:r>
      <w:r>
        <w:rPr>
          <w:rFonts w:ascii="黑体" w:hAnsi="黑体" w:eastAsia="黑体" w:cs="黑体"/>
          <w:b/>
          <w:bCs/>
          <w:spacing w:val="-2"/>
          <w:sz w:val="28"/>
          <w:szCs w:val="28"/>
        </w:rPr>
        <w:t>材料与设备</w:t>
      </w:r>
    </w:p>
    <w:p w14:paraId="431659C2">
      <w:pPr>
        <w:spacing w:before="82" w:line="232" w:lineRule="auto"/>
        <w:ind w:left="1"/>
        <w:outlineLvl w:val="2"/>
        <w:rPr>
          <w:rFonts w:ascii="黑体" w:hAnsi="黑体" w:eastAsia="黑体" w:cs="黑体"/>
          <w:sz w:val="24"/>
          <w:szCs w:val="24"/>
        </w:rPr>
      </w:pPr>
      <w:bookmarkStart w:id="272" w:name="bookmark204"/>
      <w:bookmarkEnd w:id="272"/>
      <w:r>
        <w:rPr>
          <w:rFonts w:ascii="Times New Roman" w:hAnsi="Times New Roman" w:eastAsia="Times New Roman" w:cs="Times New Roman"/>
          <w:b/>
          <w:bCs/>
          <w:spacing w:val="-2"/>
          <w:sz w:val="24"/>
          <w:szCs w:val="24"/>
        </w:rPr>
        <w:t xml:space="preserve">8.1 </w:t>
      </w:r>
      <w:r>
        <w:rPr>
          <w:rFonts w:ascii="黑体" w:hAnsi="黑体" w:eastAsia="黑体" w:cs="黑体"/>
          <w:b/>
          <w:bCs/>
          <w:spacing w:val="-2"/>
          <w:sz w:val="24"/>
          <w:szCs w:val="24"/>
        </w:rPr>
        <w:t>发包人供应材料与工程设备</w:t>
      </w:r>
    </w:p>
    <w:p w14:paraId="569F7CEF">
      <w:pPr>
        <w:spacing w:before="122" w:line="352" w:lineRule="auto"/>
        <w:ind w:firstLine="423"/>
        <w:rPr>
          <w:rFonts w:ascii="宋体" w:hAnsi="宋体" w:eastAsia="宋体" w:cs="宋体"/>
          <w:sz w:val="21"/>
          <w:szCs w:val="21"/>
        </w:rPr>
      </w:pPr>
      <w:r>
        <w:rPr>
          <w:rFonts w:ascii="宋体" w:hAnsi="宋体" w:eastAsia="宋体" w:cs="宋体"/>
          <w:sz w:val="21"/>
          <w:szCs w:val="21"/>
        </w:rPr>
        <w:t>发包人自行供应材料、工程设备的，应在签订合同时在专用合同条款的附件</w:t>
      </w:r>
      <w:r>
        <w:rPr>
          <w:rFonts w:ascii="宋体" w:hAnsi="宋体" w:eastAsia="宋体" w:cs="宋体"/>
          <w:spacing w:val="-1"/>
          <w:sz w:val="21"/>
          <w:szCs w:val="21"/>
        </w:rPr>
        <w:t>《发包人供应材料设备一览表》中明确材料、工程设备的品种、规格、型号、数量、单价、质量等级和送达地点。</w:t>
      </w:r>
    </w:p>
    <w:p w14:paraId="03A09E4F">
      <w:pPr>
        <w:spacing w:before="1" w:line="344" w:lineRule="auto"/>
        <w:ind w:right="177" w:firstLine="420"/>
        <w:rPr>
          <w:rFonts w:ascii="宋体" w:hAnsi="宋体" w:eastAsia="宋体" w:cs="宋体"/>
          <w:sz w:val="21"/>
          <w:szCs w:val="21"/>
        </w:rPr>
      </w:pPr>
      <w:r>
        <w:rPr>
          <w:rFonts w:ascii="宋体" w:hAnsi="宋体" w:eastAsia="宋体" w:cs="宋体"/>
          <w:sz w:val="21"/>
          <w:szCs w:val="21"/>
        </w:rPr>
        <w:t xml:space="preserve">承包人应提前 </w:t>
      </w:r>
      <w:r>
        <w:rPr>
          <w:rFonts w:ascii="Times New Roman" w:hAnsi="Times New Roman" w:eastAsia="Times New Roman" w:cs="Times New Roman"/>
          <w:sz w:val="21"/>
          <w:szCs w:val="21"/>
        </w:rPr>
        <w:t xml:space="preserve">30  </w:t>
      </w:r>
      <w:r>
        <w:rPr>
          <w:rFonts w:ascii="宋体" w:hAnsi="宋体" w:eastAsia="宋体" w:cs="宋体"/>
          <w:sz w:val="21"/>
          <w:szCs w:val="21"/>
        </w:rPr>
        <w:t>天通过监理人以书面形式通知发包人供应材料与工程设备进场。</w:t>
      </w:r>
      <w:r>
        <w:rPr>
          <w:rFonts w:ascii="宋体" w:hAnsi="宋体" w:eastAsia="宋体" w:cs="宋体"/>
          <w:spacing w:val="-1"/>
          <w:sz w:val="21"/>
          <w:szCs w:val="21"/>
        </w:rPr>
        <w:t>承包人按</w:t>
      </w:r>
      <w:r>
        <w:rPr>
          <w:rFonts w:ascii="宋体" w:hAnsi="宋体" w:eastAsia="宋体" w:cs="宋体"/>
          <w:sz w:val="21"/>
          <w:szCs w:val="21"/>
        </w:rPr>
        <w:t xml:space="preserve">照第 </w:t>
      </w:r>
      <w:r>
        <w:rPr>
          <w:rFonts w:ascii="Times New Roman" w:hAnsi="Times New Roman" w:eastAsia="Times New Roman" w:cs="Times New Roman"/>
          <w:sz w:val="21"/>
          <w:szCs w:val="21"/>
        </w:rPr>
        <w:t xml:space="preserve">7.2.2  </w:t>
      </w:r>
      <w:r>
        <w:rPr>
          <w:rFonts w:ascii="宋体" w:hAnsi="宋体" w:eastAsia="宋体" w:cs="宋体"/>
          <w:sz w:val="21"/>
          <w:szCs w:val="21"/>
        </w:rPr>
        <w:t>项〔施工进度计划的修订〕约定修订施工进度计划时，需同时提交经修订后的</w:t>
      </w:r>
      <w:r>
        <w:rPr>
          <w:rFonts w:ascii="宋体" w:hAnsi="宋体" w:eastAsia="宋体" w:cs="宋体"/>
          <w:spacing w:val="-1"/>
          <w:sz w:val="21"/>
          <w:szCs w:val="21"/>
        </w:rPr>
        <w:t>发包人供应材料与工程设备的进场计划。</w:t>
      </w:r>
    </w:p>
    <w:p w14:paraId="5DEBB44D">
      <w:pPr>
        <w:spacing w:before="1" w:line="232" w:lineRule="auto"/>
        <w:ind w:left="1"/>
        <w:outlineLvl w:val="2"/>
        <w:rPr>
          <w:rFonts w:ascii="黑体" w:hAnsi="黑体" w:eastAsia="黑体" w:cs="黑体"/>
          <w:sz w:val="24"/>
          <w:szCs w:val="24"/>
        </w:rPr>
      </w:pPr>
      <w:bookmarkStart w:id="273" w:name="bookmark205"/>
      <w:bookmarkEnd w:id="273"/>
      <w:r>
        <w:rPr>
          <w:rFonts w:ascii="Times New Roman" w:hAnsi="Times New Roman" w:eastAsia="Times New Roman" w:cs="Times New Roman"/>
          <w:b/>
          <w:bCs/>
          <w:spacing w:val="-2"/>
          <w:sz w:val="24"/>
          <w:szCs w:val="24"/>
        </w:rPr>
        <w:t xml:space="preserve">8.2 </w:t>
      </w:r>
      <w:r>
        <w:rPr>
          <w:rFonts w:ascii="黑体" w:hAnsi="黑体" w:eastAsia="黑体" w:cs="黑体"/>
          <w:b/>
          <w:bCs/>
          <w:spacing w:val="-2"/>
          <w:sz w:val="24"/>
          <w:szCs w:val="24"/>
        </w:rPr>
        <w:t>承包人采购材料与工程设备</w:t>
      </w:r>
    </w:p>
    <w:p w14:paraId="2314FE76">
      <w:pPr>
        <w:spacing w:before="122" w:line="346" w:lineRule="auto"/>
        <w:ind w:right="177" w:firstLine="420"/>
        <w:jc w:val="both"/>
        <w:rPr>
          <w:rFonts w:ascii="宋体" w:hAnsi="宋体" w:eastAsia="宋体" w:cs="宋体"/>
          <w:sz w:val="21"/>
          <w:szCs w:val="21"/>
        </w:rPr>
      </w:pPr>
      <w:r>
        <w:rPr>
          <w:rFonts w:ascii="宋体" w:hAnsi="宋体" w:eastAsia="宋体" w:cs="宋体"/>
          <w:sz w:val="21"/>
          <w:szCs w:val="21"/>
        </w:rPr>
        <w:t>承包人负责采购材料、工程设备的，应按照设计和有关标准要求采购，并提供产品</w:t>
      </w:r>
      <w:r>
        <w:rPr>
          <w:rFonts w:ascii="宋体" w:hAnsi="宋体" w:eastAsia="宋体" w:cs="宋体"/>
          <w:spacing w:val="-1"/>
          <w:sz w:val="21"/>
          <w:szCs w:val="21"/>
        </w:rPr>
        <w:t>合格证明</w:t>
      </w:r>
      <w:r>
        <w:rPr>
          <w:rFonts w:ascii="宋体" w:hAnsi="宋体" w:eastAsia="宋体" w:cs="宋体"/>
          <w:sz w:val="21"/>
          <w:szCs w:val="21"/>
        </w:rPr>
        <w:t>及出厂证明，对材料、工程设备质量负责。合同约定由承包人采购的材料、工程设备，发</w:t>
      </w:r>
      <w:r>
        <w:rPr>
          <w:rFonts w:ascii="宋体" w:hAnsi="宋体" w:eastAsia="宋体" w:cs="宋体"/>
          <w:spacing w:val="-1"/>
          <w:sz w:val="21"/>
          <w:szCs w:val="21"/>
        </w:rPr>
        <w:t>包人不</w:t>
      </w:r>
      <w:r>
        <w:rPr>
          <w:rFonts w:ascii="宋体" w:hAnsi="宋体" w:eastAsia="宋体" w:cs="宋体"/>
          <w:sz w:val="21"/>
          <w:szCs w:val="21"/>
        </w:rPr>
        <w:t>得指定生产厂家或供应商，发包人违反本款约定指定生产厂家或供应商的，承包人有权拒</w:t>
      </w:r>
      <w:r>
        <w:rPr>
          <w:rFonts w:ascii="宋体" w:hAnsi="宋体" w:eastAsia="宋体" w:cs="宋体"/>
          <w:spacing w:val="-1"/>
          <w:sz w:val="21"/>
          <w:szCs w:val="21"/>
        </w:rPr>
        <w:t>绝，并由发包人承担相应责任。</w:t>
      </w:r>
    </w:p>
    <w:p w14:paraId="3AAE93A4">
      <w:pPr>
        <w:spacing w:before="1" w:line="232" w:lineRule="auto"/>
        <w:ind w:left="1"/>
        <w:outlineLvl w:val="2"/>
        <w:rPr>
          <w:rFonts w:ascii="黑体" w:hAnsi="黑体" w:eastAsia="黑体" w:cs="黑体"/>
          <w:sz w:val="24"/>
          <w:szCs w:val="24"/>
        </w:rPr>
      </w:pPr>
      <w:bookmarkStart w:id="274" w:name="bookmark206"/>
      <w:bookmarkEnd w:id="274"/>
      <w:r>
        <w:rPr>
          <w:rFonts w:ascii="Times New Roman" w:hAnsi="Times New Roman" w:eastAsia="Times New Roman" w:cs="Times New Roman"/>
          <w:b/>
          <w:bCs/>
          <w:spacing w:val="-2"/>
          <w:sz w:val="24"/>
          <w:szCs w:val="24"/>
        </w:rPr>
        <w:t xml:space="preserve">8.3 </w:t>
      </w:r>
      <w:r>
        <w:rPr>
          <w:rFonts w:ascii="黑体" w:hAnsi="黑体" w:eastAsia="黑体" w:cs="黑体"/>
          <w:b/>
          <w:bCs/>
          <w:spacing w:val="-2"/>
          <w:sz w:val="24"/>
          <w:szCs w:val="24"/>
        </w:rPr>
        <w:t>材料与工程设备的接收与拒收</w:t>
      </w:r>
    </w:p>
    <w:p w14:paraId="43EAB4FB">
      <w:pPr>
        <w:spacing w:before="122" w:line="346" w:lineRule="auto"/>
        <w:ind w:right="177" w:firstLine="424"/>
        <w:jc w:val="both"/>
        <w:rPr>
          <w:rFonts w:ascii="宋体" w:hAnsi="宋体" w:eastAsia="宋体" w:cs="宋体"/>
          <w:sz w:val="21"/>
          <w:szCs w:val="21"/>
        </w:rPr>
      </w:pPr>
      <w:r>
        <w:rPr>
          <w:rFonts w:ascii="Times New Roman" w:hAnsi="Times New Roman" w:eastAsia="Times New Roman" w:cs="Times New Roman"/>
          <w:spacing w:val="2"/>
          <w:sz w:val="21"/>
          <w:szCs w:val="21"/>
        </w:rPr>
        <w:t xml:space="preserve">8.3.1  </w:t>
      </w:r>
      <w:r>
        <w:rPr>
          <w:rFonts w:ascii="宋体" w:hAnsi="宋体" w:eastAsia="宋体" w:cs="宋体"/>
          <w:spacing w:val="2"/>
          <w:sz w:val="21"/>
          <w:szCs w:val="21"/>
        </w:rPr>
        <w:t>发包人应按《发包人供应材料设备一览表》约定的内容提供材料和工程设备，并</w:t>
      </w:r>
      <w:r>
        <w:rPr>
          <w:rFonts w:ascii="宋体" w:hAnsi="宋体" w:eastAsia="宋体" w:cs="宋体"/>
          <w:spacing w:val="1"/>
          <w:sz w:val="21"/>
          <w:szCs w:val="21"/>
        </w:rPr>
        <w:t>向承</w:t>
      </w:r>
      <w:r>
        <w:rPr>
          <w:rFonts w:ascii="宋体" w:hAnsi="宋体" w:eastAsia="宋体" w:cs="宋体"/>
          <w:sz w:val="21"/>
          <w:szCs w:val="21"/>
        </w:rPr>
        <w:t xml:space="preserve">包人提供产品合格证明及出厂证明，对其质量负责。发包人应提前 </w:t>
      </w:r>
      <w:r>
        <w:rPr>
          <w:rFonts w:ascii="Times New Roman" w:hAnsi="Times New Roman" w:eastAsia="Times New Roman" w:cs="Times New Roman"/>
          <w:sz w:val="21"/>
          <w:szCs w:val="21"/>
        </w:rPr>
        <w:t xml:space="preserve">24  </w:t>
      </w:r>
      <w:r>
        <w:rPr>
          <w:rFonts w:ascii="宋体" w:hAnsi="宋体" w:eastAsia="宋体" w:cs="宋体"/>
          <w:sz w:val="21"/>
          <w:szCs w:val="21"/>
        </w:rPr>
        <w:t>小时以书面形式</w:t>
      </w:r>
      <w:r>
        <w:rPr>
          <w:rFonts w:ascii="宋体" w:hAnsi="宋体" w:eastAsia="宋体" w:cs="宋体"/>
          <w:spacing w:val="-1"/>
          <w:sz w:val="21"/>
          <w:szCs w:val="21"/>
        </w:rPr>
        <w:t>通知承包</w:t>
      </w:r>
      <w:r>
        <w:rPr>
          <w:rFonts w:ascii="宋体" w:hAnsi="宋体" w:eastAsia="宋体" w:cs="宋体"/>
          <w:sz w:val="21"/>
          <w:szCs w:val="21"/>
        </w:rPr>
        <w:t>人、监理人材料和工程设备到货时间，承包人负责材料和工程设备的清点、检验和接收。</w:t>
      </w:r>
    </w:p>
    <w:p w14:paraId="50991BBA">
      <w:pPr>
        <w:spacing w:before="22" w:line="351" w:lineRule="auto"/>
        <w:ind w:left="5" w:right="177" w:firstLine="419"/>
        <w:rPr>
          <w:rFonts w:ascii="宋体" w:hAnsi="宋体" w:eastAsia="宋体" w:cs="宋体"/>
          <w:sz w:val="21"/>
          <w:szCs w:val="21"/>
        </w:rPr>
      </w:pPr>
      <w:r>
        <w:rPr>
          <w:rFonts w:ascii="宋体" w:hAnsi="宋体" w:eastAsia="宋体" w:cs="宋体"/>
          <w:sz w:val="21"/>
          <w:szCs w:val="21"/>
        </w:rPr>
        <w:t>发包人提供的材料和工程设备的规格、数量或质量不符合合同约定的，或因</w:t>
      </w:r>
      <w:r>
        <w:rPr>
          <w:rFonts w:ascii="宋体" w:hAnsi="宋体" w:eastAsia="宋体" w:cs="宋体"/>
          <w:spacing w:val="-1"/>
          <w:sz w:val="21"/>
          <w:szCs w:val="21"/>
        </w:rPr>
        <w:t>发包人原因导致交货日期延误或交货地点变更等情况的，按照第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16.</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款〔发包人违约〕约定办理。</w:t>
      </w:r>
    </w:p>
    <w:p w14:paraId="597E3BF6">
      <w:pPr>
        <w:spacing w:before="1" w:line="351" w:lineRule="auto"/>
        <w:ind w:left="2" w:right="177" w:firstLine="422"/>
        <w:jc w:val="both"/>
        <w:rPr>
          <w:rFonts w:ascii="宋体" w:hAnsi="宋体" w:eastAsia="宋体" w:cs="宋体"/>
          <w:sz w:val="21"/>
          <w:szCs w:val="21"/>
        </w:rPr>
      </w:pPr>
      <w:r>
        <w:rPr>
          <w:rFonts w:ascii="Times New Roman" w:hAnsi="Times New Roman" w:eastAsia="Times New Roman" w:cs="Times New Roman"/>
          <w:spacing w:val="2"/>
          <w:sz w:val="21"/>
          <w:szCs w:val="21"/>
        </w:rPr>
        <w:t xml:space="preserve">8.3.2  </w:t>
      </w:r>
      <w:r>
        <w:rPr>
          <w:rFonts w:ascii="宋体" w:hAnsi="宋体" w:eastAsia="宋体" w:cs="宋体"/>
          <w:spacing w:val="2"/>
          <w:sz w:val="21"/>
          <w:szCs w:val="21"/>
        </w:rPr>
        <w:t>承包人采购的材料和工程设备，应保证产品质量合格，承包人应在材料和工程设</w:t>
      </w:r>
      <w:r>
        <w:rPr>
          <w:rFonts w:ascii="宋体" w:hAnsi="宋体" w:eastAsia="宋体" w:cs="宋体"/>
          <w:spacing w:val="1"/>
          <w:sz w:val="21"/>
          <w:szCs w:val="21"/>
        </w:rPr>
        <w:t>备到</w:t>
      </w:r>
      <w:r>
        <w:rPr>
          <w:rFonts w:ascii="宋体" w:hAnsi="宋体" w:eastAsia="宋体" w:cs="宋体"/>
          <w:sz w:val="21"/>
          <w:szCs w:val="21"/>
        </w:rPr>
        <w:t xml:space="preserve">货前 </w:t>
      </w:r>
      <w:r>
        <w:rPr>
          <w:rFonts w:ascii="Times New Roman" w:hAnsi="Times New Roman" w:eastAsia="Times New Roman" w:cs="Times New Roman"/>
          <w:sz w:val="21"/>
          <w:szCs w:val="21"/>
        </w:rPr>
        <w:t xml:space="preserve">24  </w:t>
      </w:r>
      <w:r>
        <w:rPr>
          <w:rFonts w:ascii="宋体" w:hAnsi="宋体" w:eastAsia="宋体" w:cs="宋体"/>
          <w:sz w:val="21"/>
          <w:szCs w:val="21"/>
        </w:rPr>
        <w:t>小时通知监理人检验。承包人进行永久设备、材料的制造和生产的，应符合</w:t>
      </w:r>
      <w:r>
        <w:rPr>
          <w:rFonts w:ascii="宋体" w:hAnsi="宋体" w:eastAsia="宋体" w:cs="宋体"/>
          <w:spacing w:val="-1"/>
          <w:sz w:val="21"/>
          <w:szCs w:val="21"/>
        </w:rPr>
        <w:t>相关质量标</w:t>
      </w:r>
      <w:r>
        <w:rPr>
          <w:rFonts w:ascii="宋体" w:hAnsi="宋体" w:eastAsia="宋体" w:cs="宋体"/>
          <w:sz w:val="21"/>
          <w:szCs w:val="21"/>
        </w:rPr>
        <w:t>准，并向监理人提交材料的样本以及有关资料，并应在使用该材料或工程设备之前获</w:t>
      </w:r>
      <w:r>
        <w:rPr>
          <w:rFonts w:ascii="宋体" w:hAnsi="宋体" w:eastAsia="宋体" w:cs="宋体"/>
          <w:spacing w:val="-1"/>
          <w:sz w:val="21"/>
          <w:szCs w:val="21"/>
        </w:rPr>
        <w:t>得监理人同</w:t>
      </w:r>
      <w:r>
        <w:rPr>
          <w:rFonts w:ascii="宋体" w:hAnsi="宋体" w:eastAsia="宋体" w:cs="宋体"/>
          <w:spacing w:val="-10"/>
          <w:sz w:val="21"/>
          <w:szCs w:val="21"/>
        </w:rPr>
        <w:t>意。</w:t>
      </w:r>
    </w:p>
    <w:p w14:paraId="5A7E8F2B">
      <w:pPr>
        <w:spacing w:before="1" w:line="353" w:lineRule="auto"/>
        <w:ind w:right="177" w:firstLine="525"/>
        <w:jc w:val="both"/>
        <w:rPr>
          <w:rFonts w:ascii="宋体" w:hAnsi="宋体" w:eastAsia="宋体" w:cs="宋体"/>
          <w:sz w:val="21"/>
          <w:szCs w:val="21"/>
        </w:rPr>
      </w:pPr>
      <w:r>
        <w:rPr>
          <w:rFonts w:ascii="宋体" w:hAnsi="宋体" w:eastAsia="宋体" w:cs="宋体"/>
          <w:spacing w:val="2"/>
          <w:sz w:val="21"/>
          <w:szCs w:val="21"/>
        </w:rPr>
        <w:t>承包人采购的材料和工程设备不符合设计或有关标准要求时，承包人应在监理人要求的合</w:t>
      </w:r>
      <w:r>
        <w:rPr>
          <w:rFonts w:ascii="宋体" w:hAnsi="宋体" w:eastAsia="宋体" w:cs="宋体"/>
          <w:sz w:val="21"/>
          <w:szCs w:val="21"/>
        </w:rPr>
        <w:t>理期限内将不符合设计或有关标准要求的材料、工程设备运出施工现场，并重新采购符合</w:t>
      </w:r>
      <w:r>
        <w:rPr>
          <w:rFonts w:ascii="宋体" w:hAnsi="宋体" w:eastAsia="宋体" w:cs="宋体"/>
          <w:spacing w:val="-1"/>
          <w:sz w:val="21"/>
          <w:szCs w:val="21"/>
        </w:rPr>
        <w:t>要求的</w:t>
      </w:r>
      <w:r>
        <w:rPr>
          <w:rFonts w:ascii="宋体" w:hAnsi="宋体" w:eastAsia="宋体" w:cs="宋体"/>
          <w:sz w:val="21"/>
          <w:szCs w:val="21"/>
        </w:rPr>
        <w:t>材料、工程设备，由此增加的费用和（或）延误的工期，由承包人</w:t>
      </w:r>
      <w:r>
        <w:rPr>
          <w:rFonts w:ascii="宋体" w:hAnsi="宋体" w:eastAsia="宋体" w:cs="宋体"/>
          <w:spacing w:val="-1"/>
          <w:sz w:val="21"/>
          <w:szCs w:val="21"/>
        </w:rPr>
        <w:t>承担。</w:t>
      </w:r>
    </w:p>
    <w:p w14:paraId="321BB56F">
      <w:pPr>
        <w:spacing w:line="353" w:lineRule="auto"/>
        <w:rPr>
          <w:rFonts w:ascii="宋体" w:hAnsi="宋体" w:eastAsia="宋体" w:cs="宋体"/>
          <w:sz w:val="21"/>
          <w:szCs w:val="21"/>
        </w:rPr>
        <w:sectPr>
          <w:footerReference r:id="rId108" w:type="default"/>
          <w:pgSz w:w="11905" w:h="16843"/>
          <w:pgMar w:top="969" w:right="1355" w:bottom="1026" w:left="1480" w:header="0" w:footer="754" w:gutter="0"/>
          <w:cols w:space="0" w:num="1"/>
          <w:rtlGutter w:val="0"/>
          <w:docGrid w:linePitch="0" w:charSpace="0"/>
        </w:sectPr>
      </w:pPr>
    </w:p>
    <w:p w14:paraId="4E8C955F">
      <w:pPr>
        <w:pStyle w:val="5"/>
        <w:spacing w:line="261" w:lineRule="auto"/>
      </w:pPr>
    </w:p>
    <w:p w14:paraId="741CE1C8">
      <w:pPr>
        <w:pStyle w:val="5"/>
        <w:spacing w:line="261" w:lineRule="auto"/>
      </w:pPr>
    </w:p>
    <w:p w14:paraId="30C9D69C">
      <w:pPr>
        <w:pStyle w:val="5"/>
        <w:spacing w:line="262" w:lineRule="auto"/>
      </w:pPr>
    </w:p>
    <w:p w14:paraId="04E92525">
      <w:pPr>
        <w:pStyle w:val="5"/>
        <w:spacing w:line="262" w:lineRule="auto"/>
      </w:pPr>
    </w:p>
    <w:p w14:paraId="55BD08D5">
      <w:pPr>
        <w:spacing w:before="78" w:line="233" w:lineRule="auto"/>
        <w:ind w:left="1"/>
        <w:outlineLvl w:val="2"/>
        <w:rPr>
          <w:rFonts w:ascii="黑体" w:hAnsi="黑体" w:eastAsia="黑体" w:cs="黑体"/>
          <w:sz w:val="24"/>
          <w:szCs w:val="24"/>
        </w:rPr>
      </w:pPr>
      <w:bookmarkStart w:id="275" w:name="bookmark561"/>
      <w:bookmarkEnd w:id="275"/>
      <w:bookmarkStart w:id="276" w:name="bookmark207"/>
      <w:bookmarkEnd w:id="276"/>
      <w:r>
        <w:rPr>
          <w:rFonts w:ascii="Times New Roman" w:hAnsi="Times New Roman" w:eastAsia="Times New Roman" w:cs="Times New Roman"/>
          <w:b/>
          <w:bCs/>
          <w:spacing w:val="-2"/>
          <w:sz w:val="24"/>
          <w:szCs w:val="24"/>
        </w:rPr>
        <w:t xml:space="preserve">8.4 </w:t>
      </w:r>
      <w:r>
        <w:rPr>
          <w:rFonts w:ascii="黑体" w:hAnsi="黑体" w:eastAsia="黑体" w:cs="黑体"/>
          <w:b/>
          <w:bCs/>
          <w:spacing w:val="-2"/>
          <w:sz w:val="24"/>
          <w:szCs w:val="24"/>
        </w:rPr>
        <w:t>材料与工程设备的保管与使用</w:t>
      </w:r>
    </w:p>
    <w:p w14:paraId="53D3D736">
      <w:pPr>
        <w:spacing w:before="122" w:line="234" w:lineRule="auto"/>
        <w:ind w:left="426"/>
        <w:rPr>
          <w:rFonts w:ascii="宋体" w:hAnsi="宋体" w:eastAsia="宋体" w:cs="宋体"/>
          <w:sz w:val="21"/>
          <w:szCs w:val="21"/>
        </w:rPr>
      </w:pPr>
      <w:r>
        <w:rPr>
          <w:rFonts w:ascii="Times New Roman" w:hAnsi="Times New Roman" w:eastAsia="Times New Roman" w:cs="Times New Roman"/>
          <w:spacing w:val="-1"/>
          <w:sz w:val="21"/>
          <w:szCs w:val="21"/>
        </w:rPr>
        <w:t xml:space="preserve">8.4.1  </w:t>
      </w:r>
      <w:r>
        <w:rPr>
          <w:rFonts w:ascii="宋体" w:hAnsi="宋体" w:eastAsia="宋体" w:cs="宋体"/>
          <w:spacing w:val="-1"/>
          <w:sz w:val="21"/>
          <w:szCs w:val="21"/>
        </w:rPr>
        <w:t>发包人供应材料与工程设备的保管与使用</w:t>
      </w:r>
    </w:p>
    <w:p w14:paraId="56AB3705">
      <w:pPr>
        <w:spacing w:before="136" w:line="351" w:lineRule="auto"/>
        <w:ind w:firstLine="425"/>
        <w:rPr>
          <w:rFonts w:ascii="宋体" w:hAnsi="宋体" w:eastAsia="宋体" w:cs="宋体"/>
          <w:sz w:val="21"/>
          <w:szCs w:val="21"/>
        </w:rPr>
      </w:pPr>
      <w:r>
        <w:rPr>
          <w:rFonts w:ascii="宋体" w:hAnsi="宋体" w:eastAsia="宋体" w:cs="宋体"/>
          <w:sz w:val="21"/>
          <w:szCs w:val="21"/>
        </w:rPr>
        <w:t>发包人供应的材料和工程设备，承包人清点后由承包人妥善保管，保管费用</w:t>
      </w:r>
      <w:r>
        <w:rPr>
          <w:rFonts w:ascii="宋体" w:hAnsi="宋体" w:eastAsia="宋体" w:cs="宋体"/>
          <w:spacing w:val="-1"/>
          <w:sz w:val="21"/>
          <w:szCs w:val="21"/>
        </w:rPr>
        <w:t>由发包人承担，</w:t>
      </w:r>
      <w:r>
        <w:rPr>
          <w:rFonts w:ascii="宋体" w:hAnsi="宋体" w:eastAsia="宋体" w:cs="宋体"/>
          <w:sz w:val="21"/>
          <w:szCs w:val="21"/>
        </w:rPr>
        <w:t>但已标价工程量清单或预算书已经列支或专用合同条款另有约定除外。因承包人原因发生丢</w:t>
      </w:r>
      <w:r>
        <w:rPr>
          <w:rFonts w:ascii="宋体" w:hAnsi="宋体" w:eastAsia="宋体" w:cs="宋体"/>
          <w:spacing w:val="-1"/>
          <w:sz w:val="21"/>
          <w:szCs w:val="21"/>
        </w:rPr>
        <w:t>失毁</w:t>
      </w:r>
      <w:r>
        <w:rPr>
          <w:rFonts w:ascii="宋体" w:hAnsi="宋体" w:eastAsia="宋体" w:cs="宋体"/>
          <w:sz w:val="21"/>
          <w:szCs w:val="21"/>
        </w:rPr>
        <w:t>损的，由承包人负责赔偿；监理人未通知承包人清点的，承包人不负责材料和工程设备的保</w:t>
      </w:r>
      <w:r>
        <w:rPr>
          <w:rFonts w:ascii="宋体" w:hAnsi="宋体" w:eastAsia="宋体" w:cs="宋体"/>
          <w:spacing w:val="-1"/>
          <w:sz w:val="21"/>
          <w:szCs w:val="21"/>
        </w:rPr>
        <w:t>管，</w:t>
      </w:r>
      <w:r>
        <w:rPr>
          <w:rFonts w:ascii="宋体" w:hAnsi="宋体" w:eastAsia="宋体" w:cs="宋体"/>
          <w:spacing w:val="-2"/>
          <w:sz w:val="21"/>
          <w:szCs w:val="21"/>
        </w:rPr>
        <w:t>由此导致丢失毁损的由发包人负责。</w:t>
      </w:r>
    </w:p>
    <w:p w14:paraId="35A43258">
      <w:pPr>
        <w:spacing w:before="1" w:line="352" w:lineRule="auto"/>
        <w:ind w:left="19" w:firstLine="406"/>
        <w:rPr>
          <w:rFonts w:ascii="宋体" w:hAnsi="宋体" w:eastAsia="宋体" w:cs="宋体"/>
          <w:sz w:val="21"/>
          <w:szCs w:val="21"/>
        </w:rPr>
      </w:pPr>
      <w:r>
        <w:rPr>
          <w:rFonts w:ascii="宋体" w:hAnsi="宋体" w:eastAsia="宋体" w:cs="宋体"/>
          <w:sz w:val="21"/>
          <w:szCs w:val="21"/>
        </w:rPr>
        <w:t>发包人供应的材料和工程设备使用前，由承包人负责检验，检验费用由发包</w:t>
      </w:r>
      <w:r>
        <w:rPr>
          <w:rFonts w:ascii="宋体" w:hAnsi="宋体" w:eastAsia="宋体" w:cs="宋体"/>
          <w:spacing w:val="-1"/>
          <w:sz w:val="21"/>
          <w:szCs w:val="21"/>
        </w:rPr>
        <w:t>人承担，不合格</w:t>
      </w:r>
      <w:r>
        <w:rPr>
          <w:rFonts w:ascii="宋体" w:hAnsi="宋体" w:eastAsia="宋体" w:cs="宋体"/>
          <w:spacing w:val="-4"/>
          <w:sz w:val="21"/>
          <w:szCs w:val="21"/>
        </w:rPr>
        <w:t>的不得使用。</w:t>
      </w:r>
    </w:p>
    <w:p w14:paraId="7D979DA9">
      <w:pPr>
        <w:spacing w:before="1" w:line="233" w:lineRule="auto"/>
        <w:ind w:left="426"/>
        <w:rPr>
          <w:rFonts w:ascii="宋体" w:hAnsi="宋体" w:eastAsia="宋体" w:cs="宋体"/>
          <w:sz w:val="21"/>
          <w:szCs w:val="21"/>
        </w:rPr>
      </w:pPr>
      <w:r>
        <w:rPr>
          <w:rFonts w:ascii="Times New Roman" w:hAnsi="Times New Roman" w:eastAsia="Times New Roman" w:cs="Times New Roman"/>
          <w:spacing w:val="-1"/>
          <w:sz w:val="21"/>
          <w:szCs w:val="21"/>
        </w:rPr>
        <w:t xml:space="preserve">8.4.2  </w:t>
      </w:r>
      <w:r>
        <w:rPr>
          <w:rFonts w:ascii="宋体" w:hAnsi="宋体" w:eastAsia="宋体" w:cs="宋体"/>
          <w:spacing w:val="-1"/>
          <w:sz w:val="21"/>
          <w:szCs w:val="21"/>
        </w:rPr>
        <w:t>承包人采购材料与工程设备的保管与使用</w:t>
      </w:r>
    </w:p>
    <w:p w14:paraId="1420E475">
      <w:pPr>
        <w:spacing w:before="131" w:line="352" w:lineRule="auto"/>
        <w:ind w:left="4" w:firstLine="417"/>
        <w:rPr>
          <w:rFonts w:ascii="宋体" w:hAnsi="宋体" w:eastAsia="宋体" w:cs="宋体"/>
          <w:sz w:val="21"/>
          <w:szCs w:val="21"/>
        </w:rPr>
      </w:pPr>
      <w:r>
        <w:rPr>
          <w:rFonts w:ascii="宋体" w:hAnsi="宋体" w:eastAsia="宋体" w:cs="宋体"/>
          <w:sz w:val="21"/>
          <w:szCs w:val="21"/>
        </w:rPr>
        <w:t>承包人采购的材料和工程设备由承包人妥善保管，保管费用由承包人承担。法律规</w:t>
      </w:r>
      <w:r>
        <w:rPr>
          <w:rFonts w:ascii="宋体" w:hAnsi="宋体" w:eastAsia="宋体" w:cs="宋体"/>
          <w:spacing w:val="-1"/>
          <w:sz w:val="21"/>
          <w:szCs w:val="21"/>
        </w:rPr>
        <w:t>定材料和</w:t>
      </w:r>
      <w:r>
        <w:rPr>
          <w:rFonts w:ascii="宋体" w:hAnsi="宋体" w:eastAsia="宋体" w:cs="宋体"/>
          <w:sz w:val="21"/>
          <w:szCs w:val="21"/>
        </w:rPr>
        <w:t>工程设备使用前必须进行检验或试验的，承包人应按监理人的要求进行检验或试验</w:t>
      </w:r>
      <w:r>
        <w:rPr>
          <w:rFonts w:ascii="宋体" w:hAnsi="宋体" w:eastAsia="宋体" w:cs="宋体"/>
          <w:spacing w:val="-1"/>
          <w:sz w:val="21"/>
          <w:szCs w:val="21"/>
        </w:rPr>
        <w:t>，检验或试验</w:t>
      </w:r>
      <w:r>
        <w:rPr>
          <w:rFonts w:ascii="宋体" w:hAnsi="宋体" w:eastAsia="宋体" w:cs="宋体"/>
          <w:spacing w:val="-2"/>
          <w:sz w:val="21"/>
          <w:szCs w:val="21"/>
        </w:rPr>
        <w:t>费用由承包人承担，不合格的不得使用。</w:t>
      </w:r>
    </w:p>
    <w:p w14:paraId="44CEF524">
      <w:pPr>
        <w:spacing w:before="1" w:line="341" w:lineRule="auto"/>
        <w:ind w:left="1" w:firstLine="423"/>
        <w:rPr>
          <w:rFonts w:ascii="宋体" w:hAnsi="宋体" w:eastAsia="宋体" w:cs="宋体"/>
          <w:sz w:val="21"/>
          <w:szCs w:val="21"/>
        </w:rPr>
      </w:pPr>
      <w:r>
        <w:rPr>
          <w:rFonts w:ascii="宋体" w:hAnsi="宋体" w:eastAsia="宋体" w:cs="宋体"/>
          <w:sz w:val="21"/>
          <w:szCs w:val="21"/>
        </w:rPr>
        <w:t>发包人或监理人发现承包人使用不符合设计或有关标准要求的材料和工程设</w:t>
      </w:r>
      <w:r>
        <w:rPr>
          <w:rFonts w:ascii="宋体" w:hAnsi="宋体" w:eastAsia="宋体" w:cs="宋体"/>
          <w:spacing w:val="-1"/>
          <w:sz w:val="21"/>
          <w:szCs w:val="21"/>
        </w:rPr>
        <w:t>备时，有权要求</w:t>
      </w:r>
      <w:r>
        <w:rPr>
          <w:rFonts w:ascii="宋体" w:hAnsi="宋体" w:eastAsia="宋体" w:cs="宋体"/>
          <w:sz w:val="21"/>
          <w:szCs w:val="21"/>
        </w:rPr>
        <w:t>承包人进行修复、拆除或重新采购，由此增加的费用</w:t>
      </w:r>
      <w:r>
        <w:rPr>
          <w:rFonts w:ascii="宋体" w:hAnsi="宋体" w:eastAsia="宋体" w:cs="宋体"/>
          <w:spacing w:val="-1"/>
          <w:sz w:val="21"/>
          <w:szCs w:val="21"/>
        </w:rPr>
        <w:t>和（或）延误的工期，由承包人承担。</w:t>
      </w:r>
    </w:p>
    <w:p w14:paraId="22453120">
      <w:pPr>
        <w:spacing w:before="1" w:line="232" w:lineRule="auto"/>
        <w:ind w:left="1"/>
        <w:outlineLvl w:val="2"/>
        <w:rPr>
          <w:rFonts w:ascii="黑体" w:hAnsi="黑体" w:eastAsia="黑体" w:cs="黑体"/>
          <w:sz w:val="24"/>
          <w:szCs w:val="24"/>
        </w:rPr>
      </w:pPr>
      <w:bookmarkStart w:id="277" w:name="bookmark208"/>
      <w:bookmarkEnd w:id="277"/>
      <w:r>
        <w:rPr>
          <w:rFonts w:ascii="Times New Roman" w:hAnsi="Times New Roman" w:eastAsia="Times New Roman" w:cs="Times New Roman"/>
          <w:b/>
          <w:bCs/>
          <w:spacing w:val="-2"/>
          <w:sz w:val="24"/>
          <w:szCs w:val="24"/>
        </w:rPr>
        <w:t xml:space="preserve">8.5 </w:t>
      </w:r>
      <w:r>
        <w:rPr>
          <w:rFonts w:ascii="黑体" w:hAnsi="黑体" w:eastAsia="黑体" w:cs="黑体"/>
          <w:b/>
          <w:bCs/>
          <w:spacing w:val="-2"/>
          <w:sz w:val="24"/>
          <w:szCs w:val="24"/>
        </w:rPr>
        <w:t>禁止使用不合格的材料和工程设备</w:t>
      </w:r>
    </w:p>
    <w:p w14:paraId="415A2E99">
      <w:pPr>
        <w:spacing w:before="120" w:line="287" w:lineRule="auto"/>
        <w:ind w:left="2" w:right="42" w:firstLine="423"/>
        <w:rPr>
          <w:rFonts w:ascii="宋体" w:hAnsi="宋体" w:eastAsia="宋体" w:cs="宋体"/>
          <w:sz w:val="21"/>
          <w:szCs w:val="21"/>
        </w:rPr>
      </w:pPr>
      <w:r>
        <w:rPr>
          <w:rFonts w:ascii="Times New Roman" w:hAnsi="Times New Roman" w:eastAsia="Times New Roman" w:cs="Times New Roman"/>
          <w:spacing w:val="1"/>
          <w:sz w:val="21"/>
          <w:szCs w:val="21"/>
        </w:rPr>
        <w:t xml:space="preserve">8.5.1  </w:t>
      </w:r>
      <w:r>
        <w:rPr>
          <w:rFonts w:ascii="宋体" w:hAnsi="宋体" w:eastAsia="宋体" w:cs="宋体"/>
          <w:spacing w:val="1"/>
          <w:sz w:val="21"/>
          <w:szCs w:val="21"/>
        </w:rPr>
        <w:t>监理人有权拒绝承包人提供的不合格材料或工程设备，并要求承包人立即进行更换。</w:t>
      </w:r>
      <w:r>
        <w:rPr>
          <w:rFonts w:ascii="宋体" w:hAnsi="宋体" w:eastAsia="宋体" w:cs="宋体"/>
          <w:sz w:val="21"/>
          <w:szCs w:val="21"/>
        </w:rPr>
        <w:t>监理人应在更换后再次进行检查和检验，由此增加的费用和（或）延误的工期由承包人承</w:t>
      </w:r>
      <w:r>
        <w:rPr>
          <w:rFonts w:ascii="宋体" w:hAnsi="宋体" w:eastAsia="宋体" w:cs="宋体"/>
          <w:spacing w:val="-1"/>
          <w:sz w:val="21"/>
          <w:szCs w:val="21"/>
        </w:rPr>
        <w:t>担。</w:t>
      </w:r>
    </w:p>
    <w:p w14:paraId="51AA7B61">
      <w:pPr>
        <w:spacing w:before="150" w:line="285" w:lineRule="auto"/>
        <w:ind w:left="9" w:right="11" w:firstLine="417"/>
        <w:rPr>
          <w:rFonts w:ascii="宋体" w:hAnsi="宋体" w:eastAsia="宋体" w:cs="宋体"/>
          <w:sz w:val="21"/>
          <w:szCs w:val="21"/>
        </w:rPr>
      </w:pPr>
      <w:r>
        <w:rPr>
          <w:rFonts w:ascii="Times New Roman" w:hAnsi="Times New Roman" w:eastAsia="Times New Roman" w:cs="Times New Roman"/>
          <w:spacing w:val="2"/>
          <w:sz w:val="21"/>
          <w:szCs w:val="21"/>
        </w:rPr>
        <w:t xml:space="preserve">8.5.2  </w:t>
      </w:r>
      <w:r>
        <w:rPr>
          <w:rFonts w:ascii="宋体" w:hAnsi="宋体" w:eastAsia="宋体" w:cs="宋体"/>
          <w:spacing w:val="2"/>
          <w:sz w:val="21"/>
          <w:szCs w:val="21"/>
        </w:rPr>
        <w:t>监理人发现承包人使用了不合格的材料和工程设备，承包人应按照监理人的指示</w:t>
      </w:r>
      <w:r>
        <w:rPr>
          <w:rFonts w:ascii="宋体" w:hAnsi="宋体" w:eastAsia="宋体" w:cs="宋体"/>
          <w:spacing w:val="1"/>
          <w:sz w:val="21"/>
          <w:szCs w:val="21"/>
        </w:rPr>
        <w:t>立即</w:t>
      </w:r>
      <w:r>
        <w:rPr>
          <w:rFonts w:ascii="宋体" w:hAnsi="宋体" w:eastAsia="宋体" w:cs="宋体"/>
          <w:spacing w:val="-1"/>
          <w:sz w:val="21"/>
          <w:szCs w:val="21"/>
        </w:rPr>
        <w:t>改正，并禁止在工程中继续使用不合格的材料和工程设备。</w:t>
      </w:r>
    </w:p>
    <w:p w14:paraId="1748D113">
      <w:pPr>
        <w:spacing w:before="152" w:line="286" w:lineRule="auto"/>
        <w:ind w:left="4" w:right="11" w:firstLine="422"/>
        <w:rPr>
          <w:rFonts w:ascii="宋体" w:hAnsi="宋体" w:eastAsia="宋体" w:cs="宋体"/>
          <w:sz w:val="21"/>
          <w:szCs w:val="21"/>
        </w:rPr>
      </w:pPr>
      <w:r>
        <w:rPr>
          <w:rFonts w:ascii="Times New Roman" w:hAnsi="Times New Roman" w:eastAsia="Times New Roman" w:cs="Times New Roman"/>
          <w:spacing w:val="2"/>
          <w:sz w:val="21"/>
          <w:szCs w:val="21"/>
        </w:rPr>
        <w:t xml:space="preserve">8.5.3  </w:t>
      </w:r>
      <w:r>
        <w:rPr>
          <w:rFonts w:ascii="宋体" w:hAnsi="宋体" w:eastAsia="宋体" w:cs="宋体"/>
          <w:spacing w:val="2"/>
          <w:sz w:val="21"/>
          <w:szCs w:val="21"/>
        </w:rPr>
        <w:t>发包人提供的材料或工程设备不符合合同要求的，承包人有权拒绝，并可要求发</w:t>
      </w:r>
      <w:r>
        <w:rPr>
          <w:rFonts w:ascii="宋体" w:hAnsi="宋体" w:eastAsia="宋体" w:cs="宋体"/>
          <w:spacing w:val="1"/>
          <w:sz w:val="21"/>
          <w:szCs w:val="21"/>
        </w:rPr>
        <w:t>包人</w:t>
      </w:r>
      <w:r>
        <w:rPr>
          <w:rFonts w:ascii="宋体" w:hAnsi="宋体" w:eastAsia="宋体" w:cs="宋体"/>
          <w:sz w:val="21"/>
          <w:szCs w:val="21"/>
        </w:rPr>
        <w:t>更换，由此增加的费用和（或）延误的工期由发包人承担，并支付承包人合</w:t>
      </w:r>
      <w:r>
        <w:rPr>
          <w:rFonts w:ascii="宋体" w:hAnsi="宋体" w:eastAsia="宋体" w:cs="宋体"/>
          <w:spacing w:val="-1"/>
          <w:sz w:val="21"/>
          <w:szCs w:val="21"/>
        </w:rPr>
        <w:t>理的利润。</w:t>
      </w:r>
    </w:p>
    <w:p w14:paraId="33A0095B">
      <w:pPr>
        <w:spacing w:before="122" w:line="235" w:lineRule="auto"/>
        <w:ind w:left="1"/>
        <w:outlineLvl w:val="2"/>
        <w:rPr>
          <w:rFonts w:ascii="黑体" w:hAnsi="黑体" w:eastAsia="黑体" w:cs="黑体"/>
          <w:sz w:val="24"/>
          <w:szCs w:val="24"/>
        </w:rPr>
      </w:pPr>
      <w:bookmarkStart w:id="278" w:name="bookmark209"/>
      <w:bookmarkEnd w:id="278"/>
      <w:r>
        <w:rPr>
          <w:rFonts w:ascii="Times New Roman" w:hAnsi="Times New Roman" w:eastAsia="Times New Roman" w:cs="Times New Roman"/>
          <w:b/>
          <w:bCs/>
          <w:spacing w:val="-4"/>
          <w:sz w:val="24"/>
          <w:szCs w:val="24"/>
        </w:rPr>
        <w:t>8.6</w:t>
      </w:r>
      <w:r>
        <w:rPr>
          <w:rFonts w:ascii="Times New Roman" w:hAnsi="Times New Roman" w:eastAsia="Times New Roman" w:cs="Times New Roman"/>
          <w:b/>
          <w:bCs/>
          <w:spacing w:val="5"/>
          <w:sz w:val="24"/>
          <w:szCs w:val="24"/>
        </w:rPr>
        <w:t xml:space="preserve">  </w:t>
      </w:r>
      <w:r>
        <w:rPr>
          <w:rFonts w:ascii="黑体" w:hAnsi="黑体" w:eastAsia="黑体" w:cs="黑体"/>
          <w:b/>
          <w:bCs/>
          <w:spacing w:val="-4"/>
          <w:sz w:val="24"/>
          <w:szCs w:val="24"/>
        </w:rPr>
        <w:t>样品</w:t>
      </w:r>
    </w:p>
    <w:p w14:paraId="47BE03F6">
      <w:pPr>
        <w:spacing w:before="121" w:line="234" w:lineRule="auto"/>
        <w:ind w:left="426"/>
        <w:rPr>
          <w:rFonts w:ascii="宋体" w:hAnsi="宋体" w:eastAsia="宋体" w:cs="宋体"/>
          <w:sz w:val="21"/>
          <w:szCs w:val="21"/>
        </w:rPr>
      </w:pPr>
      <w:r>
        <w:rPr>
          <w:rFonts w:ascii="Times New Roman" w:hAnsi="Times New Roman" w:eastAsia="Times New Roman" w:cs="Times New Roman"/>
          <w:spacing w:val="-1"/>
          <w:sz w:val="21"/>
          <w:szCs w:val="21"/>
        </w:rPr>
        <w:t xml:space="preserve">8.6.1 </w:t>
      </w:r>
      <w:r>
        <w:rPr>
          <w:rFonts w:ascii="宋体" w:hAnsi="宋体" w:eastAsia="宋体" w:cs="宋体"/>
          <w:spacing w:val="-1"/>
          <w:sz w:val="21"/>
          <w:szCs w:val="21"/>
        </w:rPr>
        <w:t>样品的报送与封存</w:t>
      </w:r>
    </w:p>
    <w:p w14:paraId="5FD00FC2">
      <w:pPr>
        <w:spacing w:before="133" w:line="352" w:lineRule="auto"/>
        <w:ind w:left="2" w:firstLine="430"/>
        <w:rPr>
          <w:rFonts w:ascii="宋体" w:hAnsi="宋体" w:eastAsia="宋体" w:cs="宋体"/>
          <w:sz w:val="21"/>
          <w:szCs w:val="21"/>
        </w:rPr>
      </w:pPr>
      <w:r>
        <w:rPr>
          <w:rFonts w:ascii="宋体" w:hAnsi="宋体" w:eastAsia="宋体" w:cs="宋体"/>
          <w:sz w:val="21"/>
          <w:szCs w:val="21"/>
        </w:rPr>
        <w:t>需要承包人报送样品的材料或工程设备，样品的种类、名</w:t>
      </w:r>
      <w:r>
        <w:rPr>
          <w:rFonts w:ascii="宋体" w:hAnsi="宋体" w:eastAsia="宋体" w:cs="宋体"/>
          <w:spacing w:val="-1"/>
          <w:sz w:val="21"/>
          <w:szCs w:val="21"/>
        </w:rPr>
        <w:t>称、规格、数量等要求均应在专用</w:t>
      </w:r>
      <w:r>
        <w:rPr>
          <w:rFonts w:ascii="宋体" w:hAnsi="宋体" w:eastAsia="宋体" w:cs="宋体"/>
          <w:spacing w:val="-2"/>
          <w:sz w:val="21"/>
          <w:szCs w:val="21"/>
        </w:rPr>
        <w:t>合同条款中约定。样品的报送程序如下：</w:t>
      </w:r>
    </w:p>
    <w:p w14:paraId="741334BD">
      <w:pPr>
        <w:spacing w:before="3" w:line="307" w:lineRule="auto"/>
        <w:ind w:left="5" w:firstLine="422"/>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）承包人应在计划采购前</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28 </w:t>
      </w:r>
      <w:r>
        <w:rPr>
          <w:rFonts w:ascii="宋体" w:hAnsi="宋体" w:eastAsia="宋体" w:cs="宋体"/>
          <w:sz w:val="21"/>
          <w:szCs w:val="21"/>
        </w:rPr>
        <w:t>天向监理人报送样品。承</w:t>
      </w:r>
      <w:r>
        <w:rPr>
          <w:rFonts w:ascii="宋体" w:hAnsi="宋体" w:eastAsia="宋体" w:cs="宋体"/>
          <w:spacing w:val="-1"/>
          <w:sz w:val="21"/>
          <w:szCs w:val="21"/>
        </w:rPr>
        <w:t>包人报送的样品均应来自供应材料</w:t>
      </w:r>
      <w:r>
        <w:rPr>
          <w:rFonts w:ascii="宋体" w:hAnsi="宋体" w:eastAsia="宋体" w:cs="宋体"/>
          <w:sz w:val="21"/>
          <w:szCs w:val="21"/>
        </w:rPr>
        <w:t>的实际生产地，且提供的样品的规格、数量足以表明材料或工程设备的质量、</w:t>
      </w:r>
      <w:r>
        <w:rPr>
          <w:rFonts w:ascii="宋体" w:hAnsi="宋体" w:eastAsia="宋体" w:cs="宋体"/>
          <w:spacing w:val="-1"/>
          <w:sz w:val="21"/>
          <w:szCs w:val="21"/>
        </w:rPr>
        <w:t>型号、颜色、表面处理、质地、误差和其他要求的特征。</w:t>
      </w:r>
    </w:p>
    <w:p w14:paraId="0FA8EC30">
      <w:pPr>
        <w:spacing w:before="148" w:line="308" w:lineRule="auto"/>
        <w:ind w:left="2"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）承包人每次报送样品时应随附申报单，申报单应载明报送样品的相关数据和资料，并</w:t>
      </w:r>
      <w:r>
        <w:rPr>
          <w:rFonts w:ascii="宋体" w:hAnsi="宋体" w:eastAsia="宋体" w:cs="宋体"/>
          <w:sz w:val="21"/>
          <w:szCs w:val="21"/>
        </w:rPr>
        <w:t>标明每件样品对应的图纸号，预留监理人批复意见栏。监理人应在收到承包</w:t>
      </w:r>
      <w:r>
        <w:rPr>
          <w:rFonts w:ascii="宋体" w:hAnsi="宋体" w:eastAsia="宋体" w:cs="宋体"/>
          <w:spacing w:val="-1"/>
          <w:sz w:val="21"/>
          <w:szCs w:val="21"/>
        </w:rPr>
        <w:t>人报送的样品后</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天向承包人回复经发包人签认的样品审批意见。</w:t>
      </w:r>
    </w:p>
    <w:p w14:paraId="7D4E783D">
      <w:pPr>
        <w:spacing w:before="151" w:line="286" w:lineRule="auto"/>
        <w:ind w:left="5" w:right="1" w:firstLine="42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）经发包人和监理人审批确认的样品应按约定的方法封样，封存的样品作为检验工程相</w:t>
      </w:r>
      <w:r>
        <w:rPr>
          <w:rFonts w:ascii="宋体" w:hAnsi="宋体" w:eastAsia="宋体" w:cs="宋体"/>
          <w:spacing w:val="-1"/>
          <w:sz w:val="21"/>
          <w:szCs w:val="21"/>
        </w:rPr>
        <w:t>关部分的标准之一。承包人在施工过程中不得使用与样品不符的材料或工程设备。</w:t>
      </w:r>
    </w:p>
    <w:p w14:paraId="34690AB6">
      <w:pPr>
        <w:spacing w:before="149" w:line="286" w:lineRule="auto"/>
        <w:ind w:left="1"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）发包人和监理人对样品的审批确认仅为确认相关材料或工程设备的特征或用途，不得</w:t>
      </w:r>
      <w:r>
        <w:rPr>
          <w:rFonts w:ascii="宋体" w:hAnsi="宋体" w:eastAsia="宋体" w:cs="宋体"/>
          <w:sz w:val="21"/>
          <w:szCs w:val="21"/>
        </w:rPr>
        <w:t>被理解为对合同的修改或改变，也并不减轻或免除承包人任何的责任和义务。如果封存</w:t>
      </w:r>
      <w:r>
        <w:rPr>
          <w:rFonts w:ascii="宋体" w:hAnsi="宋体" w:eastAsia="宋体" w:cs="宋体"/>
          <w:spacing w:val="-1"/>
          <w:sz w:val="21"/>
          <w:szCs w:val="21"/>
        </w:rPr>
        <w:t>的样品修</w:t>
      </w:r>
    </w:p>
    <w:p w14:paraId="6FF3CBD4">
      <w:pPr>
        <w:spacing w:line="286" w:lineRule="auto"/>
        <w:rPr>
          <w:rFonts w:ascii="宋体" w:hAnsi="宋体" w:eastAsia="宋体" w:cs="宋体"/>
          <w:sz w:val="21"/>
          <w:szCs w:val="21"/>
        </w:rPr>
        <w:sectPr>
          <w:footerReference r:id="rId109" w:type="default"/>
          <w:pgSz w:w="11905" w:h="16843"/>
          <w:pgMar w:top="969" w:right="1355" w:bottom="1026" w:left="1480" w:header="0" w:footer="754" w:gutter="0"/>
          <w:cols w:space="0" w:num="1"/>
          <w:rtlGutter w:val="0"/>
          <w:docGrid w:linePitch="0" w:charSpace="0"/>
        </w:sectPr>
      </w:pPr>
    </w:p>
    <w:p w14:paraId="18827B64">
      <w:pPr>
        <w:pStyle w:val="5"/>
        <w:spacing w:line="270" w:lineRule="auto"/>
      </w:pPr>
    </w:p>
    <w:p w14:paraId="070C2D33">
      <w:pPr>
        <w:pStyle w:val="5"/>
        <w:spacing w:line="270" w:lineRule="auto"/>
      </w:pPr>
    </w:p>
    <w:p w14:paraId="5905BC4A">
      <w:pPr>
        <w:pStyle w:val="5"/>
        <w:spacing w:line="270" w:lineRule="auto"/>
      </w:pPr>
    </w:p>
    <w:p w14:paraId="1BEFC731">
      <w:pPr>
        <w:pStyle w:val="5"/>
        <w:spacing w:line="271" w:lineRule="auto"/>
      </w:pPr>
    </w:p>
    <w:p w14:paraId="6359A7C2">
      <w:pPr>
        <w:spacing w:before="68" w:line="220" w:lineRule="auto"/>
        <w:ind w:left="8"/>
        <w:rPr>
          <w:rFonts w:ascii="宋体" w:hAnsi="宋体" w:eastAsia="宋体" w:cs="宋体"/>
          <w:sz w:val="21"/>
          <w:szCs w:val="21"/>
        </w:rPr>
      </w:pPr>
      <w:r>
        <w:rPr>
          <w:rFonts w:ascii="宋体" w:hAnsi="宋体" w:eastAsia="宋体" w:cs="宋体"/>
          <w:spacing w:val="-1"/>
          <w:sz w:val="21"/>
          <w:szCs w:val="21"/>
        </w:rPr>
        <w:t>改或改变了合同约定，合同当事人应当以书面协议予以确认。</w:t>
      </w:r>
    </w:p>
    <w:p w14:paraId="2A3DD20C">
      <w:pPr>
        <w:spacing w:before="151"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8.6.2  </w:t>
      </w:r>
      <w:r>
        <w:rPr>
          <w:rFonts w:ascii="宋体" w:hAnsi="宋体" w:eastAsia="宋体" w:cs="宋体"/>
          <w:spacing w:val="-1"/>
          <w:sz w:val="21"/>
          <w:szCs w:val="21"/>
        </w:rPr>
        <w:t>样品的保管</w:t>
      </w:r>
    </w:p>
    <w:p w14:paraId="3BE24BF7">
      <w:pPr>
        <w:spacing w:before="135" w:line="340" w:lineRule="auto"/>
        <w:ind w:right="177" w:firstLine="421"/>
        <w:rPr>
          <w:rFonts w:ascii="宋体" w:hAnsi="宋体" w:eastAsia="宋体" w:cs="宋体"/>
          <w:sz w:val="21"/>
          <w:szCs w:val="21"/>
        </w:rPr>
      </w:pPr>
      <w:r>
        <w:rPr>
          <w:rFonts w:ascii="宋体" w:hAnsi="宋体" w:eastAsia="宋体" w:cs="宋体"/>
          <w:sz w:val="21"/>
          <w:szCs w:val="21"/>
        </w:rPr>
        <w:t>经批准的样品应由监理人负责封存于现场，承包人应在现场为保存样品提供适当</w:t>
      </w:r>
      <w:r>
        <w:rPr>
          <w:rFonts w:ascii="宋体" w:hAnsi="宋体" w:eastAsia="宋体" w:cs="宋体"/>
          <w:spacing w:val="-1"/>
          <w:sz w:val="21"/>
          <w:szCs w:val="21"/>
        </w:rPr>
        <w:t>和固定的场所并保持适当和良好的存储环境条件。</w:t>
      </w:r>
    </w:p>
    <w:p w14:paraId="39793A58">
      <w:pPr>
        <w:spacing w:line="232" w:lineRule="auto"/>
        <w:ind w:left="1"/>
        <w:outlineLvl w:val="2"/>
        <w:rPr>
          <w:rFonts w:ascii="黑体" w:hAnsi="黑体" w:eastAsia="黑体" w:cs="黑体"/>
          <w:sz w:val="24"/>
          <w:szCs w:val="24"/>
        </w:rPr>
      </w:pPr>
      <w:bookmarkStart w:id="279" w:name="bookmark562"/>
      <w:bookmarkEnd w:id="279"/>
      <w:bookmarkStart w:id="280" w:name="bookmark210"/>
      <w:bookmarkEnd w:id="280"/>
      <w:r>
        <w:rPr>
          <w:rFonts w:ascii="Times New Roman" w:hAnsi="Times New Roman" w:eastAsia="Times New Roman" w:cs="Times New Roman"/>
          <w:b/>
          <w:bCs/>
          <w:spacing w:val="-2"/>
          <w:sz w:val="24"/>
          <w:szCs w:val="24"/>
        </w:rPr>
        <w:t xml:space="preserve">8.7 </w:t>
      </w:r>
      <w:r>
        <w:rPr>
          <w:rFonts w:ascii="黑体" w:hAnsi="黑体" w:eastAsia="黑体" w:cs="黑体"/>
          <w:b/>
          <w:bCs/>
          <w:spacing w:val="-2"/>
          <w:sz w:val="24"/>
          <w:szCs w:val="24"/>
        </w:rPr>
        <w:t>材料与工程设备的替代</w:t>
      </w:r>
    </w:p>
    <w:p w14:paraId="619683CC">
      <w:pPr>
        <w:spacing w:before="122" w:line="343" w:lineRule="auto"/>
        <w:ind w:left="4" w:right="177" w:firstLine="421"/>
        <w:rPr>
          <w:rFonts w:ascii="宋体" w:hAnsi="宋体" w:eastAsia="宋体" w:cs="宋体"/>
          <w:sz w:val="21"/>
          <w:szCs w:val="21"/>
        </w:rPr>
      </w:pPr>
      <w:r>
        <w:rPr>
          <w:rFonts w:ascii="Times New Roman" w:hAnsi="Times New Roman" w:eastAsia="Times New Roman" w:cs="Times New Roman"/>
          <w:sz w:val="21"/>
          <w:szCs w:val="21"/>
        </w:rPr>
        <w:t xml:space="preserve">8.7.1  </w:t>
      </w:r>
      <w:r>
        <w:rPr>
          <w:rFonts w:ascii="宋体" w:hAnsi="宋体" w:eastAsia="宋体" w:cs="宋体"/>
          <w:sz w:val="21"/>
          <w:szCs w:val="21"/>
        </w:rPr>
        <w:t>出现下列情况需要使用替代材料和工程设备的</w:t>
      </w:r>
      <w:r>
        <w:rPr>
          <w:rFonts w:ascii="宋体" w:hAnsi="宋体" w:eastAsia="宋体" w:cs="宋体"/>
          <w:spacing w:val="-1"/>
          <w:sz w:val="21"/>
          <w:szCs w:val="21"/>
        </w:rPr>
        <w:t>，承包人应按照第</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 xml:space="preserve">8.7.2 </w:t>
      </w:r>
      <w:r>
        <w:rPr>
          <w:rFonts w:ascii="宋体" w:hAnsi="宋体" w:eastAsia="宋体" w:cs="宋体"/>
          <w:spacing w:val="-1"/>
          <w:sz w:val="21"/>
          <w:szCs w:val="21"/>
        </w:rPr>
        <w:t>项约定的程序执</w:t>
      </w:r>
      <w:r>
        <w:rPr>
          <w:rFonts w:ascii="宋体" w:hAnsi="宋体" w:eastAsia="宋体" w:cs="宋体"/>
          <w:spacing w:val="-15"/>
          <w:sz w:val="21"/>
          <w:szCs w:val="21"/>
        </w:rPr>
        <w:t>行：</w:t>
      </w:r>
    </w:p>
    <w:p w14:paraId="39C658CC">
      <w:pPr>
        <w:spacing w:before="20"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）基准日期后生效的法律规定禁止使用的；</w:t>
      </w:r>
    </w:p>
    <w:p w14:paraId="7841A5A6">
      <w:pPr>
        <w:spacing w:before="135"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）发包人要求使用替代品的；</w:t>
      </w:r>
    </w:p>
    <w:p w14:paraId="7437E950">
      <w:pPr>
        <w:spacing w:before="132"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）因其他原因必须使用替代品的。</w:t>
      </w:r>
    </w:p>
    <w:p w14:paraId="368DE597">
      <w:pPr>
        <w:spacing w:before="134"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8.7.2  </w:t>
      </w:r>
      <w:r>
        <w:rPr>
          <w:rFonts w:ascii="宋体" w:hAnsi="宋体" w:eastAsia="宋体" w:cs="宋体"/>
          <w:spacing w:val="-1"/>
          <w:sz w:val="21"/>
          <w:szCs w:val="21"/>
        </w:rPr>
        <w:t>承包人应在使用替代材料和工程设备</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天前书面通知监理人，并附</w:t>
      </w:r>
      <w:r>
        <w:rPr>
          <w:rFonts w:ascii="宋体" w:hAnsi="宋体" w:eastAsia="宋体" w:cs="宋体"/>
          <w:spacing w:val="-2"/>
          <w:sz w:val="21"/>
          <w:szCs w:val="21"/>
        </w:rPr>
        <w:t>下列文件：</w:t>
      </w:r>
    </w:p>
    <w:p w14:paraId="766FA995">
      <w:pPr>
        <w:spacing w:before="135" w:line="286" w:lineRule="auto"/>
        <w:ind w:left="9" w:right="195" w:firstLine="41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）被替代的材料和工程设备的名称、数量、规格、型号、品牌、性能、价格及其</w:t>
      </w:r>
      <w:r>
        <w:rPr>
          <w:rFonts w:ascii="宋体" w:hAnsi="宋体" w:eastAsia="宋体" w:cs="宋体"/>
          <w:spacing w:val="1"/>
          <w:sz w:val="21"/>
          <w:szCs w:val="21"/>
        </w:rPr>
        <w:t>他相关</w:t>
      </w:r>
      <w:r>
        <w:rPr>
          <w:rFonts w:ascii="宋体" w:hAnsi="宋体" w:eastAsia="宋体" w:cs="宋体"/>
          <w:spacing w:val="-15"/>
          <w:sz w:val="21"/>
          <w:szCs w:val="21"/>
        </w:rPr>
        <w:t>资料；</w:t>
      </w:r>
    </w:p>
    <w:p w14:paraId="0BDAB751">
      <w:pPr>
        <w:spacing w:before="149" w:line="233"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）替代品的名称、数量、规格、型号、品牌、性能</w:t>
      </w:r>
      <w:r>
        <w:rPr>
          <w:rFonts w:ascii="宋体" w:hAnsi="宋体" w:eastAsia="宋体" w:cs="宋体"/>
          <w:spacing w:val="-1"/>
          <w:sz w:val="21"/>
          <w:szCs w:val="21"/>
        </w:rPr>
        <w:t>、价格及其他相关资料；</w:t>
      </w:r>
    </w:p>
    <w:p w14:paraId="0E9EEE7F">
      <w:pPr>
        <w:spacing w:before="136"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）替代品与被替代产品之间的差异以及使用替代品</w:t>
      </w:r>
      <w:r>
        <w:rPr>
          <w:rFonts w:ascii="宋体" w:hAnsi="宋体" w:eastAsia="宋体" w:cs="宋体"/>
          <w:spacing w:val="-1"/>
          <w:sz w:val="21"/>
          <w:szCs w:val="21"/>
        </w:rPr>
        <w:t>可能对工程产生的影响；</w:t>
      </w:r>
    </w:p>
    <w:p w14:paraId="3FF1F6CC">
      <w:pPr>
        <w:spacing w:before="132"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）替代品与被替代产品的价格差异；</w:t>
      </w:r>
    </w:p>
    <w:p w14:paraId="2F91FFBB">
      <w:pPr>
        <w:spacing w:before="136"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5</w:t>
      </w:r>
      <w:r>
        <w:rPr>
          <w:rFonts w:ascii="宋体" w:hAnsi="宋体" w:eastAsia="宋体" w:cs="宋体"/>
          <w:spacing w:val="-3"/>
          <w:sz w:val="21"/>
          <w:szCs w:val="21"/>
        </w:rPr>
        <w:t>）使用替代品的理由和原因说明；</w:t>
      </w:r>
    </w:p>
    <w:p w14:paraId="4E8939C6">
      <w:pPr>
        <w:spacing w:before="135"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6</w:t>
      </w:r>
      <w:r>
        <w:rPr>
          <w:rFonts w:ascii="宋体" w:hAnsi="宋体" w:eastAsia="宋体" w:cs="宋体"/>
          <w:spacing w:val="-3"/>
          <w:sz w:val="21"/>
          <w:szCs w:val="21"/>
        </w:rPr>
        <w:t>）监理人要求的其他文件。</w:t>
      </w:r>
    </w:p>
    <w:p w14:paraId="27F2C0B2">
      <w:pPr>
        <w:spacing w:before="132" w:line="344" w:lineRule="auto"/>
        <w:ind w:left="1" w:right="177" w:firstLine="420"/>
        <w:rPr>
          <w:rFonts w:ascii="宋体" w:hAnsi="宋体" w:eastAsia="宋体" w:cs="宋体"/>
          <w:sz w:val="21"/>
          <w:szCs w:val="21"/>
        </w:rPr>
      </w:pPr>
      <w:r>
        <w:rPr>
          <w:rFonts w:ascii="宋体" w:hAnsi="宋体" w:eastAsia="宋体" w:cs="宋体"/>
          <w:sz w:val="21"/>
          <w:szCs w:val="21"/>
        </w:rPr>
        <w:t xml:space="preserve">监理人应在收到通知后 </w:t>
      </w:r>
      <w:r>
        <w:rPr>
          <w:rFonts w:ascii="Times New Roman" w:hAnsi="Times New Roman" w:eastAsia="Times New Roman" w:cs="Times New Roman"/>
          <w:sz w:val="21"/>
          <w:szCs w:val="21"/>
        </w:rPr>
        <w:t xml:space="preserve">14  </w:t>
      </w:r>
      <w:r>
        <w:rPr>
          <w:rFonts w:ascii="宋体" w:hAnsi="宋体" w:eastAsia="宋体" w:cs="宋体"/>
          <w:sz w:val="21"/>
          <w:szCs w:val="21"/>
        </w:rPr>
        <w:t>天内向承包人发出经发包人签认的书面指示；监理人逾</w:t>
      </w:r>
      <w:r>
        <w:rPr>
          <w:rFonts w:ascii="宋体" w:hAnsi="宋体" w:eastAsia="宋体" w:cs="宋体"/>
          <w:spacing w:val="-1"/>
          <w:sz w:val="21"/>
          <w:szCs w:val="21"/>
        </w:rPr>
        <w:t>期发出书面指示的，视为发包人和监理人同意使用替代品。</w:t>
      </w:r>
    </w:p>
    <w:p w14:paraId="009242E0">
      <w:pPr>
        <w:spacing w:before="19" w:line="346" w:lineRule="auto"/>
        <w:ind w:right="3" w:firstLine="425"/>
        <w:jc w:val="both"/>
        <w:rPr>
          <w:rFonts w:ascii="宋体" w:hAnsi="宋体" w:eastAsia="宋体" w:cs="宋体"/>
          <w:sz w:val="21"/>
          <w:szCs w:val="21"/>
        </w:rPr>
      </w:pPr>
      <w:r>
        <w:rPr>
          <w:rFonts w:ascii="Times New Roman" w:hAnsi="Times New Roman" w:eastAsia="Times New Roman" w:cs="Times New Roman"/>
          <w:spacing w:val="2"/>
          <w:sz w:val="21"/>
          <w:szCs w:val="21"/>
        </w:rPr>
        <w:t xml:space="preserve">8.7.3  </w:t>
      </w:r>
      <w:r>
        <w:rPr>
          <w:rFonts w:ascii="宋体" w:hAnsi="宋体" w:eastAsia="宋体" w:cs="宋体"/>
          <w:spacing w:val="2"/>
          <w:sz w:val="21"/>
          <w:szCs w:val="21"/>
        </w:rPr>
        <w:t>发包人认可使用替代材料和工程设备的，替代材料和工程设备的价格，按照已标</w:t>
      </w:r>
      <w:r>
        <w:rPr>
          <w:rFonts w:ascii="宋体" w:hAnsi="宋体" w:eastAsia="宋体" w:cs="宋体"/>
          <w:spacing w:val="1"/>
          <w:sz w:val="21"/>
          <w:szCs w:val="21"/>
        </w:rPr>
        <w:t>价工</w:t>
      </w:r>
      <w:r>
        <w:rPr>
          <w:rFonts w:ascii="宋体" w:hAnsi="宋体" w:eastAsia="宋体" w:cs="宋体"/>
          <w:sz w:val="21"/>
          <w:szCs w:val="21"/>
        </w:rPr>
        <w:t>程量清单或预算书相同项目的价格认定；无相同项目的，参考相似项目价格认定；既无相同</w:t>
      </w:r>
      <w:r>
        <w:rPr>
          <w:rFonts w:ascii="宋体" w:hAnsi="宋体" w:eastAsia="宋体" w:cs="宋体"/>
          <w:spacing w:val="-1"/>
          <w:sz w:val="21"/>
          <w:szCs w:val="21"/>
        </w:rPr>
        <w:t>项目也无相似项目的，按照合理的成本与利润构成的原则，由合同当事人按照第</w:t>
      </w:r>
      <w:r>
        <w:rPr>
          <w:rFonts w:ascii="宋体" w:hAnsi="宋体" w:eastAsia="宋体" w:cs="宋体"/>
          <w:spacing w:val="-25"/>
          <w:sz w:val="21"/>
          <w:szCs w:val="21"/>
        </w:rPr>
        <w:t xml:space="preserve"> </w:t>
      </w:r>
      <w:r>
        <w:rPr>
          <w:rFonts w:ascii="Times New Roman" w:hAnsi="Times New Roman" w:eastAsia="Times New Roman" w:cs="Times New Roman"/>
          <w:spacing w:val="-1"/>
          <w:sz w:val="21"/>
          <w:szCs w:val="21"/>
        </w:rPr>
        <w:t>4.4</w:t>
      </w:r>
      <w:r>
        <w:rPr>
          <w:rFonts w:ascii="Times New Roman" w:hAnsi="Times New Roman" w:eastAsia="Times New Roman" w:cs="Times New Roman"/>
          <w:spacing w:val="36"/>
          <w:sz w:val="21"/>
          <w:szCs w:val="21"/>
        </w:rPr>
        <w:t xml:space="preserve"> </w:t>
      </w:r>
      <w:r>
        <w:rPr>
          <w:rFonts w:ascii="宋体" w:hAnsi="宋体" w:eastAsia="宋体" w:cs="宋体"/>
          <w:spacing w:val="-1"/>
          <w:sz w:val="21"/>
          <w:szCs w:val="21"/>
        </w:rPr>
        <w:t>款〔</w:t>
      </w:r>
      <w:r>
        <w:rPr>
          <w:rFonts w:ascii="宋体" w:hAnsi="宋体" w:eastAsia="宋体" w:cs="宋体"/>
          <w:spacing w:val="-2"/>
          <w:sz w:val="21"/>
          <w:szCs w:val="21"/>
        </w:rPr>
        <w:t>商定或确定〕</w:t>
      </w:r>
      <w:r>
        <w:rPr>
          <w:rFonts w:ascii="宋体" w:hAnsi="宋体" w:eastAsia="宋体" w:cs="宋体"/>
          <w:spacing w:val="-4"/>
          <w:sz w:val="21"/>
          <w:szCs w:val="21"/>
        </w:rPr>
        <w:t>确定价格。</w:t>
      </w:r>
    </w:p>
    <w:p w14:paraId="06A57675">
      <w:pPr>
        <w:spacing w:line="232" w:lineRule="auto"/>
        <w:ind w:left="1"/>
        <w:outlineLvl w:val="2"/>
        <w:rPr>
          <w:rFonts w:ascii="黑体" w:hAnsi="黑体" w:eastAsia="黑体" w:cs="黑体"/>
          <w:sz w:val="24"/>
          <w:szCs w:val="24"/>
        </w:rPr>
      </w:pPr>
      <w:bookmarkStart w:id="281" w:name="bookmark211"/>
      <w:bookmarkEnd w:id="281"/>
      <w:r>
        <w:rPr>
          <w:rFonts w:ascii="Times New Roman" w:hAnsi="Times New Roman" w:eastAsia="Times New Roman" w:cs="Times New Roman"/>
          <w:b/>
          <w:bCs/>
          <w:spacing w:val="-2"/>
          <w:sz w:val="24"/>
          <w:szCs w:val="24"/>
        </w:rPr>
        <w:t xml:space="preserve">8.8 </w:t>
      </w:r>
      <w:r>
        <w:rPr>
          <w:rFonts w:ascii="黑体" w:hAnsi="黑体" w:eastAsia="黑体" w:cs="黑体"/>
          <w:b/>
          <w:bCs/>
          <w:spacing w:val="-2"/>
          <w:sz w:val="24"/>
          <w:szCs w:val="24"/>
        </w:rPr>
        <w:t>施工设备和临时设施</w:t>
      </w:r>
    </w:p>
    <w:p w14:paraId="15B295BC">
      <w:pPr>
        <w:spacing w:before="123"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8.8.1  </w:t>
      </w:r>
      <w:r>
        <w:rPr>
          <w:rFonts w:ascii="宋体" w:hAnsi="宋体" w:eastAsia="宋体" w:cs="宋体"/>
          <w:spacing w:val="-1"/>
          <w:sz w:val="21"/>
          <w:szCs w:val="21"/>
        </w:rPr>
        <w:t>承包人提供的施工设备和临时设施</w:t>
      </w:r>
    </w:p>
    <w:p w14:paraId="3856C3DD">
      <w:pPr>
        <w:spacing w:before="136" w:line="351" w:lineRule="auto"/>
        <w:ind w:left="2" w:firstLine="418"/>
        <w:rPr>
          <w:rFonts w:ascii="宋体" w:hAnsi="宋体" w:eastAsia="宋体" w:cs="宋体"/>
          <w:sz w:val="21"/>
          <w:szCs w:val="21"/>
        </w:rPr>
      </w:pPr>
      <w:r>
        <w:rPr>
          <w:rFonts w:ascii="宋体" w:hAnsi="宋体" w:eastAsia="宋体" w:cs="宋体"/>
          <w:sz w:val="21"/>
          <w:szCs w:val="21"/>
        </w:rPr>
        <w:t>承包人应按合同进度计划的要求，及时配置施工设备和修建临时设施。进入施工场</w:t>
      </w:r>
      <w:r>
        <w:rPr>
          <w:rFonts w:ascii="宋体" w:hAnsi="宋体" w:eastAsia="宋体" w:cs="宋体"/>
          <w:spacing w:val="-1"/>
          <w:sz w:val="21"/>
          <w:szCs w:val="21"/>
        </w:rPr>
        <w:t>地的承包人设备需经监理人核查后才能投入使用。承包人更换合同约定的承包人设备的，应报监理人批准。</w:t>
      </w:r>
    </w:p>
    <w:p w14:paraId="31A61410">
      <w:pPr>
        <w:spacing w:line="351" w:lineRule="auto"/>
        <w:ind w:left="26" w:right="177" w:firstLine="406"/>
        <w:rPr>
          <w:rFonts w:ascii="宋体" w:hAnsi="宋体" w:eastAsia="宋体" w:cs="宋体"/>
          <w:sz w:val="21"/>
          <w:szCs w:val="21"/>
        </w:rPr>
      </w:pPr>
      <w:r>
        <w:rPr>
          <w:rFonts w:ascii="宋体" w:hAnsi="宋体" w:eastAsia="宋体" w:cs="宋体"/>
          <w:sz w:val="21"/>
          <w:szCs w:val="21"/>
        </w:rPr>
        <w:t>除专用合同条款另有约定外，承包人应自行承担修建临</w:t>
      </w:r>
      <w:r>
        <w:rPr>
          <w:rFonts w:ascii="宋体" w:hAnsi="宋体" w:eastAsia="宋体" w:cs="宋体"/>
          <w:spacing w:val="-1"/>
          <w:sz w:val="21"/>
          <w:szCs w:val="21"/>
        </w:rPr>
        <w:t>时设施的费用，需要临时占地的，应</w:t>
      </w:r>
      <w:r>
        <w:rPr>
          <w:rFonts w:ascii="宋体" w:hAnsi="宋体" w:eastAsia="宋体" w:cs="宋体"/>
          <w:spacing w:val="-3"/>
          <w:sz w:val="21"/>
          <w:szCs w:val="21"/>
        </w:rPr>
        <w:t>由发包人办理申请手续并承担相应费用。</w:t>
      </w:r>
    </w:p>
    <w:p w14:paraId="58B54ECF">
      <w:pPr>
        <w:spacing w:before="1" w:line="233"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8.8.2 </w:t>
      </w:r>
      <w:r>
        <w:rPr>
          <w:rFonts w:ascii="宋体" w:hAnsi="宋体" w:eastAsia="宋体" w:cs="宋体"/>
          <w:spacing w:val="-1"/>
          <w:sz w:val="21"/>
          <w:szCs w:val="21"/>
        </w:rPr>
        <w:t>发包人提供的施工设备和临时设施</w:t>
      </w:r>
    </w:p>
    <w:p w14:paraId="399EFC84">
      <w:pPr>
        <w:spacing w:before="135" w:line="220" w:lineRule="auto"/>
        <w:ind w:left="424"/>
        <w:rPr>
          <w:rFonts w:ascii="宋体" w:hAnsi="宋体" w:eastAsia="宋体" w:cs="宋体"/>
          <w:sz w:val="21"/>
          <w:szCs w:val="21"/>
        </w:rPr>
      </w:pPr>
      <w:r>
        <w:rPr>
          <w:rFonts w:ascii="宋体" w:hAnsi="宋体" w:eastAsia="宋体" w:cs="宋体"/>
          <w:sz w:val="21"/>
          <w:szCs w:val="21"/>
        </w:rPr>
        <w:t>发包人提供的施工设备或临时设施在专用合同</w:t>
      </w:r>
      <w:r>
        <w:rPr>
          <w:rFonts w:ascii="宋体" w:hAnsi="宋体" w:eastAsia="宋体" w:cs="宋体"/>
          <w:spacing w:val="-1"/>
          <w:sz w:val="21"/>
          <w:szCs w:val="21"/>
        </w:rPr>
        <w:t>条款中约定。</w:t>
      </w:r>
    </w:p>
    <w:p w14:paraId="28092FDB">
      <w:pPr>
        <w:spacing w:before="151" w:line="234" w:lineRule="auto"/>
        <w:ind w:left="425"/>
        <w:rPr>
          <w:rFonts w:ascii="宋体" w:hAnsi="宋体" w:eastAsia="宋体" w:cs="宋体"/>
          <w:sz w:val="21"/>
          <w:szCs w:val="21"/>
        </w:rPr>
      </w:pPr>
      <w:r>
        <w:rPr>
          <w:rFonts w:ascii="Times New Roman" w:hAnsi="Times New Roman" w:eastAsia="Times New Roman" w:cs="Times New Roman"/>
          <w:spacing w:val="-1"/>
          <w:sz w:val="21"/>
          <w:szCs w:val="21"/>
        </w:rPr>
        <w:t xml:space="preserve">8.8.3 </w:t>
      </w:r>
      <w:r>
        <w:rPr>
          <w:rFonts w:ascii="宋体" w:hAnsi="宋体" w:eastAsia="宋体" w:cs="宋体"/>
          <w:spacing w:val="-1"/>
          <w:sz w:val="21"/>
          <w:szCs w:val="21"/>
        </w:rPr>
        <w:t>要求承包人增加或更换施工设备</w:t>
      </w:r>
    </w:p>
    <w:p w14:paraId="23630F48">
      <w:pPr>
        <w:spacing w:before="133" w:line="354" w:lineRule="auto"/>
        <w:ind w:left="1" w:right="177" w:firstLine="419"/>
        <w:rPr>
          <w:rFonts w:ascii="宋体" w:hAnsi="宋体" w:eastAsia="宋体" w:cs="宋体"/>
          <w:sz w:val="21"/>
          <w:szCs w:val="21"/>
        </w:rPr>
      </w:pPr>
      <w:r>
        <w:rPr>
          <w:rFonts w:ascii="宋体" w:hAnsi="宋体" w:eastAsia="宋体" w:cs="宋体"/>
          <w:sz w:val="21"/>
          <w:szCs w:val="21"/>
        </w:rPr>
        <w:t>承包人使用的施工设备不能满足合同进度计划和（或）质量要求时，监理人有权要</w:t>
      </w:r>
      <w:r>
        <w:rPr>
          <w:rFonts w:ascii="宋体" w:hAnsi="宋体" w:eastAsia="宋体" w:cs="宋体"/>
          <w:spacing w:val="-1"/>
          <w:sz w:val="21"/>
          <w:szCs w:val="21"/>
        </w:rPr>
        <w:t>求承包人</w:t>
      </w:r>
      <w:r>
        <w:rPr>
          <w:rFonts w:ascii="宋体" w:hAnsi="宋体" w:eastAsia="宋体" w:cs="宋体"/>
          <w:sz w:val="21"/>
          <w:szCs w:val="21"/>
        </w:rPr>
        <w:t>增加或更换施工设备，承包人应及时增加或更换，由此增加的费用和（或）延误的工期</w:t>
      </w:r>
      <w:r>
        <w:rPr>
          <w:rFonts w:ascii="宋体" w:hAnsi="宋体" w:eastAsia="宋体" w:cs="宋体"/>
          <w:spacing w:val="-1"/>
          <w:sz w:val="21"/>
          <w:szCs w:val="21"/>
        </w:rPr>
        <w:t>由承包人</w:t>
      </w:r>
    </w:p>
    <w:p w14:paraId="4F19A934">
      <w:pPr>
        <w:spacing w:line="354" w:lineRule="auto"/>
        <w:rPr>
          <w:rFonts w:ascii="宋体" w:hAnsi="宋体" w:eastAsia="宋体" w:cs="宋体"/>
          <w:sz w:val="21"/>
          <w:szCs w:val="21"/>
        </w:rPr>
        <w:sectPr>
          <w:footerReference r:id="rId110" w:type="default"/>
          <w:pgSz w:w="11905" w:h="16843"/>
          <w:pgMar w:top="969" w:right="1355" w:bottom="1026" w:left="1480" w:header="0" w:footer="754" w:gutter="0"/>
          <w:cols w:space="0" w:num="1"/>
          <w:rtlGutter w:val="0"/>
          <w:docGrid w:linePitch="0" w:charSpace="0"/>
        </w:sectPr>
      </w:pPr>
    </w:p>
    <w:p w14:paraId="4CC0B99A">
      <w:pPr>
        <w:pStyle w:val="5"/>
        <w:spacing w:line="270" w:lineRule="auto"/>
      </w:pPr>
    </w:p>
    <w:p w14:paraId="553F248C">
      <w:pPr>
        <w:pStyle w:val="5"/>
        <w:spacing w:line="270" w:lineRule="auto"/>
      </w:pPr>
    </w:p>
    <w:p w14:paraId="58714F38">
      <w:pPr>
        <w:pStyle w:val="5"/>
        <w:spacing w:line="270" w:lineRule="auto"/>
      </w:pPr>
    </w:p>
    <w:p w14:paraId="11C2AEF9">
      <w:pPr>
        <w:pStyle w:val="5"/>
        <w:spacing w:line="271" w:lineRule="auto"/>
      </w:pPr>
    </w:p>
    <w:p w14:paraId="0AB5ED64">
      <w:pPr>
        <w:spacing w:before="68" w:line="221" w:lineRule="auto"/>
        <w:rPr>
          <w:rFonts w:ascii="宋体" w:hAnsi="宋体" w:eastAsia="宋体" w:cs="宋体"/>
          <w:sz w:val="21"/>
          <w:szCs w:val="21"/>
        </w:rPr>
      </w:pPr>
      <w:r>
        <w:rPr>
          <w:rFonts w:ascii="宋体" w:hAnsi="宋体" w:eastAsia="宋体" w:cs="宋体"/>
          <w:spacing w:val="-8"/>
          <w:sz w:val="21"/>
          <w:szCs w:val="21"/>
        </w:rPr>
        <w:t>承担。</w:t>
      </w:r>
    </w:p>
    <w:p w14:paraId="684ED4D3">
      <w:pPr>
        <w:spacing w:before="124" w:line="233" w:lineRule="auto"/>
        <w:ind w:left="1"/>
        <w:outlineLvl w:val="2"/>
        <w:rPr>
          <w:rFonts w:ascii="黑体" w:hAnsi="黑体" w:eastAsia="黑体" w:cs="黑体"/>
          <w:sz w:val="24"/>
          <w:szCs w:val="24"/>
        </w:rPr>
      </w:pPr>
      <w:bookmarkStart w:id="282" w:name="bookmark212"/>
      <w:bookmarkEnd w:id="282"/>
      <w:bookmarkStart w:id="283" w:name="bookmark563"/>
      <w:bookmarkEnd w:id="283"/>
      <w:r>
        <w:rPr>
          <w:rFonts w:ascii="Times New Roman" w:hAnsi="Times New Roman" w:eastAsia="Times New Roman" w:cs="Times New Roman"/>
          <w:b/>
          <w:bCs/>
          <w:spacing w:val="-2"/>
          <w:sz w:val="24"/>
          <w:szCs w:val="24"/>
        </w:rPr>
        <w:t xml:space="preserve">8.9 </w:t>
      </w:r>
      <w:r>
        <w:rPr>
          <w:rFonts w:ascii="黑体" w:hAnsi="黑体" w:eastAsia="黑体" w:cs="黑体"/>
          <w:b/>
          <w:bCs/>
          <w:spacing w:val="-2"/>
          <w:sz w:val="24"/>
          <w:szCs w:val="24"/>
        </w:rPr>
        <w:t>材料与设备专用要求</w:t>
      </w:r>
    </w:p>
    <w:p w14:paraId="0B9BC89B">
      <w:pPr>
        <w:spacing w:before="121" w:line="353" w:lineRule="auto"/>
        <w:ind w:right="177" w:firstLine="420"/>
        <w:jc w:val="both"/>
        <w:rPr>
          <w:rFonts w:ascii="宋体" w:hAnsi="宋体" w:eastAsia="宋体" w:cs="宋体"/>
          <w:sz w:val="21"/>
          <w:szCs w:val="21"/>
        </w:rPr>
      </w:pPr>
      <w:r>
        <w:rPr>
          <w:rFonts w:ascii="宋体" w:hAnsi="宋体" w:eastAsia="宋体" w:cs="宋体"/>
          <w:sz w:val="21"/>
          <w:szCs w:val="21"/>
        </w:rPr>
        <w:t>承包人运入施工现场的材料、工程设备、施工设备以及在施工场地建设的临时设施</w:t>
      </w:r>
      <w:r>
        <w:rPr>
          <w:rFonts w:ascii="宋体" w:hAnsi="宋体" w:eastAsia="宋体" w:cs="宋体"/>
          <w:spacing w:val="-1"/>
          <w:sz w:val="21"/>
          <w:szCs w:val="21"/>
        </w:rPr>
        <w:t>，包括备</w:t>
      </w:r>
      <w:r>
        <w:rPr>
          <w:rFonts w:ascii="宋体" w:hAnsi="宋体" w:eastAsia="宋体" w:cs="宋体"/>
          <w:sz w:val="21"/>
          <w:szCs w:val="21"/>
        </w:rPr>
        <w:t>品备件、安装工具与资料，必须专用于工程。未经发包人批准，承包人不得运出施工现场</w:t>
      </w:r>
      <w:r>
        <w:rPr>
          <w:rFonts w:ascii="宋体" w:hAnsi="宋体" w:eastAsia="宋体" w:cs="宋体"/>
          <w:spacing w:val="-1"/>
          <w:sz w:val="21"/>
          <w:szCs w:val="21"/>
        </w:rPr>
        <w:t>或挪作</w:t>
      </w:r>
      <w:r>
        <w:rPr>
          <w:rFonts w:ascii="宋体" w:hAnsi="宋体" w:eastAsia="宋体" w:cs="宋体"/>
          <w:sz w:val="21"/>
          <w:szCs w:val="21"/>
        </w:rPr>
        <w:t>他用；经发包人批准，承包人可以根据施工进度</w:t>
      </w:r>
      <w:r>
        <w:rPr>
          <w:rFonts w:ascii="宋体" w:hAnsi="宋体" w:eastAsia="宋体" w:cs="宋体"/>
          <w:spacing w:val="-1"/>
          <w:sz w:val="21"/>
          <w:szCs w:val="21"/>
        </w:rPr>
        <w:t>计划撤走闲置的施工设备和其他物品。</w:t>
      </w:r>
    </w:p>
    <w:p w14:paraId="63D7D746">
      <w:pPr>
        <w:spacing w:before="36" w:line="232" w:lineRule="auto"/>
        <w:ind w:left="1"/>
        <w:outlineLvl w:val="1"/>
        <w:rPr>
          <w:rFonts w:ascii="黑体" w:hAnsi="黑体" w:eastAsia="黑体" w:cs="黑体"/>
          <w:sz w:val="28"/>
          <w:szCs w:val="28"/>
        </w:rPr>
      </w:pPr>
      <w:bookmarkStart w:id="284" w:name="bookmark213"/>
      <w:bookmarkEnd w:id="284"/>
      <w:r>
        <w:rPr>
          <w:rFonts w:ascii="Times New Roman" w:hAnsi="Times New Roman" w:eastAsia="Times New Roman" w:cs="Times New Roman"/>
          <w:b/>
          <w:bCs/>
          <w:spacing w:val="-2"/>
          <w:sz w:val="28"/>
          <w:szCs w:val="28"/>
        </w:rPr>
        <w:t xml:space="preserve">9.  </w:t>
      </w:r>
      <w:r>
        <w:rPr>
          <w:rFonts w:ascii="黑体" w:hAnsi="黑体" w:eastAsia="黑体" w:cs="黑体"/>
          <w:b/>
          <w:bCs/>
          <w:spacing w:val="-2"/>
          <w:sz w:val="28"/>
          <w:szCs w:val="28"/>
        </w:rPr>
        <w:t>试验与检验</w:t>
      </w:r>
    </w:p>
    <w:p w14:paraId="6D0D47A1">
      <w:pPr>
        <w:spacing w:before="83" w:line="232" w:lineRule="auto"/>
        <w:outlineLvl w:val="2"/>
        <w:rPr>
          <w:rFonts w:ascii="黑体" w:hAnsi="黑体" w:eastAsia="黑体" w:cs="黑体"/>
          <w:sz w:val="24"/>
          <w:szCs w:val="24"/>
        </w:rPr>
      </w:pPr>
      <w:bookmarkStart w:id="285" w:name="bookmark214"/>
      <w:bookmarkEnd w:id="285"/>
      <w:r>
        <w:rPr>
          <w:rFonts w:ascii="Times New Roman" w:hAnsi="Times New Roman" w:eastAsia="Times New Roman" w:cs="Times New Roman"/>
          <w:b/>
          <w:bCs/>
          <w:spacing w:val="-2"/>
          <w:sz w:val="24"/>
          <w:szCs w:val="24"/>
        </w:rPr>
        <w:t xml:space="preserve">9.1 </w:t>
      </w:r>
      <w:r>
        <w:rPr>
          <w:rFonts w:ascii="黑体" w:hAnsi="黑体" w:eastAsia="黑体" w:cs="黑体"/>
          <w:b/>
          <w:bCs/>
          <w:spacing w:val="-2"/>
          <w:sz w:val="24"/>
          <w:szCs w:val="24"/>
        </w:rPr>
        <w:t>试验设备与试验人员</w:t>
      </w:r>
    </w:p>
    <w:p w14:paraId="56B145DA">
      <w:pPr>
        <w:spacing w:before="123" w:line="234" w:lineRule="auto"/>
        <w:ind w:left="421"/>
        <w:rPr>
          <w:rFonts w:ascii="宋体" w:hAnsi="宋体" w:eastAsia="宋体" w:cs="宋体"/>
          <w:sz w:val="21"/>
          <w:szCs w:val="21"/>
        </w:rPr>
      </w:pPr>
      <w:r>
        <w:rPr>
          <w:rFonts w:ascii="Times New Roman" w:hAnsi="Times New Roman" w:eastAsia="Times New Roman" w:cs="Times New Roman"/>
          <w:spacing w:val="2"/>
          <w:sz w:val="21"/>
          <w:szCs w:val="21"/>
        </w:rPr>
        <w:t xml:space="preserve">9.1.1  </w:t>
      </w:r>
      <w:r>
        <w:rPr>
          <w:rFonts w:ascii="宋体" w:hAnsi="宋体" w:eastAsia="宋体" w:cs="宋体"/>
          <w:spacing w:val="2"/>
          <w:sz w:val="21"/>
          <w:szCs w:val="21"/>
        </w:rPr>
        <w:t>承包人根据合同约定或监理人指示进行的现场材</w:t>
      </w:r>
      <w:r>
        <w:rPr>
          <w:rFonts w:ascii="宋体" w:hAnsi="宋体" w:eastAsia="宋体" w:cs="宋体"/>
          <w:spacing w:val="1"/>
          <w:sz w:val="21"/>
          <w:szCs w:val="21"/>
        </w:rPr>
        <w:t>料试验，应由承包人提供试验场所、</w:t>
      </w:r>
    </w:p>
    <w:p w14:paraId="54803715">
      <w:pPr>
        <w:spacing w:before="134" w:line="286" w:lineRule="auto"/>
        <w:rPr>
          <w:rFonts w:ascii="宋体" w:hAnsi="宋体" w:eastAsia="宋体" w:cs="宋体"/>
          <w:sz w:val="21"/>
          <w:szCs w:val="21"/>
        </w:rPr>
      </w:pPr>
      <w:r>
        <w:rPr>
          <w:rFonts w:ascii="宋体" w:hAnsi="宋体" w:eastAsia="宋体" w:cs="宋体"/>
          <w:spacing w:val="-1"/>
          <w:sz w:val="21"/>
          <w:szCs w:val="21"/>
        </w:rPr>
        <w:t>试验人员、试验设备以及其他必要的试验条件。监理人在必要时可以使用承包人提供的试验场所、</w:t>
      </w:r>
      <w:r>
        <w:rPr>
          <w:rFonts w:ascii="宋体" w:hAnsi="宋体" w:eastAsia="宋体" w:cs="宋体"/>
          <w:sz w:val="21"/>
          <w:szCs w:val="21"/>
        </w:rPr>
        <w:t>试验设备以及其他试验条件，进行以工程质量检查为目的的材料复核试验，承包人应予以协</w:t>
      </w:r>
      <w:r>
        <w:rPr>
          <w:rFonts w:ascii="宋体" w:hAnsi="宋体" w:eastAsia="宋体" w:cs="宋体"/>
          <w:spacing w:val="-1"/>
          <w:sz w:val="21"/>
          <w:szCs w:val="21"/>
        </w:rPr>
        <w:t>助。</w:t>
      </w:r>
    </w:p>
    <w:p w14:paraId="6A9CD029">
      <w:pPr>
        <w:spacing w:before="150" w:line="286" w:lineRule="auto"/>
        <w:ind w:left="22" w:right="197" w:firstLine="398"/>
        <w:rPr>
          <w:rFonts w:ascii="宋体" w:hAnsi="宋体" w:eastAsia="宋体" w:cs="宋体"/>
          <w:sz w:val="21"/>
          <w:szCs w:val="21"/>
        </w:rPr>
      </w:pPr>
      <w:r>
        <w:rPr>
          <w:rFonts w:ascii="Times New Roman" w:hAnsi="Times New Roman" w:eastAsia="Times New Roman" w:cs="Times New Roman"/>
          <w:spacing w:val="2"/>
          <w:sz w:val="21"/>
          <w:szCs w:val="21"/>
        </w:rPr>
        <w:t xml:space="preserve">9.1.2  </w:t>
      </w:r>
      <w:r>
        <w:rPr>
          <w:rFonts w:ascii="宋体" w:hAnsi="宋体" w:eastAsia="宋体" w:cs="宋体"/>
          <w:spacing w:val="2"/>
          <w:sz w:val="21"/>
          <w:szCs w:val="21"/>
        </w:rPr>
        <w:t>承包人应按专用合同条款的约定提供试验设备、取样装置、试验场所</w:t>
      </w:r>
      <w:r>
        <w:rPr>
          <w:rFonts w:ascii="宋体" w:hAnsi="宋体" w:eastAsia="宋体" w:cs="宋体"/>
          <w:spacing w:val="1"/>
          <w:sz w:val="21"/>
          <w:szCs w:val="21"/>
        </w:rPr>
        <w:t>和试验条件，并</w:t>
      </w:r>
      <w:r>
        <w:rPr>
          <w:rFonts w:ascii="宋体" w:hAnsi="宋体" w:eastAsia="宋体" w:cs="宋体"/>
          <w:spacing w:val="-4"/>
          <w:sz w:val="21"/>
          <w:szCs w:val="21"/>
        </w:rPr>
        <w:t>向监理人提交相应进场计划表。</w:t>
      </w:r>
    </w:p>
    <w:p w14:paraId="2A47AA7C">
      <w:pPr>
        <w:spacing w:before="150" w:line="351" w:lineRule="auto"/>
        <w:ind w:left="5" w:right="177" w:firstLine="415"/>
        <w:rPr>
          <w:rFonts w:ascii="宋体" w:hAnsi="宋体" w:eastAsia="宋体" w:cs="宋体"/>
          <w:sz w:val="21"/>
          <w:szCs w:val="21"/>
        </w:rPr>
      </w:pPr>
      <w:r>
        <w:rPr>
          <w:rFonts w:ascii="宋体" w:hAnsi="宋体" w:eastAsia="宋体" w:cs="宋体"/>
          <w:sz w:val="21"/>
          <w:szCs w:val="21"/>
        </w:rPr>
        <w:t>承包人配置的试验设备要符合相应试验规程的要求并经过具有资质的检测单位检测</w:t>
      </w:r>
      <w:r>
        <w:rPr>
          <w:rFonts w:ascii="宋体" w:hAnsi="宋体" w:eastAsia="宋体" w:cs="宋体"/>
          <w:spacing w:val="-1"/>
          <w:sz w:val="21"/>
          <w:szCs w:val="21"/>
        </w:rPr>
        <w:t>，且在正</w:t>
      </w:r>
      <w:r>
        <w:rPr>
          <w:rFonts w:ascii="宋体" w:hAnsi="宋体" w:eastAsia="宋体" w:cs="宋体"/>
          <w:sz w:val="21"/>
          <w:szCs w:val="21"/>
        </w:rPr>
        <w:t>式使用该试验设备前，需要经过监理人与承</w:t>
      </w:r>
      <w:r>
        <w:rPr>
          <w:rFonts w:ascii="宋体" w:hAnsi="宋体" w:eastAsia="宋体" w:cs="宋体"/>
          <w:spacing w:val="-1"/>
          <w:sz w:val="21"/>
          <w:szCs w:val="21"/>
        </w:rPr>
        <w:t>包人共同校定。</w:t>
      </w:r>
    </w:p>
    <w:p w14:paraId="0D01A9BA">
      <w:pPr>
        <w:spacing w:before="1" w:line="341" w:lineRule="auto"/>
        <w:ind w:right="188" w:firstLine="421"/>
        <w:rPr>
          <w:rFonts w:ascii="宋体" w:hAnsi="宋体" w:eastAsia="宋体" w:cs="宋体"/>
          <w:sz w:val="21"/>
          <w:szCs w:val="21"/>
        </w:rPr>
      </w:pPr>
      <w:r>
        <w:rPr>
          <w:rFonts w:ascii="Times New Roman" w:hAnsi="Times New Roman" w:eastAsia="Times New Roman" w:cs="Times New Roman"/>
          <w:spacing w:val="2"/>
          <w:sz w:val="21"/>
          <w:szCs w:val="21"/>
        </w:rPr>
        <w:t xml:space="preserve">9.1.3  </w:t>
      </w:r>
      <w:r>
        <w:rPr>
          <w:rFonts w:ascii="宋体" w:hAnsi="宋体" w:eastAsia="宋体" w:cs="宋体"/>
          <w:spacing w:val="2"/>
          <w:sz w:val="21"/>
          <w:szCs w:val="21"/>
        </w:rPr>
        <w:t>承包人应向监理人提交试验人员的名单及其岗位、资格等证明资料，试验人员必须能</w:t>
      </w:r>
      <w:r>
        <w:rPr>
          <w:rFonts w:ascii="宋体" w:hAnsi="宋体" w:eastAsia="宋体" w:cs="宋体"/>
          <w:sz w:val="21"/>
          <w:szCs w:val="21"/>
        </w:rPr>
        <w:t>够熟练进行相应的检测试验，承包人对试验人员的</w:t>
      </w:r>
      <w:r>
        <w:rPr>
          <w:rFonts w:ascii="宋体" w:hAnsi="宋体" w:eastAsia="宋体" w:cs="宋体"/>
          <w:spacing w:val="-1"/>
          <w:sz w:val="21"/>
          <w:szCs w:val="21"/>
        </w:rPr>
        <w:t>试验程序和试验结果的正确性负责。</w:t>
      </w:r>
    </w:p>
    <w:p w14:paraId="4D3D08CE">
      <w:pPr>
        <w:spacing w:before="1" w:line="231" w:lineRule="auto"/>
        <w:outlineLvl w:val="2"/>
        <w:rPr>
          <w:rFonts w:ascii="黑体" w:hAnsi="黑体" w:eastAsia="黑体" w:cs="黑体"/>
          <w:sz w:val="24"/>
          <w:szCs w:val="24"/>
        </w:rPr>
      </w:pPr>
      <w:bookmarkStart w:id="286" w:name="bookmark215"/>
      <w:bookmarkEnd w:id="286"/>
      <w:r>
        <w:rPr>
          <w:rFonts w:ascii="Times New Roman" w:hAnsi="Times New Roman" w:eastAsia="Times New Roman" w:cs="Times New Roman"/>
          <w:b/>
          <w:bCs/>
          <w:spacing w:val="-4"/>
          <w:sz w:val="24"/>
          <w:szCs w:val="24"/>
        </w:rPr>
        <w:t>9.2</w:t>
      </w:r>
      <w:r>
        <w:rPr>
          <w:rFonts w:ascii="Times New Roman" w:hAnsi="Times New Roman" w:eastAsia="Times New Roman" w:cs="Times New Roman"/>
          <w:b/>
          <w:bCs/>
          <w:spacing w:val="14"/>
          <w:sz w:val="24"/>
          <w:szCs w:val="24"/>
        </w:rPr>
        <w:t xml:space="preserve"> </w:t>
      </w:r>
      <w:r>
        <w:rPr>
          <w:rFonts w:ascii="黑体" w:hAnsi="黑体" w:eastAsia="黑体" w:cs="黑体"/>
          <w:b/>
          <w:bCs/>
          <w:spacing w:val="-4"/>
          <w:sz w:val="24"/>
          <w:szCs w:val="24"/>
        </w:rPr>
        <w:t>取样</w:t>
      </w:r>
    </w:p>
    <w:p w14:paraId="022D5064">
      <w:pPr>
        <w:spacing w:before="123" w:line="341" w:lineRule="auto"/>
        <w:ind w:left="5" w:right="16" w:firstLine="415"/>
        <w:rPr>
          <w:rFonts w:ascii="宋体" w:hAnsi="宋体" w:eastAsia="宋体" w:cs="宋体"/>
          <w:sz w:val="21"/>
          <w:szCs w:val="21"/>
        </w:rPr>
      </w:pPr>
      <w:r>
        <w:rPr>
          <w:rFonts w:ascii="宋体" w:hAnsi="宋体" w:eastAsia="宋体" w:cs="宋体"/>
          <w:spacing w:val="-1"/>
          <w:sz w:val="21"/>
          <w:szCs w:val="21"/>
        </w:rPr>
        <w:t>试验属于自检性质的，承包人可以单独取样。试验属于监理人抽检</w:t>
      </w:r>
      <w:r>
        <w:rPr>
          <w:rFonts w:ascii="宋体" w:hAnsi="宋体" w:eastAsia="宋体" w:cs="宋体"/>
          <w:spacing w:val="-2"/>
          <w:sz w:val="21"/>
          <w:szCs w:val="21"/>
        </w:rPr>
        <w:t>性质的，可由监理人取样，</w:t>
      </w:r>
      <w:r>
        <w:rPr>
          <w:rFonts w:ascii="宋体" w:hAnsi="宋体" w:eastAsia="宋体" w:cs="宋体"/>
          <w:spacing w:val="-1"/>
          <w:sz w:val="21"/>
          <w:szCs w:val="21"/>
        </w:rPr>
        <w:t>也可由承包人的试验人员在监理人的监督下取</w:t>
      </w:r>
      <w:r>
        <w:rPr>
          <w:rFonts w:ascii="宋体" w:hAnsi="宋体" w:eastAsia="宋体" w:cs="宋体"/>
          <w:spacing w:val="-2"/>
          <w:sz w:val="21"/>
          <w:szCs w:val="21"/>
        </w:rPr>
        <w:t>样。</w:t>
      </w:r>
    </w:p>
    <w:p w14:paraId="49AB5807">
      <w:pPr>
        <w:spacing w:before="1" w:line="231" w:lineRule="auto"/>
        <w:outlineLvl w:val="1"/>
        <w:rPr>
          <w:rFonts w:ascii="黑体" w:hAnsi="黑体" w:eastAsia="黑体" w:cs="黑体"/>
          <w:sz w:val="24"/>
          <w:szCs w:val="24"/>
        </w:rPr>
      </w:pPr>
      <w:bookmarkStart w:id="287" w:name="bookmark216"/>
      <w:bookmarkEnd w:id="287"/>
      <w:r>
        <w:rPr>
          <w:rFonts w:ascii="Times New Roman" w:hAnsi="Times New Roman" w:eastAsia="Times New Roman" w:cs="Times New Roman"/>
          <w:b/>
          <w:bCs/>
          <w:spacing w:val="-2"/>
          <w:sz w:val="24"/>
          <w:szCs w:val="24"/>
        </w:rPr>
        <w:t xml:space="preserve">9.3 </w:t>
      </w:r>
      <w:r>
        <w:rPr>
          <w:rFonts w:ascii="黑体" w:hAnsi="黑体" w:eastAsia="黑体" w:cs="黑体"/>
          <w:b/>
          <w:bCs/>
          <w:spacing w:val="-2"/>
          <w:sz w:val="24"/>
          <w:szCs w:val="24"/>
        </w:rPr>
        <w:t>材料、工程设备和工程的试验和检验</w:t>
      </w:r>
    </w:p>
    <w:p w14:paraId="3C33AC88">
      <w:pPr>
        <w:spacing w:before="123" w:line="308" w:lineRule="auto"/>
        <w:ind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9.3.1  </w:t>
      </w:r>
      <w:r>
        <w:rPr>
          <w:rFonts w:ascii="宋体" w:hAnsi="宋体" w:eastAsia="宋体" w:cs="宋体"/>
          <w:spacing w:val="2"/>
          <w:sz w:val="21"/>
          <w:szCs w:val="21"/>
        </w:rPr>
        <w:t>承包人应按合同约定进行材料、工程设备和工程的试验和检验，并为监理人对上述材</w:t>
      </w:r>
      <w:r>
        <w:rPr>
          <w:rFonts w:ascii="宋体" w:hAnsi="宋体" w:eastAsia="宋体" w:cs="宋体"/>
          <w:sz w:val="21"/>
          <w:szCs w:val="21"/>
        </w:rPr>
        <w:t>料、工程设备和工程的质量检查提供必要的试验资料和原始记录。按合同约定应由监理人</w:t>
      </w:r>
      <w:r>
        <w:rPr>
          <w:rFonts w:ascii="宋体" w:hAnsi="宋体" w:eastAsia="宋体" w:cs="宋体"/>
          <w:spacing w:val="-1"/>
          <w:sz w:val="21"/>
          <w:szCs w:val="21"/>
        </w:rPr>
        <w:t>与承包人共同进行试验和检验的，由承包人负责提供必要的试验资料和原始记录。</w:t>
      </w:r>
    </w:p>
    <w:p w14:paraId="67D10469">
      <w:pPr>
        <w:spacing w:before="148" w:line="319" w:lineRule="auto"/>
        <w:ind w:right="177" w:firstLine="420"/>
        <w:rPr>
          <w:rFonts w:ascii="宋体" w:hAnsi="宋体" w:eastAsia="宋体" w:cs="宋体"/>
          <w:sz w:val="21"/>
          <w:szCs w:val="21"/>
        </w:rPr>
      </w:pPr>
      <w:r>
        <w:rPr>
          <w:rFonts w:ascii="Times New Roman" w:hAnsi="Times New Roman" w:eastAsia="Times New Roman" w:cs="Times New Roman"/>
          <w:spacing w:val="2"/>
          <w:sz w:val="21"/>
          <w:szCs w:val="21"/>
        </w:rPr>
        <w:t xml:space="preserve">9.3.2  </w:t>
      </w:r>
      <w:r>
        <w:rPr>
          <w:rFonts w:ascii="宋体" w:hAnsi="宋体" w:eastAsia="宋体" w:cs="宋体"/>
          <w:spacing w:val="2"/>
          <w:sz w:val="21"/>
          <w:szCs w:val="21"/>
        </w:rPr>
        <w:t>试验属于自检性质的，承包人可以单独进行试验。试验属于监理人抽检性质的，监理</w:t>
      </w:r>
      <w:r>
        <w:rPr>
          <w:rFonts w:ascii="宋体" w:hAnsi="宋体" w:eastAsia="宋体" w:cs="宋体"/>
          <w:sz w:val="21"/>
          <w:szCs w:val="21"/>
        </w:rPr>
        <w:t>人可以单独进行试验，也可由承包人与监理人共同进行。承包人对由监理人单独进行的试</w:t>
      </w:r>
      <w:r>
        <w:rPr>
          <w:rFonts w:ascii="宋体" w:hAnsi="宋体" w:eastAsia="宋体" w:cs="宋体"/>
          <w:spacing w:val="-1"/>
          <w:sz w:val="21"/>
          <w:szCs w:val="21"/>
        </w:rPr>
        <w:t>验结果</w:t>
      </w:r>
      <w:r>
        <w:rPr>
          <w:rFonts w:ascii="宋体" w:hAnsi="宋体" w:eastAsia="宋体" w:cs="宋体"/>
          <w:sz w:val="21"/>
          <w:szCs w:val="21"/>
        </w:rPr>
        <w:t>有异议的，可以申请重新共同进行试验。约定共同进行试验的，监理人未按照约定参加试</w:t>
      </w:r>
      <w:r>
        <w:rPr>
          <w:rFonts w:ascii="宋体" w:hAnsi="宋体" w:eastAsia="宋体" w:cs="宋体"/>
          <w:spacing w:val="-1"/>
          <w:sz w:val="21"/>
          <w:szCs w:val="21"/>
        </w:rPr>
        <w:t>验的，承包人可自行试验，并将试验结果报送监理人，监理人应承认该试验结果。</w:t>
      </w:r>
    </w:p>
    <w:p w14:paraId="03824278">
      <w:pPr>
        <w:spacing w:before="147" w:line="326" w:lineRule="auto"/>
        <w:ind w:left="1" w:right="177" w:firstLine="419"/>
        <w:rPr>
          <w:rFonts w:ascii="宋体" w:hAnsi="宋体" w:eastAsia="宋体" w:cs="宋体"/>
          <w:sz w:val="21"/>
          <w:szCs w:val="21"/>
        </w:rPr>
      </w:pPr>
      <w:r>
        <w:rPr>
          <w:rFonts w:ascii="Times New Roman" w:hAnsi="Times New Roman" w:eastAsia="Times New Roman" w:cs="Times New Roman"/>
          <w:spacing w:val="2"/>
          <w:sz w:val="21"/>
          <w:szCs w:val="21"/>
        </w:rPr>
        <w:t xml:space="preserve">9.3.3  </w:t>
      </w:r>
      <w:r>
        <w:rPr>
          <w:rFonts w:ascii="宋体" w:hAnsi="宋体" w:eastAsia="宋体" w:cs="宋体"/>
          <w:spacing w:val="2"/>
          <w:sz w:val="21"/>
          <w:szCs w:val="21"/>
        </w:rPr>
        <w:t>监理人对承包人的试验和检验结果有异议的，或为查清承包人试验和检验成果的可靠</w:t>
      </w:r>
      <w:r>
        <w:rPr>
          <w:rFonts w:ascii="宋体" w:hAnsi="宋体" w:eastAsia="宋体" w:cs="宋体"/>
          <w:sz w:val="21"/>
          <w:szCs w:val="21"/>
        </w:rPr>
        <w:t>性要求承包人重新试验和检验的，可由监理人与承包人共同进行。重新试验和检验的结</w:t>
      </w:r>
      <w:r>
        <w:rPr>
          <w:rFonts w:ascii="宋体" w:hAnsi="宋体" w:eastAsia="宋体" w:cs="宋体"/>
          <w:spacing w:val="-1"/>
          <w:sz w:val="21"/>
          <w:szCs w:val="21"/>
        </w:rPr>
        <w:t>果证明该</w:t>
      </w:r>
      <w:r>
        <w:rPr>
          <w:rFonts w:ascii="宋体" w:hAnsi="宋体" w:eastAsia="宋体" w:cs="宋体"/>
          <w:sz w:val="21"/>
          <w:szCs w:val="21"/>
        </w:rPr>
        <w:t>项材料、工程设备或工程的质量不符合合同要求的，由此增加的费用和（或）延误的工</w:t>
      </w:r>
      <w:r>
        <w:rPr>
          <w:rFonts w:ascii="宋体" w:hAnsi="宋体" w:eastAsia="宋体" w:cs="宋体"/>
          <w:spacing w:val="-1"/>
          <w:sz w:val="21"/>
          <w:szCs w:val="21"/>
        </w:rPr>
        <w:t>期由承包</w:t>
      </w:r>
      <w:r>
        <w:rPr>
          <w:rFonts w:ascii="宋体" w:hAnsi="宋体" w:eastAsia="宋体" w:cs="宋体"/>
          <w:sz w:val="21"/>
          <w:szCs w:val="21"/>
        </w:rPr>
        <w:t>人承担；重新试验和检验结果证明该项材料、工程设备和工程符合合同要求的，由此增</w:t>
      </w:r>
      <w:r>
        <w:rPr>
          <w:rFonts w:ascii="宋体" w:hAnsi="宋体" w:eastAsia="宋体" w:cs="宋体"/>
          <w:spacing w:val="-1"/>
          <w:sz w:val="21"/>
          <w:szCs w:val="21"/>
        </w:rPr>
        <w:t>加的费用</w:t>
      </w:r>
      <w:r>
        <w:rPr>
          <w:rFonts w:ascii="宋体" w:hAnsi="宋体" w:eastAsia="宋体" w:cs="宋体"/>
          <w:spacing w:val="-2"/>
          <w:sz w:val="21"/>
          <w:szCs w:val="21"/>
        </w:rPr>
        <w:t>和（或）延误的工期由发包人承担。</w:t>
      </w:r>
    </w:p>
    <w:p w14:paraId="6FC35298">
      <w:pPr>
        <w:spacing w:before="123" w:line="232" w:lineRule="auto"/>
        <w:outlineLvl w:val="1"/>
        <w:rPr>
          <w:rFonts w:ascii="黑体" w:hAnsi="黑体" w:eastAsia="黑体" w:cs="黑体"/>
          <w:sz w:val="24"/>
          <w:szCs w:val="24"/>
        </w:rPr>
      </w:pPr>
      <w:bookmarkStart w:id="288" w:name="bookmark217"/>
      <w:bookmarkEnd w:id="288"/>
      <w:r>
        <w:rPr>
          <w:rFonts w:ascii="Times New Roman" w:hAnsi="Times New Roman" w:eastAsia="Times New Roman" w:cs="Times New Roman"/>
          <w:b/>
          <w:bCs/>
          <w:spacing w:val="-2"/>
          <w:sz w:val="24"/>
          <w:szCs w:val="24"/>
        </w:rPr>
        <w:t xml:space="preserve">9.4 </w:t>
      </w:r>
      <w:r>
        <w:rPr>
          <w:rFonts w:ascii="黑体" w:hAnsi="黑体" w:eastAsia="黑体" w:cs="黑体"/>
          <w:b/>
          <w:bCs/>
          <w:spacing w:val="-2"/>
          <w:sz w:val="24"/>
          <w:szCs w:val="24"/>
        </w:rPr>
        <w:t>现场工艺试验</w:t>
      </w:r>
    </w:p>
    <w:p w14:paraId="4D9CC71B">
      <w:pPr>
        <w:spacing w:before="124" w:line="221" w:lineRule="auto"/>
        <w:ind w:left="420"/>
        <w:rPr>
          <w:rFonts w:ascii="宋体" w:hAnsi="宋体" w:eastAsia="宋体" w:cs="宋体"/>
          <w:sz w:val="21"/>
          <w:szCs w:val="21"/>
        </w:rPr>
      </w:pPr>
      <w:r>
        <w:rPr>
          <w:rFonts w:ascii="宋体" w:hAnsi="宋体" w:eastAsia="宋体" w:cs="宋体"/>
          <w:sz w:val="21"/>
          <w:szCs w:val="21"/>
        </w:rPr>
        <w:t>承包人应按合同约定或监理人指示进行现场工艺试验。对大型的现场工艺试验，监理人</w:t>
      </w:r>
      <w:r>
        <w:rPr>
          <w:rFonts w:ascii="宋体" w:hAnsi="宋体" w:eastAsia="宋体" w:cs="宋体"/>
          <w:spacing w:val="-1"/>
          <w:sz w:val="21"/>
          <w:szCs w:val="21"/>
        </w:rPr>
        <w:t>认为</w:t>
      </w:r>
    </w:p>
    <w:p w14:paraId="7D133406">
      <w:pPr>
        <w:spacing w:line="221" w:lineRule="auto"/>
        <w:rPr>
          <w:rFonts w:ascii="宋体" w:hAnsi="宋体" w:eastAsia="宋体" w:cs="宋体"/>
          <w:sz w:val="21"/>
          <w:szCs w:val="21"/>
        </w:rPr>
        <w:sectPr>
          <w:footerReference r:id="rId111" w:type="default"/>
          <w:pgSz w:w="11905" w:h="16843"/>
          <w:pgMar w:top="969" w:right="1355" w:bottom="1026" w:left="1480" w:header="0" w:footer="754" w:gutter="0"/>
          <w:cols w:space="0" w:num="1"/>
          <w:rtlGutter w:val="0"/>
          <w:docGrid w:linePitch="0" w:charSpace="0"/>
        </w:sectPr>
      </w:pPr>
    </w:p>
    <w:p w14:paraId="3FF5F8C8">
      <w:pPr>
        <w:pStyle w:val="5"/>
        <w:spacing w:line="270" w:lineRule="auto"/>
      </w:pPr>
    </w:p>
    <w:p w14:paraId="7CE6EA5B">
      <w:pPr>
        <w:pStyle w:val="5"/>
        <w:spacing w:line="270" w:lineRule="auto"/>
      </w:pPr>
    </w:p>
    <w:p w14:paraId="1FC51870">
      <w:pPr>
        <w:pStyle w:val="5"/>
        <w:spacing w:line="270" w:lineRule="auto"/>
      </w:pPr>
    </w:p>
    <w:p w14:paraId="57DA7469">
      <w:pPr>
        <w:pStyle w:val="5"/>
        <w:spacing w:line="271" w:lineRule="auto"/>
      </w:pPr>
    </w:p>
    <w:p w14:paraId="01FEA736">
      <w:pPr>
        <w:spacing w:before="68" w:line="221" w:lineRule="auto"/>
        <w:jc w:val="right"/>
        <w:rPr>
          <w:rFonts w:ascii="宋体" w:hAnsi="宋体" w:eastAsia="宋体" w:cs="宋体"/>
          <w:sz w:val="21"/>
          <w:szCs w:val="21"/>
        </w:rPr>
      </w:pPr>
      <w:r>
        <w:rPr>
          <w:rFonts w:ascii="宋体" w:hAnsi="宋体" w:eastAsia="宋体" w:cs="宋体"/>
          <w:spacing w:val="-1"/>
          <w:sz w:val="21"/>
          <w:szCs w:val="21"/>
        </w:rPr>
        <w:t>必要时，承包人应根据监理人提出的工艺试验要求，编制工艺试验措施计划，报送监理人审查。</w:t>
      </w:r>
    </w:p>
    <w:p w14:paraId="40C70939">
      <w:pPr>
        <w:spacing w:before="188" w:line="233" w:lineRule="auto"/>
        <w:ind w:left="10"/>
        <w:outlineLvl w:val="0"/>
        <w:rPr>
          <w:rFonts w:ascii="黑体" w:hAnsi="黑体" w:eastAsia="黑体" w:cs="黑体"/>
          <w:sz w:val="28"/>
          <w:szCs w:val="28"/>
        </w:rPr>
      </w:pPr>
      <w:bookmarkStart w:id="289" w:name="bookmark564"/>
      <w:bookmarkEnd w:id="289"/>
      <w:bookmarkStart w:id="290" w:name="bookmark218"/>
      <w:bookmarkEnd w:id="290"/>
      <w:r>
        <w:rPr>
          <w:rFonts w:ascii="Times New Roman" w:hAnsi="Times New Roman" w:eastAsia="Times New Roman" w:cs="Times New Roman"/>
          <w:b/>
          <w:bCs/>
          <w:spacing w:val="-6"/>
          <w:sz w:val="28"/>
          <w:szCs w:val="28"/>
        </w:rPr>
        <w:t>10.</w:t>
      </w:r>
      <w:r>
        <w:rPr>
          <w:rFonts w:ascii="Times New Roman" w:hAnsi="Times New Roman" w:eastAsia="Times New Roman" w:cs="Times New Roman"/>
          <w:b/>
          <w:bCs/>
          <w:spacing w:val="7"/>
          <w:sz w:val="28"/>
          <w:szCs w:val="28"/>
        </w:rPr>
        <w:t xml:space="preserve">  </w:t>
      </w:r>
      <w:r>
        <w:rPr>
          <w:rFonts w:ascii="黑体" w:hAnsi="黑体" w:eastAsia="黑体" w:cs="黑体"/>
          <w:b/>
          <w:bCs/>
          <w:spacing w:val="-6"/>
          <w:sz w:val="28"/>
          <w:szCs w:val="28"/>
        </w:rPr>
        <w:t>变更</w:t>
      </w:r>
    </w:p>
    <w:p w14:paraId="700C8F20">
      <w:pPr>
        <w:spacing w:before="81" w:line="233" w:lineRule="auto"/>
        <w:ind w:left="7"/>
        <w:outlineLvl w:val="1"/>
        <w:rPr>
          <w:rFonts w:ascii="黑体" w:hAnsi="黑体" w:eastAsia="黑体" w:cs="黑体"/>
          <w:sz w:val="24"/>
          <w:szCs w:val="24"/>
        </w:rPr>
      </w:pPr>
      <w:bookmarkStart w:id="291" w:name="bookmark219"/>
      <w:bookmarkEnd w:id="291"/>
      <w:r>
        <w:rPr>
          <w:rFonts w:ascii="Times New Roman" w:hAnsi="Times New Roman" w:eastAsia="Times New Roman" w:cs="Times New Roman"/>
          <w:b/>
          <w:bCs/>
          <w:spacing w:val="-3"/>
          <w:sz w:val="24"/>
          <w:szCs w:val="24"/>
        </w:rPr>
        <w:t xml:space="preserve">10.1 </w:t>
      </w:r>
      <w:r>
        <w:rPr>
          <w:rFonts w:ascii="黑体" w:hAnsi="黑体" w:eastAsia="黑体" w:cs="黑体"/>
          <w:b/>
          <w:bCs/>
          <w:spacing w:val="-3"/>
          <w:sz w:val="24"/>
          <w:szCs w:val="24"/>
        </w:rPr>
        <w:t>变更的范围</w:t>
      </w:r>
    </w:p>
    <w:p w14:paraId="6C543A8A">
      <w:pPr>
        <w:spacing w:before="122" w:line="220" w:lineRule="auto"/>
        <w:jc w:val="right"/>
        <w:rPr>
          <w:rFonts w:ascii="宋体" w:hAnsi="宋体" w:eastAsia="宋体" w:cs="宋体"/>
          <w:sz w:val="21"/>
          <w:szCs w:val="21"/>
        </w:rPr>
      </w:pPr>
      <w:r>
        <w:rPr>
          <w:rFonts w:ascii="宋体" w:hAnsi="宋体" w:eastAsia="宋体" w:cs="宋体"/>
          <w:spacing w:val="-2"/>
          <w:sz w:val="21"/>
          <w:szCs w:val="21"/>
        </w:rPr>
        <w:t>除专用合同条款另有约定外，合同履行过程中发生以下情形的，应按照本条约定进行变更：</w:t>
      </w:r>
    </w:p>
    <w:p w14:paraId="41B86AAB">
      <w:pPr>
        <w:spacing w:before="152" w:line="234" w:lineRule="auto"/>
        <w:ind w:left="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）增加或减少合同中任何工作，或追加额外的工作；</w:t>
      </w:r>
    </w:p>
    <w:p w14:paraId="57A82D63">
      <w:pPr>
        <w:spacing w:before="132" w:line="234" w:lineRule="auto"/>
        <w:ind w:left="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）取消合同中任何工作，但转由他人实施的工作除外；</w:t>
      </w:r>
    </w:p>
    <w:p w14:paraId="56F258F1">
      <w:pPr>
        <w:spacing w:before="135" w:line="234" w:lineRule="auto"/>
        <w:ind w:left="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）改变合同中任何工作的质量标准或其他特性；</w:t>
      </w:r>
    </w:p>
    <w:p w14:paraId="3CDBA5C4">
      <w:pPr>
        <w:spacing w:before="133"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）改变工程的基线、标高、位置和尺寸；</w:t>
      </w:r>
    </w:p>
    <w:p w14:paraId="059AA331">
      <w:pPr>
        <w:spacing w:before="134"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）改变工程的时间安排或实施顺序。</w:t>
      </w:r>
    </w:p>
    <w:p w14:paraId="5C8BA264">
      <w:pPr>
        <w:spacing w:before="109" w:line="233" w:lineRule="auto"/>
        <w:ind w:left="7"/>
        <w:outlineLvl w:val="1"/>
        <w:rPr>
          <w:rFonts w:ascii="黑体" w:hAnsi="黑体" w:eastAsia="黑体" w:cs="黑体"/>
          <w:sz w:val="24"/>
          <w:szCs w:val="24"/>
        </w:rPr>
      </w:pPr>
      <w:bookmarkStart w:id="292" w:name="bookmark220"/>
      <w:bookmarkEnd w:id="292"/>
      <w:r>
        <w:rPr>
          <w:rFonts w:ascii="Times New Roman" w:hAnsi="Times New Roman" w:eastAsia="Times New Roman" w:cs="Times New Roman"/>
          <w:b/>
          <w:bCs/>
          <w:spacing w:val="-6"/>
          <w:sz w:val="24"/>
          <w:szCs w:val="24"/>
        </w:rPr>
        <w:t>10.2</w:t>
      </w:r>
      <w:r>
        <w:rPr>
          <w:rFonts w:ascii="Times New Roman" w:hAnsi="Times New Roman" w:eastAsia="Times New Roman" w:cs="Times New Roman"/>
          <w:b/>
          <w:bCs/>
          <w:spacing w:val="19"/>
          <w:w w:val="101"/>
          <w:sz w:val="24"/>
          <w:szCs w:val="24"/>
        </w:rPr>
        <w:t xml:space="preserve"> </w:t>
      </w:r>
      <w:r>
        <w:rPr>
          <w:rFonts w:ascii="黑体" w:hAnsi="黑体" w:eastAsia="黑体" w:cs="黑体"/>
          <w:b/>
          <w:bCs/>
          <w:spacing w:val="-6"/>
          <w:sz w:val="24"/>
          <w:szCs w:val="24"/>
        </w:rPr>
        <w:t>变更权</w:t>
      </w:r>
    </w:p>
    <w:p w14:paraId="01E08B09">
      <w:pPr>
        <w:spacing w:before="122" w:line="352" w:lineRule="auto"/>
        <w:ind w:firstLine="422"/>
        <w:jc w:val="both"/>
        <w:rPr>
          <w:rFonts w:ascii="宋体" w:hAnsi="宋体" w:eastAsia="宋体" w:cs="宋体"/>
          <w:sz w:val="21"/>
          <w:szCs w:val="21"/>
        </w:rPr>
      </w:pPr>
      <w:r>
        <w:rPr>
          <w:rFonts w:ascii="宋体" w:hAnsi="宋体" w:eastAsia="宋体" w:cs="宋体"/>
          <w:sz w:val="21"/>
          <w:szCs w:val="21"/>
        </w:rPr>
        <w:t>发包人和监理人均可以提出变更。变更指示均通过监理人发出，监理人发出</w:t>
      </w:r>
      <w:r>
        <w:rPr>
          <w:rFonts w:ascii="宋体" w:hAnsi="宋体" w:eastAsia="宋体" w:cs="宋体"/>
          <w:spacing w:val="-1"/>
          <w:sz w:val="21"/>
          <w:szCs w:val="21"/>
        </w:rPr>
        <w:t>变更指示前应征</w:t>
      </w:r>
      <w:r>
        <w:rPr>
          <w:rFonts w:ascii="宋体" w:hAnsi="宋体" w:eastAsia="宋体" w:cs="宋体"/>
          <w:sz w:val="21"/>
          <w:szCs w:val="21"/>
        </w:rPr>
        <w:t>得发包人同意。承包人收到经发包人签认的变更指示后，方可实施变更。未经许可，承</w:t>
      </w:r>
      <w:r>
        <w:rPr>
          <w:rFonts w:ascii="宋体" w:hAnsi="宋体" w:eastAsia="宋体" w:cs="宋体"/>
          <w:spacing w:val="-1"/>
          <w:sz w:val="21"/>
          <w:szCs w:val="21"/>
        </w:rPr>
        <w:t>包人不得擅自对工程的任何部分进行变更。</w:t>
      </w:r>
    </w:p>
    <w:p w14:paraId="3D5E6651">
      <w:pPr>
        <w:spacing w:before="1" w:line="340" w:lineRule="auto"/>
        <w:ind w:left="3" w:firstLine="418"/>
        <w:rPr>
          <w:rFonts w:ascii="宋体" w:hAnsi="宋体" w:eastAsia="宋体" w:cs="宋体"/>
          <w:sz w:val="21"/>
          <w:szCs w:val="21"/>
        </w:rPr>
      </w:pPr>
      <w:r>
        <w:rPr>
          <w:rFonts w:ascii="宋体" w:hAnsi="宋体" w:eastAsia="宋体" w:cs="宋体"/>
          <w:sz w:val="21"/>
          <w:szCs w:val="21"/>
        </w:rPr>
        <w:t>涉及设计变更的，应由设计人提供变更后的图纸和说明。如变更超过原设计标准</w:t>
      </w:r>
      <w:r>
        <w:rPr>
          <w:rFonts w:ascii="宋体" w:hAnsi="宋体" w:eastAsia="宋体" w:cs="宋体"/>
          <w:spacing w:val="-1"/>
          <w:sz w:val="21"/>
          <w:szCs w:val="21"/>
        </w:rPr>
        <w:t>或批准的建</w:t>
      </w:r>
      <w:r>
        <w:rPr>
          <w:rFonts w:ascii="宋体" w:hAnsi="宋体" w:eastAsia="宋体" w:cs="宋体"/>
          <w:sz w:val="21"/>
          <w:szCs w:val="21"/>
        </w:rPr>
        <w:t>设规模时，发包人应及时办理规划、设计变</w:t>
      </w:r>
      <w:r>
        <w:rPr>
          <w:rFonts w:ascii="宋体" w:hAnsi="宋体" w:eastAsia="宋体" w:cs="宋体"/>
          <w:spacing w:val="-1"/>
          <w:sz w:val="21"/>
          <w:szCs w:val="21"/>
        </w:rPr>
        <w:t>更等审批手续。</w:t>
      </w:r>
    </w:p>
    <w:p w14:paraId="126B6119">
      <w:pPr>
        <w:spacing w:before="1" w:line="232" w:lineRule="auto"/>
        <w:ind w:left="7"/>
        <w:outlineLvl w:val="1"/>
        <w:rPr>
          <w:rFonts w:ascii="黑体" w:hAnsi="黑体" w:eastAsia="黑体" w:cs="黑体"/>
          <w:sz w:val="24"/>
          <w:szCs w:val="24"/>
        </w:rPr>
      </w:pPr>
      <w:bookmarkStart w:id="293" w:name="bookmark221"/>
      <w:bookmarkEnd w:id="293"/>
      <w:r>
        <w:rPr>
          <w:rFonts w:ascii="Times New Roman" w:hAnsi="Times New Roman" w:eastAsia="Times New Roman" w:cs="Times New Roman"/>
          <w:b/>
          <w:bCs/>
          <w:spacing w:val="-5"/>
          <w:sz w:val="24"/>
          <w:szCs w:val="24"/>
        </w:rPr>
        <w:t>10.3</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变更程序</w:t>
      </w:r>
    </w:p>
    <w:p w14:paraId="270F0BDA">
      <w:pPr>
        <w:spacing w:before="123" w:line="235"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10.3.1  </w:t>
      </w:r>
      <w:r>
        <w:rPr>
          <w:rFonts w:ascii="宋体" w:hAnsi="宋体" w:eastAsia="宋体" w:cs="宋体"/>
          <w:spacing w:val="-2"/>
          <w:sz w:val="21"/>
          <w:szCs w:val="21"/>
        </w:rPr>
        <w:t>发包人提出变更</w:t>
      </w:r>
    </w:p>
    <w:p w14:paraId="36D466A7">
      <w:pPr>
        <w:spacing w:before="132" w:line="352" w:lineRule="auto"/>
        <w:ind w:left="5" w:firstLine="418"/>
        <w:rPr>
          <w:rFonts w:ascii="宋体" w:hAnsi="宋体" w:eastAsia="宋体" w:cs="宋体"/>
          <w:sz w:val="21"/>
          <w:szCs w:val="21"/>
        </w:rPr>
      </w:pPr>
      <w:r>
        <w:rPr>
          <w:rFonts w:ascii="宋体" w:hAnsi="宋体" w:eastAsia="宋体" w:cs="宋体"/>
          <w:sz w:val="21"/>
          <w:szCs w:val="21"/>
        </w:rPr>
        <w:t>发包人提出变更的，应通过监理人向承包人发出变更指示，变更指示应说明</w:t>
      </w:r>
      <w:r>
        <w:rPr>
          <w:rFonts w:ascii="宋体" w:hAnsi="宋体" w:eastAsia="宋体" w:cs="宋体"/>
          <w:spacing w:val="-1"/>
          <w:sz w:val="21"/>
          <w:szCs w:val="21"/>
        </w:rPr>
        <w:t>计划变更的工程</w:t>
      </w:r>
      <w:r>
        <w:rPr>
          <w:rFonts w:ascii="宋体" w:hAnsi="宋体" w:eastAsia="宋体" w:cs="宋体"/>
          <w:spacing w:val="-3"/>
          <w:sz w:val="21"/>
          <w:szCs w:val="21"/>
        </w:rPr>
        <w:t>范围和变更的内容。</w:t>
      </w:r>
    </w:p>
    <w:p w14:paraId="72DDBE7E">
      <w:pPr>
        <w:spacing w:line="235"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10.3.2  </w:t>
      </w:r>
      <w:r>
        <w:rPr>
          <w:rFonts w:ascii="宋体" w:hAnsi="宋体" w:eastAsia="宋体" w:cs="宋体"/>
          <w:spacing w:val="-2"/>
          <w:sz w:val="21"/>
          <w:szCs w:val="21"/>
        </w:rPr>
        <w:t>监理人提出变更建议</w:t>
      </w:r>
    </w:p>
    <w:p w14:paraId="14B21635">
      <w:pPr>
        <w:spacing w:before="130" w:line="352" w:lineRule="auto"/>
        <w:ind w:firstLine="420"/>
        <w:rPr>
          <w:rFonts w:ascii="宋体" w:hAnsi="宋体" w:eastAsia="宋体" w:cs="宋体"/>
          <w:sz w:val="21"/>
          <w:szCs w:val="21"/>
        </w:rPr>
      </w:pPr>
      <w:r>
        <w:rPr>
          <w:rFonts w:ascii="宋体" w:hAnsi="宋体" w:eastAsia="宋体" w:cs="宋体"/>
          <w:sz w:val="21"/>
          <w:szCs w:val="21"/>
        </w:rPr>
        <w:t>监理人提出变更建议的，需要向发包人以书面形式提出变更计划，说明计划变更工</w:t>
      </w:r>
      <w:r>
        <w:rPr>
          <w:rFonts w:ascii="宋体" w:hAnsi="宋体" w:eastAsia="宋体" w:cs="宋体"/>
          <w:spacing w:val="-1"/>
          <w:sz w:val="21"/>
          <w:szCs w:val="21"/>
        </w:rPr>
        <w:t>程范围和</w:t>
      </w:r>
      <w:r>
        <w:rPr>
          <w:rFonts w:ascii="宋体" w:hAnsi="宋体" w:eastAsia="宋体" w:cs="宋体"/>
          <w:sz w:val="21"/>
          <w:szCs w:val="21"/>
        </w:rPr>
        <w:t>变更的内容、理由，以及实施该变更对合同价格和工期的影响。发包人同意变更的，由监</w:t>
      </w:r>
      <w:r>
        <w:rPr>
          <w:rFonts w:ascii="宋体" w:hAnsi="宋体" w:eastAsia="宋体" w:cs="宋体"/>
          <w:spacing w:val="-1"/>
          <w:sz w:val="21"/>
          <w:szCs w:val="21"/>
        </w:rPr>
        <w:t>理人向</w:t>
      </w:r>
      <w:r>
        <w:rPr>
          <w:rFonts w:ascii="宋体" w:hAnsi="宋体" w:eastAsia="宋体" w:cs="宋体"/>
          <w:sz w:val="21"/>
          <w:szCs w:val="21"/>
        </w:rPr>
        <w:t>承包人发出变更指示。发包人不同意变更的，监理人无权擅自发出变更</w:t>
      </w:r>
      <w:r>
        <w:rPr>
          <w:rFonts w:ascii="宋体" w:hAnsi="宋体" w:eastAsia="宋体" w:cs="宋体"/>
          <w:spacing w:val="-1"/>
          <w:sz w:val="21"/>
          <w:szCs w:val="21"/>
        </w:rPr>
        <w:t>指示。</w:t>
      </w:r>
    </w:p>
    <w:p w14:paraId="515388CF">
      <w:pPr>
        <w:spacing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10.3.3  </w:t>
      </w:r>
      <w:r>
        <w:rPr>
          <w:rFonts w:ascii="宋体" w:hAnsi="宋体" w:eastAsia="宋体" w:cs="宋体"/>
          <w:spacing w:val="-2"/>
          <w:sz w:val="21"/>
          <w:szCs w:val="21"/>
        </w:rPr>
        <w:t>变更执行</w:t>
      </w:r>
    </w:p>
    <w:p w14:paraId="231CB97B">
      <w:pPr>
        <w:spacing w:before="136" w:line="344" w:lineRule="auto"/>
        <w:ind w:left="20" w:firstLine="399"/>
        <w:rPr>
          <w:rFonts w:ascii="宋体" w:hAnsi="宋体" w:eastAsia="宋体" w:cs="宋体"/>
          <w:sz w:val="21"/>
          <w:szCs w:val="21"/>
        </w:rPr>
      </w:pPr>
      <w:r>
        <w:rPr>
          <w:rFonts w:ascii="宋体" w:hAnsi="宋体" w:eastAsia="宋体" w:cs="宋体"/>
          <w:sz w:val="21"/>
          <w:szCs w:val="21"/>
        </w:rPr>
        <w:t>承包人收到监理人下达的变更指示后，认为不能执行，应立即提出不能执行该变更</w:t>
      </w:r>
      <w:r>
        <w:rPr>
          <w:rFonts w:ascii="宋体" w:hAnsi="宋体" w:eastAsia="宋体" w:cs="宋体"/>
          <w:spacing w:val="-1"/>
          <w:sz w:val="21"/>
          <w:szCs w:val="21"/>
        </w:rPr>
        <w:t>指示的理由。承包人认为可以执行变更的，应当书面说明实施该变更指示对合同价格和工期的影响，且合</w:t>
      </w:r>
      <w:r>
        <w:rPr>
          <w:rFonts w:ascii="宋体" w:hAnsi="宋体" w:eastAsia="宋体" w:cs="宋体"/>
          <w:spacing w:val="-2"/>
          <w:sz w:val="21"/>
          <w:szCs w:val="21"/>
        </w:rPr>
        <w:t>同当事人应当按照第</w:t>
      </w:r>
      <w:r>
        <w:rPr>
          <w:rFonts w:ascii="宋体" w:hAnsi="宋体" w:eastAsia="宋体" w:cs="宋体"/>
          <w:spacing w:val="-19"/>
          <w:sz w:val="21"/>
          <w:szCs w:val="21"/>
        </w:rPr>
        <w:t xml:space="preserve"> </w:t>
      </w:r>
      <w:r>
        <w:rPr>
          <w:rFonts w:ascii="Times New Roman" w:hAnsi="Times New Roman" w:eastAsia="Times New Roman" w:cs="Times New Roman"/>
          <w:spacing w:val="-2"/>
          <w:sz w:val="21"/>
          <w:szCs w:val="21"/>
        </w:rPr>
        <w:t xml:space="preserve">10.4 </w:t>
      </w:r>
      <w:r>
        <w:rPr>
          <w:rFonts w:ascii="宋体" w:hAnsi="宋体" w:eastAsia="宋体" w:cs="宋体"/>
          <w:spacing w:val="-2"/>
          <w:sz w:val="21"/>
          <w:szCs w:val="21"/>
        </w:rPr>
        <w:t>款〔变更估价〕约定确定变更估价。</w:t>
      </w:r>
    </w:p>
    <w:p w14:paraId="36D12C8B">
      <w:pPr>
        <w:spacing w:before="1" w:line="232" w:lineRule="auto"/>
        <w:ind w:left="7"/>
        <w:outlineLvl w:val="1"/>
        <w:rPr>
          <w:rFonts w:ascii="黑体" w:hAnsi="黑体" w:eastAsia="黑体" w:cs="黑体"/>
          <w:sz w:val="24"/>
          <w:szCs w:val="24"/>
        </w:rPr>
      </w:pPr>
      <w:bookmarkStart w:id="294" w:name="bookmark222"/>
      <w:bookmarkEnd w:id="294"/>
      <w:r>
        <w:rPr>
          <w:rFonts w:ascii="Times New Roman" w:hAnsi="Times New Roman" w:eastAsia="Times New Roman" w:cs="Times New Roman"/>
          <w:b/>
          <w:bCs/>
          <w:spacing w:val="-5"/>
          <w:sz w:val="24"/>
          <w:szCs w:val="24"/>
        </w:rPr>
        <w:t>10.4</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变更估价</w:t>
      </w:r>
    </w:p>
    <w:p w14:paraId="54781480">
      <w:pPr>
        <w:spacing w:before="123" w:line="233"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10.4.1  </w:t>
      </w:r>
      <w:r>
        <w:rPr>
          <w:rFonts w:ascii="宋体" w:hAnsi="宋体" w:eastAsia="宋体" w:cs="宋体"/>
          <w:spacing w:val="-2"/>
          <w:sz w:val="21"/>
          <w:szCs w:val="21"/>
        </w:rPr>
        <w:t>变更估价原则</w:t>
      </w:r>
    </w:p>
    <w:p w14:paraId="3E8345E8">
      <w:pPr>
        <w:spacing w:before="134" w:line="219" w:lineRule="auto"/>
        <w:ind w:left="432"/>
        <w:rPr>
          <w:rFonts w:ascii="宋体" w:hAnsi="宋体" w:eastAsia="宋体" w:cs="宋体"/>
          <w:sz w:val="21"/>
          <w:szCs w:val="21"/>
        </w:rPr>
      </w:pPr>
      <w:r>
        <w:rPr>
          <w:rFonts w:ascii="宋体" w:hAnsi="宋体" w:eastAsia="宋体" w:cs="宋体"/>
          <w:spacing w:val="-1"/>
          <w:sz w:val="21"/>
          <w:szCs w:val="21"/>
        </w:rPr>
        <w:t>除专用合同条款另有约定外，变更估价按照本款约定处理：</w:t>
      </w:r>
    </w:p>
    <w:p w14:paraId="1694FAE3">
      <w:pPr>
        <w:spacing w:before="151" w:line="233" w:lineRule="auto"/>
        <w:ind w:left="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）已标价工程量清单或预算书有相同项目的，</w:t>
      </w:r>
      <w:r>
        <w:rPr>
          <w:rFonts w:ascii="宋体" w:hAnsi="宋体" w:eastAsia="宋体" w:cs="宋体"/>
          <w:spacing w:val="-1"/>
          <w:sz w:val="21"/>
          <w:szCs w:val="21"/>
        </w:rPr>
        <w:t>按照相同项目单价认定；</w:t>
      </w:r>
    </w:p>
    <w:p w14:paraId="307946A7">
      <w:pPr>
        <w:spacing w:before="136" w:line="286" w:lineRule="auto"/>
        <w:ind w:left="5" w:right="19" w:firstLine="421"/>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）已标价工程量清单或预算书中无相同项目，但有类似项目的，参照类似项目</w:t>
      </w:r>
      <w:r>
        <w:rPr>
          <w:rFonts w:ascii="宋体" w:hAnsi="宋体" w:eastAsia="宋体" w:cs="宋体"/>
          <w:spacing w:val="1"/>
          <w:sz w:val="21"/>
          <w:szCs w:val="21"/>
        </w:rPr>
        <w:t>的单价认</w:t>
      </w:r>
      <w:r>
        <w:rPr>
          <w:rFonts w:ascii="宋体" w:hAnsi="宋体" w:eastAsia="宋体" w:cs="宋体"/>
          <w:spacing w:val="-16"/>
          <w:sz w:val="21"/>
          <w:szCs w:val="21"/>
        </w:rPr>
        <w:t>定；</w:t>
      </w:r>
    </w:p>
    <w:p w14:paraId="16C9BA17">
      <w:pPr>
        <w:spacing w:before="149" w:line="233" w:lineRule="auto"/>
        <w:ind w:right="11"/>
        <w:jc w:val="right"/>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）变更导致实际完成的变更工程量与已标价工程量清单或预算书中列明的该项目工程量</w:t>
      </w:r>
    </w:p>
    <w:p w14:paraId="1F26B479">
      <w:pPr>
        <w:spacing w:line="233" w:lineRule="auto"/>
        <w:rPr>
          <w:rFonts w:ascii="宋体" w:hAnsi="宋体" w:eastAsia="宋体" w:cs="宋体"/>
          <w:sz w:val="21"/>
          <w:szCs w:val="21"/>
        </w:rPr>
        <w:sectPr>
          <w:footerReference r:id="rId112" w:type="default"/>
          <w:pgSz w:w="11905" w:h="16843"/>
          <w:pgMar w:top="969" w:right="1355" w:bottom="1026" w:left="1480" w:header="0" w:footer="754" w:gutter="0"/>
          <w:cols w:space="0" w:num="1"/>
          <w:rtlGutter w:val="0"/>
          <w:docGrid w:linePitch="0" w:charSpace="0"/>
        </w:sectPr>
      </w:pPr>
    </w:p>
    <w:p w14:paraId="03A9472B">
      <w:pPr>
        <w:pStyle w:val="5"/>
        <w:spacing w:line="270" w:lineRule="auto"/>
      </w:pPr>
    </w:p>
    <w:p w14:paraId="463C4B1E">
      <w:pPr>
        <w:pStyle w:val="5"/>
        <w:spacing w:line="270" w:lineRule="auto"/>
      </w:pPr>
    </w:p>
    <w:p w14:paraId="03A3A143">
      <w:pPr>
        <w:pStyle w:val="5"/>
        <w:spacing w:line="271" w:lineRule="auto"/>
      </w:pPr>
    </w:p>
    <w:p w14:paraId="638893AD">
      <w:pPr>
        <w:pStyle w:val="5"/>
        <w:spacing w:line="271" w:lineRule="auto"/>
      </w:pPr>
    </w:p>
    <w:p w14:paraId="21E2BA47">
      <w:pPr>
        <w:spacing w:before="68" w:line="352" w:lineRule="auto"/>
        <w:ind w:left="4" w:firstLine="14"/>
        <w:rPr>
          <w:rFonts w:ascii="宋体" w:hAnsi="宋体" w:eastAsia="宋体" w:cs="宋体"/>
          <w:sz w:val="21"/>
          <w:szCs w:val="21"/>
        </w:rPr>
      </w:pPr>
      <w:r>
        <w:rPr>
          <w:rFonts w:ascii="宋体" w:hAnsi="宋体" w:eastAsia="宋体" w:cs="宋体"/>
          <w:spacing w:val="-1"/>
          <w:sz w:val="21"/>
          <w:szCs w:val="21"/>
        </w:rPr>
        <w:t>的变化幅度超过</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15%</w:t>
      </w:r>
      <w:r>
        <w:rPr>
          <w:rFonts w:ascii="宋体" w:hAnsi="宋体" w:eastAsia="宋体" w:cs="宋体"/>
          <w:spacing w:val="-1"/>
          <w:sz w:val="21"/>
          <w:szCs w:val="21"/>
        </w:rPr>
        <w:t>的，或已标价工程量清单或预算书中无相同项目及类似项目单价的，按照合</w:t>
      </w:r>
      <w:r>
        <w:rPr>
          <w:rFonts w:ascii="宋体" w:hAnsi="宋体" w:eastAsia="宋体" w:cs="宋体"/>
          <w:sz w:val="21"/>
          <w:szCs w:val="21"/>
        </w:rPr>
        <w:t>理的成本与利润构成的原则，由合同当事人按照第</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4.4 </w:t>
      </w:r>
      <w:r>
        <w:rPr>
          <w:rFonts w:ascii="宋体" w:hAnsi="宋体" w:eastAsia="宋体" w:cs="宋体"/>
          <w:sz w:val="21"/>
          <w:szCs w:val="21"/>
        </w:rPr>
        <w:t>款〔商定或确定〕确</w:t>
      </w:r>
      <w:r>
        <w:rPr>
          <w:rFonts w:ascii="宋体" w:hAnsi="宋体" w:eastAsia="宋体" w:cs="宋体"/>
          <w:spacing w:val="-1"/>
          <w:sz w:val="21"/>
          <w:szCs w:val="21"/>
        </w:rPr>
        <w:t>定变更工作的单价。</w:t>
      </w:r>
    </w:p>
    <w:p w14:paraId="5A7A9C89">
      <w:pPr>
        <w:spacing w:line="233"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10.4.2  </w:t>
      </w:r>
      <w:r>
        <w:rPr>
          <w:rFonts w:ascii="宋体" w:hAnsi="宋体" w:eastAsia="宋体" w:cs="宋体"/>
          <w:spacing w:val="-2"/>
          <w:sz w:val="21"/>
          <w:szCs w:val="21"/>
        </w:rPr>
        <w:t>变更估价程序</w:t>
      </w:r>
    </w:p>
    <w:p w14:paraId="5D575D5E">
      <w:pPr>
        <w:spacing w:before="132" w:line="347" w:lineRule="auto"/>
        <w:ind w:left="2" w:firstLine="419"/>
        <w:rPr>
          <w:rFonts w:ascii="宋体" w:hAnsi="宋体" w:eastAsia="宋体" w:cs="宋体"/>
          <w:sz w:val="21"/>
          <w:szCs w:val="21"/>
        </w:rPr>
      </w:pPr>
      <w:r>
        <w:rPr>
          <w:rFonts w:ascii="宋体" w:hAnsi="宋体" w:eastAsia="宋体" w:cs="宋体"/>
          <w:sz w:val="21"/>
          <w:szCs w:val="21"/>
        </w:rPr>
        <w:t xml:space="preserve">承包人应在收到变更指示后 </w:t>
      </w:r>
      <w:r>
        <w:rPr>
          <w:rFonts w:ascii="Times New Roman" w:hAnsi="Times New Roman" w:eastAsia="Times New Roman" w:cs="Times New Roman"/>
          <w:sz w:val="21"/>
          <w:szCs w:val="21"/>
        </w:rPr>
        <w:t xml:space="preserve">14  </w:t>
      </w:r>
      <w:r>
        <w:rPr>
          <w:rFonts w:ascii="宋体" w:hAnsi="宋体" w:eastAsia="宋体" w:cs="宋体"/>
          <w:sz w:val="21"/>
          <w:szCs w:val="21"/>
        </w:rPr>
        <w:t>天内，向监理人提交变更估价申请。监理人应在收到</w:t>
      </w:r>
      <w:r>
        <w:rPr>
          <w:rFonts w:ascii="宋体" w:hAnsi="宋体" w:eastAsia="宋体" w:cs="宋体"/>
          <w:spacing w:val="-1"/>
          <w:sz w:val="21"/>
          <w:szCs w:val="21"/>
        </w:rPr>
        <w:t>承包人</w:t>
      </w:r>
      <w:r>
        <w:rPr>
          <w:rFonts w:ascii="宋体" w:hAnsi="宋体" w:eastAsia="宋体" w:cs="宋体"/>
          <w:sz w:val="21"/>
          <w:szCs w:val="21"/>
        </w:rPr>
        <w:t>提交的变更估价申请后</w:t>
      </w:r>
      <w:r>
        <w:rPr>
          <w:rFonts w:ascii="宋体" w:hAnsi="宋体" w:eastAsia="宋体" w:cs="宋体"/>
          <w:spacing w:val="-45"/>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天内审查完毕并报送发包人，监理人对变更</w:t>
      </w:r>
      <w:r>
        <w:rPr>
          <w:rFonts w:ascii="宋体" w:hAnsi="宋体" w:eastAsia="宋体" w:cs="宋体"/>
          <w:spacing w:val="-1"/>
          <w:sz w:val="21"/>
          <w:szCs w:val="21"/>
        </w:rPr>
        <w:t>估价申请有异议，通知承包</w:t>
      </w:r>
      <w:r>
        <w:rPr>
          <w:rFonts w:ascii="宋体" w:hAnsi="宋体" w:eastAsia="宋体" w:cs="宋体"/>
          <w:sz w:val="21"/>
          <w:szCs w:val="21"/>
        </w:rPr>
        <w:t xml:space="preserve">人修改后重新提交。发包人应在承包人提交变更估价申请后 </w:t>
      </w:r>
      <w:r>
        <w:rPr>
          <w:rFonts w:ascii="Times New Roman" w:hAnsi="Times New Roman" w:eastAsia="Times New Roman" w:cs="Times New Roman"/>
          <w:sz w:val="21"/>
          <w:szCs w:val="21"/>
        </w:rPr>
        <w:t xml:space="preserve">14  </w:t>
      </w:r>
      <w:r>
        <w:rPr>
          <w:rFonts w:ascii="宋体" w:hAnsi="宋体" w:eastAsia="宋体" w:cs="宋体"/>
          <w:sz w:val="21"/>
          <w:szCs w:val="21"/>
        </w:rPr>
        <w:t>天内审批完毕。发包人</w:t>
      </w:r>
      <w:r>
        <w:rPr>
          <w:rFonts w:ascii="宋体" w:hAnsi="宋体" w:eastAsia="宋体" w:cs="宋体"/>
          <w:spacing w:val="-1"/>
          <w:sz w:val="21"/>
          <w:szCs w:val="21"/>
        </w:rPr>
        <w:t>逾期未完</w:t>
      </w:r>
      <w:r>
        <w:rPr>
          <w:rFonts w:ascii="宋体" w:hAnsi="宋体" w:eastAsia="宋体" w:cs="宋体"/>
          <w:sz w:val="21"/>
          <w:szCs w:val="21"/>
        </w:rPr>
        <w:t>成审批或未提出异议的，视为认可承包人提交的变更估</w:t>
      </w:r>
      <w:r>
        <w:rPr>
          <w:rFonts w:ascii="宋体" w:hAnsi="宋体" w:eastAsia="宋体" w:cs="宋体"/>
          <w:spacing w:val="-1"/>
          <w:sz w:val="21"/>
          <w:szCs w:val="21"/>
        </w:rPr>
        <w:t>价申请。</w:t>
      </w:r>
    </w:p>
    <w:p w14:paraId="67FC3B16">
      <w:pPr>
        <w:spacing w:before="22" w:line="219" w:lineRule="auto"/>
        <w:ind w:left="438"/>
        <w:rPr>
          <w:rFonts w:ascii="宋体" w:hAnsi="宋体" w:eastAsia="宋体" w:cs="宋体"/>
          <w:sz w:val="21"/>
          <w:szCs w:val="21"/>
        </w:rPr>
      </w:pPr>
      <w:r>
        <w:rPr>
          <w:rFonts w:ascii="宋体" w:hAnsi="宋体" w:eastAsia="宋体" w:cs="宋体"/>
          <w:spacing w:val="-2"/>
          <w:sz w:val="21"/>
          <w:szCs w:val="21"/>
        </w:rPr>
        <w:t>因变更引起的价格调整应计入最近一期的进度款中支付。</w:t>
      </w:r>
    </w:p>
    <w:p w14:paraId="152D2E92">
      <w:pPr>
        <w:spacing w:before="127" w:line="233" w:lineRule="auto"/>
        <w:ind w:left="9"/>
        <w:outlineLvl w:val="1"/>
        <w:rPr>
          <w:rFonts w:ascii="黑体" w:hAnsi="黑体" w:eastAsia="黑体" w:cs="黑体"/>
          <w:sz w:val="24"/>
          <w:szCs w:val="24"/>
        </w:rPr>
      </w:pPr>
      <w:bookmarkStart w:id="295" w:name="bookmark223"/>
      <w:bookmarkEnd w:id="295"/>
      <w:r>
        <w:rPr>
          <w:rFonts w:ascii="Times New Roman" w:hAnsi="Times New Roman" w:eastAsia="Times New Roman" w:cs="Times New Roman"/>
          <w:b/>
          <w:bCs/>
          <w:spacing w:val="-3"/>
          <w:sz w:val="24"/>
          <w:szCs w:val="24"/>
        </w:rPr>
        <w:t xml:space="preserve">10.5 </w:t>
      </w:r>
      <w:r>
        <w:rPr>
          <w:rFonts w:ascii="黑体" w:hAnsi="黑体" w:eastAsia="黑体" w:cs="黑体"/>
          <w:b/>
          <w:bCs/>
          <w:spacing w:val="-3"/>
          <w:sz w:val="24"/>
          <w:szCs w:val="24"/>
        </w:rPr>
        <w:t>承包人的合理化建议</w:t>
      </w:r>
    </w:p>
    <w:p w14:paraId="1BD9C545">
      <w:pPr>
        <w:spacing w:before="121" w:line="352" w:lineRule="auto"/>
        <w:ind w:left="6" w:firstLine="414"/>
        <w:rPr>
          <w:rFonts w:ascii="宋体" w:hAnsi="宋体" w:eastAsia="宋体" w:cs="宋体"/>
          <w:sz w:val="21"/>
          <w:szCs w:val="21"/>
        </w:rPr>
      </w:pPr>
      <w:r>
        <w:rPr>
          <w:rFonts w:ascii="宋体" w:hAnsi="宋体" w:eastAsia="宋体" w:cs="宋体"/>
          <w:sz w:val="21"/>
          <w:szCs w:val="21"/>
        </w:rPr>
        <w:t>承包人提出合理化建议的，应向监理人提交合理化建议说明，说明建议的内容和理</w:t>
      </w:r>
      <w:r>
        <w:rPr>
          <w:rFonts w:ascii="宋体" w:hAnsi="宋体" w:eastAsia="宋体" w:cs="宋体"/>
          <w:spacing w:val="-1"/>
          <w:sz w:val="21"/>
          <w:szCs w:val="21"/>
        </w:rPr>
        <w:t>由，以及实施该建议对合同价格和工期的影响。</w:t>
      </w:r>
    </w:p>
    <w:p w14:paraId="26490107">
      <w:pPr>
        <w:spacing w:before="6" w:line="348" w:lineRule="auto"/>
        <w:ind w:firstLine="434"/>
        <w:jc w:val="both"/>
        <w:rPr>
          <w:rFonts w:ascii="宋体" w:hAnsi="宋体" w:eastAsia="宋体" w:cs="宋体"/>
          <w:sz w:val="21"/>
          <w:szCs w:val="21"/>
        </w:rPr>
      </w:pPr>
      <w:r>
        <w:rPr>
          <w:rFonts w:ascii="宋体" w:hAnsi="宋体" w:eastAsia="宋体" w:cs="宋体"/>
          <w:spacing w:val="-1"/>
          <w:sz w:val="21"/>
          <w:szCs w:val="21"/>
        </w:rPr>
        <w:t>除专用合同条款另有约定外，监理人应在收到承包人提交的合理化建议后</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天内审查完毕并</w:t>
      </w:r>
      <w:r>
        <w:rPr>
          <w:rFonts w:ascii="宋体" w:hAnsi="宋体" w:eastAsia="宋体" w:cs="宋体"/>
          <w:sz w:val="21"/>
          <w:szCs w:val="21"/>
        </w:rPr>
        <w:t>报送发包人，发现其中存在技术上的缺陷，应通知承包人修改。发包人应在收到监理人报送</w:t>
      </w:r>
      <w:r>
        <w:rPr>
          <w:rFonts w:ascii="宋体" w:hAnsi="宋体" w:eastAsia="宋体" w:cs="宋体"/>
          <w:spacing w:val="-1"/>
          <w:sz w:val="21"/>
          <w:szCs w:val="21"/>
        </w:rPr>
        <w:t>的合</w:t>
      </w:r>
      <w:r>
        <w:rPr>
          <w:rFonts w:ascii="宋体" w:hAnsi="宋体" w:eastAsia="宋体" w:cs="宋体"/>
          <w:sz w:val="21"/>
          <w:szCs w:val="21"/>
        </w:rPr>
        <w:t>理化建议后</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天内审批完毕。合理化建议经发包人批准的，监理人应及时发出</w:t>
      </w:r>
      <w:r>
        <w:rPr>
          <w:rFonts w:ascii="宋体" w:hAnsi="宋体" w:eastAsia="宋体" w:cs="宋体"/>
          <w:spacing w:val="-1"/>
          <w:sz w:val="21"/>
          <w:szCs w:val="21"/>
        </w:rPr>
        <w:t>变更指示，由此引</w:t>
      </w:r>
      <w:r>
        <w:rPr>
          <w:rFonts w:ascii="宋体" w:hAnsi="宋体" w:eastAsia="宋体" w:cs="宋体"/>
          <w:spacing w:val="1"/>
          <w:sz w:val="21"/>
          <w:szCs w:val="21"/>
        </w:rPr>
        <w:t xml:space="preserve">起的合同价格调整按照第 </w:t>
      </w:r>
      <w:r>
        <w:rPr>
          <w:rFonts w:ascii="Times New Roman" w:hAnsi="Times New Roman" w:eastAsia="Times New Roman" w:cs="Times New Roman"/>
          <w:spacing w:val="1"/>
          <w:sz w:val="21"/>
          <w:szCs w:val="21"/>
        </w:rPr>
        <w:t xml:space="preserve">10.4  </w:t>
      </w:r>
      <w:r>
        <w:rPr>
          <w:rFonts w:ascii="宋体" w:hAnsi="宋体" w:eastAsia="宋体" w:cs="宋体"/>
          <w:spacing w:val="1"/>
          <w:sz w:val="21"/>
          <w:szCs w:val="21"/>
        </w:rPr>
        <w:t>款〔变更估价〕约定执行。发包人不同意变更的，监理人应书面</w:t>
      </w:r>
      <w:r>
        <w:rPr>
          <w:rFonts w:ascii="宋体" w:hAnsi="宋体" w:eastAsia="宋体" w:cs="宋体"/>
          <w:spacing w:val="-1"/>
          <w:sz w:val="21"/>
          <w:szCs w:val="21"/>
        </w:rPr>
        <w:t>通知承包人。</w:t>
      </w:r>
    </w:p>
    <w:p w14:paraId="252BCD2D">
      <w:pPr>
        <w:spacing w:before="15" w:line="340" w:lineRule="auto"/>
        <w:ind w:left="19" w:firstLine="403"/>
        <w:rPr>
          <w:rFonts w:ascii="宋体" w:hAnsi="宋体" w:eastAsia="宋体" w:cs="宋体"/>
          <w:sz w:val="21"/>
          <w:szCs w:val="21"/>
        </w:rPr>
      </w:pPr>
      <w:r>
        <w:rPr>
          <w:rFonts w:ascii="宋体" w:hAnsi="宋体" w:eastAsia="宋体" w:cs="宋体"/>
          <w:sz w:val="21"/>
          <w:szCs w:val="21"/>
        </w:rPr>
        <w:t>合理化建议降低了合同价格或者提高了工程经济效益的，发包人可对承包人给予奖</w:t>
      </w:r>
      <w:r>
        <w:rPr>
          <w:rFonts w:ascii="宋体" w:hAnsi="宋体" w:eastAsia="宋体" w:cs="宋体"/>
          <w:spacing w:val="-1"/>
          <w:sz w:val="21"/>
          <w:szCs w:val="21"/>
        </w:rPr>
        <w:t>励，奖励</w:t>
      </w:r>
      <w:r>
        <w:rPr>
          <w:rFonts w:ascii="宋体" w:hAnsi="宋体" w:eastAsia="宋体" w:cs="宋体"/>
          <w:spacing w:val="-2"/>
          <w:sz w:val="21"/>
          <w:szCs w:val="21"/>
        </w:rPr>
        <w:t>的方法和金额在专用合同条款中约定。</w:t>
      </w:r>
    </w:p>
    <w:p w14:paraId="790A04B2">
      <w:pPr>
        <w:spacing w:before="1" w:line="232" w:lineRule="auto"/>
        <w:ind w:left="9"/>
        <w:outlineLvl w:val="1"/>
        <w:rPr>
          <w:rFonts w:ascii="黑体" w:hAnsi="黑体" w:eastAsia="黑体" w:cs="黑体"/>
          <w:sz w:val="24"/>
          <w:szCs w:val="24"/>
        </w:rPr>
      </w:pPr>
      <w:bookmarkStart w:id="296" w:name="bookmark224"/>
      <w:bookmarkEnd w:id="296"/>
      <w:r>
        <w:rPr>
          <w:rFonts w:ascii="Times New Roman" w:hAnsi="Times New Roman" w:eastAsia="Times New Roman" w:cs="Times New Roman"/>
          <w:b/>
          <w:bCs/>
          <w:spacing w:val="-3"/>
          <w:sz w:val="24"/>
          <w:szCs w:val="24"/>
        </w:rPr>
        <w:t xml:space="preserve">10.6 </w:t>
      </w:r>
      <w:r>
        <w:rPr>
          <w:rFonts w:ascii="黑体" w:hAnsi="黑体" w:eastAsia="黑体" w:cs="黑体"/>
          <w:b/>
          <w:bCs/>
          <w:spacing w:val="-3"/>
          <w:sz w:val="24"/>
          <w:szCs w:val="24"/>
        </w:rPr>
        <w:t>变更引起的工期调整</w:t>
      </w:r>
    </w:p>
    <w:p w14:paraId="6BBDC5BB">
      <w:pPr>
        <w:spacing w:before="124" w:line="340" w:lineRule="auto"/>
        <w:ind w:left="26" w:firstLine="412"/>
        <w:rPr>
          <w:rFonts w:ascii="宋体" w:hAnsi="宋体" w:eastAsia="宋体" w:cs="宋体"/>
          <w:sz w:val="21"/>
          <w:szCs w:val="21"/>
        </w:rPr>
      </w:pPr>
      <w:r>
        <w:rPr>
          <w:rFonts w:ascii="宋体" w:hAnsi="宋体" w:eastAsia="宋体" w:cs="宋体"/>
          <w:spacing w:val="3"/>
          <w:sz w:val="21"/>
          <w:szCs w:val="21"/>
        </w:rPr>
        <w:t xml:space="preserve">因变更引起工期变化的，合同当事人均可要求调整合同工期，由合同当事人按照第 </w:t>
      </w:r>
      <w:r>
        <w:rPr>
          <w:rFonts w:ascii="Times New Roman" w:hAnsi="Times New Roman" w:eastAsia="Times New Roman" w:cs="Times New Roman"/>
          <w:spacing w:val="3"/>
          <w:sz w:val="21"/>
          <w:szCs w:val="21"/>
        </w:rPr>
        <w:t xml:space="preserve">4.4  </w:t>
      </w:r>
      <w:r>
        <w:rPr>
          <w:rFonts w:ascii="宋体" w:hAnsi="宋体" w:eastAsia="宋体" w:cs="宋体"/>
          <w:spacing w:val="3"/>
          <w:sz w:val="21"/>
          <w:szCs w:val="21"/>
        </w:rPr>
        <w:t>款</w:t>
      </w:r>
      <w:r>
        <w:rPr>
          <w:rFonts w:ascii="宋体" w:hAnsi="宋体" w:eastAsia="宋体" w:cs="宋体"/>
          <w:spacing w:val="-1"/>
          <w:sz w:val="21"/>
          <w:szCs w:val="21"/>
        </w:rPr>
        <w:t>〔商定或确定〕并参考工程所在地的工期定</w:t>
      </w:r>
      <w:r>
        <w:rPr>
          <w:rFonts w:ascii="宋体" w:hAnsi="宋体" w:eastAsia="宋体" w:cs="宋体"/>
          <w:spacing w:val="-2"/>
          <w:sz w:val="21"/>
          <w:szCs w:val="21"/>
        </w:rPr>
        <w:t>额标准确定增减工期天数。</w:t>
      </w:r>
    </w:p>
    <w:p w14:paraId="08DA2350">
      <w:pPr>
        <w:spacing w:before="1" w:line="232" w:lineRule="auto"/>
        <w:ind w:left="9"/>
        <w:outlineLvl w:val="1"/>
        <w:rPr>
          <w:rFonts w:ascii="黑体" w:hAnsi="黑体" w:eastAsia="黑体" w:cs="黑体"/>
          <w:sz w:val="24"/>
          <w:szCs w:val="24"/>
        </w:rPr>
      </w:pPr>
      <w:bookmarkStart w:id="297" w:name="bookmark225"/>
      <w:bookmarkEnd w:id="297"/>
      <w:r>
        <w:rPr>
          <w:rFonts w:ascii="Times New Roman" w:hAnsi="Times New Roman" w:eastAsia="Times New Roman" w:cs="Times New Roman"/>
          <w:b/>
          <w:bCs/>
          <w:spacing w:val="-6"/>
          <w:sz w:val="24"/>
          <w:szCs w:val="24"/>
        </w:rPr>
        <w:t>10.7</w:t>
      </w:r>
      <w:r>
        <w:rPr>
          <w:rFonts w:ascii="Times New Roman" w:hAnsi="Times New Roman" w:eastAsia="Times New Roman" w:cs="Times New Roman"/>
          <w:b/>
          <w:bCs/>
          <w:spacing w:val="19"/>
          <w:w w:val="101"/>
          <w:sz w:val="24"/>
          <w:szCs w:val="24"/>
        </w:rPr>
        <w:t xml:space="preserve"> </w:t>
      </w:r>
      <w:r>
        <w:rPr>
          <w:rFonts w:ascii="黑体" w:hAnsi="黑体" w:eastAsia="黑体" w:cs="黑体"/>
          <w:b/>
          <w:bCs/>
          <w:spacing w:val="-6"/>
          <w:sz w:val="24"/>
          <w:szCs w:val="24"/>
        </w:rPr>
        <w:t>暂估价</w:t>
      </w:r>
    </w:p>
    <w:p w14:paraId="3ACC4AC8">
      <w:pPr>
        <w:spacing w:before="123" w:line="219" w:lineRule="auto"/>
        <w:jc w:val="right"/>
        <w:rPr>
          <w:rFonts w:ascii="宋体" w:hAnsi="宋体" w:eastAsia="宋体" w:cs="宋体"/>
          <w:sz w:val="21"/>
          <w:szCs w:val="21"/>
        </w:rPr>
      </w:pPr>
      <w:r>
        <w:rPr>
          <w:rFonts w:ascii="宋体" w:hAnsi="宋体" w:eastAsia="宋体" w:cs="宋体"/>
          <w:spacing w:val="-1"/>
          <w:sz w:val="21"/>
          <w:szCs w:val="21"/>
        </w:rPr>
        <w:t>暂估价专业分包工程、服务、材料和工程设备的明细由合同当事人在专用合同条款中约定。</w:t>
      </w:r>
    </w:p>
    <w:p w14:paraId="20E0A4BA">
      <w:pPr>
        <w:spacing w:before="152" w:line="233" w:lineRule="auto"/>
        <w:ind w:left="438"/>
        <w:rPr>
          <w:rFonts w:ascii="宋体" w:hAnsi="宋体" w:eastAsia="宋体" w:cs="宋体"/>
          <w:sz w:val="21"/>
          <w:szCs w:val="21"/>
        </w:rPr>
      </w:pPr>
      <w:r>
        <w:rPr>
          <w:rFonts w:ascii="Times New Roman" w:hAnsi="Times New Roman" w:eastAsia="Times New Roman" w:cs="Times New Roman"/>
          <w:spacing w:val="-1"/>
          <w:sz w:val="21"/>
          <w:szCs w:val="21"/>
        </w:rPr>
        <w:t xml:space="preserve">10.7.1  </w:t>
      </w:r>
      <w:r>
        <w:rPr>
          <w:rFonts w:ascii="宋体" w:hAnsi="宋体" w:eastAsia="宋体" w:cs="宋体"/>
          <w:spacing w:val="-1"/>
          <w:sz w:val="21"/>
          <w:szCs w:val="21"/>
        </w:rPr>
        <w:t>依法必须招标的暂估价项目</w:t>
      </w:r>
    </w:p>
    <w:p w14:paraId="3E2B32DB">
      <w:pPr>
        <w:spacing w:before="135" w:line="344" w:lineRule="auto"/>
        <w:ind w:left="3" w:firstLine="417"/>
        <w:rPr>
          <w:rFonts w:ascii="宋体" w:hAnsi="宋体" w:eastAsia="宋体" w:cs="宋体"/>
          <w:sz w:val="21"/>
          <w:szCs w:val="21"/>
        </w:rPr>
      </w:pPr>
      <w:r>
        <w:rPr>
          <w:rFonts w:ascii="宋体" w:hAnsi="宋体" w:eastAsia="宋体" w:cs="宋体"/>
          <w:spacing w:val="-1"/>
          <w:sz w:val="21"/>
          <w:szCs w:val="21"/>
        </w:rPr>
        <w:t>对于依法必须招标的暂估价项目，采取以下第</w:t>
      </w:r>
      <w:r>
        <w:rPr>
          <w:rFonts w:ascii="宋体" w:hAnsi="宋体" w:eastAsia="宋体" w:cs="宋体"/>
          <w:spacing w:val="-14"/>
          <w:sz w:val="21"/>
          <w:szCs w:val="21"/>
        </w:rPr>
        <w:t xml:space="preserve">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种方式确定。合同当事人也可以在专用合同条款中选择其他招标方式。</w:t>
      </w:r>
    </w:p>
    <w:p w14:paraId="03E56C45">
      <w:pPr>
        <w:spacing w:before="18" w:line="342" w:lineRule="auto"/>
        <w:ind w:left="3" w:firstLine="418"/>
        <w:rPr>
          <w:rFonts w:ascii="宋体" w:hAnsi="宋体" w:eastAsia="宋体" w:cs="宋体"/>
          <w:sz w:val="21"/>
          <w:szCs w:val="21"/>
        </w:rPr>
      </w:pPr>
      <w:r>
        <w:rPr>
          <w:rFonts w:ascii="宋体" w:hAnsi="宋体" w:eastAsia="宋体" w:cs="宋体"/>
          <w:spacing w:val="-1"/>
          <w:sz w:val="21"/>
          <w:szCs w:val="21"/>
        </w:rPr>
        <w:t>第</w:t>
      </w:r>
      <w:r>
        <w:rPr>
          <w:rFonts w:ascii="宋体" w:hAnsi="宋体" w:eastAsia="宋体" w:cs="宋体"/>
          <w:spacing w:val="-15"/>
          <w:sz w:val="21"/>
          <w:szCs w:val="21"/>
        </w:rPr>
        <w:t xml:space="preserve">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种方式：对于依法必须招标的暂估价项目，由承包人招标，对该暂估价项目的确认和批准按照以下约定执行：</w:t>
      </w:r>
    </w:p>
    <w:p w14:paraId="65D35F36">
      <w:pPr>
        <w:spacing w:before="20" w:line="308" w:lineRule="auto"/>
        <w:ind w:left="1"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）承包人应当根据施工进度计划，在招标工作启动前</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天将招标方案通过监理人报送发</w:t>
      </w:r>
      <w:r>
        <w:rPr>
          <w:rFonts w:ascii="宋体" w:hAnsi="宋体" w:eastAsia="宋体" w:cs="宋体"/>
          <w:sz w:val="21"/>
          <w:szCs w:val="21"/>
        </w:rPr>
        <w:t>包人审查，发包人应当在收到承包人报送的招标方案后</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天内批准或</w:t>
      </w:r>
      <w:r>
        <w:rPr>
          <w:rFonts w:ascii="宋体" w:hAnsi="宋体" w:eastAsia="宋体" w:cs="宋体"/>
          <w:spacing w:val="-1"/>
          <w:sz w:val="21"/>
          <w:szCs w:val="21"/>
        </w:rPr>
        <w:t>提出修改意见。承包人应当按照经过发包人批准的招标方案开展招标工作；</w:t>
      </w:r>
    </w:p>
    <w:p w14:paraId="2DCD15CA">
      <w:pPr>
        <w:spacing w:before="151" w:line="307" w:lineRule="auto"/>
        <w:ind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）承包人应当根据施工进度计划，提前</w:t>
      </w:r>
      <w:r>
        <w:rPr>
          <w:rFonts w:ascii="宋体" w:hAnsi="宋体" w:eastAsia="宋体" w:cs="宋体"/>
          <w:spacing w:val="-21"/>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天将招标文件通过监理人报送发包人审批，发</w:t>
      </w:r>
      <w:r>
        <w:rPr>
          <w:rFonts w:ascii="宋体" w:hAnsi="宋体" w:eastAsia="宋体" w:cs="宋体"/>
          <w:sz w:val="21"/>
          <w:szCs w:val="21"/>
        </w:rPr>
        <w:t>包人应当在收到承包人报送的相关文件后</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天内完成审批或提出修改意见；发</w:t>
      </w:r>
      <w:r>
        <w:rPr>
          <w:rFonts w:ascii="宋体" w:hAnsi="宋体" w:eastAsia="宋体" w:cs="宋体"/>
          <w:spacing w:val="-1"/>
          <w:sz w:val="21"/>
          <w:szCs w:val="21"/>
        </w:rPr>
        <w:t>包人有权确定招标控制价并按照法律规定参加评标；</w:t>
      </w:r>
    </w:p>
    <w:p w14:paraId="474E9725">
      <w:pPr>
        <w:spacing w:before="152" w:line="233" w:lineRule="auto"/>
        <w:ind w:right="1"/>
        <w:jc w:val="righ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 xml:space="preserve">）承包人与供应商、分包人在签订暂估价合同前，应当提前 </w:t>
      </w:r>
      <w:r>
        <w:rPr>
          <w:rFonts w:ascii="Times New Roman" w:hAnsi="Times New Roman" w:eastAsia="Times New Roman" w:cs="Times New Roman"/>
          <w:sz w:val="21"/>
          <w:szCs w:val="21"/>
        </w:rPr>
        <w:t xml:space="preserve">7  </w:t>
      </w:r>
      <w:r>
        <w:rPr>
          <w:rFonts w:ascii="宋体" w:hAnsi="宋体" w:eastAsia="宋体" w:cs="宋体"/>
          <w:spacing w:val="-1"/>
          <w:sz w:val="21"/>
          <w:szCs w:val="21"/>
        </w:rPr>
        <w:t>天将确定的中标候选供应</w:t>
      </w:r>
    </w:p>
    <w:p w14:paraId="0E60593E">
      <w:pPr>
        <w:spacing w:line="233" w:lineRule="auto"/>
        <w:rPr>
          <w:rFonts w:ascii="宋体" w:hAnsi="宋体" w:eastAsia="宋体" w:cs="宋体"/>
          <w:sz w:val="21"/>
          <w:szCs w:val="21"/>
        </w:rPr>
        <w:sectPr>
          <w:footerReference r:id="rId113" w:type="default"/>
          <w:pgSz w:w="11905" w:h="16843"/>
          <w:pgMar w:top="969" w:right="1355" w:bottom="1026" w:left="1480" w:header="0" w:footer="754" w:gutter="0"/>
          <w:cols w:space="0" w:num="1"/>
          <w:rtlGutter w:val="0"/>
          <w:docGrid w:linePitch="0" w:charSpace="0"/>
        </w:sectPr>
      </w:pPr>
    </w:p>
    <w:p w14:paraId="15185036">
      <w:pPr>
        <w:pStyle w:val="5"/>
        <w:spacing w:line="270" w:lineRule="auto"/>
      </w:pPr>
    </w:p>
    <w:p w14:paraId="746B1D7E">
      <w:pPr>
        <w:pStyle w:val="5"/>
        <w:spacing w:line="270" w:lineRule="auto"/>
      </w:pPr>
    </w:p>
    <w:p w14:paraId="595E4C6E">
      <w:pPr>
        <w:pStyle w:val="5"/>
        <w:spacing w:line="271" w:lineRule="auto"/>
      </w:pPr>
    </w:p>
    <w:p w14:paraId="73167B48">
      <w:pPr>
        <w:pStyle w:val="5"/>
        <w:spacing w:line="271" w:lineRule="auto"/>
      </w:pPr>
    </w:p>
    <w:p w14:paraId="4F8A0EB1">
      <w:pPr>
        <w:spacing w:before="68" w:line="352" w:lineRule="auto"/>
        <w:ind w:firstLine="4"/>
        <w:rPr>
          <w:rFonts w:ascii="宋体" w:hAnsi="宋体" w:eastAsia="宋体" w:cs="宋体"/>
          <w:sz w:val="21"/>
          <w:szCs w:val="21"/>
        </w:rPr>
      </w:pPr>
      <w:bookmarkStart w:id="298" w:name="bookmark565"/>
      <w:bookmarkEnd w:id="298"/>
      <w:r>
        <w:rPr>
          <w:rFonts w:ascii="宋体" w:hAnsi="宋体" w:eastAsia="宋体" w:cs="宋体"/>
          <w:spacing w:val="-1"/>
          <w:sz w:val="21"/>
          <w:szCs w:val="21"/>
        </w:rPr>
        <w:t>商或中标候选分包人的资料报送发包人，发包</w:t>
      </w:r>
      <w:r>
        <w:rPr>
          <w:rFonts w:ascii="宋体" w:hAnsi="宋体" w:eastAsia="宋体" w:cs="宋体"/>
          <w:spacing w:val="-2"/>
          <w:sz w:val="21"/>
          <w:szCs w:val="21"/>
        </w:rPr>
        <w:t>人应在收到资料后</w:t>
      </w:r>
      <w:r>
        <w:rPr>
          <w:rFonts w:ascii="宋体" w:hAnsi="宋体" w:eastAsia="宋体" w:cs="宋体"/>
          <w:spacing w:val="-44"/>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天内与承包人共同确定中标人；</w:t>
      </w:r>
      <w:r>
        <w:rPr>
          <w:rFonts w:ascii="宋体" w:hAnsi="宋体" w:eastAsia="宋体" w:cs="宋体"/>
          <w:spacing w:val="-1"/>
          <w:sz w:val="21"/>
          <w:szCs w:val="21"/>
        </w:rPr>
        <w:t>承包人应当在签订合同后</w:t>
      </w:r>
      <w:r>
        <w:rPr>
          <w:rFonts w:ascii="宋体" w:hAnsi="宋体" w:eastAsia="宋体" w:cs="宋体"/>
          <w:spacing w:val="-41"/>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天内，将暂估价合同副本报送发包人留存。</w:t>
      </w:r>
    </w:p>
    <w:p w14:paraId="6025DA78">
      <w:pPr>
        <w:spacing w:before="4" w:line="346" w:lineRule="auto"/>
        <w:ind w:right="158" w:firstLine="419"/>
        <w:jc w:val="both"/>
        <w:rPr>
          <w:rFonts w:ascii="宋体" w:hAnsi="宋体" w:eastAsia="宋体" w:cs="宋体"/>
          <w:sz w:val="21"/>
          <w:szCs w:val="21"/>
        </w:rPr>
      </w:pPr>
      <w:r>
        <w:rPr>
          <w:rFonts w:ascii="宋体" w:hAnsi="宋体" w:eastAsia="宋体" w:cs="宋体"/>
          <w:sz w:val="21"/>
          <w:szCs w:val="21"/>
        </w:rPr>
        <w:t>第</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 </w:t>
      </w:r>
      <w:r>
        <w:rPr>
          <w:rFonts w:ascii="宋体" w:hAnsi="宋体" w:eastAsia="宋体" w:cs="宋体"/>
          <w:sz w:val="21"/>
          <w:szCs w:val="21"/>
        </w:rPr>
        <w:t>种方式：对于依法必须招标的暂估价项目，由发包人和承包人共同招</w:t>
      </w:r>
      <w:r>
        <w:rPr>
          <w:rFonts w:ascii="宋体" w:hAnsi="宋体" w:eastAsia="宋体" w:cs="宋体"/>
          <w:spacing w:val="-1"/>
          <w:sz w:val="21"/>
          <w:szCs w:val="21"/>
        </w:rPr>
        <w:t>标确定暂估价供应</w:t>
      </w:r>
      <w:r>
        <w:rPr>
          <w:rFonts w:ascii="宋体" w:hAnsi="宋体" w:eastAsia="宋体" w:cs="宋体"/>
          <w:sz w:val="21"/>
          <w:szCs w:val="21"/>
        </w:rPr>
        <w:t xml:space="preserve">商或分包人的，承包人应按照施工进度计划，在招标工作启动前 </w:t>
      </w:r>
      <w:r>
        <w:rPr>
          <w:rFonts w:ascii="Times New Roman" w:hAnsi="Times New Roman" w:eastAsia="Times New Roman" w:cs="Times New Roman"/>
          <w:sz w:val="21"/>
          <w:szCs w:val="21"/>
        </w:rPr>
        <w:t xml:space="preserve">14  </w:t>
      </w:r>
      <w:r>
        <w:rPr>
          <w:rFonts w:ascii="宋体" w:hAnsi="宋体" w:eastAsia="宋体" w:cs="宋体"/>
          <w:sz w:val="21"/>
          <w:szCs w:val="21"/>
        </w:rPr>
        <w:t>天通知发包人，并</w:t>
      </w:r>
      <w:r>
        <w:rPr>
          <w:rFonts w:ascii="宋体" w:hAnsi="宋体" w:eastAsia="宋体" w:cs="宋体"/>
          <w:spacing w:val="-1"/>
          <w:sz w:val="21"/>
          <w:szCs w:val="21"/>
        </w:rPr>
        <w:t>提交暂估</w:t>
      </w:r>
      <w:r>
        <w:rPr>
          <w:rFonts w:ascii="宋体" w:hAnsi="宋体" w:eastAsia="宋体" w:cs="宋体"/>
          <w:sz w:val="21"/>
          <w:szCs w:val="21"/>
        </w:rPr>
        <w:t>价招标方案和工作分工。发包人应在收到后</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天内确认。确定中标</w:t>
      </w:r>
      <w:r>
        <w:rPr>
          <w:rFonts w:ascii="宋体" w:hAnsi="宋体" w:eastAsia="宋体" w:cs="宋体"/>
          <w:spacing w:val="-1"/>
          <w:sz w:val="21"/>
          <w:szCs w:val="21"/>
        </w:rPr>
        <w:t>人后，由发包人、承包人与中标人共同签订暂估价合同。</w:t>
      </w:r>
    </w:p>
    <w:p w14:paraId="6613ED73">
      <w:pPr>
        <w:spacing w:before="20" w:line="233"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10.7.2 </w:t>
      </w:r>
      <w:r>
        <w:rPr>
          <w:rFonts w:ascii="宋体" w:hAnsi="宋体" w:eastAsia="宋体" w:cs="宋体"/>
          <w:spacing w:val="-1"/>
          <w:sz w:val="21"/>
          <w:szCs w:val="21"/>
        </w:rPr>
        <w:t>不属于依法必须招标的暂估价项目</w:t>
      </w:r>
    </w:p>
    <w:p w14:paraId="4EA9F9CF">
      <w:pPr>
        <w:spacing w:before="136" w:line="345" w:lineRule="auto"/>
        <w:ind w:right="158" w:firstLine="432"/>
        <w:rPr>
          <w:rFonts w:ascii="宋体" w:hAnsi="宋体" w:eastAsia="宋体" w:cs="宋体"/>
          <w:sz w:val="21"/>
          <w:szCs w:val="21"/>
        </w:rPr>
      </w:pPr>
      <w:r>
        <w:rPr>
          <w:rFonts w:ascii="宋体" w:hAnsi="宋体" w:eastAsia="宋体" w:cs="宋体"/>
          <w:spacing w:val="-1"/>
          <w:sz w:val="21"/>
          <w:szCs w:val="21"/>
        </w:rPr>
        <w:t>除专用合同条款另有约定外，对于不属于依法必须招标的暂估价项目，采取以下第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种方式</w:t>
      </w:r>
      <w:r>
        <w:rPr>
          <w:rFonts w:ascii="宋体" w:hAnsi="宋体" w:eastAsia="宋体" w:cs="宋体"/>
          <w:spacing w:val="-12"/>
          <w:sz w:val="21"/>
          <w:szCs w:val="21"/>
        </w:rPr>
        <w:t>确定：</w:t>
      </w:r>
    </w:p>
    <w:p w14:paraId="12FF061E">
      <w:pPr>
        <w:spacing w:before="14" w:line="233" w:lineRule="auto"/>
        <w:ind w:left="420"/>
        <w:rPr>
          <w:rFonts w:ascii="宋体" w:hAnsi="宋体" w:eastAsia="宋体" w:cs="宋体"/>
          <w:sz w:val="21"/>
          <w:szCs w:val="21"/>
        </w:rPr>
      </w:pPr>
      <w:r>
        <w:rPr>
          <w:rFonts w:ascii="宋体" w:hAnsi="宋体" w:eastAsia="宋体" w:cs="宋体"/>
          <w:spacing w:val="-1"/>
          <w:sz w:val="21"/>
          <w:szCs w:val="21"/>
        </w:rPr>
        <w:t>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种方式：对于不属于依法必须招标的暂</w:t>
      </w:r>
      <w:r>
        <w:rPr>
          <w:rFonts w:ascii="宋体" w:hAnsi="宋体" w:eastAsia="宋体" w:cs="宋体"/>
          <w:spacing w:val="-2"/>
          <w:sz w:val="21"/>
          <w:szCs w:val="21"/>
        </w:rPr>
        <w:t>估价项目，按本项约定确认和批准：</w:t>
      </w:r>
    </w:p>
    <w:p w14:paraId="08CBB418">
      <w:pPr>
        <w:spacing w:before="137" w:line="319" w:lineRule="auto"/>
        <w:ind w:left="1" w:right="158" w:firstLine="424"/>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）承包人应根据施工进度计划，在签订暂估价项目的采购</w:t>
      </w:r>
      <w:r>
        <w:rPr>
          <w:rFonts w:ascii="宋体" w:hAnsi="宋体" w:eastAsia="宋体" w:cs="宋体"/>
          <w:spacing w:val="-1"/>
          <w:sz w:val="21"/>
          <w:szCs w:val="21"/>
        </w:rPr>
        <w:t>合同、分包合同前</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天向监理</w:t>
      </w:r>
      <w:r>
        <w:rPr>
          <w:rFonts w:ascii="宋体" w:hAnsi="宋体" w:eastAsia="宋体" w:cs="宋体"/>
          <w:spacing w:val="-2"/>
          <w:sz w:val="21"/>
          <w:szCs w:val="21"/>
        </w:rPr>
        <w:t xml:space="preserve">人提出书面申请。监理人应当在收到申请后 </w:t>
      </w:r>
      <w:r>
        <w:rPr>
          <w:rFonts w:ascii="Times New Roman" w:hAnsi="Times New Roman" w:eastAsia="Times New Roman" w:cs="Times New Roman"/>
          <w:spacing w:val="-2"/>
          <w:sz w:val="21"/>
          <w:szCs w:val="21"/>
        </w:rPr>
        <w:t>3</w:t>
      </w:r>
      <w:r>
        <w:rPr>
          <w:rFonts w:ascii="Times New Roman" w:hAnsi="Times New Roman" w:eastAsia="Times New Roman" w:cs="Times New Roman"/>
          <w:spacing w:val="46"/>
          <w:w w:val="101"/>
          <w:sz w:val="21"/>
          <w:szCs w:val="21"/>
        </w:rPr>
        <w:t xml:space="preserve"> </w:t>
      </w:r>
      <w:r>
        <w:rPr>
          <w:rFonts w:ascii="宋体" w:hAnsi="宋体" w:eastAsia="宋体" w:cs="宋体"/>
          <w:spacing w:val="-2"/>
          <w:sz w:val="21"/>
          <w:szCs w:val="21"/>
        </w:rPr>
        <w:t xml:space="preserve">天内报送发包人，发包人应当在收到申请后 </w:t>
      </w:r>
      <w:r>
        <w:rPr>
          <w:rFonts w:ascii="Times New Roman" w:hAnsi="Times New Roman" w:eastAsia="Times New Roman" w:cs="Times New Roman"/>
          <w:spacing w:val="-2"/>
          <w:sz w:val="21"/>
          <w:szCs w:val="21"/>
        </w:rPr>
        <w:t>14</w:t>
      </w:r>
      <w:r>
        <w:rPr>
          <w:rFonts w:ascii="Times New Roman" w:hAnsi="Times New Roman" w:eastAsia="Times New Roman" w:cs="Times New Roman"/>
          <w:spacing w:val="36"/>
          <w:w w:val="101"/>
          <w:sz w:val="21"/>
          <w:szCs w:val="21"/>
        </w:rPr>
        <w:t xml:space="preserve"> </w:t>
      </w:r>
      <w:r>
        <w:rPr>
          <w:rFonts w:ascii="宋体" w:hAnsi="宋体" w:eastAsia="宋体" w:cs="宋体"/>
          <w:spacing w:val="-2"/>
          <w:sz w:val="21"/>
          <w:szCs w:val="21"/>
        </w:rPr>
        <w:t>天</w:t>
      </w:r>
      <w:r>
        <w:rPr>
          <w:rFonts w:ascii="宋体" w:hAnsi="宋体" w:eastAsia="宋体" w:cs="宋体"/>
          <w:sz w:val="21"/>
          <w:szCs w:val="21"/>
        </w:rPr>
        <w:t>内给予批准或提出修改意见，发包人逾期未予批准或提出修改意见的，视为该书面申</w:t>
      </w:r>
      <w:r>
        <w:rPr>
          <w:rFonts w:ascii="宋体" w:hAnsi="宋体" w:eastAsia="宋体" w:cs="宋体"/>
          <w:spacing w:val="-1"/>
          <w:sz w:val="21"/>
          <w:szCs w:val="21"/>
        </w:rPr>
        <w:t>请已获得同</w:t>
      </w:r>
      <w:r>
        <w:rPr>
          <w:rFonts w:ascii="宋体" w:hAnsi="宋体" w:eastAsia="宋体" w:cs="宋体"/>
          <w:spacing w:val="-15"/>
          <w:sz w:val="21"/>
          <w:szCs w:val="21"/>
        </w:rPr>
        <w:t>意；</w:t>
      </w:r>
    </w:p>
    <w:p w14:paraId="44DE79D9">
      <w:pPr>
        <w:spacing w:before="148" w:line="286" w:lineRule="auto"/>
        <w:ind w:left="23" w:right="176" w:firstLine="402"/>
        <w:rPr>
          <w:rFonts w:ascii="Times New Roman" w:hAnsi="Times New Roman" w:eastAsia="Times New Roman" w:cs="Times New Roman"/>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）发包人认为承包人确定的供应商、分包人无法满足工程质量或合同要求的，发包</w:t>
      </w:r>
      <w:r>
        <w:rPr>
          <w:rFonts w:ascii="宋体" w:hAnsi="宋体" w:eastAsia="宋体" w:cs="宋体"/>
          <w:spacing w:val="1"/>
          <w:sz w:val="21"/>
          <w:szCs w:val="21"/>
        </w:rPr>
        <w:t>人可</w:t>
      </w:r>
      <w:r>
        <w:rPr>
          <w:rFonts w:ascii="宋体" w:hAnsi="宋体" w:eastAsia="宋体" w:cs="宋体"/>
          <w:spacing w:val="-1"/>
          <w:sz w:val="21"/>
          <w:szCs w:val="21"/>
        </w:rPr>
        <w:t>以要求承包人重新确定暂估价项目的供应商</w:t>
      </w:r>
      <w:r>
        <w:rPr>
          <w:rFonts w:ascii="宋体" w:hAnsi="宋体" w:eastAsia="宋体" w:cs="宋体"/>
          <w:spacing w:val="-2"/>
          <w:sz w:val="21"/>
          <w:szCs w:val="21"/>
        </w:rPr>
        <w:t>、分包人</w:t>
      </w:r>
      <w:r>
        <w:rPr>
          <w:rFonts w:ascii="Times New Roman" w:hAnsi="Times New Roman" w:eastAsia="Times New Roman" w:cs="Times New Roman"/>
          <w:spacing w:val="-2"/>
          <w:sz w:val="21"/>
          <w:szCs w:val="21"/>
        </w:rPr>
        <w:t>;</w:t>
      </w:r>
    </w:p>
    <w:p w14:paraId="4862B344">
      <w:pPr>
        <w:spacing w:before="148" w:line="233"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）承包人应当在签订暂估价合同后</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天内，将暂估价合同副本报送发包人留存。</w:t>
      </w:r>
    </w:p>
    <w:p w14:paraId="2817FB50">
      <w:pPr>
        <w:spacing w:before="135" w:line="342" w:lineRule="auto"/>
        <w:ind w:left="6" w:right="158" w:firstLine="413"/>
        <w:rPr>
          <w:rFonts w:ascii="宋体" w:hAnsi="宋体" w:eastAsia="宋体" w:cs="宋体"/>
          <w:sz w:val="21"/>
          <w:szCs w:val="21"/>
        </w:rPr>
      </w:pPr>
      <w:r>
        <w:rPr>
          <w:rFonts w:ascii="宋体" w:hAnsi="宋体" w:eastAsia="宋体" w:cs="宋体"/>
          <w:spacing w:val="-1"/>
          <w:sz w:val="21"/>
          <w:szCs w:val="21"/>
        </w:rPr>
        <w:t>第</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种方式：承包人按照第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10.7.1 </w:t>
      </w:r>
      <w:r>
        <w:rPr>
          <w:rFonts w:ascii="宋体" w:hAnsi="宋体" w:eastAsia="宋体" w:cs="宋体"/>
          <w:spacing w:val="-1"/>
          <w:sz w:val="21"/>
          <w:szCs w:val="21"/>
        </w:rPr>
        <w:t>项〔依法必须招标的暂估价项</w:t>
      </w:r>
      <w:r>
        <w:rPr>
          <w:rFonts w:ascii="宋体" w:hAnsi="宋体" w:eastAsia="宋体" w:cs="宋体"/>
          <w:spacing w:val="-2"/>
          <w:sz w:val="21"/>
          <w:szCs w:val="21"/>
        </w:rPr>
        <w:t>目〕约定的第</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种方式确定暂估价项目。</w:t>
      </w:r>
    </w:p>
    <w:p w14:paraId="7E5E5C78">
      <w:pPr>
        <w:spacing w:before="22" w:line="233" w:lineRule="auto"/>
        <w:ind w:left="420"/>
        <w:rPr>
          <w:rFonts w:ascii="宋体" w:hAnsi="宋体" w:eastAsia="宋体" w:cs="宋体"/>
          <w:sz w:val="21"/>
          <w:szCs w:val="21"/>
        </w:rPr>
      </w:pPr>
      <w:r>
        <w:rPr>
          <w:rFonts w:ascii="宋体" w:hAnsi="宋体" w:eastAsia="宋体" w:cs="宋体"/>
          <w:spacing w:val="-1"/>
          <w:sz w:val="21"/>
          <w:szCs w:val="21"/>
        </w:rPr>
        <w:t>第</w:t>
      </w:r>
      <w:r>
        <w:rPr>
          <w:rFonts w:ascii="宋体" w:hAnsi="宋体" w:eastAsia="宋体" w:cs="宋体"/>
          <w:spacing w:val="-37"/>
          <w:sz w:val="21"/>
          <w:szCs w:val="21"/>
        </w:rPr>
        <w:t xml:space="preserve"> </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种方式：承包人直接实施的暂估价项目</w:t>
      </w:r>
    </w:p>
    <w:p w14:paraId="66EE01E5">
      <w:pPr>
        <w:spacing w:before="136" w:line="351" w:lineRule="auto"/>
        <w:ind w:left="3" w:right="158" w:firstLine="416"/>
        <w:rPr>
          <w:rFonts w:ascii="宋体" w:hAnsi="宋体" w:eastAsia="宋体" w:cs="宋体"/>
          <w:sz w:val="21"/>
          <w:szCs w:val="21"/>
        </w:rPr>
      </w:pPr>
      <w:r>
        <w:rPr>
          <w:rFonts w:ascii="宋体" w:hAnsi="宋体" w:eastAsia="宋体" w:cs="宋体"/>
          <w:sz w:val="21"/>
          <w:szCs w:val="21"/>
        </w:rPr>
        <w:t>承包人具备实施暂估价项目的资格和条件的，经发包人和承包人协商一致后，可由</w:t>
      </w:r>
      <w:r>
        <w:rPr>
          <w:rFonts w:ascii="宋体" w:hAnsi="宋体" w:eastAsia="宋体" w:cs="宋体"/>
          <w:spacing w:val="-1"/>
          <w:sz w:val="21"/>
          <w:szCs w:val="21"/>
        </w:rPr>
        <w:t>承包人自</w:t>
      </w:r>
      <w:r>
        <w:rPr>
          <w:rFonts w:ascii="宋体" w:hAnsi="宋体" w:eastAsia="宋体" w:cs="宋体"/>
          <w:sz w:val="21"/>
          <w:szCs w:val="21"/>
        </w:rPr>
        <w:t>行实施暂估价项目，合同当事人可以在专用合同条款约</w:t>
      </w:r>
      <w:r>
        <w:rPr>
          <w:rFonts w:ascii="宋体" w:hAnsi="宋体" w:eastAsia="宋体" w:cs="宋体"/>
          <w:spacing w:val="-1"/>
          <w:sz w:val="21"/>
          <w:szCs w:val="21"/>
        </w:rPr>
        <w:t>定具体事项。</w:t>
      </w:r>
    </w:p>
    <w:p w14:paraId="330D3C31">
      <w:pPr>
        <w:spacing w:before="2" w:line="344" w:lineRule="auto"/>
        <w:ind w:left="2" w:right="158" w:firstLine="433"/>
        <w:jc w:val="both"/>
        <w:rPr>
          <w:rFonts w:ascii="宋体" w:hAnsi="宋体" w:eastAsia="宋体" w:cs="宋体"/>
          <w:sz w:val="21"/>
          <w:szCs w:val="21"/>
        </w:rPr>
      </w:pPr>
      <w:r>
        <w:rPr>
          <w:rFonts w:ascii="Times New Roman" w:hAnsi="Times New Roman" w:eastAsia="Times New Roman" w:cs="Times New Roman"/>
          <w:sz w:val="21"/>
          <w:szCs w:val="21"/>
        </w:rPr>
        <w:t xml:space="preserve">10.7.3  </w:t>
      </w:r>
      <w:r>
        <w:rPr>
          <w:rFonts w:ascii="宋体" w:hAnsi="宋体" w:eastAsia="宋体" w:cs="宋体"/>
          <w:sz w:val="21"/>
          <w:szCs w:val="21"/>
        </w:rPr>
        <w:t>因发包人原因导致暂估价合同订立和履</w:t>
      </w:r>
      <w:r>
        <w:rPr>
          <w:rFonts w:ascii="宋体" w:hAnsi="宋体" w:eastAsia="宋体" w:cs="宋体"/>
          <w:spacing w:val="-1"/>
          <w:sz w:val="21"/>
          <w:szCs w:val="21"/>
        </w:rPr>
        <w:t>行迟延的，由此增加的费用和（或）延误的工</w:t>
      </w:r>
      <w:r>
        <w:rPr>
          <w:rFonts w:ascii="宋体" w:hAnsi="宋体" w:eastAsia="宋体" w:cs="宋体"/>
          <w:sz w:val="21"/>
          <w:szCs w:val="21"/>
        </w:rPr>
        <w:t>期由发包人承担，并支付承包人合理的利润。因承包人原因导致暂估价合同订立和</w:t>
      </w:r>
      <w:r>
        <w:rPr>
          <w:rFonts w:ascii="宋体" w:hAnsi="宋体" w:eastAsia="宋体" w:cs="宋体"/>
          <w:spacing w:val="-1"/>
          <w:sz w:val="21"/>
          <w:szCs w:val="21"/>
        </w:rPr>
        <w:t>履行迟延的，由此增加的费用和（或）延误的工期由承包人承担。</w:t>
      </w:r>
    </w:p>
    <w:p w14:paraId="7FAD49E8">
      <w:pPr>
        <w:spacing w:before="1" w:line="232" w:lineRule="auto"/>
        <w:ind w:left="7"/>
        <w:outlineLvl w:val="1"/>
        <w:rPr>
          <w:rFonts w:ascii="黑体" w:hAnsi="黑体" w:eastAsia="黑体" w:cs="黑体"/>
          <w:sz w:val="24"/>
          <w:szCs w:val="24"/>
        </w:rPr>
      </w:pPr>
      <w:bookmarkStart w:id="299" w:name="bookmark226"/>
      <w:bookmarkEnd w:id="299"/>
      <w:r>
        <w:rPr>
          <w:rFonts w:ascii="Times New Roman" w:hAnsi="Times New Roman" w:eastAsia="Times New Roman" w:cs="Times New Roman"/>
          <w:b/>
          <w:bCs/>
          <w:spacing w:val="-5"/>
          <w:sz w:val="24"/>
          <w:szCs w:val="24"/>
        </w:rPr>
        <w:t>10.8</w:t>
      </w:r>
      <w:r>
        <w:rPr>
          <w:rFonts w:ascii="Times New Roman" w:hAnsi="Times New Roman" w:eastAsia="Times New Roman" w:cs="Times New Roman"/>
          <w:b/>
          <w:bCs/>
          <w:spacing w:val="17"/>
          <w:w w:val="101"/>
          <w:sz w:val="24"/>
          <w:szCs w:val="24"/>
        </w:rPr>
        <w:t xml:space="preserve"> </w:t>
      </w:r>
      <w:r>
        <w:rPr>
          <w:rFonts w:ascii="黑体" w:hAnsi="黑体" w:eastAsia="黑体" w:cs="黑体"/>
          <w:b/>
          <w:bCs/>
          <w:spacing w:val="-5"/>
          <w:sz w:val="24"/>
          <w:szCs w:val="24"/>
        </w:rPr>
        <w:t>暂列金额</w:t>
      </w:r>
    </w:p>
    <w:p w14:paraId="0C8D71A4">
      <w:pPr>
        <w:spacing w:before="124" w:line="340" w:lineRule="auto"/>
        <w:ind w:left="1" w:right="158" w:firstLine="424"/>
        <w:rPr>
          <w:rFonts w:ascii="宋体" w:hAnsi="宋体" w:eastAsia="宋体" w:cs="宋体"/>
          <w:sz w:val="21"/>
          <w:szCs w:val="21"/>
        </w:rPr>
      </w:pPr>
      <w:r>
        <w:rPr>
          <w:rFonts w:ascii="宋体" w:hAnsi="宋体" w:eastAsia="宋体" w:cs="宋体"/>
          <w:sz w:val="21"/>
          <w:szCs w:val="21"/>
        </w:rPr>
        <w:t>暂列金额应按照发包人的要求使用，发包人的要求应通过监理人发出</w:t>
      </w:r>
      <w:r>
        <w:rPr>
          <w:rFonts w:ascii="宋体" w:hAnsi="宋体" w:eastAsia="宋体" w:cs="宋体"/>
          <w:spacing w:val="-1"/>
          <w:sz w:val="21"/>
          <w:szCs w:val="21"/>
        </w:rPr>
        <w:t>。合同当事人可以在专用合同条款中协商确定有关事项。</w:t>
      </w:r>
    </w:p>
    <w:p w14:paraId="313C9F26">
      <w:pPr>
        <w:spacing w:before="1" w:line="235" w:lineRule="auto"/>
        <w:ind w:left="7"/>
        <w:outlineLvl w:val="1"/>
        <w:rPr>
          <w:rFonts w:ascii="黑体" w:hAnsi="黑体" w:eastAsia="黑体" w:cs="黑体"/>
          <w:sz w:val="24"/>
          <w:szCs w:val="24"/>
        </w:rPr>
      </w:pPr>
      <w:bookmarkStart w:id="300" w:name="bookmark227"/>
      <w:bookmarkEnd w:id="300"/>
      <w:r>
        <w:rPr>
          <w:rFonts w:ascii="Times New Roman" w:hAnsi="Times New Roman" w:eastAsia="Times New Roman" w:cs="Times New Roman"/>
          <w:b/>
          <w:bCs/>
          <w:spacing w:val="-5"/>
          <w:sz w:val="24"/>
          <w:szCs w:val="24"/>
        </w:rPr>
        <w:t>10.9</w:t>
      </w:r>
      <w:r>
        <w:rPr>
          <w:rFonts w:ascii="Times New Roman" w:hAnsi="Times New Roman" w:eastAsia="Times New Roman" w:cs="Times New Roman"/>
          <w:b/>
          <w:bCs/>
          <w:spacing w:val="12"/>
          <w:sz w:val="24"/>
          <w:szCs w:val="24"/>
        </w:rPr>
        <w:t xml:space="preserve"> </w:t>
      </w:r>
      <w:r>
        <w:rPr>
          <w:rFonts w:ascii="黑体" w:hAnsi="黑体" w:eastAsia="黑体" w:cs="黑体"/>
          <w:b/>
          <w:bCs/>
          <w:spacing w:val="-5"/>
          <w:sz w:val="24"/>
          <w:szCs w:val="24"/>
        </w:rPr>
        <w:t>计日工</w:t>
      </w:r>
    </w:p>
    <w:p w14:paraId="13DE9ED1">
      <w:pPr>
        <w:spacing w:before="121" w:line="351" w:lineRule="auto"/>
        <w:ind w:right="158" w:firstLine="431"/>
        <w:jc w:val="both"/>
        <w:rPr>
          <w:rFonts w:ascii="宋体" w:hAnsi="宋体" w:eastAsia="宋体" w:cs="宋体"/>
          <w:sz w:val="21"/>
          <w:szCs w:val="21"/>
        </w:rPr>
      </w:pPr>
      <w:r>
        <w:rPr>
          <w:rFonts w:ascii="宋体" w:hAnsi="宋体" w:eastAsia="宋体" w:cs="宋体"/>
          <w:sz w:val="21"/>
          <w:szCs w:val="21"/>
        </w:rPr>
        <w:t>需要采用计日工方式的，经发包人同意后，由监理人通知</w:t>
      </w:r>
      <w:r>
        <w:rPr>
          <w:rFonts w:ascii="宋体" w:hAnsi="宋体" w:eastAsia="宋体" w:cs="宋体"/>
          <w:spacing w:val="-1"/>
          <w:sz w:val="21"/>
          <w:szCs w:val="21"/>
        </w:rPr>
        <w:t>承包人以计日工计价方式实施相应</w:t>
      </w:r>
      <w:r>
        <w:rPr>
          <w:rFonts w:ascii="宋体" w:hAnsi="宋体" w:eastAsia="宋体" w:cs="宋体"/>
          <w:sz w:val="21"/>
          <w:szCs w:val="21"/>
        </w:rPr>
        <w:t>的工作，其价款按列入已标价工程量清单或预算书中的计日工计价项目及其单价进行计算</w:t>
      </w:r>
      <w:r>
        <w:rPr>
          <w:rFonts w:ascii="宋体" w:hAnsi="宋体" w:eastAsia="宋体" w:cs="宋体"/>
          <w:spacing w:val="-1"/>
          <w:sz w:val="21"/>
          <w:szCs w:val="21"/>
        </w:rPr>
        <w:t>；已标</w:t>
      </w:r>
      <w:r>
        <w:rPr>
          <w:rFonts w:ascii="宋体" w:hAnsi="宋体" w:eastAsia="宋体" w:cs="宋体"/>
          <w:sz w:val="21"/>
          <w:szCs w:val="21"/>
        </w:rPr>
        <w:t>价工程量清单或预算书中无相应的计日工单价的，按照合理的成本与利润构成的原则，由</w:t>
      </w:r>
      <w:r>
        <w:rPr>
          <w:rFonts w:ascii="宋体" w:hAnsi="宋体" w:eastAsia="宋体" w:cs="宋体"/>
          <w:spacing w:val="-1"/>
          <w:sz w:val="21"/>
          <w:szCs w:val="21"/>
        </w:rPr>
        <w:t>合同当事人按照第</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4.4 </w:t>
      </w:r>
      <w:r>
        <w:rPr>
          <w:rFonts w:ascii="宋体" w:hAnsi="宋体" w:eastAsia="宋体" w:cs="宋体"/>
          <w:spacing w:val="-1"/>
          <w:sz w:val="21"/>
          <w:szCs w:val="21"/>
        </w:rPr>
        <w:t>款〔商定或确定〕确定计日工的单价。</w:t>
      </w:r>
    </w:p>
    <w:p w14:paraId="34E728D1">
      <w:pPr>
        <w:spacing w:before="1" w:line="354" w:lineRule="auto"/>
        <w:ind w:left="3" w:right="158" w:firstLine="415"/>
        <w:rPr>
          <w:rFonts w:ascii="宋体" w:hAnsi="宋体" w:eastAsia="宋体" w:cs="宋体"/>
          <w:sz w:val="21"/>
          <w:szCs w:val="21"/>
        </w:rPr>
      </w:pPr>
      <w:r>
        <w:rPr>
          <w:rFonts w:ascii="宋体" w:hAnsi="宋体" w:eastAsia="宋体" w:cs="宋体"/>
          <w:sz w:val="21"/>
          <w:szCs w:val="21"/>
        </w:rPr>
        <w:t>采用计日工计价的任何一项工作，承包人应在该项工作实施过程中，每天提交以下报</w:t>
      </w:r>
      <w:r>
        <w:rPr>
          <w:rFonts w:ascii="宋体" w:hAnsi="宋体" w:eastAsia="宋体" w:cs="宋体"/>
          <w:spacing w:val="-1"/>
          <w:sz w:val="21"/>
          <w:szCs w:val="21"/>
        </w:rPr>
        <w:t>表和有</w:t>
      </w:r>
      <w:r>
        <w:rPr>
          <w:rFonts w:ascii="宋体" w:hAnsi="宋体" w:eastAsia="宋体" w:cs="宋体"/>
          <w:spacing w:val="-3"/>
          <w:sz w:val="21"/>
          <w:szCs w:val="21"/>
        </w:rPr>
        <w:t>关凭证报送监理人审查：</w:t>
      </w:r>
    </w:p>
    <w:p w14:paraId="26AB9801">
      <w:pPr>
        <w:spacing w:line="354" w:lineRule="auto"/>
        <w:rPr>
          <w:rFonts w:ascii="宋体" w:hAnsi="宋体" w:eastAsia="宋体" w:cs="宋体"/>
          <w:sz w:val="21"/>
          <w:szCs w:val="21"/>
        </w:rPr>
        <w:sectPr>
          <w:footerReference r:id="rId114" w:type="default"/>
          <w:pgSz w:w="11905" w:h="16843"/>
          <w:pgMar w:top="969" w:right="1355" w:bottom="1026" w:left="1480" w:header="0" w:footer="754" w:gutter="0"/>
          <w:cols w:space="0" w:num="1"/>
          <w:rtlGutter w:val="0"/>
          <w:docGrid w:linePitch="0" w:charSpace="0"/>
        </w:sectPr>
      </w:pPr>
    </w:p>
    <w:p w14:paraId="3C1E6F36">
      <w:pPr>
        <w:pStyle w:val="5"/>
        <w:spacing w:line="270" w:lineRule="auto"/>
      </w:pPr>
    </w:p>
    <w:p w14:paraId="7FFC4B21">
      <w:pPr>
        <w:pStyle w:val="5"/>
        <w:spacing w:line="270" w:lineRule="auto"/>
      </w:pPr>
    </w:p>
    <w:p w14:paraId="4AAD8CFE">
      <w:pPr>
        <w:pStyle w:val="5"/>
        <w:spacing w:line="271" w:lineRule="auto"/>
      </w:pPr>
    </w:p>
    <w:p w14:paraId="52F02DD8">
      <w:pPr>
        <w:pStyle w:val="5"/>
        <w:spacing w:line="271" w:lineRule="auto"/>
      </w:pPr>
    </w:p>
    <w:p w14:paraId="205C0DC6">
      <w:pPr>
        <w:spacing w:before="68" w:line="234" w:lineRule="auto"/>
        <w:ind w:left="425"/>
        <w:rPr>
          <w:rFonts w:ascii="宋体" w:hAnsi="宋体" w:eastAsia="宋体" w:cs="宋体"/>
          <w:sz w:val="21"/>
          <w:szCs w:val="21"/>
        </w:rPr>
      </w:pPr>
      <w:bookmarkStart w:id="301" w:name="bookmark566"/>
      <w:bookmarkEnd w:id="301"/>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）工作名称、内容和数量；</w:t>
      </w:r>
    </w:p>
    <w:p w14:paraId="7B058E8A">
      <w:pPr>
        <w:spacing w:before="134" w:line="234" w:lineRule="auto"/>
        <w:ind w:left="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）投入该工作的所有人员的姓名、专业、</w:t>
      </w:r>
      <w:r>
        <w:rPr>
          <w:rFonts w:ascii="宋体" w:hAnsi="宋体" w:eastAsia="宋体" w:cs="宋体"/>
          <w:spacing w:val="-1"/>
          <w:sz w:val="21"/>
          <w:szCs w:val="21"/>
        </w:rPr>
        <w:t>工种、级别和耗用工时；</w:t>
      </w:r>
    </w:p>
    <w:p w14:paraId="0DB01D4C">
      <w:pPr>
        <w:spacing w:before="133" w:line="234" w:lineRule="auto"/>
        <w:ind w:left="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）投入该工作的材料类别和数量；</w:t>
      </w:r>
    </w:p>
    <w:p w14:paraId="39016C4B">
      <w:pPr>
        <w:spacing w:before="133" w:line="234" w:lineRule="auto"/>
        <w:ind w:left="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）投入该工作的施工设备型号、台数和耗用台时；</w:t>
      </w:r>
    </w:p>
    <w:p w14:paraId="4E872B7D">
      <w:pPr>
        <w:spacing w:before="134" w:line="234" w:lineRule="auto"/>
        <w:ind w:left="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）其他有关资料和凭证。</w:t>
      </w:r>
    </w:p>
    <w:p w14:paraId="6EB0AC25">
      <w:pPr>
        <w:spacing w:before="135" w:line="352" w:lineRule="auto"/>
        <w:ind w:left="3" w:right="188" w:firstLine="521"/>
        <w:rPr>
          <w:rFonts w:ascii="宋体" w:hAnsi="宋体" w:eastAsia="宋体" w:cs="宋体"/>
          <w:sz w:val="21"/>
          <w:szCs w:val="21"/>
        </w:rPr>
      </w:pPr>
      <w:r>
        <w:rPr>
          <w:rFonts w:ascii="宋体" w:hAnsi="宋体" w:eastAsia="宋体" w:cs="宋体"/>
          <w:spacing w:val="2"/>
          <w:sz w:val="21"/>
          <w:szCs w:val="21"/>
        </w:rPr>
        <w:t>计日工由承包人汇总后，列入最近一期进度付款申请单，由监理人审查并经发包人批准后</w:t>
      </w:r>
      <w:r>
        <w:rPr>
          <w:rFonts w:ascii="宋体" w:hAnsi="宋体" w:eastAsia="宋体" w:cs="宋体"/>
          <w:spacing w:val="-4"/>
          <w:sz w:val="21"/>
          <w:szCs w:val="21"/>
        </w:rPr>
        <w:t>列入进度付款。</w:t>
      </w:r>
    </w:p>
    <w:p w14:paraId="37EBF5BF">
      <w:pPr>
        <w:spacing w:before="36" w:line="233" w:lineRule="auto"/>
        <w:ind w:left="9"/>
        <w:outlineLvl w:val="0"/>
        <w:rPr>
          <w:rFonts w:ascii="黑体" w:hAnsi="黑体" w:eastAsia="黑体" w:cs="黑体"/>
          <w:sz w:val="28"/>
          <w:szCs w:val="28"/>
        </w:rPr>
      </w:pPr>
      <w:bookmarkStart w:id="302" w:name="bookmark228"/>
      <w:bookmarkEnd w:id="302"/>
      <w:r>
        <w:rPr>
          <w:rFonts w:ascii="Times New Roman" w:hAnsi="Times New Roman" w:eastAsia="Times New Roman" w:cs="Times New Roman"/>
          <w:b/>
          <w:bCs/>
          <w:spacing w:val="-5"/>
          <w:sz w:val="28"/>
          <w:szCs w:val="28"/>
        </w:rPr>
        <w:t xml:space="preserve">11.  </w:t>
      </w:r>
      <w:r>
        <w:rPr>
          <w:rFonts w:ascii="黑体" w:hAnsi="黑体" w:eastAsia="黑体" w:cs="黑体"/>
          <w:b/>
          <w:bCs/>
          <w:spacing w:val="-5"/>
          <w:sz w:val="28"/>
          <w:szCs w:val="28"/>
        </w:rPr>
        <w:t>价格调整</w:t>
      </w:r>
    </w:p>
    <w:p w14:paraId="241C2F74">
      <w:pPr>
        <w:spacing w:before="83" w:line="233" w:lineRule="auto"/>
        <w:ind w:left="6"/>
        <w:outlineLvl w:val="1"/>
        <w:rPr>
          <w:rFonts w:ascii="黑体" w:hAnsi="黑体" w:eastAsia="黑体" w:cs="黑体"/>
          <w:sz w:val="24"/>
          <w:szCs w:val="24"/>
        </w:rPr>
      </w:pPr>
      <w:bookmarkStart w:id="303" w:name="bookmark229"/>
      <w:bookmarkEnd w:id="303"/>
      <w:r>
        <w:rPr>
          <w:rFonts w:ascii="Times New Roman" w:hAnsi="Times New Roman" w:eastAsia="Times New Roman" w:cs="Times New Roman"/>
          <w:b/>
          <w:bCs/>
          <w:spacing w:val="-3"/>
          <w:sz w:val="24"/>
          <w:szCs w:val="24"/>
        </w:rPr>
        <w:t xml:space="preserve">11.1 </w:t>
      </w:r>
      <w:r>
        <w:rPr>
          <w:rFonts w:ascii="黑体" w:hAnsi="黑体" w:eastAsia="黑体" w:cs="黑体"/>
          <w:b/>
          <w:bCs/>
          <w:spacing w:val="-3"/>
          <w:sz w:val="24"/>
          <w:szCs w:val="24"/>
        </w:rPr>
        <w:t>市场价格波动引起的调整</w:t>
      </w:r>
    </w:p>
    <w:p w14:paraId="2A4BEFBA">
      <w:pPr>
        <w:spacing w:before="124" w:line="351" w:lineRule="auto"/>
        <w:ind w:firstLine="431"/>
        <w:rPr>
          <w:rFonts w:ascii="宋体" w:hAnsi="宋体" w:eastAsia="宋体" w:cs="宋体"/>
          <w:sz w:val="21"/>
          <w:szCs w:val="21"/>
        </w:rPr>
      </w:pPr>
      <w:r>
        <w:rPr>
          <w:rFonts w:ascii="宋体" w:hAnsi="宋体" w:eastAsia="宋体" w:cs="宋体"/>
          <w:spacing w:val="-1"/>
          <w:sz w:val="21"/>
          <w:szCs w:val="21"/>
        </w:rPr>
        <w:t>除专用合同条款另有约定外，市场价格波动超过合同当事人约定的范围，合</w:t>
      </w:r>
      <w:r>
        <w:rPr>
          <w:rFonts w:ascii="宋体" w:hAnsi="宋体" w:eastAsia="宋体" w:cs="宋体"/>
          <w:spacing w:val="-2"/>
          <w:sz w:val="21"/>
          <w:szCs w:val="21"/>
        </w:rPr>
        <w:t>同价格应当调整。</w:t>
      </w:r>
      <w:r>
        <w:rPr>
          <w:rFonts w:ascii="宋体" w:hAnsi="宋体" w:eastAsia="宋体" w:cs="宋体"/>
          <w:spacing w:val="-1"/>
          <w:sz w:val="21"/>
          <w:szCs w:val="21"/>
        </w:rPr>
        <w:t>合同当事人可以在专用合同条款中约定选择以下一种方式对合同价格进行调整：</w:t>
      </w:r>
    </w:p>
    <w:p w14:paraId="558C0964">
      <w:pPr>
        <w:spacing w:line="233" w:lineRule="auto"/>
        <w:ind w:left="419"/>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7"/>
          <w:sz w:val="21"/>
          <w:szCs w:val="21"/>
        </w:rPr>
        <w:t xml:space="preserve"> </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种方式：采用价格指数进行价格调整。</w:t>
      </w:r>
    </w:p>
    <w:p w14:paraId="2788026C">
      <w:pPr>
        <w:spacing w:before="135" w:line="233" w:lineRule="auto"/>
        <w:ind w:left="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）价格调整公式</w:t>
      </w:r>
    </w:p>
    <w:p w14:paraId="070245F5">
      <w:pPr>
        <w:spacing w:before="136" w:line="336" w:lineRule="auto"/>
        <w:ind w:left="5" w:right="177" w:firstLine="429"/>
        <w:rPr>
          <w:rFonts w:ascii="宋体" w:hAnsi="宋体" w:eastAsia="宋体" w:cs="宋体"/>
          <w:sz w:val="21"/>
          <w:szCs w:val="21"/>
        </w:rPr>
      </w:pPr>
      <w:r>
        <w:rPr>
          <w:rFonts w:ascii="宋体" w:hAnsi="宋体" w:eastAsia="宋体" w:cs="宋体"/>
          <w:sz w:val="21"/>
          <w:szCs w:val="21"/>
        </w:rPr>
        <w:t>因人工、材料和设备等价格波动影响合同价格</w:t>
      </w:r>
      <w:r>
        <w:rPr>
          <w:rFonts w:ascii="宋体" w:hAnsi="宋体" w:eastAsia="宋体" w:cs="宋体"/>
          <w:spacing w:val="-1"/>
          <w:sz w:val="21"/>
          <w:szCs w:val="21"/>
        </w:rPr>
        <w:t>时，根据专用合同条款中约定的数据，按以下</w:t>
      </w:r>
      <w:r>
        <w:rPr>
          <w:rFonts w:ascii="宋体" w:hAnsi="宋体" w:eastAsia="宋体" w:cs="宋体"/>
          <w:spacing w:val="-4"/>
          <w:sz w:val="21"/>
          <w:szCs w:val="21"/>
        </w:rPr>
        <w:t>公式计算差额并调整合同价格：</w:t>
      </w:r>
    </w:p>
    <w:p w14:paraId="0C54A073">
      <w:pPr>
        <w:spacing w:line="720" w:lineRule="exact"/>
        <w:ind w:left="1082"/>
      </w:pPr>
      <w:r>
        <w:rPr>
          <w:position w:val="-14"/>
        </w:rPr>
        <w:drawing>
          <wp:inline distT="0" distB="0" distL="0" distR="0">
            <wp:extent cx="3867150" cy="4565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3"/>
                    <a:stretch>
                      <a:fillRect/>
                    </a:stretch>
                  </pic:blipFill>
                  <pic:spPr>
                    <a:xfrm>
                      <a:off x="0" y="0"/>
                      <a:ext cx="3867512" cy="457087"/>
                    </a:xfrm>
                    <a:prstGeom prst="rect">
                      <a:avLst/>
                    </a:prstGeom>
                  </pic:spPr>
                </pic:pic>
              </a:graphicData>
            </a:graphic>
          </wp:inline>
        </w:drawing>
      </w:r>
    </w:p>
    <w:p w14:paraId="0AF131F5">
      <w:pPr>
        <w:spacing w:before="251" w:line="219" w:lineRule="auto"/>
        <w:ind w:left="425"/>
        <w:rPr>
          <w:rFonts w:ascii="宋体" w:hAnsi="宋体" w:eastAsia="宋体" w:cs="宋体"/>
          <w:sz w:val="21"/>
          <w:szCs w:val="21"/>
        </w:rPr>
      </w:pPr>
      <w:r>
        <w:rPr>
          <w:rFonts w:ascii="宋体" w:hAnsi="宋体" w:eastAsia="宋体" w:cs="宋体"/>
          <w:spacing w:val="-2"/>
          <w:sz w:val="21"/>
          <w:szCs w:val="21"/>
        </w:rPr>
        <w:t xml:space="preserve">公式中：    </w:t>
      </w:r>
      <w:r>
        <w:rPr>
          <w:rFonts w:ascii="Times New Roman" w:hAnsi="Times New Roman" w:eastAsia="Times New Roman" w:cs="Times New Roman"/>
          <w:spacing w:val="-2"/>
          <w:sz w:val="21"/>
          <w:szCs w:val="21"/>
        </w:rPr>
        <w:t>ΔP——</w:t>
      </w:r>
      <w:r>
        <w:rPr>
          <w:rFonts w:ascii="宋体" w:hAnsi="宋体" w:eastAsia="宋体" w:cs="宋体"/>
          <w:spacing w:val="-2"/>
          <w:sz w:val="21"/>
          <w:szCs w:val="21"/>
        </w:rPr>
        <w:t>需调整的价格差额；</w:t>
      </w:r>
    </w:p>
    <w:p w14:paraId="2AA9E52A">
      <w:pPr>
        <w:spacing w:before="151" w:line="349" w:lineRule="auto"/>
        <w:ind w:left="2" w:right="177" w:firstLine="1777"/>
        <w:jc w:val="both"/>
        <w:rPr>
          <w:rFonts w:ascii="宋体" w:hAnsi="宋体" w:eastAsia="宋体" w:cs="宋体"/>
          <w:sz w:val="21"/>
          <w:szCs w:val="21"/>
        </w:rPr>
      </w:pPr>
      <w:r>
        <w:rPr>
          <w:rFonts w:ascii="Times New Roman" w:hAnsi="Times New Roman" w:eastAsia="Times New Roman" w:cs="Times New Roman"/>
          <w:spacing w:val="4"/>
          <w:sz w:val="21"/>
          <w:szCs w:val="21"/>
        </w:rPr>
        <w:t>P</w:t>
      </w:r>
      <w:r>
        <w:rPr>
          <w:rFonts w:ascii="Times New Roman" w:hAnsi="Times New Roman" w:eastAsia="Times New Roman" w:cs="Times New Roman"/>
          <w:spacing w:val="4"/>
          <w:position w:val="-1"/>
          <w:sz w:val="13"/>
          <w:szCs w:val="13"/>
        </w:rPr>
        <w:t>0</w:t>
      </w:r>
      <w:r>
        <w:rPr>
          <w:rFonts w:ascii="Times New Roman" w:hAnsi="Times New Roman" w:eastAsia="Times New Roman" w:cs="Times New Roman"/>
          <w:spacing w:val="4"/>
          <w:sz w:val="21"/>
          <w:szCs w:val="21"/>
        </w:rPr>
        <w:t>——</w:t>
      </w:r>
      <w:r>
        <w:rPr>
          <w:rFonts w:ascii="宋体" w:hAnsi="宋体" w:eastAsia="宋体" w:cs="宋体"/>
          <w:spacing w:val="4"/>
          <w:sz w:val="21"/>
          <w:szCs w:val="21"/>
        </w:rPr>
        <w:t>约定的付款证书中承包人应得到的已完成工程</w:t>
      </w:r>
      <w:r>
        <w:rPr>
          <w:rFonts w:ascii="宋体" w:hAnsi="宋体" w:eastAsia="宋体" w:cs="宋体"/>
          <w:spacing w:val="3"/>
          <w:sz w:val="21"/>
          <w:szCs w:val="21"/>
        </w:rPr>
        <w:t>量的金额。此项金额应</w:t>
      </w:r>
      <w:r>
        <w:rPr>
          <w:rFonts w:ascii="宋体" w:hAnsi="宋体" w:eastAsia="宋体" w:cs="宋体"/>
          <w:sz w:val="21"/>
          <w:szCs w:val="21"/>
        </w:rPr>
        <w:t>不包括价格调整、不计质量保证金的扣留和支付、预付款的支付和扣回。约定的</w:t>
      </w:r>
      <w:r>
        <w:rPr>
          <w:rFonts w:ascii="宋体" w:hAnsi="宋体" w:eastAsia="宋体" w:cs="宋体"/>
          <w:spacing w:val="-1"/>
          <w:sz w:val="21"/>
          <w:szCs w:val="21"/>
        </w:rPr>
        <w:t>变更及其他金额</w:t>
      </w:r>
      <w:r>
        <w:rPr>
          <w:rFonts w:ascii="宋体" w:hAnsi="宋体" w:eastAsia="宋体" w:cs="宋体"/>
          <w:spacing w:val="-2"/>
          <w:sz w:val="21"/>
          <w:szCs w:val="21"/>
        </w:rPr>
        <w:t>已按现行价格计价的，也不计在内；</w:t>
      </w:r>
    </w:p>
    <w:p w14:paraId="5D83F6E0">
      <w:pPr>
        <w:spacing w:before="9" w:line="221" w:lineRule="auto"/>
        <w:ind w:left="1778"/>
        <w:rPr>
          <w:rFonts w:ascii="宋体" w:hAnsi="宋体" w:eastAsia="宋体" w:cs="宋体"/>
          <w:sz w:val="21"/>
          <w:szCs w:val="21"/>
        </w:rPr>
      </w:pPr>
      <w:r>
        <w:rPr>
          <w:rFonts w:ascii="Times New Roman" w:hAnsi="Times New Roman" w:eastAsia="Times New Roman" w:cs="Times New Roman"/>
          <w:sz w:val="21"/>
          <w:szCs w:val="21"/>
        </w:rPr>
        <w:t>A——</w:t>
      </w:r>
      <w:r>
        <w:rPr>
          <w:rFonts w:ascii="宋体" w:hAnsi="宋体" w:eastAsia="宋体" w:cs="宋体"/>
          <w:sz w:val="21"/>
          <w:szCs w:val="21"/>
        </w:rPr>
        <w:t>定值权重（即不调部分的权重</w:t>
      </w:r>
      <w:r>
        <w:rPr>
          <w:rFonts w:ascii="宋体" w:hAnsi="宋体" w:eastAsia="宋体" w:cs="宋体"/>
          <w:spacing w:val="-54"/>
          <w:w w:val="97"/>
          <w:sz w:val="21"/>
          <w:szCs w:val="21"/>
        </w:rPr>
        <w:t>）；</w:t>
      </w:r>
    </w:p>
    <w:p w14:paraId="5716C2BE">
      <w:pPr>
        <w:spacing w:before="149" w:line="341" w:lineRule="auto"/>
        <w:ind w:left="19" w:right="180" w:firstLine="394"/>
        <w:rPr>
          <w:rFonts w:ascii="宋体" w:hAnsi="宋体" w:eastAsia="宋体" w:cs="宋体"/>
          <w:sz w:val="21"/>
          <w:szCs w:val="21"/>
        </w:rPr>
      </w:pPr>
      <w:r>
        <w:rPr>
          <w:rFonts w:ascii="Times New Roman" w:hAnsi="Times New Roman" w:eastAsia="Times New Roman" w:cs="Times New Roman"/>
          <w:spacing w:val="-24"/>
          <w:sz w:val="21"/>
          <w:szCs w:val="21"/>
        </w:rPr>
        <w:t>B</w:t>
      </w:r>
      <w:r>
        <w:rPr>
          <w:rFonts w:ascii="Times New Roman" w:hAnsi="Times New Roman" w:eastAsia="Times New Roman" w:cs="Times New Roman"/>
          <w:spacing w:val="-24"/>
          <w:sz w:val="13"/>
          <w:szCs w:val="13"/>
        </w:rPr>
        <w:t>1</w:t>
      </w:r>
      <w:r>
        <w:rPr>
          <w:rFonts w:ascii="Times New Roman" w:hAnsi="Times New Roman" w:eastAsia="Times New Roman" w:cs="Times New Roman"/>
          <w:spacing w:val="-24"/>
          <w:sz w:val="15"/>
          <w:szCs w:val="15"/>
        </w:rPr>
        <w:t>;</w:t>
      </w:r>
      <w:r>
        <w:rPr>
          <w:rFonts w:ascii="Times New Roman" w:hAnsi="Times New Roman" w:eastAsia="Times New Roman" w:cs="Times New Roman"/>
          <w:spacing w:val="4"/>
          <w:sz w:val="15"/>
          <w:szCs w:val="15"/>
        </w:rPr>
        <w:t xml:space="preserve">  </w:t>
      </w:r>
      <w:r>
        <w:rPr>
          <w:rFonts w:ascii="Times New Roman" w:hAnsi="Times New Roman" w:eastAsia="Times New Roman" w:cs="Times New Roman"/>
          <w:spacing w:val="-24"/>
          <w:sz w:val="21"/>
          <w:szCs w:val="21"/>
        </w:rPr>
        <w:t>B</w:t>
      </w:r>
      <w:r>
        <w:rPr>
          <w:rFonts w:ascii="Times New Roman" w:hAnsi="Times New Roman" w:eastAsia="Times New Roman" w:cs="Times New Roman"/>
          <w:spacing w:val="-24"/>
          <w:position w:val="-1"/>
          <w:sz w:val="13"/>
          <w:szCs w:val="13"/>
        </w:rPr>
        <w:t>2</w:t>
      </w:r>
      <w:r>
        <w:rPr>
          <w:rFonts w:ascii="Times New Roman" w:hAnsi="Times New Roman" w:eastAsia="Times New Roman" w:cs="Times New Roman"/>
          <w:spacing w:val="15"/>
          <w:position w:val="-1"/>
          <w:sz w:val="13"/>
          <w:szCs w:val="13"/>
        </w:rPr>
        <w:t xml:space="preserve">  </w:t>
      </w:r>
      <w:r>
        <w:rPr>
          <w:rFonts w:ascii="Times New Roman" w:hAnsi="Times New Roman" w:eastAsia="Times New Roman" w:cs="Times New Roman"/>
          <w:spacing w:val="-24"/>
          <w:sz w:val="21"/>
          <w:szCs w:val="21"/>
        </w:rPr>
        <w:t>;B</w:t>
      </w:r>
      <w:r>
        <w:rPr>
          <w:rFonts w:ascii="Times New Roman" w:hAnsi="Times New Roman" w:eastAsia="Times New Roman" w:cs="Times New Roman"/>
          <w:spacing w:val="-24"/>
          <w:sz w:val="13"/>
          <w:szCs w:val="13"/>
        </w:rPr>
        <w:t>3</w:t>
      </w:r>
      <w:r>
        <w:rPr>
          <w:rFonts w:ascii="宋体" w:hAnsi="宋体" w:eastAsia="宋体" w:cs="宋体"/>
          <w:spacing w:val="-24"/>
          <w:sz w:val="15"/>
          <w:szCs w:val="15"/>
        </w:rPr>
        <w:t>·····</w:t>
      </w:r>
      <w:r>
        <w:rPr>
          <w:rFonts w:ascii="Times New Roman" w:hAnsi="Times New Roman" w:eastAsia="Times New Roman" w:cs="Times New Roman"/>
          <w:sz w:val="21"/>
          <w:szCs w:val="21"/>
        </w:rPr>
        <w:t>B</w:t>
      </w:r>
      <w:r>
        <w:rPr>
          <w:rFonts w:ascii="Times New Roman" w:hAnsi="Times New Roman" w:eastAsia="Times New Roman" w:cs="Times New Roman"/>
          <w:position w:val="-1"/>
          <w:sz w:val="13"/>
          <w:szCs w:val="13"/>
        </w:rPr>
        <w:t>n</w:t>
      </w:r>
      <w:r>
        <w:rPr>
          <w:rFonts w:ascii="Times New Roman" w:hAnsi="Times New Roman" w:eastAsia="Times New Roman" w:cs="Times New Roman"/>
          <w:spacing w:val="2"/>
          <w:sz w:val="21"/>
          <w:szCs w:val="21"/>
        </w:rPr>
        <w:t>——</w:t>
      </w:r>
      <w:r>
        <w:rPr>
          <w:rFonts w:ascii="宋体" w:hAnsi="宋体" w:eastAsia="宋体" w:cs="宋体"/>
          <w:spacing w:val="2"/>
          <w:sz w:val="21"/>
          <w:szCs w:val="21"/>
        </w:rPr>
        <w:t>各可调因子的变值权重（即可调部分的权</w:t>
      </w:r>
      <w:r>
        <w:rPr>
          <w:rFonts w:ascii="宋体" w:hAnsi="宋体" w:eastAsia="宋体" w:cs="宋体"/>
          <w:spacing w:val="1"/>
          <w:sz w:val="21"/>
          <w:szCs w:val="21"/>
        </w:rPr>
        <w:t>重</w:t>
      </w:r>
      <w:r>
        <w:rPr>
          <w:rFonts w:ascii="宋体" w:hAnsi="宋体" w:eastAsia="宋体" w:cs="宋体"/>
          <w:spacing w:val="-53"/>
          <w:w w:val="97"/>
          <w:sz w:val="21"/>
          <w:szCs w:val="21"/>
        </w:rPr>
        <w:t>），</w:t>
      </w:r>
      <w:r>
        <w:rPr>
          <w:rFonts w:ascii="宋体" w:hAnsi="宋体" w:eastAsia="宋体" w:cs="宋体"/>
          <w:spacing w:val="1"/>
          <w:sz w:val="21"/>
          <w:szCs w:val="21"/>
        </w:rPr>
        <w:t>为各可调因子在签约合</w:t>
      </w:r>
      <w:r>
        <w:rPr>
          <w:rFonts w:ascii="宋体" w:hAnsi="宋体" w:eastAsia="宋体" w:cs="宋体"/>
          <w:spacing w:val="-6"/>
          <w:sz w:val="21"/>
          <w:szCs w:val="21"/>
        </w:rPr>
        <w:t>同价中所占的比例；</w:t>
      </w:r>
    </w:p>
    <w:p w14:paraId="6341903B">
      <w:pPr>
        <w:spacing w:before="26" w:line="348" w:lineRule="auto"/>
        <w:ind w:left="2" w:right="179" w:firstLine="411"/>
        <w:rPr>
          <w:rFonts w:ascii="宋体" w:hAnsi="宋体" w:eastAsia="宋体" w:cs="宋体"/>
          <w:sz w:val="21"/>
          <w:szCs w:val="21"/>
        </w:rPr>
      </w:pPr>
      <w:r>
        <w:rPr>
          <w:rFonts w:ascii="Times New Roman" w:hAnsi="Times New Roman" w:eastAsia="Times New Roman" w:cs="Times New Roman"/>
          <w:spacing w:val="-19"/>
          <w:sz w:val="21"/>
          <w:szCs w:val="21"/>
        </w:rPr>
        <w:t>F</w:t>
      </w:r>
      <w:r>
        <w:rPr>
          <w:rFonts w:ascii="Times New Roman" w:hAnsi="Times New Roman" w:eastAsia="Times New Roman" w:cs="Times New Roman"/>
          <w:spacing w:val="-19"/>
          <w:position w:val="-1"/>
          <w:sz w:val="13"/>
          <w:szCs w:val="13"/>
        </w:rPr>
        <w:t>t1</w:t>
      </w:r>
      <w:r>
        <w:rPr>
          <w:rFonts w:ascii="Times New Roman" w:hAnsi="Times New Roman" w:eastAsia="Times New Roman" w:cs="Times New Roman"/>
          <w:spacing w:val="15"/>
          <w:position w:val="-1"/>
          <w:sz w:val="13"/>
          <w:szCs w:val="13"/>
        </w:rPr>
        <w:t xml:space="preserve">  </w:t>
      </w:r>
      <w:r>
        <w:rPr>
          <w:rFonts w:ascii="Times New Roman" w:hAnsi="Times New Roman" w:eastAsia="Times New Roman" w:cs="Times New Roman"/>
          <w:spacing w:val="-19"/>
          <w:sz w:val="21"/>
          <w:szCs w:val="21"/>
        </w:rPr>
        <w:t>;F</w:t>
      </w:r>
      <w:r>
        <w:rPr>
          <w:rFonts w:ascii="Times New Roman" w:hAnsi="Times New Roman" w:eastAsia="Times New Roman" w:cs="Times New Roman"/>
          <w:spacing w:val="-19"/>
          <w:position w:val="-1"/>
          <w:sz w:val="13"/>
          <w:szCs w:val="13"/>
        </w:rPr>
        <w:t>t2</w:t>
      </w:r>
      <w:r>
        <w:rPr>
          <w:rFonts w:ascii="Times New Roman" w:hAnsi="Times New Roman" w:eastAsia="Times New Roman" w:cs="Times New Roman"/>
          <w:spacing w:val="14"/>
          <w:w w:val="101"/>
          <w:position w:val="-1"/>
          <w:sz w:val="13"/>
          <w:szCs w:val="13"/>
        </w:rPr>
        <w:t xml:space="preserve">  </w:t>
      </w:r>
      <w:r>
        <w:rPr>
          <w:rFonts w:ascii="Times New Roman" w:hAnsi="Times New Roman" w:eastAsia="Times New Roman" w:cs="Times New Roman"/>
          <w:spacing w:val="-19"/>
          <w:sz w:val="21"/>
          <w:szCs w:val="21"/>
        </w:rPr>
        <w:t>;F</w:t>
      </w:r>
      <w:r>
        <w:rPr>
          <w:rFonts w:ascii="Times New Roman" w:hAnsi="Times New Roman" w:eastAsia="Times New Roman" w:cs="Times New Roman"/>
          <w:spacing w:val="-19"/>
          <w:sz w:val="13"/>
          <w:szCs w:val="13"/>
        </w:rPr>
        <w:t>t3</w:t>
      </w:r>
      <w:r>
        <w:rPr>
          <w:rFonts w:ascii="宋体" w:hAnsi="宋体" w:eastAsia="宋体" w:cs="宋体"/>
          <w:spacing w:val="-19"/>
          <w:sz w:val="15"/>
          <w:szCs w:val="15"/>
        </w:rPr>
        <w:t>·····</w:t>
      </w:r>
      <w:r>
        <w:rPr>
          <w:rFonts w:ascii="Times New Roman" w:hAnsi="Times New Roman" w:eastAsia="Times New Roman" w:cs="Times New Roman"/>
          <w:sz w:val="21"/>
          <w:szCs w:val="21"/>
        </w:rPr>
        <w:t>F</w:t>
      </w:r>
      <w:r>
        <w:rPr>
          <w:rFonts w:ascii="Times New Roman" w:hAnsi="Times New Roman" w:eastAsia="Times New Roman" w:cs="Times New Roman"/>
          <w:position w:val="-1"/>
          <w:sz w:val="13"/>
          <w:szCs w:val="13"/>
        </w:rPr>
        <w:t>tn</w:t>
      </w:r>
      <w:r>
        <w:rPr>
          <w:rFonts w:ascii="Times New Roman" w:hAnsi="Times New Roman" w:eastAsia="Times New Roman" w:cs="Times New Roman"/>
          <w:spacing w:val="2"/>
          <w:sz w:val="21"/>
          <w:szCs w:val="21"/>
        </w:rPr>
        <w:t>——</w:t>
      </w:r>
      <w:r>
        <w:rPr>
          <w:rFonts w:ascii="宋体" w:hAnsi="宋体" w:eastAsia="宋体" w:cs="宋体"/>
          <w:spacing w:val="2"/>
          <w:sz w:val="21"/>
          <w:szCs w:val="21"/>
        </w:rPr>
        <w:t>各可调因子的现行价格指数，指约定的付款证书相</w:t>
      </w:r>
      <w:r>
        <w:rPr>
          <w:rFonts w:ascii="宋体" w:hAnsi="宋体" w:eastAsia="宋体" w:cs="宋体"/>
          <w:spacing w:val="1"/>
          <w:sz w:val="21"/>
          <w:szCs w:val="21"/>
        </w:rPr>
        <w:t>关周期最后一天的</w:t>
      </w:r>
      <w:r>
        <w:rPr>
          <w:rFonts w:ascii="宋体" w:hAnsi="宋体" w:eastAsia="宋体" w:cs="宋体"/>
          <w:spacing w:val="-1"/>
          <w:sz w:val="21"/>
          <w:szCs w:val="21"/>
        </w:rPr>
        <w:t>前</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42 </w:t>
      </w:r>
      <w:r>
        <w:rPr>
          <w:rFonts w:ascii="宋体" w:hAnsi="宋体" w:eastAsia="宋体" w:cs="宋体"/>
          <w:spacing w:val="-1"/>
          <w:sz w:val="21"/>
          <w:szCs w:val="21"/>
        </w:rPr>
        <w:t>天的各可调因子的价格指数；</w:t>
      </w:r>
    </w:p>
    <w:p w14:paraId="3678808A">
      <w:pPr>
        <w:spacing w:before="7" w:line="226" w:lineRule="auto"/>
        <w:ind w:left="414"/>
        <w:rPr>
          <w:rFonts w:ascii="宋体" w:hAnsi="宋体" w:eastAsia="宋体" w:cs="宋体"/>
          <w:sz w:val="21"/>
          <w:szCs w:val="21"/>
        </w:rPr>
      </w:pPr>
      <w:r>
        <w:rPr>
          <w:rFonts w:ascii="Times New Roman" w:hAnsi="Times New Roman" w:eastAsia="Times New Roman" w:cs="Times New Roman"/>
          <w:spacing w:val="-13"/>
          <w:sz w:val="21"/>
          <w:szCs w:val="21"/>
        </w:rPr>
        <w:t>F</w:t>
      </w:r>
      <w:r>
        <w:rPr>
          <w:rFonts w:ascii="Times New Roman" w:hAnsi="Times New Roman" w:eastAsia="Times New Roman" w:cs="Times New Roman"/>
          <w:spacing w:val="-13"/>
          <w:position w:val="-1"/>
          <w:sz w:val="13"/>
          <w:szCs w:val="13"/>
        </w:rPr>
        <w:t>o1</w:t>
      </w:r>
      <w:r>
        <w:rPr>
          <w:rFonts w:ascii="Times New Roman" w:hAnsi="Times New Roman" w:eastAsia="Times New Roman" w:cs="Times New Roman"/>
          <w:spacing w:val="-13"/>
          <w:sz w:val="21"/>
          <w:szCs w:val="21"/>
        </w:rPr>
        <w:t>; F</w:t>
      </w:r>
      <w:r>
        <w:rPr>
          <w:rFonts w:ascii="Times New Roman" w:hAnsi="Times New Roman" w:eastAsia="Times New Roman" w:cs="Times New Roman"/>
          <w:spacing w:val="-13"/>
          <w:position w:val="-1"/>
          <w:sz w:val="13"/>
          <w:szCs w:val="13"/>
        </w:rPr>
        <w:t>o2</w:t>
      </w:r>
      <w:r>
        <w:rPr>
          <w:rFonts w:ascii="Times New Roman" w:hAnsi="Times New Roman" w:eastAsia="Times New Roman" w:cs="Times New Roman"/>
          <w:spacing w:val="-13"/>
          <w:position w:val="-1"/>
          <w:sz w:val="15"/>
          <w:szCs w:val="15"/>
        </w:rPr>
        <w:t xml:space="preserve">;  </w:t>
      </w:r>
      <w:r>
        <w:rPr>
          <w:rFonts w:ascii="Times New Roman" w:hAnsi="Times New Roman" w:eastAsia="Times New Roman" w:cs="Times New Roman"/>
          <w:spacing w:val="-13"/>
          <w:sz w:val="21"/>
          <w:szCs w:val="21"/>
        </w:rPr>
        <w:t>F</w:t>
      </w:r>
      <w:r>
        <w:rPr>
          <w:rFonts w:ascii="Times New Roman" w:hAnsi="Times New Roman" w:eastAsia="Times New Roman" w:cs="Times New Roman"/>
          <w:spacing w:val="-13"/>
          <w:sz w:val="13"/>
          <w:szCs w:val="13"/>
        </w:rPr>
        <w:t>o3</w:t>
      </w:r>
      <w:r>
        <w:rPr>
          <w:rFonts w:ascii="宋体" w:hAnsi="宋体" w:eastAsia="宋体" w:cs="宋体"/>
          <w:spacing w:val="-13"/>
          <w:sz w:val="15"/>
          <w:szCs w:val="15"/>
        </w:rPr>
        <w:t>····</w:t>
      </w:r>
      <w:r>
        <w:rPr>
          <w:rFonts w:ascii="Times New Roman" w:hAnsi="Times New Roman" w:eastAsia="Times New Roman" w:cs="Times New Roman"/>
          <w:sz w:val="21"/>
          <w:szCs w:val="21"/>
        </w:rPr>
        <w:t>F</w:t>
      </w:r>
      <w:r>
        <w:rPr>
          <w:rFonts w:ascii="Times New Roman" w:hAnsi="Times New Roman" w:eastAsia="Times New Roman" w:cs="Times New Roman"/>
          <w:position w:val="-1"/>
          <w:sz w:val="13"/>
          <w:szCs w:val="13"/>
        </w:rPr>
        <w:t>on</w:t>
      </w:r>
      <w:r>
        <w:rPr>
          <w:rFonts w:ascii="Times New Roman" w:hAnsi="Times New Roman" w:eastAsia="Times New Roman" w:cs="Times New Roman"/>
          <w:spacing w:val="1"/>
          <w:sz w:val="21"/>
          <w:szCs w:val="21"/>
        </w:rPr>
        <w:t>——</w:t>
      </w:r>
      <w:r>
        <w:rPr>
          <w:rFonts w:ascii="宋体" w:hAnsi="宋体" w:eastAsia="宋体" w:cs="宋体"/>
          <w:spacing w:val="1"/>
          <w:sz w:val="21"/>
          <w:szCs w:val="21"/>
        </w:rPr>
        <w:t>各可调因子的基本价格指数，指基准日期的各可调因子的价格</w:t>
      </w:r>
      <w:r>
        <w:rPr>
          <w:rFonts w:ascii="宋体" w:hAnsi="宋体" w:eastAsia="宋体" w:cs="宋体"/>
          <w:sz w:val="21"/>
          <w:szCs w:val="21"/>
        </w:rPr>
        <w:t>指数。</w:t>
      </w:r>
    </w:p>
    <w:p w14:paraId="75454A2F">
      <w:pPr>
        <w:spacing w:before="145" w:line="351" w:lineRule="auto"/>
        <w:ind w:left="1" w:right="177" w:firstLine="441"/>
        <w:rPr>
          <w:rFonts w:ascii="宋体" w:hAnsi="宋体" w:eastAsia="宋体" w:cs="宋体"/>
          <w:sz w:val="21"/>
          <w:szCs w:val="21"/>
        </w:rPr>
      </w:pPr>
      <w:r>
        <w:rPr>
          <w:rFonts w:ascii="宋体" w:hAnsi="宋体" w:eastAsia="宋体" w:cs="宋体"/>
          <w:spacing w:val="-1"/>
          <w:sz w:val="21"/>
          <w:szCs w:val="21"/>
        </w:rPr>
        <w:t>以上价格调整公式中的各可调因子、定值和变值权重，以及基本价格指数及其来源在投标函</w:t>
      </w:r>
      <w:r>
        <w:rPr>
          <w:rFonts w:ascii="宋体" w:hAnsi="宋体" w:eastAsia="宋体" w:cs="宋体"/>
          <w:sz w:val="21"/>
          <w:szCs w:val="21"/>
        </w:rPr>
        <w:t>附录价格指数和权重表中约定，非招标订立的合同，由合同当事人在专用合同条款</w:t>
      </w:r>
      <w:r>
        <w:rPr>
          <w:rFonts w:ascii="宋体" w:hAnsi="宋体" w:eastAsia="宋体" w:cs="宋体"/>
          <w:spacing w:val="-1"/>
          <w:sz w:val="21"/>
          <w:szCs w:val="21"/>
        </w:rPr>
        <w:t>中约定。价格</w:t>
      </w:r>
      <w:r>
        <w:rPr>
          <w:rFonts w:ascii="宋体" w:hAnsi="宋体" w:eastAsia="宋体" w:cs="宋体"/>
          <w:sz w:val="21"/>
          <w:szCs w:val="21"/>
        </w:rPr>
        <w:t>指数应首先采用工程造价管理机构发布的价格指数，无前述价格指数时，可采用工</w:t>
      </w:r>
      <w:r>
        <w:rPr>
          <w:rFonts w:ascii="宋体" w:hAnsi="宋体" w:eastAsia="宋体" w:cs="宋体"/>
          <w:spacing w:val="-1"/>
          <w:sz w:val="21"/>
          <w:szCs w:val="21"/>
        </w:rPr>
        <w:t>程造价管理机</w:t>
      </w:r>
      <w:r>
        <w:rPr>
          <w:rFonts w:ascii="宋体" w:hAnsi="宋体" w:eastAsia="宋体" w:cs="宋体"/>
          <w:spacing w:val="-3"/>
          <w:sz w:val="21"/>
          <w:szCs w:val="21"/>
        </w:rPr>
        <w:t>构发布的价格代替。</w:t>
      </w:r>
    </w:p>
    <w:p w14:paraId="4C377EC1">
      <w:pPr>
        <w:spacing w:before="1" w:line="234" w:lineRule="auto"/>
        <w:ind w:left="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）暂时确定调整差额</w:t>
      </w:r>
    </w:p>
    <w:p w14:paraId="135BEAAB">
      <w:pPr>
        <w:spacing w:before="135" w:line="354" w:lineRule="auto"/>
        <w:ind w:right="177" w:firstLine="417"/>
        <w:rPr>
          <w:rFonts w:ascii="宋体" w:hAnsi="宋体" w:eastAsia="宋体" w:cs="宋体"/>
          <w:sz w:val="21"/>
          <w:szCs w:val="21"/>
        </w:rPr>
      </w:pPr>
      <w:r>
        <w:rPr>
          <w:rFonts w:ascii="宋体" w:hAnsi="宋体" w:eastAsia="宋体" w:cs="宋体"/>
          <w:sz w:val="21"/>
          <w:szCs w:val="21"/>
        </w:rPr>
        <w:t>在计算调整差额时无现行价格指数的，合同当事人同意暂用前次价格指数计算。实际</w:t>
      </w:r>
      <w:r>
        <w:rPr>
          <w:rFonts w:ascii="宋体" w:hAnsi="宋体" w:eastAsia="宋体" w:cs="宋体"/>
          <w:spacing w:val="-1"/>
          <w:sz w:val="21"/>
          <w:szCs w:val="21"/>
        </w:rPr>
        <w:t>价格指</w:t>
      </w:r>
      <w:r>
        <w:rPr>
          <w:rFonts w:ascii="宋体" w:hAnsi="宋体" w:eastAsia="宋体" w:cs="宋体"/>
          <w:spacing w:val="-2"/>
          <w:sz w:val="21"/>
          <w:szCs w:val="21"/>
        </w:rPr>
        <w:t>数有调整的，合同当事人进行相应调整。</w:t>
      </w:r>
    </w:p>
    <w:p w14:paraId="1C9849AD">
      <w:pPr>
        <w:spacing w:line="354" w:lineRule="auto"/>
        <w:rPr>
          <w:rFonts w:ascii="宋体" w:hAnsi="宋体" w:eastAsia="宋体" w:cs="宋体"/>
          <w:sz w:val="21"/>
          <w:szCs w:val="21"/>
        </w:rPr>
        <w:sectPr>
          <w:footerReference r:id="rId115" w:type="default"/>
          <w:pgSz w:w="11905" w:h="16843"/>
          <w:pgMar w:top="969" w:right="1355" w:bottom="1026" w:left="1480" w:header="0" w:footer="754" w:gutter="0"/>
          <w:cols w:space="0" w:num="1"/>
          <w:rtlGutter w:val="0"/>
          <w:docGrid w:linePitch="0" w:charSpace="0"/>
        </w:sectPr>
      </w:pPr>
    </w:p>
    <w:p w14:paraId="3FC72832">
      <w:pPr>
        <w:pStyle w:val="5"/>
        <w:spacing w:line="270" w:lineRule="auto"/>
      </w:pPr>
    </w:p>
    <w:p w14:paraId="6FD968D6">
      <w:pPr>
        <w:pStyle w:val="5"/>
        <w:spacing w:line="270" w:lineRule="auto"/>
      </w:pPr>
    </w:p>
    <w:p w14:paraId="5A4B13BB">
      <w:pPr>
        <w:pStyle w:val="5"/>
        <w:spacing w:line="271" w:lineRule="auto"/>
      </w:pPr>
    </w:p>
    <w:p w14:paraId="2A1B3272">
      <w:pPr>
        <w:pStyle w:val="5"/>
        <w:spacing w:line="271" w:lineRule="auto"/>
      </w:pPr>
    </w:p>
    <w:p w14:paraId="4CD5B22A">
      <w:pPr>
        <w:spacing w:before="68" w:line="234" w:lineRule="auto"/>
        <w:ind w:left="427"/>
        <w:rPr>
          <w:rFonts w:ascii="宋体" w:hAnsi="宋体" w:eastAsia="宋体" w:cs="宋体"/>
          <w:sz w:val="21"/>
          <w:szCs w:val="21"/>
        </w:rPr>
      </w:pPr>
      <w:bookmarkStart w:id="304" w:name="bookmark567"/>
      <w:bookmarkEnd w:id="304"/>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）权重的调整</w:t>
      </w:r>
    </w:p>
    <w:p w14:paraId="389E490C">
      <w:pPr>
        <w:spacing w:before="134" w:line="234" w:lineRule="auto"/>
        <w:ind w:left="438"/>
        <w:rPr>
          <w:rFonts w:ascii="宋体" w:hAnsi="宋体" w:eastAsia="宋体" w:cs="宋体"/>
          <w:sz w:val="21"/>
          <w:szCs w:val="21"/>
        </w:rPr>
      </w:pPr>
      <w:r>
        <w:rPr>
          <w:rFonts w:ascii="宋体" w:hAnsi="宋体" w:eastAsia="宋体" w:cs="宋体"/>
          <w:spacing w:val="-1"/>
          <w:sz w:val="21"/>
          <w:szCs w:val="21"/>
        </w:rPr>
        <w:t>因变更导致合同约定的权重不合理时，按照第</w:t>
      </w:r>
      <w:r>
        <w:rPr>
          <w:rFonts w:ascii="宋体" w:hAnsi="宋体" w:eastAsia="宋体" w:cs="宋体"/>
          <w:spacing w:val="-49"/>
          <w:sz w:val="21"/>
          <w:szCs w:val="21"/>
        </w:rPr>
        <w:t xml:space="preserve"> </w:t>
      </w:r>
      <w:r>
        <w:rPr>
          <w:rFonts w:ascii="Times New Roman" w:hAnsi="Times New Roman" w:eastAsia="Times New Roman" w:cs="Times New Roman"/>
          <w:spacing w:val="-1"/>
          <w:sz w:val="21"/>
          <w:szCs w:val="21"/>
        </w:rPr>
        <w:t xml:space="preserve">4.4 </w:t>
      </w:r>
      <w:r>
        <w:rPr>
          <w:rFonts w:ascii="宋体" w:hAnsi="宋体" w:eastAsia="宋体" w:cs="宋体"/>
          <w:spacing w:val="-1"/>
          <w:sz w:val="21"/>
          <w:szCs w:val="21"/>
        </w:rPr>
        <w:t>款〔商定或确定</w:t>
      </w:r>
      <w:r>
        <w:rPr>
          <w:rFonts w:ascii="宋体" w:hAnsi="宋体" w:eastAsia="宋体" w:cs="宋体"/>
          <w:spacing w:val="-2"/>
          <w:sz w:val="21"/>
          <w:szCs w:val="21"/>
        </w:rPr>
        <w:t>〕执行。</w:t>
      </w:r>
    </w:p>
    <w:p w14:paraId="0E3686F6">
      <w:pPr>
        <w:spacing w:before="134"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）因承包人原因工期延误后的价格调整</w:t>
      </w:r>
    </w:p>
    <w:p w14:paraId="7592766C">
      <w:pPr>
        <w:spacing w:before="134" w:line="352" w:lineRule="auto"/>
        <w:ind w:left="5" w:right="174" w:firstLine="432"/>
        <w:rPr>
          <w:rFonts w:ascii="宋体" w:hAnsi="宋体" w:eastAsia="宋体" w:cs="宋体"/>
          <w:sz w:val="21"/>
          <w:szCs w:val="21"/>
        </w:rPr>
      </w:pPr>
      <w:r>
        <w:rPr>
          <w:rFonts w:ascii="宋体" w:hAnsi="宋体" w:eastAsia="宋体" w:cs="宋体"/>
          <w:sz w:val="21"/>
          <w:szCs w:val="21"/>
        </w:rPr>
        <w:t>因承包人原因未按期竣工的，对合同约定的竣</w:t>
      </w:r>
      <w:r>
        <w:rPr>
          <w:rFonts w:ascii="宋体" w:hAnsi="宋体" w:eastAsia="宋体" w:cs="宋体"/>
          <w:spacing w:val="-1"/>
          <w:sz w:val="21"/>
          <w:szCs w:val="21"/>
        </w:rPr>
        <w:t>工日期后继续施工的工程，在使用价格调整公</w:t>
      </w:r>
      <w:r>
        <w:rPr>
          <w:rFonts w:ascii="宋体" w:hAnsi="宋体" w:eastAsia="宋体" w:cs="宋体"/>
          <w:sz w:val="21"/>
          <w:szCs w:val="21"/>
        </w:rPr>
        <w:t>式时，应采用计划竣工日期与实际竣工日期的两个价格指数中较低的一个作为现行</w:t>
      </w:r>
      <w:r>
        <w:rPr>
          <w:rFonts w:ascii="宋体" w:hAnsi="宋体" w:eastAsia="宋体" w:cs="宋体"/>
          <w:spacing w:val="-1"/>
          <w:sz w:val="21"/>
          <w:szCs w:val="21"/>
        </w:rPr>
        <w:t>价格指数。</w:t>
      </w:r>
    </w:p>
    <w:p w14:paraId="1F38C63F">
      <w:pPr>
        <w:spacing w:line="233" w:lineRule="auto"/>
        <w:ind w:left="421"/>
        <w:rPr>
          <w:rFonts w:ascii="宋体" w:hAnsi="宋体" w:eastAsia="宋体" w:cs="宋体"/>
          <w:sz w:val="21"/>
          <w:szCs w:val="21"/>
        </w:rPr>
      </w:pPr>
      <w:r>
        <w:rPr>
          <w:rFonts w:ascii="宋体" w:hAnsi="宋体" w:eastAsia="宋体" w:cs="宋体"/>
          <w:spacing w:val="-1"/>
          <w:sz w:val="21"/>
          <w:szCs w:val="21"/>
        </w:rPr>
        <w:t>第</w:t>
      </w:r>
      <w:r>
        <w:rPr>
          <w:rFonts w:ascii="宋体" w:hAnsi="宋体" w:eastAsia="宋体" w:cs="宋体"/>
          <w:spacing w:val="-37"/>
          <w:sz w:val="21"/>
          <w:szCs w:val="21"/>
        </w:rPr>
        <w:t xml:space="preserve">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种方式：采用造价信息进行价格调整。</w:t>
      </w:r>
    </w:p>
    <w:p w14:paraId="1E13501B">
      <w:pPr>
        <w:spacing w:before="133" w:line="352" w:lineRule="auto"/>
        <w:ind w:left="1" w:right="174" w:firstLine="420"/>
        <w:rPr>
          <w:rFonts w:ascii="宋体" w:hAnsi="宋体" w:eastAsia="宋体" w:cs="宋体"/>
          <w:sz w:val="21"/>
          <w:szCs w:val="21"/>
        </w:rPr>
      </w:pPr>
      <w:r>
        <w:rPr>
          <w:rFonts w:ascii="宋体" w:hAnsi="宋体" w:eastAsia="宋体" w:cs="宋体"/>
          <w:sz w:val="21"/>
          <w:szCs w:val="21"/>
        </w:rPr>
        <w:t>合同履行期间，因人工、材料、工程设备和机械台班价格波动影响合同价格时，人</w:t>
      </w:r>
      <w:r>
        <w:rPr>
          <w:rFonts w:ascii="宋体" w:hAnsi="宋体" w:eastAsia="宋体" w:cs="宋体"/>
          <w:spacing w:val="-1"/>
          <w:sz w:val="21"/>
          <w:szCs w:val="21"/>
        </w:rPr>
        <w:t>工、机械</w:t>
      </w:r>
      <w:r>
        <w:rPr>
          <w:rFonts w:ascii="宋体" w:hAnsi="宋体" w:eastAsia="宋体" w:cs="宋体"/>
          <w:sz w:val="21"/>
          <w:szCs w:val="21"/>
        </w:rPr>
        <w:t>使用费按照国家或省、自治区、直辖市建设行政管理部门、行业建设管理部门或其授权的</w:t>
      </w:r>
      <w:r>
        <w:rPr>
          <w:rFonts w:ascii="宋体" w:hAnsi="宋体" w:eastAsia="宋体" w:cs="宋体"/>
          <w:spacing w:val="-1"/>
          <w:sz w:val="21"/>
          <w:szCs w:val="21"/>
        </w:rPr>
        <w:t>工程造</w:t>
      </w:r>
      <w:r>
        <w:rPr>
          <w:rFonts w:ascii="宋体" w:hAnsi="宋体" w:eastAsia="宋体" w:cs="宋体"/>
          <w:sz w:val="21"/>
          <w:szCs w:val="21"/>
        </w:rPr>
        <w:t>价管理机构发布的人工、机械使用费系数进行调整；需要进行价格调整的材料，其单价和</w:t>
      </w:r>
      <w:r>
        <w:rPr>
          <w:rFonts w:ascii="宋体" w:hAnsi="宋体" w:eastAsia="宋体" w:cs="宋体"/>
          <w:spacing w:val="-1"/>
          <w:sz w:val="21"/>
          <w:szCs w:val="21"/>
        </w:rPr>
        <w:t>采购数</w:t>
      </w:r>
      <w:r>
        <w:rPr>
          <w:rFonts w:ascii="宋体" w:hAnsi="宋体" w:eastAsia="宋体" w:cs="宋体"/>
          <w:sz w:val="21"/>
          <w:szCs w:val="21"/>
        </w:rPr>
        <w:t>量应由发包人审批，发包人确认需调整的材料单</w:t>
      </w:r>
      <w:r>
        <w:rPr>
          <w:rFonts w:ascii="宋体" w:hAnsi="宋体" w:eastAsia="宋体" w:cs="宋体"/>
          <w:spacing w:val="-1"/>
          <w:sz w:val="21"/>
          <w:szCs w:val="21"/>
        </w:rPr>
        <w:t>价及数量，作为调整合同价格的依据。</w:t>
      </w:r>
    </w:p>
    <w:p w14:paraId="0C98C6CC">
      <w:pPr>
        <w:spacing w:line="307" w:lineRule="auto"/>
        <w:ind w:right="13" w:firstLine="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）人工单价发生变化且符合省级或行业建设主管部门发布的人工费调整规定，合同当事</w:t>
      </w:r>
      <w:r>
        <w:rPr>
          <w:rFonts w:ascii="宋体" w:hAnsi="宋体" w:eastAsia="宋体" w:cs="宋体"/>
          <w:spacing w:val="-1"/>
          <w:sz w:val="21"/>
          <w:szCs w:val="21"/>
        </w:rPr>
        <w:t>人应按省级或行业建设主管部门或其授权的工程造价管理机构发布的人工费等文</w:t>
      </w:r>
      <w:r>
        <w:rPr>
          <w:rFonts w:ascii="宋体" w:hAnsi="宋体" w:eastAsia="宋体" w:cs="宋体"/>
          <w:spacing w:val="-2"/>
          <w:sz w:val="21"/>
          <w:szCs w:val="21"/>
        </w:rPr>
        <w:t>件调整合同价格，</w:t>
      </w:r>
      <w:r>
        <w:rPr>
          <w:rFonts w:ascii="宋体" w:hAnsi="宋体" w:eastAsia="宋体" w:cs="宋体"/>
          <w:sz w:val="21"/>
          <w:szCs w:val="21"/>
        </w:rPr>
        <w:t>但承包人对人工费或人工单价的报价高于发布价格的除外。</w:t>
      </w:r>
    </w:p>
    <w:p w14:paraId="6BBAAEEB">
      <w:pPr>
        <w:spacing w:before="152" w:line="293" w:lineRule="auto"/>
        <w:ind w:left="6" w:right="192" w:firstLine="421"/>
        <w:rPr>
          <w:rFonts w:ascii="Times New Roman" w:hAnsi="Times New Roman" w:eastAsia="Times New Roman" w:cs="Times New Roman"/>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）材料、工程设备价格变化的价款调整按照发包人提供的基准价格，按以下风险范</w:t>
      </w:r>
      <w:r>
        <w:rPr>
          <w:rFonts w:ascii="宋体" w:hAnsi="宋体" w:eastAsia="宋体" w:cs="宋体"/>
          <w:spacing w:val="1"/>
          <w:sz w:val="21"/>
          <w:szCs w:val="21"/>
        </w:rPr>
        <w:t>围规</w:t>
      </w:r>
      <w:r>
        <w:rPr>
          <w:rFonts w:ascii="宋体" w:hAnsi="宋体" w:eastAsia="宋体" w:cs="宋体"/>
          <w:spacing w:val="-3"/>
          <w:sz w:val="21"/>
          <w:szCs w:val="21"/>
        </w:rPr>
        <w:t>定执行</w:t>
      </w:r>
      <w:r>
        <w:rPr>
          <w:rFonts w:ascii="Times New Roman" w:hAnsi="Times New Roman" w:eastAsia="Times New Roman" w:cs="Times New Roman"/>
          <w:spacing w:val="-3"/>
          <w:sz w:val="21"/>
          <w:szCs w:val="21"/>
        </w:rPr>
        <w:t>:</w:t>
      </w:r>
    </w:p>
    <w:p w14:paraId="13D74F68">
      <w:pPr>
        <w:spacing w:before="131" w:line="313" w:lineRule="auto"/>
        <w:ind w:left="2" w:right="175" w:firstLine="629"/>
        <w:rPr>
          <w:rFonts w:ascii="宋体" w:hAnsi="宋体" w:eastAsia="宋体" w:cs="宋体"/>
          <w:sz w:val="21"/>
          <w:szCs w:val="21"/>
        </w:rPr>
      </w:pPr>
      <w:r>
        <w:rPr>
          <w:rFonts w:ascii="宋体" w:hAnsi="宋体" w:eastAsia="宋体" w:cs="宋体"/>
          <w:sz w:val="21"/>
          <w:szCs w:val="21"/>
        </w:rPr>
        <w:t>①承包人在已标价工程量清单或预算书中载明材料单价低于基准价格的：除专用</w:t>
      </w:r>
      <w:r>
        <w:rPr>
          <w:rFonts w:ascii="宋体" w:hAnsi="宋体" w:eastAsia="宋体" w:cs="宋体"/>
          <w:spacing w:val="-1"/>
          <w:sz w:val="21"/>
          <w:szCs w:val="21"/>
        </w:rPr>
        <w:t>合同条款</w:t>
      </w:r>
      <w:r>
        <w:rPr>
          <w:rFonts w:ascii="宋体" w:hAnsi="宋体" w:eastAsia="宋体" w:cs="宋体"/>
          <w:spacing w:val="1"/>
          <w:sz w:val="21"/>
          <w:szCs w:val="21"/>
        </w:rPr>
        <w:t xml:space="preserve">另有约定外，合同履行期间材料单价涨幅以基准价格为基础超过 </w:t>
      </w:r>
      <w:r>
        <w:rPr>
          <w:rFonts w:ascii="Times New Roman" w:hAnsi="Times New Roman" w:eastAsia="Times New Roman" w:cs="Times New Roman"/>
          <w:spacing w:val="1"/>
          <w:sz w:val="21"/>
          <w:szCs w:val="21"/>
        </w:rPr>
        <w:t>5</w:t>
      </w:r>
      <w:r>
        <w:rPr>
          <w:rFonts w:ascii="Times New Roman" w:hAnsi="Times New Roman" w:eastAsia="Times New Roman" w:cs="Times New Roman"/>
          <w:sz w:val="21"/>
          <w:szCs w:val="21"/>
        </w:rPr>
        <w:t>%</w:t>
      </w:r>
      <w:r>
        <w:rPr>
          <w:rFonts w:ascii="宋体" w:hAnsi="宋体" w:eastAsia="宋体" w:cs="宋体"/>
          <w:sz w:val="21"/>
          <w:szCs w:val="21"/>
        </w:rPr>
        <w:t>时，或材料单价跌幅以在已</w:t>
      </w:r>
      <w:r>
        <w:rPr>
          <w:rFonts w:ascii="宋体" w:hAnsi="宋体" w:eastAsia="宋体" w:cs="宋体"/>
          <w:spacing w:val="-1"/>
          <w:sz w:val="21"/>
          <w:szCs w:val="21"/>
        </w:rPr>
        <w:t>标价工程量清单或预算书中载明材料单价为基础超过</w:t>
      </w:r>
      <w:r>
        <w:rPr>
          <w:rFonts w:ascii="宋体" w:hAnsi="宋体" w:eastAsia="宋体" w:cs="宋体"/>
          <w:spacing w:val="-39"/>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时，其超过部分据实调整。</w:t>
      </w:r>
    </w:p>
    <w:p w14:paraId="7E1968B9">
      <w:pPr>
        <w:spacing w:before="132" w:line="313" w:lineRule="auto"/>
        <w:ind w:left="2" w:right="175" w:firstLine="628"/>
        <w:rPr>
          <w:rFonts w:ascii="宋体" w:hAnsi="宋体" w:eastAsia="宋体" w:cs="宋体"/>
          <w:sz w:val="21"/>
          <w:szCs w:val="21"/>
        </w:rPr>
      </w:pPr>
      <w:r>
        <w:rPr>
          <w:rFonts w:ascii="宋体" w:hAnsi="宋体" w:eastAsia="宋体" w:cs="宋体"/>
          <w:sz w:val="21"/>
          <w:szCs w:val="21"/>
        </w:rPr>
        <w:t>②承包人在已标价工程量清单或预算书中载明材料单价高于基准价格的：除专用合</w:t>
      </w:r>
      <w:r>
        <w:rPr>
          <w:rFonts w:ascii="宋体" w:hAnsi="宋体" w:eastAsia="宋体" w:cs="宋体"/>
          <w:spacing w:val="-1"/>
          <w:sz w:val="21"/>
          <w:szCs w:val="21"/>
        </w:rPr>
        <w:t>同条款</w:t>
      </w:r>
      <w:r>
        <w:rPr>
          <w:rFonts w:ascii="宋体" w:hAnsi="宋体" w:eastAsia="宋体" w:cs="宋体"/>
          <w:spacing w:val="1"/>
          <w:sz w:val="21"/>
          <w:szCs w:val="21"/>
        </w:rPr>
        <w:t xml:space="preserve">另有约定外，合同履行期间材料单价跌幅以基准价格为基础超过 </w:t>
      </w:r>
      <w:r>
        <w:rPr>
          <w:rFonts w:ascii="Times New Roman" w:hAnsi="Times New Roman" w:eastAsia="Times New Roman" w:cs="Times New Roman"/>
          <w:spacing w:val="1"/>
          <w:sz w:val="21"/>
          <w:szCs w:val="21"/>
        </w:rPr>
        <w:t>5</w:t>
      </w:r>
      <w:r>
        <w:rPr>
          <w:rFonts w:ascii="Times New Roman" w:hAnsi="Times New Roman" w:eastAsia="Times New Roman" w:cs="Times New Roman"/>
          <w:sz w:val="21"/>
          <w:szCs w:val="21"/>
        </w:rPr>
        <w:t>%</w:t>
      </w:r>
      <w:r>
        <w:rPr>
          <w:rFonts w:ascii="宋体" w:hAnsi="宋体" w:eastAsia="宋体" w:cs="宋体"/>
          <w:sz w:val="21"/>
          <w:szCs w:val="21"/>
        </w:rPr>
        <w:t>时，材料单价涨幅以在已标</w:t>
      </w:r>
      <w:r>
        <w:rPr>
          <w:rFonts w:ascii="宋体" w:hAnsi="宋体" w:eastAsia="宋体" w:cs="宋体"/>
          <w:spacing w:val="-1"/>
          <w:sz w:val="21"/>
          <w:szCs w:val="21"/>
        </w:rPr>
        <w:t>价工程量清单或预算书中载明材料单价为基础超过</w:t>
      </w:r>
      <w:r>
        <w:rPr>
          <w:rFonts w:ascii="宋体" w:hAnsi="宋体" w:eastAsia="宋体" w:cs="宋体"/>
          <w:spacing w:val="-38"/>
          <w:sz w:val="21"/>
          <w:szCs w:val="21"/>
        </w:rPr>
        <w:t xml:space="preserve"> </w:t>
      </w:r>
      <w:r>
        <w:rPr>
          <w:rFonts w:ascii="Times New Roman" w:hAnsi="Times New Roman" w:eastAsia="Times New Roman" w:cs="Times New Roman"/>
          <w:spacing w:val="-1"/>
          <w:sz w:val="21"/>
          <w:szCs w:val="21"/>
        </w:rPr>
        <w:t>5%</w:t>
      </w:r>
      <w:r>
        <w:rPr>
          <w:rFonts w:ascii="宋体" w:hAnsi="宋体" w:eastAsia="宋体" w:cs="宋体"/>
          <w:spacing w:val="-1"/>
          <w:sz w:val="21"/>
          <w:szCs w:val="21"/>
        </w:rPr>
        <w:t>时，其超过部分据实调整。</w:t>
      </w:r>
    </w:p>
    <w:p w14:paraId="39E325AB">
      <w:pPr>
        <w:spacing w:before="132" w:line="293" w:lineRule="auto"/>
        <w:ind w:left="6" w:firstLine="624"/>
        <w:rPr>
          <w:rFonts w:ascii="宋体" w:hAnsi="宋体" w:eastAsia="宋体" w:cs="宋体"/>
          <w:sz w:val="21"/>
          <w:szCs w:val="21"/>
        </w:rPr>
      </w:pPr>
      <w:r>
        <w:rPr>
          <w:rFonts w:ascii="宋体" w:hAnsi="宋体" w:eastAsia="宋体" w:cs="宋体"/>
          <w:sz w:val="21"/>
          <w:szCs w:val="21"/>
        </w:rPr>
        <w:t>③承包人在已标价工程量清单或预算书中载明材料单价等于基准价格的：除专用合</w:t>
      </w:r>
      <w:r>
        <w:rPr>
          <w:rFonts w:ascii="宋体" w:hAnsi="宋体" w:eastAsia="宋体" w:cs="宋体"/>
          <w:spacing w:val="-1"/>
          <w:sz w:val="21"/>
          <w:szCs w:val="21"/>
        </w:rPr>
        <w:t>同条款</w:t>
      </w:r>
      <w:r>
        <w:rPr>
          <w:rFonts w:ascii="宋体" w:hAnsi="宋体" w:eastAsia="宋体" w:cs="宋体"/>
          <w:sz w:val="21"/>
          <w:szCs w:val="21"/>
        </w:rPr>
        <w:t>另有约定外，合同履行期间材料单价涨跌幅以基准价格为</w:t>
      </w:r>
      <w:r>
        <w:rPr>
          <w:rFonts w:ascii="宋体" w:hAnsi="宋体" w:eastAsia="宋体" w:cs="宋体"/>
          <w:spacing w:val="-1"/>
          <w:sz w:val="21"/>
          <w:szCs w:val="21"/>
        </w:rPr>
        <w:t>基础超过</w:t>
      </w:r>
      <w:r>
        <w:rPr>
          <w:rFonts w:ascii="Times New Roman" w:hAnsi="Times New Roman" w:eastAsia="Times New Roman" w:cs="Times New Roman"/>
          <w:spacing w:val="-1"/>
          <w:sz w:val="21"/>
          <w:szCs w:val="21"/>
        </w:rPr>
        <w:t>±5%</w:t>
      </w:r>
      <w:r>
        <w:rPr>
          <w:rFonts w:ascii="宋体" w:hAnsi="宋体" w:eastAsia="宋体" w:cs="宋体"/>
          <w:spacing w:val="-1"/>
          <w:sz w:val="21"/>
          <w:szCs w:val="21"/>
        </w:rPr>
        <w:t>时，其超过部分据实调整。</w:t>
      </w:r>
    </w:p>
    <w:p w14:paraId="6EDC1BC9">
      <w:pPr>
        <w:spacing w:before="135" w:line="319" w:lineRule="auto"/>
        <w:ind w:left="3" w:right="174" w:firstLine="627"/>
        <w:rPr>
          <w:rFonts w:ascii="宋体" w:hAnsi="宋体" w:eastAsia="宋体" w:cs="宋体"/>
          <w:sz w:val="21"/>
          <w:szCs w:val="21"/>
        </w:rPr>
      </w:pPr>
      <w:r>
        <w:rPr>
          <w:rFonts w:ascii="宋体" w:hAnsi="宋体" w:eastAsia="宋体" w:cs="宋体"/>
          <w:sz w:val="21"/>
          <w:szCs w:val="21"/>
        </w:rPr>
        <w:t>④承包人应在采购材料前将采购数量和新的材料单价报发包人核对，发包人确认用</w:t>
      </w:r>
      <w:r>
        <w:rPr>
          <w:rFonts w:ascii="宋体" w:hAnsi="宋体" w:eastAsia="宋体" w:cs="宋体"/>
          <w:spacing w:val="-1"/>
          <w:sz w:val="21"/>
          <w:szCs w:val="21"/>
        </w:rPr>
        <w:t>于工程</w:t>
      </w:r>
      <w:r>
        <w:rPr>
          <w:rFonts w:ascii="宋体" w:hAnsi="宋体" w:eastAsia="宋体" w:cs="宋体"/>
          <w:sz w:val="21"/>
          <w:szCs w:val="21"/>
        </w:rPr>
        <w:t>时，发包人应确认采购材料的数量和单价。发包人在收到承包人报送</w:t>
      </w:r>
      <w:r>
        <w:rPr>
          <w:rFonts w:ascii="宋体" w:hAnsi="宋体" w:eastAsia="宋体" w:cs="宋体"/>
          <w:spacing w:val="-1"/>
          <w:sz w:val="21"/>
          <w:szCs w:val="21"/>
        </w:rPr>
        <w:t>的确认资料后</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天内不予答</w:t>
      </w:r>
      <w:r>
        <w:rPr>
          <w:rFonts w:ascii="宋体" w:hAnsi="宋体" w:eastAsia="宋体" w:cs="宋体"/>
          <w:sz w:val="21"/>
          <w:szCs w:val="21"/>
        </w:rPr>
        <w:t>复的视为认可，作为调整合同价格的依据。未经发包人事先核对，承包人自行采购材</w:t>
      </w:r>
      <w:r>
        <w:rPr>
          <w:rFonts w:ascii="宋体" w:hAnsi="宋体" w:eastAsia="宋体" w:cs="宋体"/>
          <w:spacing w:val="-1"/>
          <w:sz w:val="21"/>
          <w:szCs w:val="21"/>
        </w:rPr>
        <w:t>料的，发包</w:t>
      </w:r>
      <w:r>
        <w:rPr>
          <w:rFonts w:ascii="宋体" w:hAnsi="宋体" w:eastAsia="宋体" w:cs="宋体"/>
          <w:sz w:val="21"/>
          <w:szCs w:val="21"/>
        </w:rPr>
        <w:t>人有权不予调整合同价格。发包人同意的，可以调整</w:t>
      </w:r>
      <w:r>
        <w:rPr>
          <w:rFonts w:ascii="宋体" w:hAnsi="宋体" w:eastAsia="宋体" w:cs="宋体"/>
          <w:spacing w:val="-1"/>
          <w:sz w:val="21"/>
          <w:szCs w:val="21"/>
        </w:rPr>
        <w:t>合同价格。</w:t>
      </w:r>
    </w:p>
    <w:p w14:paraId="42D8432D">
      <w:pPr>
        <w:spacing w:before="150" w:line="352" w:lineRule="auto"/>
        <w:ind w:left="2" w:right="174" w:firstLine="422"/>
        <w:rPr>
          <w:rFonts w:ascii="宋体" w:hAnsi="宋体" w:eastAsia="宋体" w:cs="宋体"/>
          <w:sz w:val="21"/>
          <w:szCs w:val="21"/>
        </w:rPr>
      </w:pPr>
      <w:r>
        <w:rPr>
          <w:rFonts w:ascii="宋体" w:hAnsi="宋体" w:eastAsia="宋体" w:cs="宋体"/>
          <w:sz w:val="21"/>
          <w:szCs w:val="21"/>
        </w:rPr>
        <w:t>前述基准价格是指由发包人在招标文件或专用合同条款中给定的材料、工程</w:t>
      </w:r>
      <w:r>
        <w:rPr>
          <w:rFonts w:ascii="宋体" w:hAnsi="宋体" w:eastAsia="宋体" w:cs="宋体"/>
          <w:spacing w:val="-1"/>
          <w:sz w:val="21"/>
          <w:szCs w:val="21"/>
        </w:rPr>
        <w:t>设备的价格，该价格原则上应当按照省级或行业建设主管部门或其授权的工程造价管理机构发布的信息价编制。</w:t>
      </w:r>
    </w:p>
    <w:p w14:paraId="11B67510">
      <w:pPr>
        <w:spacing w:before="1" w:line="341" w:lineRule="auto"/>
        <w:ind w:left="19" w:right="191" w:firstLine="40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）施工机械台班单价或施工机械使用费发生变化超过省级或行业建设主管部门或其授权</w:t>
      </w:r>
      <w:r>
        <w:rPr>
          <w:rFonts w:ascii="宋体" w:hAnsi="宋体" w:eastAsia="宋体" w:cs="宋体"/>
          <w:spacing w:val="-1"/>
          <w:sz w:val="21"/>
          <w:szCs w:val="21"/>
        </w:rPr>
        <w:t>的工程造价管理机构规定的范围时，按规定调整合同价格。</w:t>
      </w:r>
    </w:p>
    <w:p w14:paraId="5DACB55B">
      <w:pPr>
        <w:spacing w:before="23" w:line="234" w:lineRule="auto"/>
        <w:ind w:left="421"/>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31"/>
          <w:sz w:val="21"/>
          <w:szCs w:val="21"/>
        </w:rPr>
        <w:t xml:space="preserve">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种方式：专用合同条款约定的其他方式。</w:t>
      </w:r>
    </w:p>
    <w:p w14:paraId="4CF4E47F">
      <w:pPr>
        <w:spacing w:before="108" w:line="233" w:lineRule="auto"/>
        <w:ind w:left="9"/>
        <w:outlineLvl w:val="1"/>
        <w:rPr>
          <w:rFonts w:ascii="黑体" w:hAnsi="黑体" w:eastAsia="黑体" w:cs="黑体"/>
          <w:sz w:val="24"/>
          <w:szCs w:val="24"/>
        </w:rPr>
      </w:pPr>
      <w:bookmarkStart w:id="305" w:name="bookmark230"/>
      <w:bookmarkEnd w:id="305"/>
      <w:r>
        <w:rPr>
          <w:rFonts w:ascii="Times New Roman" w:hAnsi="Times New Roman" w:eastAsia="Times New Roman" w:cs="Times New Roman"/>
          <w:b/>
          <w:bCs/>
          <w:spacing w:val="-4"/>
          <w:sz w:val="24"/>
          <w:szCs w:val="24"/>
        </w:rPr>
        <w:t xml:space="preserve">11.2 </w:t>
      </w:r>
      <w:r>
        <w:rPr>
          <w:rFonts w:ascii="黑体" w:hAnsi="黑体" w:eastAsia="黑体" w:cs="黑体"/>
          <w:b/>
          <w:bCs/>
          <w:spacing w:val="-4"/>
          <w:sz w:val="24"/>
          <w:szCs w:val="24"/>
        </w:rPr>
        <w:t>法律变化引起的调整</w:t>
      </w:r>
    </w:p>
    <w:p w14:paraId="6942B0C6">
      <w:pPr>
        <w:spacing w:before="120" w:line="344" w:lineRule="auto"/>
        <w:ind w:left="2" w:right="174" w:firstLine="419"/>
        <w:rPr>
          <w:rFonts w:ascii="宋体" w:hAnsi="宋体" w:eastAsia="宋体" w:cs="宋体"/>
          <w:sz w:val="21"/>
          <w:szCs w:val="21"/>
        </w:rPr>
      </w:pPr>
      <w:r>
        <w:rPr>
          <w:rFonts w:ascii="宋体" w:hAnsi="宋体" w:eastAsia="宋体" w:cs="宋体"/>
          <w:spacing w:val="1"/>
          <w:sz w:val="21"/>
          <w:szCs w:val="21"/>
        </w:rPr>
        <w:t xml:space="preserve">基准日期后，法律变化导致承包人在合同履行过程中所需要的费用发生除第 </w:t>
      </w:r>
      <w:r>
        <w:rPr>
          <w:rFonts w:ascii="Times New Roman" w:hAnsi="Times New Roman" w:eastAsia="Times New Roman" w:cs="Times New Roman"/>
          <w:spacing w:val="1"/>
          <w:sz w:val="21"/>
          <w:szCs w:val="21"/>
        </w:rPr>
        <w:t xml:space="preserve">11.1  </w:t>
      </w:r>
      <w:r>
        <w:rPr>
          <w:rFonts w:ascii="宋体" w:hAnsi="宋体" w:eastAsia="宋体" w:cs="宋体"/>
          <w:spacing w:val="1"/>
          <w:sz w:val="21"/>
          <w:szCs w:val="21"/>
        </w:rPr>
        <w:t>款〔市场</w:t>
      </w:r>
      <w:r>
        <w:rPr>
          <w:rFonts w:ascii="宋体" w:hAnsi="宋体" w:eastAsia="宋体" w:cs="宋体"/>
          <w:sz w:val="21"/>
          <w:szCs w:val="21"/>
        </w:rPr>
        <w:t>价格波动引起的调整〕约定以外的增加时，由发包人承担由此增加的费用；减少时，应</w:t>
      </w:r>
      <w:r>
        <w:rPr>
          <w:rFonts w:ascii="宋体" w:hAnsi="宋体" w:eastAsia="宋体" w:cs="宋体"/>
          <w:spacing w:val="-1"/>
          <w:sz w:val="21"/>
          <w:szCs w:val="21"/>
        </w:rPr>
        <w:t>从合同价</w:t>
      </w:r>
    </w:p>
    <w:p w14:paraId="0D0EC2FE">
      <w:pPr>
        <w:spacing w:line="344" w:lineRule="auto"/>
        <w:rPr>
          <w:rFonts w:ascii="宋体" w:hAnsi="宋体" w:eastAsia="宋体" w:cs="宋体"/>
          <w:sz w:val="21"/>
          <w:szCs w:val="21"/>
        </w:rPr>
        <w:sectPr>
          <w:footerReference r:id="rId116" w:type="default"/>
          <w:pgSz w:w="11905" w:h="16843"/>
          <w:pgMar w:top="969" w:right="1355" w:bottom="1026" w:left="1480" w:header="0" w:footer="754" w:gutter="0"/>
          <w:cols w:space="0" w:num="1"/>
          <w:rtlGutter w:val="0"/>
          <w:docGrid w:linePitch="0" w:charSpace="0"/>
        </w:sectPr>
      </w:pPr>
    </w:p>
    <w:p w14:paraId="612BB434">
      <w:pPr>
        <w:pStyle w:val="5"/>
        <w:spacing w:line="270" w:lineRule="auto"/>
      </w:pPr>
    </w:p>
    <w:p w14:paraId="264CFD57">
      <w:pPr>
        <w:pStyle w:val="5"/>
        <w:spacing w:line="270" w:lineRule="auto"/>
      </w:pPr>
    </w:p>
    <w:p w14:paraId="74CC9293">
      <w:pPr>
        <w:pStyle w:val="5"/>
        <w:spacing w:line="270" w:lineRule="auto"/>
      </w:pPr>
    </w:p>
    <w:p w14:paraId="68DC7515">
      <w:pPr>
        <w:pStyle w:val="5"/>
        <w:spacing w:line="271" w:lineRule="auto"/>
      </w:pPr>
    </w:p>
    <w:p w14:paraId="2AB453A1">
      <w:pPr>
        <w:spacing w:before="68" w:line="221" w:lineRule="auto"/>
        <w:ind w:left="4"/>
        <w:rPr>
          <w:rFonts w:ascii="宋体" w:hAnsi="宋体" w:eastAsia="宋体" w:cs="宋体"/>
          <w:sz w:val="21"/>
          <w:szCs w:val="21"/>
        </w:rPr>
      </w:pPr>
      <w:r>
        <w:rPr>
          <w:rFonts w:ascii="宋体" w:hAnsi="宋体" w:eastAsia="宋体" w:cs="宋体"/>
          <w:sz w:val="21"/>
          <w:szCs w:val="21"/>
        </w:rPr>
        <w:t>格中予以扣减。基准日期后，因法律变化造成工期延误时，工期应予以</w:t>
      </w:r>
      <w:r>
        <w:rPr>
          <w:rFonts w:ascii="宋体" w:hAnsi="宋体" w:eastAsia="宋体" w:cs="宋体"/>
          <w:spacing w:val="-1"/>
          <w:sz w:val="21"/>
          <w:szCs w:val="21"/>
        </w:rPr>
        <w:t>顺延。</w:t>
      </w:r>
    </w:p>
    <w:p w14:paraId="6E0E97EA">
      <w:pPr>
        <w:spacing w:before="150" w:line="351" w:lineRule="auto"/>
        <w:ind w:right="177" w:firstLine="441"/>
        <w:rPr>
          <w:rFonts w:ascii="宋体" w:hAnsi="宋体" w:eastAsia="宋体" w:cs="宋体"/>
          <w:sz w:val="21"/>
          <w:szCs w:val="21"/>
        </w:rPr>
      </w:pPr>
      <w:r>
        <w:rPr>
          <w:rFonts w:ascii="宋体" w:hAnsi="宋体" w:eastAsia="宋体" w:cs="宋体"/>
          <w:sz w:val="21"/>
          <w:szCs w:val="21"/>
        </w:rPr>
        <w:t>因法律变化引起的合同价格和工期调整，合同</w:t>
      </w:r>
      <w:r>
        <w:rPr>
          <w:rFonts w:ascii="宋体" w:hAnsi="宋体" w:eastAsia="宋体" w:cs="宋体"/>
          <w:spacing w:val="-1"/>
          <w:sz w:val="21"/>
          <w:szCs w:val="21"/>
        </w:rPr>
        <w:t>当事人无法达成一致的，由总监理工程师按第</w:t>
      </w:r>
      <w:r>
        <w:rPr>
          <w:rFonts w:ascii="Times New Roman" w:hAnsi="Times New Roman" w:eastAsia="Times New Roman" w:cs="Times New Roman"/>
          <w:sz w:val="21"/>
          <w:szCs w:val="21"/>
        </w:rPr>
        <w:t xml:space="preserve">4.4 </w:t>
      </w:r>
      <w:r>
        <w:rPr>
          <w:rFonts w:ascii="宋体" w:hAnsi="宋体" w:eastAsia="宋体" w:cs="宋体"/>
          <w:sz w:val="21"/>
          <w:szCs w:val="21"/>
        </w:rPr>
        <w:t>款〔商定或确定〕的约定处理。</w:t>
      </w:r>
    </w:p>
    <w:p w14:paraId="3C35AC1F">
      <w:pPr>
        <w:spacing w:line="354" w:lineRule="auto"/>
        <w:ind w:left="7" w:right="177" w:firstLine="433"/>
        <w:rPr>
          <w:rFonts w:ascii="宋体" w:hAnsi="宋体" w:eastAsia="宋体" w:cs="宋体"/>
          <w:sz w:val="21"/>
          <w:szCs w:val="21"/>
        </w:rPr>
      </w:pPr>
      <w:r>
        <w:rPr>
          <w:rFonts w:ascii="宋体" w:hAnsi="宋体" w:eastAsia="宋体" w:cs="宋体"/>
          <w:sz w:val="21"/>
          <w:szCs w:val="21"/>
        </w:rPr>
        <w:t>因承包人原因造成工期延误，在工期延误期间</w:t>
      </w:r>
      <w:r>
        <w:rPr>
          <w:rFonts w:ascii="宋体" w:hAnsi="宋体" w:eastAsia="宋体" w:cs="宋体"/>
          <w:spacing w:val="-1"/>
          <w:sz w:val="21"/>
          <w:szCs w:val="21"/>
        </w:rPr>
        <w:t>出现法律变化的，由此增加的费用和（或）延</w:t>
      </w:r>
      <w:r>
        <w:rPr>
          <w:rFonts w:ascii="宋体" w:hAnsi="宋体" w:eastAsia="宋体" w:cs="宋体"/>
          <w:spacing w:val="-3"/>
          <w:sz w:val="21"/>
          <w:szCs w:val="21"/>
        </w:rPr>
        <w:t>误的工期由承包人承担。</w:t>
      </w:r>
    </w:p>
    <w:p w14:paraId="7C39BBC7">
      <w:pPr>
        <w:spacing w:before="34" w:line="233" w:lineRule="auto"/>
        <w:ind w:left="15"/>
        <w:outlineLvl w:val="0"/>
        <w:rPr>
          <w:rFonts w:ascii="黑体" w:hAnsi="黑体" w:eastAsia="黑体" w:cs="黑体"/>
          <w:sz w:val="28"/>
          <w:szCs w:val="28"/>
        </w:rPr>
      </w:pPr>
      <w:bookmarkStart w:id="306" w:name="bookmark231"/>
      <w:bookmarkEnd w:id="306"/>
      <w:bookmarkStart w:id="307" w:name="bookmark568"/>
      <w:bookmarkEnd w:id="307"/>
      <w:r>
        <w:rPr>
          <w:rFonts w:ascii="Times New Roman" w:hAnsi="Times New Roman" w:eastAsia="Times New Roman" w:cs="Times New Roman"/>
          <w:b/>
          <w:bCs/>
          <w:spacing w:val="-3"/>
          <w:sz w:val="28"/>
          <w:szCs w:val="28"/>
        </w:rPr>
        <w:t xml:space="preserve">12.  </w:t>
      </w:r>
      <w:r>
        <w:rPr>
          <w:rFonts w:ascii="黑体" w:hAnsi="黑体" w:eastAsia="黑体" w:cs="黑体"/>
          <w:b/>
          <w:bCs/>
          <w:spacing w:val="-3"/>
          <w:sz w:val="28"/>
          <w:szCs w:val="28"/>
        </w:rPr>
        <w:t>合同价格、计量与支付</w:t>
      </w:r>
    </w:p>
    <w:p w14:paraId="08B20836">
      <w:pPr>
        <w:spacing w:before="81" w:line="233" w:lineRule="auto"/>
        <w:ind w:left="12"/>
        <w:outlineLvl w:val="1"/>
        <w:rPr>
          <w:rFonts w:ascii="黑体" w:hAnsi="黑体" w:eastAsia="黑体" w:cs="黑体"/>
          <w:sz w:val="24"/>
          <w:szCs w:val="24"/>
        </w:rPr>
      </w:pPr>
      <w:bookmarkStart w:id="308" w:name="bookmark232"/>
      <w:bookmarkEnd w:id="308"/>
      <w:r>
        <w:rPr>
          <w:rFonts w:ascii="Times New Roman" w:hAnsi="Times New Roman" w:eastAsia="Times New Roman" w:cs="Times New Roman"/>
          <w:b/>
          <w:bCs/>
          <w:spacing w:val="-3"/>
          <w:sz w:val="24"/>
          <w:szCs w:val="24"/>
        </w:rPr>
        <w:t xml:space="preserve">12.1  </w:t>
      </w:r>
      <w:r>
        <w:rPr>
          <w:rFonts w:ascii="黑体" w:hAnsi="黑体" w:eastAsia="黑体" w:cs="黑体"/>
          <w:b/>
          <w:bCs/>
          <w:spacing w:val="-3"/>
          <w:sz w:val="24"/>
          <w:szCs w:val="24"/>
        </w:rPr>
        <w:t>合同价格形式</w:t>
      </w:r>
    </w:p>
    <w:p w14:paraId="37E37582">
      <w:pPr>
        <w:spacing w:before="124" w:line="219" w:lineRule="auto"/>
        <w:ind w:left="428"/>
        <w:rPr>
          <w:rFonts w:ascii="宋体" w:hAnsi="宋体" w:eastAsia="宋体" w:cs="宋体"/>
          <w:sz w:val="21"/>
          <w:szCs w:val="21"/>
        </w:rPr>
      </w:pPr>
      <w:r>
        <w:rPr>
          <w:rFonts w:ascii="宋体" w:hAnsi="宋体" w:eastAsia="宋体" w:cs="宋体"/>
          <w:sz w:val="21"/>
          <w:szCs w:val="21"/>
        </w:rPr>
        <w:t>发包人和承包人应在合同协议书中选择下列一种合</w:t>
      </w:r>
      <w:r>
        <w:rPr>
          <w:rFonts w:ascii="宋体" w:hAnsi="宋体" w:eastAsia="宋体" w:cs="宋体"/>
          <w:spacing w:val="-1"/>
          <w:sz w:val="21"/>
          <w:szCs w:val="21"/>
        </w:rPr>
        <w:t>同价格形式：</w:t>
      </w:r>
    </w:p>
    <w:p w14:paraId="70AE7194">
      <w:pPr>
        <w:spacing w:before="149" w:line="233" w:lineRule="auto"/>
        <w:ind w:left="441"/>
        <w:rPr>
          <w:rFonts w:ascii="宋体" w:hAnsi="宋体" w:eastAsia="宋体" w:cs="宋体"/>
          <w:sz w:val="21"/>
          <w:szCs w:val="21"/>
        </w:rPr>
      </w:pPr>
      <w:r>
        <w:rPr>
          <w:rFonts w:ascii="Times New Roman" w:hAnsi="Times New Roman" w:eastAsia="Times New Roman" w:cs="Times New Roman"/>
          <w:spacing w:val="-4"/>
          <w:sz w:val="21"/>
          <w:szCs w:val="21"/>
        </w:rPr>
        <w:t>1.</w:t>
      </w:r>
      <w:r>
        <w:rPr>
          <w:rFonts w:ascii="宋体" w:hAnsi="宋体" w:eastAsia="宋体" w:cs="宋体"/>
          <w:spacing w:val="-4"/>
          <w:sz w:val="21"/>
          <w:szCs w:val="21"/>
        </w:rPr>
        <w:t>单价合同</w:t>
      </w:r>
    </w:p>
    <w:p w14:paraId="24115346">
      <w:pPr>
        <w:spacing w:before="135" w:line="352" w:lineRule="auto"/>
        <w:ind w:left="5" w:right="177" w:firstLine="420"/>
        <w:rPr>
          <w:rFonts w:ascii="宋体" w:hAnsi="宋体" w:eastAsia="宋体" w:cs="宋体"/>
          <w:sz w:val="21"/>
          <w:szCs w:val="21"/>
        </w:rPr>
      </w:pPr>
      <w:r>
        <w:rPr>
          <w:rFonts w:ascii="宋体" w:hAnsi="宋体" w:eastAsia="宋体" w:cs="宋体"/>
          <w:sz w:val="21"/>
          <w:szCs w:val="21"/>
        </w:rPr>
        <w:t>单价合同是指合同当事人约定以工程量清单及其综合单价进行合同价格计算、调</w:t>
      </w:r>
      <w:r>
        <w:rPr>
          <w:rFonts w:ascii="宋体" w:hAnsi="宋体" w:eastAsia="宋体" w:cs="宋体"/>
          <w:spacing w:val="-1"/>
          <w:sz w:val="21"/>
          <w:szCs w:val="21"/>
        </w:rPr>
        <w:t>整和确认的</w:t>
      </w:r>
      <w:r>
        <w:rPr>
          <w:rFonts w:ascii="宋体" w:hAnsi="宋体" w:eastAsia="宋体" w:cs="宋体"/>
          <w:sz w:val="21"/>
          <w:szCs w:val="21"/>
        </w:rPr>
        <w:t>建设工程施工合同，在约定的范围内合同单价不作调整。合同当事人应在专用合同条款</w:t>
      </w:r>
      <w:r>
        <w:rPr>
          <w:rFonts w:ascii="宋体" w:hAnsi="宋体" w:eastAsia="宋体" w:cs="宋体"/>
          <w:spacing w:val="-1"/>
          <w:sz w:val="21"/>
          <w:szCs w:val="21"/>
        </w:rPr>
        <w:t>中约定综</w:t>
      </w:r>
      <w:r>
        <w:rPr>
          <w:rFonts w:ascii="宋体" w:hAnsi="宋体" w:eastAsia="宋体" w:cs="宋体"/>
          <w:sz w:val="21"/>
          <w:szCs w:val="21"/>
        </w:rPr>
        <w:t>合单价包含的风险范围和风险费用的计算方法，并约定风险范围以外的合同价格的调整</w:t>
      </w:r>
      <w:r>
        <w:rPr>
          <w:rFonts w:ascii="宋体" w:hAnsi="宋体" w:eastAsia="宋体" w:cs="宋体"/>
          <w:spacing w:val="-1"/>
          <w:sz w:val="21"/>
          <w:szCs w:val="21"/>
        </w:rPr>
        <w:t>方法，其中因市场价格波动引起的调整按第</w:t>
      </w:r>
      <w:r>
        <w:rPr>
          <w:rFonts w:ascii="宋体" w:hAnsi="宋体" w:eastAsia="宋体" w:cs="宋体"/>
          <w:spacing w:val="-29"/>
          <w:sz w:val="21"/>
          <w:szCs w:val="21"/>
        </w:rPr>
        <w:t xml:space="preserve"> </w:t>
      </w:r>
      <w:r>
        <w:rPr>
          <w:rFonts w:ascii="Times New Roman" w:hAnsi="Times New Roman" w:eastAsia="Times New Roman" w:cs="Times New Roman"/>
          <w:spacing w:val="-1"/>
          <w:sz w:val="21"/>
          <w:szCs w:val="21"/>
        </w:rPr>
        <w:t xml:space="preserve">11.1 </w:t>
      </w:r>
      <w:r>
        <w:rPr>
          <w:rFonts w:ascii="宋体" w:hAnsi="宋体" w:eastAsia="宋体" w:cs="宋体"/>
          <w:spacing w:val="-1"/>
          <w:sz w:val="21"/>
          <w:szCs w:val="21"/>
        </w:rPr>
        <w:t>款〔</w:t>
      </w:r>
      <w:r>
        <w:rPr>
          <w:rFonts w:ascii="宋体" w:hAnsi="宋体" w:eastAsia="宋体" w:cs="宋体"/>
          <w:spacing w:val="-2"/>
          <w:sz w:val="21"/>
          <w:szCs w:val="21"/>
        </w:rPr>
        <w:t>市场价格波动引起的调整〕约定执行。</w:t>
      </w:r>
    </w:p>
    <w:p w14:paraId="74A06B4B">
      <w:pPr>
        <w:spacing w:line="233" w:lineRule="auto"/>
        <w:ind w:left="421"/>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总价合同</w:t>
      </w:r>
    </w:p>
    <w:p w14:paraId="6D17651E">
      <w:pPr>
        <w:spacing w:before="134" w:line="352" w:lineRule="auto"/>
        <w:ind w:left="4" w:right="177" w:firstLine="425"/>
        <w:rPr>
          <w:rFonts w:ascii="宋体" w:hAnsi="宋体" w:eastAsia="宋体" w:cs="宋体"/>
          <w:sz w:val="21"/>
          <w:szCs w:val="21"/>
        </w:rPr>
      </w:pPr>
      <w:r>
        <w:rPr>
          <w:rFonts w:ascii="宋体" w:hAnsi="宋体" w:eastAsia="宋体" w:cs="宋体"/>
          <w:sz w:val="21"/>
          <w:szCs w:val="21"/>
        </w:rPr>
        <w:t>总价合同是指合同当事人约定以施工图、已标价工程量清单或预算书及</w:t>
      </w:r>
      <w:r>
        <w:rPr>
          <w:rFonts w:ascii="宋体" w:hAnsi="宋体" w:eastAsia="宋体" w:cs="宋体"/>
          <w:spacing w:val="-1"/>
          <w:sz w:val="21"/>
          <w:szCs w:val="21"/>
        </w:rPr>
        <w:t>有关条件进行合同价</w:t>
      </w:r>
      <w:r>
        <w:rPr>
          <w:rFonts w:ascii="宋体" w:hAnsi="宋体" w:eastAsia="宋体" w:cs="宋体"/>
          <w:sz w:val="21"/>
          <w:szCs w:val="21"/>
        </w:rPr>
        <w:t>格计算、调整和确认的建设工程施工合同，在约定的范围内合同总价不作调整。合同当事</w:t>
      </w:r>
      <w:r>
        <w:rPr>
          <w:rFonts w:ascii="宋体" w:hAnsi="宋体" w:eastAsia="宋体" w:cs="宋体"/>
          <w:spacing w:val="-1"/>
          <w:sz w:val="21"/>
          <w:szCs w:val="21"/>
        </w:rPr>
        <w:t>人应在</w:t>
      </w:r>
      <w:r>
        <w:rPr>
          <w:rFonts w:ascii="宋体" w:hAnsi="宋体" w:eastAsia="宋体" w:cs="宋体"/>
          <w:sz w:val="21"/>
          <w:szCs w:val="21"/>
        </w:rPr>
        <w:t>专用合同条款中约定总价包含的风险范围和风险费用的计算方法，并约定风险范围以外的</w:t>
      </w:r>
      <w:r>
        <w:rPr>
          <w:rFonts w:ascii="宋体" w:hAnsi="宋体" w:eastAsia="宋体" w:cs="宋体"/>
          <w:spacing w:val="-1"/>
          <w:sz w:val="21"/>
          <w:szCs w:val="21"/>
        </w:rPr>
        <w:t>合同价</w:t>
      </w:r>
      <w:r>
        <w:rPr>
          <w:rFonts w:ascii="宋体" w:hAnsi="宋体" w:eastAsia="宋体" w:cs="宋体"/>
          <w:spacing w:val="-3"/>
          <w:sz w:val="21"/>
          <w:szCs w:val="21"/>
        </w:rPr>
        <w:t xml:space="preserve">格的调整方法，其中因市场价格波动引起的调整按第 </w:t>
      </w:r>
      <w:r>
        <w:rPr>
          <w:rFonts w:ascii="Times New Roman" w:hAnsi="Times New Roman" w:eastAsia="Times New Roman" w:cs="Times New Roman"/>
          <w:spacing w:val="-3"/>
          <w:sz w:val="21"/>
          <w:szCs w:val="21"/>
        </w:rPr>
        <w:t>11</w:t>
      </w:r>
      <w:r>
        <w:rPr>
          <w:rFonts w:ascii="Times New Roman" w:hAnsi="Times New Roman" w:eastAsia="Times New Roman" w:cs="Times New Roman"/>
          <w:spacing w:val="-4"/>
          <w:sz w:val="21"/>
          <w:szCs w:val="21"/>
        </w:rPr>
        <w:t>.1</w:t>
      </w:r>
      <w:r>
        <w:rPr>
          <w:rFonts w:ascii="Times New Roman" w:hAnsi="Times New Roman" w:eastAsia="Times New Roman" w:cs="Times New Roman"/>
          <w:spacing w:val="38"/>
          <w:w w:val="101"/>
          <w:sz w:val="21"/>
          <w:szCs w:val="21"/>
        </w:rPr>
        <w:t xml:space="preserve"> </w:t>
      </w:r>
      <w:r>
        <w:rPr>
          <w:rFonts w:ascii="宋体" w:hAnsi="宋体" w:eastAsia="宋体" w:cs="宋体"/>
          <w:spacing w:val="-4"/>
          <w:sz w:val="21"/>
          <w:szCs w:val="21"/>
        </w:rPr>
        <w:t>款〔市场价格波动引起的调整〕、因法</w:t>
      </w:r>
      <w:r>
        <w:rPr>
          <w:rFonts w:ascii="宋体" w:hAnsi="宋体" w:eastAsia="宋体" w:cs="宋体"/>
          <w:spacing w:val="-2"/>
          <w:sz w:val="21"/>
          <w:szCs w:val="21"/>
        </w:rPr>
        <w:t>律变化引起的调整按第</w:t>
      </w:r>
      <w:r>
        <w:rPr>
          <w:rFonts w:ascii="宋体" w:hAnsi="宋体" w:eastAsia="宋体" w:cs="宋体"/>
          <w:spacing w:val="-16"/>
          <w:sz w:val="21"/>
          <w:szCs w:val="21"/>
        </w:rPr>
        <w:t xml:space="preserve"> </w:t>
      </w:r>
      <w:r>
        <w:rPr>
          <w:rFonts w:ascii="Times New Roman" w:hAnsi="Times New Roman" w:eastAsia="Times New Roman" w:cs="Times New Roman"/>
          <w:spacing w:val="-2"/>
          <w:sz w:val="21"/>
          <w:szCs w:val="21"/>
        </w:rPr>
        <w:t xml:space="preserve">11.2 </w:t>
      </w:r>
      <w:r>
        <w:rPr>
          <w:rFonts w:ascii="宋体" w:hAnsi="宋体" w:eastAsia="宋体" w:cs="宋体"/>
          <w:spacing w:val="-2"/>
          <w:sz w:val="21"/>
          <w:szCs w:val="21"/>
        </w:rPr>
        <w:t>款〔法律变化引起的调整〕约定执行。</w:t>
      </w:r>
    </w:p>
    <w:p w14:paraId="2A90C704">
      <w:pPr>
        <w:spacing w:line="233" w:lineRule="auto"/>
        <w:ind w:left="425"/>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其它价格形式</w:t>
      </w:r>
    </w:p>
    <w:p w14:paraId="52043B66">
      <w:pPr>
        <w:spacing w:before="133" w:line="219" w:lineRule="auto"/>
        <w:ind w:left="425"/>
        <w:rPr>
          <w:rFonts w:ascii="宋体" w:hAnsi="宋体" w:eastAsia="宋体" w:cs="宋体"/>
          <w:sz w:val="21"/>
          <w:szCs w:val="21"/>
        </w:rPr>
      </w:pPr>
      <w:r>
        <w:rPr>
          <w:rFonts w:ascii="宋体" w:hAnsi="宋体" w:eastAsia="宋体" w:cs="宋体"/>
          <w:spacing w:val="-1"/>
          <w:sz w:val="21"/>
          <w:szCs w:val="21"/>
        </w:rPr>
        <w:t>合同当事人可在专用合同条款中约定其他合同价格形式。</w:t>
      </w:r>
    </w:p>
    <w:p w14:paraId="598C46BF">
      <w:pPr>
        <w:spacing w:before="127" w:line="233" w:lineRule="auto"/>
        <w:ind w:left="12"/>
        <w:outlineLvl w:val="1"/>
        <w:rPr>
          <w:rFonts w:ascii="黑体" w:hAnsi="黑体" w:eastAsia="黑体" w:cs="黑体"/>
          <w:sz w:val="24"/>
          <w:szCs w:val="24"/>
        </w:rPr>
      </w:pPr>
      <w:bookmarkStart w:id="309" w:name="bookmark233"/>
      <w:bookmarkEnd w:id="309"/>
      <w:r>
        <w:rPr>
          <w:rFonts w:ascii="Times New Roman" w:hAnsi="Times New Roman" w:eastAsia="Times New Roman" w:cs="Times New Roman"/>
          <w:b/>
          <w:bCs/>
          <w:spacing w:val="-5"/>
          <w:sz w:val="24"/>
          <w:szCs w:val="24"/>
        </w:rPr>
        <w:t>12.2</w:t>
      </w:r>
      <w:r>
        <w:rPr>
          <w:rFonts w:ascii="Times New Roman" w:hAnsi="Times New Roman" w:eastAsia="Times New Roman" w:cs="Times New Roman"/>
          <w:b/>
          <w:bCs/>
          <w:spacing w:val="13"/>
          <w:sz w:val="24"/>
          <w:szCs w:val="24"/>
        </w:rPr>
        <w:t xml:space="preserve"> </w:t>
      </w:r>
      <w:r>
        <w:rPr>
          <w:rFonts w:ascii="黑体" w:hAnsi="黑体" w:eastAsia="黑体" w:cs="黑体"/>
          <w:b/>
          <w:bCs/>
          <w:spacing w:val="-5"/>
          <w:sz w:val="24"/>
          <w:szCs w:val="24"/>
        </w:rPr>
        <w:t>预付款</w:t>
      </w:r>
    </w:p>
    <w:p w14:paraId="330D899A">
      <w:pPr>
        <w:spacing w:before="123" w:line="234" w:lineRule="auto"/>
        <w:ind w:left="441"/>
        <w:rPr>
          <w:rFonts w:ascii="宋体" w:hAnsi="宋体" w:eastAsia="宋体" w:cs="宋体"/>
          <w:sz w:val="21"/>
          <w:szCs w:val="21"/>
        </w:rPr>
      </w:pPr>
      <w:r>
        <w:rPr>
          <w:rFonts w:ascii="Times New Roman" w:hAnsi="Times New Roman" w:eastAsia="Times New Roman" w:cs="Times New Roman"/>
          <w:spacing w:val="-2"/>
          <w:sz w:val="21"/>
          <w:szCs w:val="21"/>
        </w:rPr>
        <w:t xml:space="preserve">12.2.1 </w:t>
      </w:r>
      <w:r>
        <w:rPr>
          <w:rFonts w:ascii="宋体" w:hAnsi="宋体" w:eastAsia="宋体" w:cs="宋体"/>
          <w:spacing w:val="-2"/>
          <w:sz w:val="21"/>
          <w:szCs w:val="21"/>
        </w:rPr>
        <w:t>预付款的支付</w:t>
      </w:r>
    </w:p>
    <w:p w14:paraId="76663258">
      <w:pPr>
        <w:spacing w:before="133" w:line="344" w:lineRule="auto"/>
        <w:ind w:left="6" w:firstLine="420"/>
        <w:rPr>
          <w:rFonts w:ascii="宋体" w:hAnsi="宋体" w:eastAsia="宋体" w:cs="宋体"/>
          <w:sz w:val="21"/>
          <w:szCs w:val="21"/>
        </w:rPr>
      </w:pPr>
      <w:r>
        <w:rPr>
          <w:rFonts w:ascii="宋体" w:hAnsi="宋体" w:eastAsia="宋体" w:cs="宋体"/>
          <w:spacing w:val="-1"/>
          <w:sz w:val="21"/>
          <w:szCs w:val="21"/>
        </w:rPr>
        <w:t>预付款的支付按照专用合同条款约定执行，但至迟应在开工通知载明的开工日期</w:t>
      </w:r>
      <w:r>
        <w:rPr>
          <w:rFonts w:ascii="宋体" w:hAnsi="宋体" w:eastAsia="宋体" w:cs="宋体"/>
          <w:spacing w:val="-44"/>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w:t>
      </w:r>
      <w:r>
        <w:rPr>
          <w:rFonts w:ascii="宋体" w:hAnsi="宋体" w:eastAsia="宋体" w:cs="宋体"/>
          <w:spacing w:val="-2"/>
          <w:sz w:val="21"/>
          <w:szCs w:val="21"/>
        </w:rPr>
        <w:t>前支付。</w:t>
      </w:r>
      <w:r>
        <w:rPr>
          <w:rFonts w:ascii="宋体" w:hAnsi="宋体" w:eastAsia="宋体" w:cs="宋体"/>
          <w:sz w:val="21"/>
          <w:szCs w:val="21"/>
        </w:rPr>
        <w:t>预付款应当用于材料、工程设备、施工设备的采</w:t>
      </w:r>
      <w:r>
        <w:rPr>
          <w:rFonts w:ascii="宋体" w:hAnsi="宋体" w:eastAsia="宋体" w:cs="宋体"/>
          <w:spacing w:val="-1"/>
          <w:sz w:val="21"/>
          <w:szCs w:val="21"/>
        </w:rPr>
        <w:t>购及修建临时工程、组织施工队伍进场等。</w:t>
      </w:r>
    </w:p>
    <w:p w14:paraId="3CA6E23E">
      <w:pPr>
        <w:spacing w:before="19" w:line="351" w:lineRule="auto"/>
        <w:ind w:left="8" w:right="177" w:firstLine="429"/>
        <w:rPr>
          <w:rFonts w:ascii="宋体" w:hAnsi="宋体" w:eastAsia="宋体" w:cs="宋体"/>
          <w:sz w:val="21"/>
          <w:szCs w:val="21"/>
        </w:rPr>
      </w:pPr>
      <w:r>
        <w:rPr>
          <w:rFonts w:ascii="宋体" w:hAnsi="宋体" w:eastAsia="宋体" w:cs="宋体"/>
          <w:sz w:val="21"/>
          <w:szCs w:val="21"/>
        </w:rPr>
        <w:t>除专用合同条款另有约定外，预付款在进度付款中同比</w:t>
      </w:r>
      <w:r>
        <w:rPr>
          <w:rFonts w:ascii="宋体" w:hAnsi="宋体" w:eastAsia="宋体" w:cs="宋体"/>
          <w:spacing w:val="-1"/>
          <w:sz w:val="21"/>
          <w:szCs w:val="21"/>
        </w:rPr>
        <w:t>例扣回。在颁发工程接收证书前，提</w:t>
      </w:r>
      <w:r>
        <w:rPr>
          <w:rFonts w:ascii="宋体" w:hAnsi="宋体" w:eastAsia="宋体" w:cs="宋体"/>
          <w:sz w:val="21"/>
          <w:szCs w:val="21"/>
        </w:rPr>
        <w:t>前解除合同的，尚未扣完的预付款应与合同价</w:t>
      </w:r>
      <w:r>
        <w:rPr>
          <w:rFonts w:ascii="宋体" w:hAnsi="宋体" w:eastAsia="宋体" w:cs="宋体"/>
          <w:spacing w:val="-1"/>
          <w:sz w:val="21"/>
          <w:szCs w:val="21"/>
        </w:rPr>
        <w:t>款一并结算。</w:t>
      </w:r>
    </w:p>
    <w:p w14:paraId="5DCD35D8">
      <w:pPr>
        <w:spacing w:before="3" w:line="345" w:lineRule="auto"/>
        <w:ind w:left="8" w:right="177" w:firstLine="420"/>
        <w:jc w:val="both"/>
        <w:rPr>
          <w:rFonts w:ascii="宋体" w:hAnsi="宋体" w:eastAsia="宋体" w:cs="宋体"/>
          <w:sz w:val="21"/>
          <w:szCs w:val="21"/>
        </w:rPr>
      </w:pPr>
      <w:r>
        <w:rPr>
          <w:rFonts w:ascii="宋体" w:hAnsi="宋体" w:eastAsia="宋体" w:cs="宋体"/>
          <w:sz w:val="21"/>
          <w:szCs w:val="21"/>
        </w:rPr>
        <w:t>发包人逾期支付预付款超过</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天的，承包人有权向发包人</w:t>
      </w:r>
      <w:r>
        <w:rPr>
          <w:rFonts w:ascii="宋体" w:hAnsi="宋体" w:eastAsia="宋体" w:cs="宋体"/>
          <w:spacing w:val="-1"/>
          <w:sz w:val="21"/>
          <w:szCs w:val="21"/>
        </w:rPr>
        <w:t>发出要求预付的催告通知，发包人收到通知后</w:t>
      </w:r>
      <w:r>
        <w:rPr>
          <w:rFonts w:ascii="宋体" w:hAnsi="宋体" w:eastAsia="宋体" w:cs="宋体"/>
          <w:spacing w:val="-35"/>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天内仍未支付的，承包人有权暂停施工，并按第</w:t>
      </w:r>
      <w:r>
        <w:rPr>
          <w:rFonts w:ascii="宋体" w:hAnsi="宋体" w:eastAsia="宋体" w:cs="宋体"/>
          <w:spacing w:val="-30"/>
          <w:sz w:val="21"/>
          <w:szCs w:val="21"/>
        </w:rPr>
        <w:t xml:space="preserve"> </w:t>
      </w:r>
      <w:r>
        <w:rPr>
          <w:rFonts w:ascii="Times New Roman" w:hAnsi="Times New Roman" w:eastAsia="Times New Roman" w:cs="Times New Roman"/>
          <w:spacing w:val="-1"/>
          <w:sz w:val="21"/>
          <w:szCs w:val="21"/>
        </w:rPr>
        <w:t xml:space="preserve">16.1.1 </w:t>
      </w:r>
      <w:r>
        <w:rPr>
          <w:rFonts w:ascii="宋体" w:hAnsi="宋体" w:eastAsia="宋体" w:cs="宋体"/>
          <w:spacing w:val="-1"/>
          <w:sz w:val="21"/>
          <w:szCs w:val="21"/>
        </w:rPr>
        <w:t>项〔发包人违约的情形〕执</w:t>
      </w:r>
      <w:r>
        <w:rPr>
          <w:rFonts w:ascii="宋体" w:hAnsi="宋体" w:eastAsia="宋体" w:cs="宋体"/>
          <w:spacing w:val="-11"/>
          <w:sz w:val="21"/>
          <w:szCs w:val="21"/>
        </w:rPr>
        <w:t>行。</w:t>
      </w:r>
    </w:p>
    <w:p w14:paraId="25D5D538">
      <w:pPr>
        <w:spacing w:before="20" w:line="234" w:lineRule="auto"/>
        <w:ind w:left="441"/>
        <w:rPr>
          <w:rFonts w:ascii="宋体" w:hAnsi="宋体" w:eastAsia="宋体" w:cs="宋体"/>
          <w:sz w:val="21"/>
          <w:szCs w:val="21"/>
        </w:rPr>
      </w:pPr>
      <w:r>
        <w:rPr>
          <w:rFonts w:ascii="Times New Roman" w:hAnsi="Times New Roman" w:eastAsia="Times New Roman" w:cs="Times New Roman"/>
          <w:spacing w:val="-2"/>
          <w:sz w:val="21"/>
          <w:szCs w:val="21"/>
        </w:rPr>
        <w:t xml:space="preserve">12.2.2  </w:t>
      </w:r>
      <w:r>
        <w:rPr>
          <w:rFonts w:ascii="宋体" w:hAnsi="宋体" w:eastAsia="宋体" w:cs="宋体"/>
          <w:spacing w:val="-2"/>
          <w:sz w:val="21"/>
          <w:szCs w:val="21"/>
        </w:rPr>
        <w:t>预付款担保</w:t>
      </w:r>
    </w:p>
    <w:p w14:paraId="3368EB33">
      <w:pPr>
        <w:spacing w:before="134" w:line="350" w:lineRule="auto"/>
        <w:ind w:left="4" w:right="16" w:firstLine="423"/>
        <w:rPr>
          <w:rFonts w:ascii="宋体" w:hAnsi="宋体" w:eastAsia="宋体" w:cs="宋体"/>
          <w:sz w:val="21"/>
          <w:szCs w:val="21"/>
        </w:rPr>
      </w:pPr>
      <w:r>
        <w:rPr>
          <w:rFonts w:ascii="宋体" w:hAnsi="宋体" w:eastAsia="宋体" w:cs="宋体"/>
          <w:spacing w:val="-1"/>
          <w:sz w:val="21"/>
          <w:szCs w:val="21"/>
        </w:rPr>
        <w:t>发包人要求承包人提供预付款担保的，承包人</w:t>
      </w:r>
      <w:r>
        <w:rPr>
          <w:rFonts w:ascii="宋体" w:hAnsi="宋体" w:eastAsia="宋体" w:cs="宋体"/>
          <w:spacing w:val="-2"/>
          <w:sz w:val="21"/>
          <w:szCs w:val="21"/>
        </w:rPr>
        <w:t>应在发包人支付预付款</w:t>
      </w:r>
      <w:r>
        <w:rPr>
          <w:rFonts w:ascii="宋体" w:hAnsi="宋体" w:eastAsia="宋体" w:cs="宋体"/>
          <w:spacing w:val="-44"/>
          <w:sz w:val="21"/>
          <w:szCs w:val="21"/>
        </w:rPr>
        <w:t xml:space="preserve">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天前提供预付款担保，</w:t>
      </w:r>
      <w:r>
        <w:rPr>
          <w:rFonts w:ascii="宋体" w:hAnsi="宋体" w:eastAsia="宋体" w:cs="宋体"/>
          <w:sz w:val="21"/>
          <w:szCs w:val="21"/>
        </w:rPr>
        <w:t>专用合同条款另有约定除外。预付款担保可采用银行保函、担保公司担保等形式，具体由</w:t>
      </w:r>
      <w:r>
        <w:rPr>
          <w:rFonts w:ascii="宋体" w:hAnsi="宋体" w:eastAsia="宋体" w:cs="宋体"/>
          <w:spacing w:val="-1"/>
          <w:sz w:val="21"/>
          <w:szCs w:val="21"/>
        </w:rPr>
        <w:t>合同当</w:t>
      </w:r>
      <w:r>
        <w:rPr>
          <w:rFonts w:ascii="宋体" w:hAnsi="宋体" w:eastAsia="宋体" w:cs="宋体"/>
          <w:sz w:val="21"/>
          <w:szCs w:val="21"/>
        </w:rPr>
        <w:t>事人在专用合同条款中约定。在预付款完全扣回之前</w:t>
      </w:r>
      <w:r>
        <w:rPr>
          <w:rFonts w:ascii="宋体" w:hAnsi="宋体" w:eastAsia="宋体" w:cs="宋体"/>
          <w:spacing w:val="-1"/>
          <w:sz w:val="21"/>
          <w:szCs w:val="21"/>
        </w:rPr>
        <w:t>，承包人应保证预付款担保持续有效。</w:t>
      </w:r>
    </w:p>
    <w:p w14:paraId="6FC3350F">
      <w:pPr>
        <w:spacing w:line="350" w:lineRule="auto"/>
        <w:rPr>
          <w:rFonts w:ascii="宋体" w:hAnsi="宋体" w:eastAsia="宋体" w:cs="宋体"/>
          <w:sz w:val="21"/>
          <w:szCs w:val="21"/>
        </w:rPr>
        <w:sectPr>
          <w:footerReference r:id="rId117" w:type="default"/>
          <w:pgSz w:w="11905" w:h="16843"/>
          <w:pgMar w:top="969" w:right="1355" w:bottom="1026" w:left="1480" w:header="0" w:footer="754" w:gutter="0"/>
          <w:cols w:space="0" w:num="1"/>
          <w:rtlGutter w:val="0"/>
          <w:docGrid w:linePitch="0" w:charSpace="0"/>
        </w:sectPr>
      </w:pPr>
    </w:p>
    <w:p w14:paraId="6D0F9E1E">
      <w:pPr>
        <w:pStyle w:val="5"/>
        <w:spacing w:line="270" w:lineRule="auto"/>
      </w:pPr>
    </w:p>
    <w:p w14:paraId="5354E1C4">
      <w:pPr>
        <w:pStyle w:val="5"/>
        <w:spacing w:line="270" w:lineRule="auto"/>
      </w:pPr>
    </w:p>
    <w:p w14:paraId="0B8EA13E">
      <w:pPr>
        <w:pStyle w:val="5"/>
        <w:spacing w:line="271" w:lineRule="auto"/>
      </w:pPr>
    </w:p>
    <w:p w14:paraId="1F1FADF6">
      <w:pPr>
        <w:pStyle w:val="5"/>
        <w:spacing w:line="271" w:lineRule="auto"/>
      </w:pPr>
    </w:p>
    <w:p w14:paraId="28353AB0">
      <w:pPr>
        <w:spacing w:before="68" w:line="341" w:lineRule="auto"/>
        <w:ind w:left="1" w:firstLine="423"/>
        <w:rPr>
          <w:rFonts w:ascii="宋体" w:hAnsi="宋体" w:eastAsia="宋体" w:cs="宋体"/>
          <w:sz w:val="21"/>
          <w:szCs w:val="21"/>
        </w:rPr>
      </w:pPr>
      <w:r>
        <w:rPr>
          <w:rFonts w:ascii="宋体" w:hAnsi="宋体" w:eastAsia="宋体" w:cs="宋体"/>
          <w:sz w:val="21"/>
          <w:szCs w:val="21"/>
        </w:rPr>
        <w:t>发包人在工程款中逐期扣回预付款后，预付款担保额度应相应减少，但剩余</w:t>
      </w:r>
      <w:r>
        <w:rPr>
          <w:rFonts w:ascii="宋体" w:hAnsi="宋体" w:eastAsia="宋体" w:cs="宋体"/>
          <w:spacing w:val="-1"/>
          <w:sz w:val="21"/>
          <w:szCs w:val="21"/>
        </w:rPr>
        <w:t>的预付款担保金</w:t>
      </w:r>
      <w:r>
        <w:rPr>
          <w:rFonts w:ascii="宋体" w:hAnsi="宋体" w:eastAsia="宋体" w:cs="宋体"/>
          <w:spacing w:val="-2"/>
          <w:sz w:val="21"/>
          <w:szCs w:val="21"/>
        </w:rPr>
        <w:t>额不得低于未被扣回的预付款金额。</w:t>
      </w:r>
    </w:p>
    <w:p w14:paraId="266D5B57">
      <w:pPr>
        <w:spacing w:line="236" w:lineRule="auto"/>
        <w:ind w:left="9"/>
        <w:outlineLvl w:val="1"/>
        <w:rPr>
          <w:rFonts w:ascii="黑体" w:hAnsi="黑体" w:eastAsia="黑体" w:cs="黑体"/>
          <w:sz w:val="24"/>
          <w:szCs w:val="24"/>
        </w:rPr>
      </w:pPr>
      <w:bookmarkStart w:id="310" w:name="bookmark569"/>
      <w:bookmarkEnd w:id="310"/>
      <w:bookmarkStart w:id="311" w:name="bookmark234"/>
      <w:bookmarkEnd w:id="311"/>
      <w:r>
        <w:rPr>
          <w:rFonts w:ascii="Times New Roman" w:hAnsi="Times New Roman" w:eastAsia="Times New Roman" w:cs="Times New Roman"/>
          <w:b/>
          <w:bCs/>
          <w:spacing w:val="-5"/>
          <w:sz w:val="24"/>
          <w:szCs w:val="24"/>
        </w:rPr>
        <w:t>12.3</w:t>
      </w:r>
      <w:r>
        <w:rPr>
          <w:rFonts w:ascii="Times New Roman" w:hAnsi="Times New Roman" w:eastAsia="Times New Roman" w:cs="Times New Roman"/>
          <w:b/>
          <w:bCs/>
          <w:spacing w:val="14"/>
          <w:sz w:val="24"/>
          <w:szCs w:val="24"/>
        </w:rPr>
        <w:t xml:space="preserve"> </w:t>
      </w:r>
      <w:r>
        <w:rPr>
          <w:rFonts w:ascii="黑体" w:hAnsi="黑体" w:eastAsia="黑体" w:cs="黑体"/>
          <w:b/>
          <w:bCs/>
          <w:spacing w:val="-5"/>
          <w:sz w:val="24"/>
          <w:szCs w:val="24"/>
        </w:rPr>
        <w:t>计量</w:t>
      </w:r>
    </w:p>
    <w:p w14:paraId="773B1FA9">
      <w:pPr>
        <w:spacing w:before="116" w:line="235"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12.3.1  </w:t>
      </w:r>
      <w:r>
        <w:rPr>
          <w:rFonts w:ascii="宋体" w:hAnsi="宋体" w:eastAsia="宋体" w:cs="宋体"/>
          <w:spacing w:val="-2"/>
          <w:sz w:val="21"/>
          <w:szCs w:val="21"/>
        </w:rPr>
        <w:t>计量原则</w:t>
      </w:r>
    </w:p>
    <w:p w14:paraId="12E44C27">
      <w:pPr>
        <w:spacing w:before="133" w:line="351" w:lineRule="auto"/>
        <w:ind w:left="1" w:firstLine="422"/>
        <w:rPr>
          <w:rFonts w:ascii="宋体" w:hAnsi="宋体" w:eastAsia="宋体" w:cs="宋体"/>
          <w:sz w:val="21"/>
          <w:szCs w:val="21"/>
        </w:rPr>
      </w:pPr>
      <w:r>
        <w:rPr>
          <w:rFonts w:ascii="宋体" w:hAnsi="宋体" w:eastAsia="宋体" w:cs="宋体"/>
          <w:sz w:val="21"/>
          <w:szCs w:val="21"/>
        </w:rPr>
        <w:t>工程量计量按照合同约定的工程量计算规则、图纸及变更指示等进行计量。工</w:t>
      </w:r>
      <w:r>
        <w:rPr>
          <w:rFonts w:ascii="宋体" w:hAnsi="宋体" w:eastAsia="宋体" w:cs="宋体"/>
          <w:spacing w:val="-1"/>
          <w:sz w:val="21"/>
          <w:szCs w:val="21"/>
        </w:rPr>
        <w:t>程量计算规则应以相关的国家标准、行业标准等为依据，由合同当事人在专用合同条款中约定。</w:t>
      </w:r>
    </w:p>
    <w:p w14:paraId="362AD7C5">
      <w:pPr>
        <w:spacing w:line="235"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12.3.2  </w:t>
      </w:r>
      <w:r>
        <w:rPr>
          <w:rFonts w:ascii="宋体" w:hAnsi="宋体" w:eastAsia="宋体" w:cs="宋体"/>
          <w:spacing w:val="-2"/>
          <w:sz w:val="21"/>
          <w:szCs w:val="21"/>
        </w:rPr>
        <w:t>计量周期</w:t>
      </w:r>
    </w:p>
    <w:p w14:paraId="7ECA5DD6">
      <w:pPr>
        <w:spacing w:before="133" w:line="221" w:lineRule="auto"/>
        <w:ind w:left="434"/>
        <w:rPr>
          <w:rFonts w:ascii="宋体" w:hAnsi="宋体" w:eastAsia="宋体" w:cs="宋体"/>
          <w:sz w:val="21"/>
          <w:szCs w:val="21"/>
        </w:rPr>
      </w:pPr>
      <w:r>
        <w:rPr>
          <w:rFonts w:ascii="宋体" w:hAnsi="宋体" w:eastAsia="宋体" w:cs="宋体"/>
          <w:spacing w:val="-2"/>
          <w:sz w:val="21"/>
          <w:szCs w:val="21"/>
          <w:highlight w:val="yellow"/>
        </w:rPr>
        <w:t>除专用合同条款另有约定外，工程量的计量按月进行。</w:t>
      </w:r>
    </w:p>
    <w:p w14:paraId="14D50AA0">
      <w:pPr>
        <w:spacing w:before="151" w:line="233"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12.3.3  </w:t>
      </w:r>
      <w:r>
        <w:rPr>
          <w:rFonts w:ascii="宋体" w:hAnsi="宋体" w:eastAsia="宋体" w:cs="宋体"/>
          <w:spacing w:val="-2"/>
          <w:sz w:val="21"/>
          <w:szCs w:val="21"/>
        </w:rPr>
        <w:t>单价合同的计量</w:t>
      </w:r>
    </w:p>
    <w:p w14:paraId="0CA845FB">
      <w:pPr>
        <w:spacing w:before="133" w:line="219" w:lineRule="auto"/>
        <w:ind w:left="434"/>
        <w:rPr>
          <w:rFonts w:ascii="宋体" w:hAnsi="宋体" w:eastAsia="宋体" w:cs="宋体"/>
          <w:sz w:val="21"/>
          <w:szCs w:val="21"/>
        </w:rPr>
      </w:pPr>
      <w:r>
        <w:rPr>
          <w:rFonts w:ascii="宋体" w:hAnsi="宋体" w:eastAsia="宋体" w:cs="宋体"/>
          <w:spacing w:val="-2"/>
          <w:sz w:val="21"/>
          <w:szCs w:val="21"/>
        </w:rPr>
        <w:t>除专用合同条款另有约定外，单价合同的计量按照本项约定执行：</w:t>
      </w:r>
    </w:p>
    <w:p w14:paraId="54704C32">
      <w:pPr>
        <w:spacing w:before="153" w:line="286" w:lineRule="auto"/>
        <w:ind w:left="5" w:right="2" w:firstLine="422"/>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）承包人应于每月</w:t>
      </w:r>
      <w:r>
        <w:rPr>
          <w:rFonts w:ascii="宋体" w:hAnsi="宋体" w:eastAsia="宋体" w:cs="宋体"/>
          <w:spacing w:val="-48"/>
          <w:sz w:val="21"/>
          <w:szCs w:val="21"/>
        </w:rPr>
        <w:t xml:space="preserve"> </w:t>
      </w:r>
      <w:r>
        <w:rPr>
          <w:rFonts w:ascii="Times New Roman" w:hAnsi="Times New Roman" w:eastAsia="Times New Roman" w:cs="Times New Roman"/>
          <w:spacing w:val="-4"/>
          <w:sz w:val="21"/>
          <w:szCs w:val="21"/>
        </w:rPr>
        <w:t>25</w:t>
      </w:r>
      <w:r>
        <w:rPr>
          <w:rFonts w:ascii="Times New Roman" w:hAnsi="Times New Roman" w:eastAsia="Times New Roman" w:cs="Times New Roman"/>
          <w:spacing w:val="43"/>
          <w:sz w:val="21"/>
          <w:szCs w:val="21"/>
        </w:rPr>
        <w:t xml:space="preserve"> </w:t>
      </w:r>
      <w:r>
        <w:rPr>
          <w:rFonts w:ascii="宋体" w:hAnsi="宋体" w:eastAsia="宋体" w:cs="宋体"/>
          <w:spacing w:val="-4"/>
          <w:sz w:val="21"/>
          <w:szCs w:val="21"/>
        </w:rPr>
        <w:t>日向监理人报送上月</w:t>
      </w:r>
      <w:r>
        <w:rPr>
          <w:rFonts w:ascii="宋体" w:hAnsi="宋体" w:eastAsia="宋体" w:cs="宋体"/>
          <w:spacing w:val="-50"/>
          <w:sz w:val="21"/>
          <w:szCs w:val="21"/>
        </w:rPr>
        <w:t xml:space="preserve"> </w:t>
      </w:r>
      <w:r>
        <w:rPr>
          <w:rFonts w:ascii="Times New Roman" w:hAnsi="Times New Roman" w:eastAsia="Times New Roman" w:cs="Times New Roman"/>
          <w:spacing w:val="-4"/>
          <w:sz w:val="21"/>
          <w:szCs w:val="21"/>
        </w:rPr>
        <w:t>20</w:t>
      </w:r>
      <w:r>
        <w:rPr>
          <w:rFonts w:ascii="Times New Roman" w:hAnsi="Times New Roman" w:eastAsia="Times New Roman" w:cs="Times New Roman"/>
          <w:spacing w:val="42"/>
          <w:w w:val="101"/>
          <w:sz w:val="21"/>
          <w:szCs w:val="21"/>
        </w:rPr>
        <w:t xml:space="preserve"> </w:t>
      </w:r>
      <w:r>
        <w:rPr>
          <w:rFonts w:ascii="宋体" w:hAnsi="宋体" w:eastAsia="宋体" w:cs="宋体"/>
          <w:spacing w:val="-4"/>
          <w:sz w:val="21"/>
          <w:szCs w:val="21"/>
        </w:rPr>
        <w:t>日至当月</w:t>
      </w:r>
      <w:r>
        <w:rPr>
          <w:rFonts w:ascii="宋体" w:hAnsi="宋体" w:eastAsia="宋体" w:cs="宋体"/>
          <w:spacing w:val="-28"/>
          <w:sz w:val="21"/>
          <w:szCs w:val="21"/>
        </w:rPr>
        <w:t xml:space="preserve"> </w:t>
      </w:r>
      <w:r>
        <w:rPr>
          <w:rFonts w:ascii="Times New Roman" w:hAnsi="Times New Roman" w:eastAsia="Times New Roman" w:cs="Times New Roman"/>
          <w:spacing w:val="-4"/>
          <w:sz w:val="21"/>
          <w:szCs w:val="21"/>
        </w:rPr>
        <w:t>19</w:t>
      </w:r>
      <w:r>
        <w:rPr>
          <w:rFonts w:ascii="Times New Roman" w:hAnsi="Times New Roman" w:eastAsia="Times New Roman" w:cs="Times New Roman"/>
          <w:spacing w:val="43"/>
          <w:sz w:val="21"/>
          <w:szCs w:val="21"/>
        </w:rPr>
        <w:t xml:space="preserve"> </w:t>
      </w:r>
      <w:r>
        <w:rPr>
          <w:rFonts w:ascii="宋体" w:hAnsi="宋体" w:eastAsia="宋体" w:cs="宋体"/>
          <w:spacing w:val="-4"/>
          <w:sz w:val="21"/>
          <w:szCs w:val="21"/>
        </w:rPr>
        <w:t>日已完成的工程量报</w:t>
      </w:r>
      <w:r>
        <w:rPr>
          <w:rFonts w:ascii="宋体" w:hAnsi="宋体" w:eastAsia="宋体" w:cs="宋体"/>
          <w:spacing w:val="-5"/>
          <w:sz w:val="21"/>
          <w:szCs w:val="21"/>
        </w:rPr>
        <w:t>告，并附</w:t>
      </w:r>
      <w:r>
        <w:rPr>
          <w:rFonts w:ascii="宋体" w:hAnsi="宋体" w:eastAsia="宋体" w:cs="宋体"/>
          <w:spacing w:val="-1"/>
          <w:sz w:val="21"/>
          <w:szCs w:val="21"/>
        </w:rPr>
        <w:t>具进度付款申请单、已完成工程量报表和有关资料。</w:t>
      </w:r>
    </w:p>
    <w:p w14:paraId="54BC0BC6">
      <w:pPr>
        <w:spacing w:before="145" w:line="326" w:lineRule="auto"/>
        <w:ind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 xml:space="preserve">）监理人应在收到承包人提交的工程量报告后 </w:t>
      </w:r>
      <w:r>
        <w:rPr>
          <w:rFonts w:ascii="Times New Roman" w:hAnsi="Times New Roman" w:eastAsia="Times New Roman" w:cs="Times New Roman"/>
          <w:sz w:val="21"/>
          <w:szCs w:val="21"/>
        </w:rPr>
        <w:t xml:space="preserve">7  </w:t>
      </w:r>
      <w:r>
        <w:rPr>
          <w:rFonts w:ascii="宋体" w:hAnsi="宋体" w:eastAsia="宋体" w:cs="宋体"/>
          <w:sz w:val="21"/>
          <w:szCs w:val="21"/>
        </w:rPr>
        <w:t>天内完成对</w:t>
      </w:r>
      <w:r>
        <w:rPr>
          <w:rFonts w:ascii="宋体" w:hAnsi="宋体" w:eastAsia="宋体" w:cs="宋体"/>
          <w:spacing w:val="-1"/>
          <w:sz w:val="21"/>
          <w:szCs w:val="21"/>
        </w:rPr>
        <w:t>承包人提交的工程量报表的</w:t>
      </w:r>
      <w:r>
        <w:rPr>
          <w:rFonts w:ascii="宋体" w:hAnsi="宋体" w:eastAsia="宋体" w:cs="宋体"/>
          <w:sz w:val="21"/>
          <w:szCs w:val="21"/>
        </w:rPr>
        <w:t>审核并报送发包人，以确定当月实际完成的工程量。监理人对工程量有异议的，有权要求承</w:t>
      </w:r>
      <w:r>
        <w:rPr>
          <w:rFonts w:ascii="宋体" w:hAnsi="宋体" w:eastAsia="宋体" w:cs="宋体"/>
          <w:spacing w:val="-1"/>
          <w:sz w:val="21"/>
          <w:szCs w:val="21"/>
        </w:rPr>
        <w:t>包人</w:t>
      </w:r>
      <w:r>
        <w:rPr>
          <w:rFonts w:ascii="宋体" w:hAnsi="宋体" w:eastAsia="宋体" w:cs="宋体"/>
          <w:sz w:val="21"/>
          <w:szCs w:val="21"/>
        </w:rPr>
        <w:t>进行共同复核或抽样复测。承包人应协助监理人进行复核或抽样复测，并按监理人要求提供</w:t>
      </w:r>
      <w:r>
        <w:rPr>
          <w:rFonts w:ascii="宋体" w:hAnsi="宋体" w:eastAsia="宋体" w:cs="宋体"/>
          <w:spacing w:val="-1"/>
          <w:sz w:val="21"/>
          <w:szCs w:val="21"/>
        </w:rPr>
        <w:t>补充</w:t>
      </w:r>
      <w:r>
        <w:rPr>
          <w:rFonts w:ascii="宋体" w:hAnsi="宋体" w:eastAsia="宋体" w:cs="宋体"/>
          <w:sz w:val="21"/>
          <w:szCs w:val="21"/>
        </w:rPr>
        <w:t>计量资料。承包人未按监理人要求参加复核或抽样复测的，监理人复核或修正的工程量视为</w:t>
      </w:r>
      <w:r>
        <w:rPr>
          <w:rFonts w:ascii="宋体" w:hAnsi="宋体" w:eastAsia="宋体" w:cs="宋体"/>
          <w:spacing w:val="-1"/>
          <w:sz w:val="21"/>
          <w:szCs w:val="21"/>
        </w:rPr>
        <w:t>承包人实际完成的工程量。</w:t>
      </w:r>
    </w:p>
    <w:p w14:paraId="175B34C0">
      <w:pPr>
        <w:spacing w:before="149" w:line="285" w:lineRule="auto"/>
        <w:ind w:left="1" w:right="2" w:firstLine="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 xml:space="preserve">）监理人未在收到承包人提交的工程量报表后的 </w:t>
      </w:r>
      <w:r>
        <w:rPr>
          <w:rFonts w:ascii="Times New Roman" w:hAnsi="Times New Roman" w:eastAsia="Times New Roman" w:cs="Times New Roman"/>
          <w:sz w:val="21"/>
          <w:szCs w:val="21"/>
        </w:rPr>
        <w:t xml:space="preserve">7  </w:t>
      </w:r>
      <w:r>
        <w:rPr>
          <w:rFonts w:ascii="宋体" w:hAnsi="宋体" w:eastAsia="宋体" w:cs="宋体"/>
          <w:sz w:val="21"/>
          <w:szCs w:val="21"/>
        </w:rPr>
        <w:t>天内完成</w:t>
      </w:r>
      <w:r>
        <w:rPr>
          <w:rFonts w:ascii="宋体" w:hAnsi="宋体" w:eastAsia="宋体" w:cs="宋体"/>
          <w:spacing w:val="-1"/>
          <w:sz w:val="21"/>
          <w:szCs w:val="21"/>
        </w:rPr>
        <w:t>审核的，承包人报送的工程量报告中的工程量视为承包人实际完成的工程量，据此计算工程价款。</w:t>
      </w:r>
    </w:p>
    <w:p w14:paraId="5F432C96">
      <w:pPr>
        <w:spacing w:before="152" w:line="233"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12.3.4  </w:t>
      </w:r>
      <w:r>
        <w:rPr>
          <w:rFonts w:ascii="宋体" w:hAnsi="宋体" w:eastAsia="宋体" w:cs="宋体"/>
          <w:spacing w:val="-2"/>
          <w:sz w:val="21"/>
          <w:szCs w:val="21"/>
        </w:rPr>
        <w:t>总价合同的计量</w:t>
      </w:r>
    </w:p>
    <w:p w14:paraId="19DB8869">
      <w:pPr>
        <w:spacing w:before="136" w:line="219" w:lineRule="auto"/>
        <w:ind w:left="434"/>
        <w:rPr>
          <w:rFonts w:ascii="宋体" w:hAnsi="宋体" w:eastAsia="宋体" w:cs="宋体"/>
          <w:sz w:val="21"/>
          <w:szCs w:val="21"/>
        </w:rPr>
      </w:pPr>
      <w:r>
        <w:rPr>
          <w:rFonts w:ascii="宋体" w:hAnsi="宋体" w:eastAsia="宋体" w:cs="宋体"/>
          <w:sz w:val="21"/>
          <w:szCs w:val="21"/>
        </w:rPr>
        <w:t>除专用合同条款另有约定外，按月计量支付</w:t>
      </w:r>
      <w:r>
        <w:rPr>
          <w:rFonts w:ascii="宋体" w:hAnsi="宋体" w:eastAsia="宋体" w:cs="宋体"/>
          <w:spacing w:val="-1"/>
          <w:sz w:val="21"/>
          <w:szCs w:val="21"/>
        </w:rPr>
        <w:t>的总价合同，按照本项约定执行：</w:t>
      </w:r>
    </w:p>
    <w:p w14:paraId="7CE177B8">
      <w:pPr>
        <w:spacing w:before="150" w:line="286" w:lineRule="auto"/>
        <w:ind w:left="5" w:right="2" w:firstLine="422"/>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）承包人应于每月</w:t>
      </w:r>
      <w:r>
        <w:rPr>
          <w:rFonts w:ascii="宋体" w:hAnsi="宋体" w:eastAsia="宋体" w:cs="宋体"/>
          <w:spacing w:val="-48"/>
          <w:sz w:val="21"/>
          <w:szCs w:val="21"/>
        </w:rPr>
        <w:t xml:space="preserve"> </w:t>
      </w:r>
      <w:r>
        <w:rPr>
          <w:rFonts w:ascii="Times New Roman" w:hAnsi="Times New Roman" w:eastAsia="Times New Roman" w:cs="Times New Roman"/>
          <w:spacing w:val="-4"/>
          <w:sz w:val="21"/>
          <w:szCs w:val="21"/>
        </w:rPr>
        <w:t>25</w:t>
      </w:r>
      <w:r>
        <w:rPr>
          <w:rFonts w:ascii="Times New Roman" w:hAnsi="Times New Roman" w:eastAsia="Times New Roman" w:cs="Times New Roman"/>
          <w:spacing w:val="43"/>
          <w:sz w:val="21"/>
          <w:szCs w:val="21"/>
        </w:rPr>
        <w:t xml:space="preserve"> </w:t>
      </w:r>
      <w:r>
        <w:rPr>
          <w:rFonts w:ascii="宋体" w:hAnsi="宋体" w:eastAsia="宋体" w:cs="宋体"/>
          <w:spacing w:val="-4"/>
          <w:sz w:val="21"/>
          <w:szCs w:val="21"/>
        </w:rPr>
        <w:t>日向监理人报送上月</w:t>
      </w:r>
      <w:r>
        <w:rPr>
          <w:rFonts w:ascii="宋体" w:hAnsi="宋体" w:eastAsia="宋体" w:cs="宋体"/>
          <w:spacing w:val="-50"/>
          <w:sz w:val="21"/>
          <w:szCs w:val="21"/>
        </w:rPr>
        <w:t xml:space="preserve"> </w:t>
      </w:r>
      <w:r>
        <w:rPr>
          <w:rFonts w:ascii="Times New Roman" w:hAnsi="Times New Roman" w:eastAsia="Times New Roman" w:cs="Times New Roman"/>
          <w:spacing w:val="-4"/>
          <w:sz w:val="21"/>
          <w:szCs w:val="21"/>
        </w:rPr>
        <w:t>20</w:t>
      </w:r>
      <w:r>
        <w:rPr>
          <w:rFonts w:ascii="Times New Roman" w:hAnsi="Times New Roman" w:eastAsia="Times New Roman" w:cs="Times New Roman"/>
          <w:spacing w:val="42"/>
          <w:w w:val="101"/>
          <w:sz w:val="21"/>
          <w:szCs w:val="21"/>
        </w:rPr>
        <w:t xml:space="preserve"> </w:t>
      </w:r>
      <w:r>
        <w:rPr>
          <w:rFonts w:ascii="宋体" w:hAnsi="宋体" w:eastAsia="宋体" w:cs="宋体"/>
          <w:spacing w:val="-4"/>
          <w:sz w:val="21"/>
          <w:szCs w:val="21"/>
        </w:rPr>
        <w:t>日至当月</w:t>
      </w:r>
      <w:r>
        <w:rPr>
          <w:rFonts w:ascii="宋体" w:hAnsi="宋体" w:eastAsia="宋体" w:cs="宋体"/>
          <w:spacing w:val="-28"/>
          <w:sz w:val="21"/>
          <w:szCs w:val="21"/>
        </w:rPr>
        <w:t xml:space="preserve"> </w:t>
      </w:r>
      <w:r>
        <w:rPr>
          <w:rFonts w:ascii="Times New Roman" w:hAnsi="Times New Roman" w:eastAsia="Times New Roman" w:cs="Times New Roman"/>
          <w:spacing w:val="-4"/>
          <w:sz w:val="21"/>
          <w:szCs w:val="21"/>
        </w:rPr>
        <w:t>19</w:t>
      </w:r>
      <w:r>
        <w:rPr>
          <w:rFonts w:ascii="Times New Roman" w:hAnsi="Times New Roman" w:eastAsia="Times New Roman" w:cs="Times New Roman"/>
          <w:spacing w:val="43"/>
          <w:sz w:val="21"/>
          <w:szCs w:val="21"/>
        </w:rPr>
        <w:t xml:space="preserve"> </w:t>
      </w:r>
      <w:r>
        <w:rPr>
          <w:rFonts w:ascii="宋体" w:hAnsi="宋体" w:eastAsia="宋体" w:cs="宋体"/>
          <w:spacing w:val="-4"/>
          <w:sz w:val="21"/>
          <w:szCs w:val="21"/>
        </w:rPr>
        <w:t>日已完成的工程量报</w:t>
      </w:r>
      <w:r>
        <w:rPr>
          <w:rFonts w:ascii="宋体" w:hAnsi="宋体" w:eastAsia="宋体" w:cs="宋体"/>
          <w:spacing w:val="-5"/>
          <w:sz w:val="21"/>
          <w:szCs w:val="21"/>
        </w:rPr>
        <w:t>告，并附</w:t>
      </w:r>
      <w:r>
        <w:rPr>
          <w:rFonts w:ascii="宋体" w:hAnsi="宋体" w:eastAsia="宋体" w:cs="宋体"/>
          <w:spacing w:val="-1"/>
          <w:sz w:val="21"/>
          <w:szCs w:val="21"/>
        </w:rPr>
        <w:t>具进度付款申请单、已完成工程量报表和有关资料。</w:t>
      </w:r>
    </w:p>
    <w:p w14:paraId="5D8E7523">
      <w:pPr>
        <w:spacing w:before="151" w:line="325" w:lineRule="auto"/>
        <w:ind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 xml:space="preserve">）监理人应在收到承包人提交的工程量报告后 </w:t>
      </w:r>
      <w:r>
        <w:rPr>
          <w:rFonts w:ascii="Times New Roman" w:hAnsi="Times New Roman" w:eastAsia="Times New Roman" w:cs="Times New Roman"/>
          <w:sz w:val="21"/>
          <w:szCs w:val="21"/>
        </w:rPr>
        <w:t xml:space="preserve">7  </w:t>
      </w:r>
      <w:r>
        <w:rPr>
          <w:rFonts w:ascii="宋体" w:hAnsi="宋体" w:eastAsia="宋体" w:cs="宋体"/>
          <w:sz w:val="21"/>
          <w:szCs w:val="21"/>
        </w:rPr>
        <w:t>天内完成对</w:t>
      </w:r>
      <w:r>
        <w:rPr>
          <w:rFonts w:ascii="宋体" w:hAnsi="宋体" w:eastAsia="宋体" w:cs="宋体"/>
          <w:spacing w:val="-1"/>
          <w:sz w:val="21"/>
          <w:szCs w:val="21"/>
        </w:rPr>
        <w:t>承包人提交的工程量报表的</w:t>
      </w:r>
      <w:r>
        <w:rPr>
          <w:rFonts w:ascii="宋体" w:hAnsi="宋体" w:eastAsia="宋体" w:cs="宋体"/>
          <w:sz w:val="21"/>
          <w:szCs w:val="21"/>
        </w:rPr>
        <w:t>审核并报送发包人，以确定当月实际完成的工程量。监理人对工程量有异议的，有权要求承</w:t>
      </w:r>
      <w:r>
        <w:rPr>
          <w:rFonts w:ascii="宋体" w:hAnsi="宋体" w:eastAsia="宋体" w:cs="宋体"/>
          <w:spacing w:val="-1"/>
          <w:sz w:val="21"/>
          <w:szCs w:val="21"/>
        </w:rPr>
        <w:t>包人</w:t>
      </w:r>
      <w:r>
        <w:rPr>
          <w:rFonts w:ascii="宋体" w:hAnsi="宋体" w:eastAsia="宋体" w:cs="宋体"/>
          <w:sz w:val="21"/>
          <w:szCs w:val="21"/>
        </w:rPr>
        <w:t>进行共同复核或抽样复测。承包人应协助监理人进行复核或抽样复测并按监理人要求提供补</w:t>
      </w:r>
      <w:r>
        <w:rPr>
          <w:rFonts w:ascii="宋体" w:hAnsi="宋体" w:eastAsia="宋体" w:cs="宋体"/>
          <w:spacing w:val="-1"/>
          <w:sz w:val="21"/>
          <w:szCs w:val="21"/>
        </w:rPr>
        <w:t>充计</w:t>
      </w:r>
      <w:r>
        <w:rPr>
          <w:rFonts w:ascii="宋体" w:hAnsi="宋体" w:eastAsia="宋体" w:cs="宋体"/>
          <w:sz w:val="21"/>
          <w:szCs w:val="21"/>
        </w:rPr>
        <w:t>量资料。承包人未按监理人要求参加复核或抽样复测的，监理人审核或修正的工程量视为承</w:t>
      </w:r>
      <w:r>
        <w:rPr>
          <w:rFonts w:ascii="宋体" w:hAnsi="宋体" w:eastAsia="宋体" w:cs="宋体"/>
          <w:spacing w:val="-1"/>
          <w:sz w:val="21"/>
          <w:szCs w:val="21"/>
        </w:rPr>
        <w:t>包人</w:t>
      </w:r>
      <w:r>
        <w:rPr>
          <w:rFonts w:ascii="宋体" w:hAnsi="宋体" w:eastAsia="宋体" w:cs="宋体"/>
          <w:spacing w:val="-3"/>
          <w:sz w:val="21"/>
          <w:szCs w:val="21"/>
        </w:rPr>
        <w:t>实际完成的工程量。</w:t>
      </w:r>
    </w:p>
    <w:p w14:paraId="5D7A4EB1">
      <w:pPr>
        <w:spacing w:before="150" w:line="286" w:lineRule="auto"/>
        <w:ind w:left="1" w:right="2" w:firstLine="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 xml:space="preserve">）监理人未在收到承包人提交的工程量报表后的 </w:t>
      </w:r>
      <w:r>
        <w:rPr>
          <w:rFonts w:ascii="Times New Roman" w:hAnsi="Times New Roman" w:eastAsia="Times New Roman" w:cs="Times New Roman"/>
          <w:sz w:val="21"/>
          <w:szCs w:val="21"/>
        </w:rPr>
        <w:t xml:space="preserve">7  </w:t>
      </w:r>
      <w:r>
        <w:rPr>
          <w:rFonts w:ascii="宋体" w:hAnsi="宋体" w:eastAsia="宋体" w:cs="宋体"/>
          <w:sz w:val="21"/>
          <w:szCs w:val="21"/>
        </w:rPr>
        <w:t>天内完成</w:t>
      </w:r>
      <w:r>
        <w:rPr>
          <w:rFonts w:ascii="宋体" w:hAnsi="宋体" w:eastAsia="宋体" w:cs="宋体"/>
          <w:spacing w:val="-1"/>
          <w:sz w:val="21"/>
          <w:szCs w:val="21"/>
        </w:rPr>
        <w:t>复核的，承包人提交的工程量报告中的工程量视为承包人实际完成的工程量。</w:t>
      </w:r>
    </w:p>
    <w:p w14:paraId="1BA7C9E9">
      <w:pPr>
        <w:spacing w:before="148" w:line="286" w:lineRule="auto"/>
        <w:ind w:firstLine="438"/>
        <w:rPr>
          <w:rFonts w:ascii="宋体" w:hAnsi="宋体" w:eastAsia="宋体" w:cs="宋体"/>
          <w:sz w:val="21"/>
          <w:szCs w:val="21"/>
        </w:rPr>
      </w:pPr>
      <w:r>
        <w:rPr>
          <w:rFonts w:ascii="Times New Roman" w:hAnsi="Times New Roman" w:eastAsia="Times New Roman" w:cs="Times New Roman"/>
          <w:spacing w:val="-1"/>
          <w:sz w:val="21"/>
          <w:szCs w:val="21"/>
        </w:rPr>
        <w:t xml:space="preserve">12.3.5  </w:t>
      </w:r>
      <w:r>
        <w:rPr>
          <w:rFonts w:ascii="宋体" w:hAnsi="宋体" w:eastAsia="宋体" w:cs="宋体"/>
          <w:spacing w:val="-1"/>
          <w:sz w:val="21"/>
          <w:szCs w:val="21"/>
        </w:rPr>
        <w:t>总价合同采用支付分解表计量支付的，可以按照第</w:t>
      </w:r>
      <w:r>
        <w:rPr>
          <w:rFonts w:ascii="宋体" w:hAnsi="宋体" w:eastAsia="宋体" w:cs="宋体"/>
          <w:spacing w:val="-23"/>
          <w:sz w:val="21"/>
          <w:szCs w:val="21"/>
        </w:rPr>
        <w:t xml:space="preserve"> </w:t>
      </w:r>
      <w:r>
        <w:rPr>
          <w:rFonts w:ascii="Times New Roman" w:hAnsi="Times New Roman" w:eastAsia="Times New Roman" w:cs="Times New Roman"/>
          <w:spacing w:val="-1"/>
          <w:sz w:val="21"/>
          <w:szCs w:val="21"/>
        </w:rPr>
        <w:t xml:space="preserve">12.3.4 </w:t>
      </w:r>
      <w:r>
        <w:rPr>
          <w:rFonts w:ascii="宋体" w:hAnsi="宋体" w:eastAsia="宋体" w:cs="宋体"/>
          <w:spacing w:val="-1"/>
          <w:sz w:val="21"/>
          <w:szCs w:val="21"/>
        </w:rPr>
        <w:t>项〔总价合同的计量〕约定进行计量，但合同价款按照支付分解表进行支付。</w:t>
      </w:r>
    </w:p>
    <w:p w14:paraId="4BBF7961">
      <w:pPr>
        <w:spacing w:before="152" w:line="233"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12.3.6  </w:t>
      </w:r>
      <w:r>
        <w:rPr>
          <w:rFonts w:ascii="宋体" w:hAnsi="宋体" w:eastAsia="宋体" w:cs="宋体"/>
          <w:spacing w:val="-2"/>
          <w:sz w:val="21"/>
          <w:szCs w:val="21"/>
        </w:rPr>
        <w:t>其他价格形式合同的计量</w:t>
      </w:r>
    </w:p>
    <w:p w14:paraId="5F68325B">
      <w:pPr>
        <w:spacing w:before="134" w:line="219" w:lineRule="auto"/>
        <w:ind w:left="422"/>
        <w:rPr>
          <w:rFonts w:ascii="宋体" w:hAnsi="宋体" w:eastAsia="宋体" w:cs="宋体"/>
          <w:sz w:val="21"/>
          <w:szCs w:val="21"/>
        </w:rPr>
      </w:pPr>
      <w:r>
        <w:rPr>
          <w:rFonts w:ascii="宋体" w:hAnsi="宋体" w:eastAsia="宋体" w:cs="宋体"/>
          <w:spacing w:val="-1"/>
          <w:sz w:val="21"/>
          <w:szCs w:val="21"/>
        </w:rPr>
        <w:t>合同当事人可在专用合同条款中约定其他价格形式合同的计量方式和程序。</w:t>
      </w:r>
    </w:p>
    <w:p w14:paraId="0C906014">
      <w:pPr>
        <w:spacing w:line="219" w:lineRule="auto"/>
        <w:rPr>
          <w:rFonts w:ascii="宋体" w:hAnsi="宋体" w:eastAsia="宋体" w:cs="宋体"/>
          <w:sz w:val="21"/>
          <w:szCs w:val="21"/>
        </w:rPr>
        <w:sectPr>
          <w:footerReference r:id="rId118" w:type="default"/>
          <w:pgSz w:w="11905" w:h="16843"/>
          <w:pgMar w:top="969" w:right="1355" w:bottom="1026" w:left="1480" w:header="0" w:footer="754" w:gutter="0"/>
          <w:cols w:space="0" w:num="1"/>
          <w:rtlGutter w:val="0"/>
          <w:docGrid w:linePitch="0" w:charSpace="0"/>
        </w:sectPr>
      </w:pPr>
    </w:p>
    <w:p w14:paraId="5C1B5C30">
      <w:pPr>
        <w:pStyle w:val="5"/>
        <w:spacing w:line="261" w:lineRule="auto"/>
      </w:pPr>
    </w:p>
    <w:p w14:paraId="113F8429">
      <w:pPr>
        <w:pStyle w:val="5"/>
        <w:spacing w:line="261" w:lineRule="auto"/>
      </w:pPr>
    </w:p>
    <w:p w14:paraId="65E0CCE9">
      <w:pPr>
        <w:pStyle w:val="5"/>
        <w:spacing w:line="262" w:lineRule="auto"/>
      </w:pPr>
    </w:p>
    <w:p w14:paraId="05FA96BA">
      <w:pPr>
        <w:pStyle w:val="5"/>
        <w:spacing w:line="262" w:lineRule="auto"/>
      </w:pPr>
    </w:p>
    <w:p w14:paraId="68DD9D00">
      <w:pPr>
        <w:spacing w:before="78" w:line="233" w:lineRule="auto"/>
        <w:ind w:left="8"/>
        <w:outlineLvl w:val="1"/>
        <w:rPr>
          <w:rFonts w:ascii="黑体" w:hAnsi="黑体" w:eastAsia="黑体" w:cs="黑体"/>
          <w:sz w:val="24"/>
          <w:szCs w:val="24"/>
        </w:rPr>
      </w:pPr>
      <w:bookmarkStart w:id="312" w:name="bookmark235"/>
      <w:bookmarkEnd w:id="312"/>
      <w:bookmarkStart w:id="313" w:name="bookmark570"/>
      <w:bookmarkEnd w:id="313"/>
      <w:r>
        <w:rPr>
          <w:rFonts w:ascii="Times New Roman" w:hAnsi="Times New Roman" w:eastAsia="Times New Roman" w:cs="Times New Roman"/>
          <w:b/>
          <w:bCs/>
          <w:spacing w:val="-3"/>
          <w:sz w:val="24"/>
          <w:szCs w:val="24"/>
        </w:rPr>
        <w:t xml:space="preserve">12.4 </w:t>
      </w:r>
      <w:r>
        <w:rPr>
          <w:rFonts w:ascii="黑体" w:hAnsi="黑体" w:eastAsia="黑体" w:cs="黑体"/>
          <w:b/>
          <w:bCs/>
          <w:spacing w:val="-3"/>
          <w:sz w:val="24"/>
          <w:szCs w:val="24"/>
        </w:rPr>
        <w:t>工程进度款支付</w:t>
      </w:r>
    </w:p>
    <w:p w14:paraId="228D73F9">
      <w:pPr>
        <w:spacing w:before="123"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12.4.1  </w:t>
      </w:r>
      <w:r>
        <w:rPr>
          <w:rFonts w:ascii="宋体" w:hAnsi="宋体" w:eastAsia="宋体" w:cs="宋体"/>
          <w:spacing w:val="-2"/>
          <w:sz w:val="21"/>
          <w:szCs w:val="21"/>
        </w:rPr>
        <w:t>付款周期</w:t>
      </w:r>
    </w:p>
    <w:p w14:paraId="6E91CCBE">
      <w:pPr>
        <w:spacing w:before="134" w:line="342" w:lineRule="auto"/>
        <w:ind w:left="3" w:right="177" w:firstLine="429"/>
        <w:rPr>
          <w:rFonts w:ascii="宋体" w:hAnsi="宋体" w:eastAsia="宋体" w:cs="宋体"/>
          <w:sz w:val="21"/>
          <w:szCs w:val="21"/>
        </w:rPr>
      </w:pPr>
      <w:r>
        <w:rPr>
          <w:rFonts w:ascii="宋体" w:hAnsi="宋体" w:eastAsia="宋体" w:cs="宋体"/>
          <w:spacing w:val="-1"/>
          <w:sz w:val="21"/>
          <w:szCs w:val="21"/>
        </w:rPr>
        <w:t>除专用合同条款另有约定外，付款周期应按照第</w:t>
      </w:r>
      <w:r>
        <w:rPr>
          <w:rFonts w:ascii="宋体" w:hAnsi="宋体" w:eastAsia="宋体" w:cs="宋体"/>
          <w:spacing w:val="-25"/>
          <w:sz w:val="21"/>
          <w:szCs w:val="21"/>
        </w:rPr>
        <w:t xml:space="preserve"> </w:t>
      </w:r>
      <w:r>
        <w:rPr>
          <w:rFonts w:ascii="Times New Roman" w:hAnsi="Times New Roman" w:eastAsia="Times New Roman" w:cs="Times New Roman"/>
          <w:spacing w:val="-1"/>
          <w:sz w:val="21"/>
          <w:szCs w:val="21"/>
        </w:rPr>
        <w:t xml:space="preserve">12.3.2 </w:t>
      </w:r>
      <w:r>
        <w:rPr>
          <w:rFonts w:ascii="宋体" w:hAnsi="宋体" w:eastAsia="宋体" w:cs="宋体"/>
          <w:spacing w:val="-1"/>
          <w:sz w:val="21"/>
          <w:szCs w:val="21"/>
        </w:rPr>
        <w:t>项〔计量周期〕的约定与计量周期保</w:t>
      </w:r>
      <w:r>
        <w:rPr>
          <w:rFonts w:ascii="宋体" w:hAnsi="宋体" w:eastAsia="宋体" w:cs="宋体"/>
          <w:spacing w:val="-2"/>
          <w:sz w:val="21"/>
          <w:szCs w:val="21"/>
        </w:rPr>
        <w:t>持一致。</w:t>
      </w:r>
    </w:p>
    <w:p w14:paraId="1B1757A4">
      <w:pPr>
        <w:spacing w:before="21"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12.4.2  </w:t>
      </w:r>
      <w:r>
        <w:rPr>
          <w:rFonts w:ascii="宋体" w:hAnsi="宋体" w:eastAsia="宋体" w:cs="宋体"/>
          <w:spacing w:val="-2"/>
          <w:sz w:val="21"/>
          <w:szCs w:val="21"/>
        </w:rPr>
        <w:t>进度付款申请单的编制</w:t>
      </w:r>
    </w:p>
    <w:p w14:paraId="00E32FAF">
      <w:pPr>
        <w:spacing w:before="133" w:line="221" w:lineRule="auto"/>
        <w:ind w:left="433"/>
        <w:rPr>
          <w:rFonts w:ascii="宋体" w:hAnsi="宋体" w:eastAsia="宋体" w:cs="宋体"/>
          <w:sz w:val="21"/>
          <w:szCs w:val="21"/>
        </w:rPr>
      </w:pPr>
      <w:r>
        <w:rPr>
          <w:rFonts w:ascii="宋体" w:hAnsi="宋体" w:eastAsia="宋体" w:cs="宋体"/>
          <w:spacing w:val="-1"/>
          <w:sz w:val="21"/>
          <w:szCs w:val="21"/>
        </w:rPr>
        <w:t>除专用合同条款另有约定外，进度付款申请单应包括下列内容：</w:t>
      </w:r>
    </w:p>
    <w:p w14:paraId="57559DC5">
      <w:pPr>
        <w:spacing w:before="148"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）截至本次付款周期已完成工作对应的金额；</w:t>
      </w:r>
    </w:p>
    <w:p w14:paraId="377925C8">
      <w:pPr>
        <w:spacing w:before="135"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）根据第</w:t>
      </w:r>
      <w:r>
        <w:rPr>
          <w:rFonts w:ascii="宋体" w:hAnsi="宋体" w:eastAsia="宋体" w:cs="宋体"/>
          <w:spacing w:val="-10"/>
          <w:sz w:val="21"/>
          <w:szCs w:val="21"/>
        </w:rPr>
        <w:t xml:space="preserve"> </w:t>
      </w:r>
      <w:r>
        <w:rPr>
          <w:rFonts w:ascii="Times New Roman" w:hAnsi="Times New Roman" w:eastAsia="Times New Roman" w:cs="Times New Roman"/>
          <w:spacing w:val="-3"/>
          <w:sz w:val="21"/>
          <w:szCs w:val="21"/>
        </w:rPr>
        <w:t xml:space="preserve">10 </w:t>
      </w:r>
      <w:r>
        <w:rPr>
          <w:rFonts w:ascii="宋体" w:hAnsi="宋体" w:eastAsia="宋体" w:cs="宋体"/>
          <w:spacing w:val="-3"/>
          <w:sz w:val="21"/>
          <w:szCs w:val="21"/>
        </w:rPr>
        <w:t>条〔变更〕应增加和扣减的变更金额；</w:t>
      </w:r>
    </w:p>
    <w:p w14:paraId="402983B1">
      <w:pPr>
        <w:spacing w:before="135"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）根据第</w:t>
      </w:r>
      <w:r>
        <w:rPr>
          <w:rFonts w:ascii="宋体" w:hAnsi="宋体" w:eastAsia="宋体" w:cs="宋体"/>
          <w:spacing w:val="-15"/>
          <w:sz w:val="21"/>
          <w:szCs w:val="21"/>
        </w:rPr>
        <w:t xml:space="preserve"> </w:t>
      </w:r>
      <w:r>
        <w:rPr>
          <w:rFonts w:ascii="Times New Roman" w:hAnsi="Times New Roman" w:eastAsia="Times New Roman" w:cs="Times New Roman"/>
          <w:spacing w:val="-2"/>
          <w:sz w:val="21"/>
          <w:szCs w:val="21"/>
        </w:rPr>
        <w:t xml:space="preserve">12.2 </w:t>
      </w:r>
      <w:r>
        <w:rPr>
          <w:rFonts w:ascii="宋体" w:hAnsi="宋体" w:eastAsia="宋体" w:cs="宋体"/>
          <w:spacing w:val="-2"/>
          <w:sz w:val="21"/>
          <w:szCs w:val="21"/>
        </w:rPr>
        <w:t>款〔预付款〕约定应支付的预付款和扣减的返还预付款；</w:t>
      </w:r>
    </w:p>
    <w:p w14:paraId="33CE1221">
      <w:pPr>
        <w:spacing w:before="133"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）根据第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15.3 </w:t>
      </w:r>
      <w:r>
        <w:rPr>
          <w:rFonts w:ascii="宋体" w:hAnsi="宋体" w:eastAsia="宋体" w:cs="宋体"/>
          <w:spacing w:val="-1"/>
          <w:sz w:val="21"/>
          <w:szCs w:val="21"/>
        </w:rPr>
        <w:t>款〔质量保证金〕约定应扣减的质量保</w:t>
      </w:r>
      <w:r>
        <w:rPr>
          <w:rFonts w:ascii="宋体" w:hAnsi="宋体" w:eastAsia="宋体" w:cs="宋体"/>
          <w:spacing w:val="-2"/>
          <w:sz w:val="21"/>
          <w:szCs w:val="21"/>
        </w:rPr>
        <w:t>证金；</w:t>
      </w:r>
    </w:p>
    <w:p w14:paraId="6B3921EA">
      <w:pPr>
        <w:spacing w:before="134" w:line="234"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5</w:t>
      </w:r>
      <w:r>
        <w:rPr>
          <w:rFonts w:ascii="宋体" w:hAnsi="宋体" w:eastAsia="宋体" w:cs="宋体"/>
          <w:spacing w:val="-3"/>
          <w:sz w:val="21"/>
          <w:szCs w:val="21"/>
        </w:rPr>
        <w:t>）根据第</w:t>
      </w:r>
      <w:r>
        <w:rPr>
          <w:rFonts w:ascii="宋体" w:hAnsi="宋体" w:eastAsia="宋体" w:cs="宋体"/>
          <w:spacing w:val="-10"/>
          <w:sz w:val="21"/>
          <w:szCs w:val="21"/>
        </w:rPr>
        <w:t xml:space="preserve"> </w:t>
      </w:r>
      <w:r>
        <w:rPr>
          <w:rFonts w:ascii="Times New Roman" w:hAnsi="Times New Roman" w:eastAsia="Times New Roman" w:cs="Times New Roman"/>
          <w:spacing w:val="-3"/>
          <w:sz w:val="21"/>
          <w:szCs w:val="21"/>
        </w:rPr>
        <w:t xml:space="preserve">19 </w:t>
      </w:r>
      <w:r>
        <w:rPr>
          <w:rFonts w:ascii="宋体" w:hAnsi="宋体" w:eastAsia="宋体" w:cs="宋体"/>
          <w:spacing w:val="-3"/>
          <w:sz w:val="21"/>
          <w:szCs w:val="21"/>
        </w:rPr>
        <w:t>条〔索赔〕应增加和扣减的索赔金额；</w:t>
      </w:r>
    </w:p>
    <w:p w14:paraId="1051D3BA">
      <w:pPr>
        <w:spacing w:before="135" w:line="285" w:lineRule="auto"/>
        <w:ind w:right="194"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）对已签发的进度款支付证书中出现错误的修正，应在本次进度付款中支付或扣除</w:t>
      </w:r>
      <w:r>
        <w:rPr>
          <w:rFonts w:ascii="宋体" w:hAnsi="宋体" w:eastAsia="宋体" w:cs="宋体"/>
          <w:spacing w:val="1"/>
          <w:sz w:val="21"/>
          <w:szCs w:val="21"/>
        </w:rPr>
        <w:t>的金</w:t>
      </w:r>
      <w:r>
        <w:rPr>
          <w:rFonts w:ascii="宋体" w:hAnsi="宋体" w:eastAsia="宋体" w:cs="宋体"/>
          <w:spacing w:val="-14"/>
          <w:sz w:val="21"/>
          <w:szCs w:val="21"/>
        </w:rPr>
        <w:t>额；</w:t>
      </w:r>
    </w:p>
    <w:p w14:paraId="7D77E6FC">
      <w:pPr>
        <w:spacing w:before="151"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7</w:t>
      </w:r>
      <w:r>
        <w:rPr>
          <w:rFonts w:ascii="宋体" w:hAnsi="宋体" w:eastAsia="宋体" w:cs="宋体"/>
          <w:spacing w:val="-2"/>
          <w:sz w:val="21"/>
          <w:szCs w:val="21"/>
        </w:rPr>
        <w:t>）根据合同约定应增加和扣减的其他金额。</w:t>
      </w:r>
    </w:p>
    <w:p w14:paraId="7E1130BF">
      <w:pPr>
        <w:spacing w:before="134"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12.4.3  </w:t>
      </w:r>
      <w:r>
        <w:rPr>
          <w:rFonts w:ascii="宋体" w:hAnsi="宋体" w:eastAsia="宋体" w:cs="宋体"/>
          <w:spacing w:val="-2"/>
          <w:sz w:val="21"/>
          <w:szCs w:val="21"/>
        </w:rPr>
        <w:t>进度付款申请单的提交</w:t>
      </w:r>
    </w:p>
    <w:p w14:paraId="3570FB2D">
      <w:pPr>
        <w:spacing w:before="132"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）单价合同进度付款申请单的提交</w:t>
      </w:r>
    </w:p>
    <w:p w14:paraId="314402FA">
      <w:pPr>
        <w:spacing w:before="135" w:line="350" w:lineRule="auto"/>
        <w:ind w:left="1" w:right="177" w:firstLine="420"/>
        <w:rPr>
          <w:rFonts w:ascii="宋体" w:hAnsi="宋体" w:eastAsia="宋体" w:cs="宋体"/>
          <w:sz w:val="21"/>
          <w:szCs w:val="21"/>
        </w:rPr>
      </w:pPr>
      <w:r>
        <w:rPr>
          <w:rFonts w:ascii="宋体" w:hAnsi="宋体" w:eastAsia="宋体" w:cs="宋体"/>
          <w:spacing w:val="-1"/>
          <w:sz w:val="21"/>
          <w:szCs w:val="21"/>
        </w:rPr>
        <w:t>单价合同的进度付款申请单，按照第</w:t>
      </w:r>
      <w:r>
        <w:rPr>
          <w:rFonts w:ascii="宋体" w:hAnsi="宋体" w:eastAsia="宋体" w:cs="宋体"/>
          <w:spacing w:val="-14"/>
          <w:sz w:val="21"/>
          <w:szCs w:val="21"/>
        </w:rPr>
        <w:t xml:space="preserve"> </w:t>
      </w:r>
      <w:r>
        <w:rPr>
          <w:rFonts w:ascii="Times New Roman" w:hAnsi="Times New Roman" w:eastAsia="Times New Roman" w:cs="Times New Roman"/>
          <w:spacing w:val="-1"/>
          <w:sz w:val="21"/>
          <w:szCs w:val="21"/>
        </w:rPr>
        <w:t xml:space="preserve">12.3.3 </w:t>
      </w:r>
      <w:r>
        <w:rPr>
          <w:rFonts w:ascii="宋体" w:hAnsi="宋体" w:eastAsia="宋体" w:cs="宋体"/>
          <w:spacing w:val="-1"/>
          <w:sz w:val="21"/>
          <w:szCs w:val="21"/>
        </w:rPr>
        <w:t>项〔单价合同的计量〕约定的时间按月向监理人</w:t>
      </w:r>
      <w:r>
        <w:rPr>
          <w:rFonts w:ascii="宋体" w:hAnsi="宋体" w:eastAsia="宋体" w:cs="宋体"/>
          <w:sz w:val="21"/>
          <w:szCs w:val="21"/>
        </w:rPr>
        <w:t>提交，并附上已完成工程量报表和有关资料。单价合同中的总价项目按月进行支付分解</w:t>
      </w:r>
      <w:r>
        <w:rPr>
          <w:rFonts w:ascii="宋体" w:hAnsi="宋体" w:eastAsia="宋体" w:cs="宋体"/>
          <w:spacing w:val="-1"/>
          <w:sz w:val="21"/>
          <w:szCs w:val="21"/>
        </w:rPr>
        <w:t>，并汇总列入当期进度付款申请单。</w:t>
      </w:r>
    </w:p>
    <w:p w14:paraId="76F17FA9">
      <w:pPr>
        <w:spacing w:before="7"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）总价合同进度付款申请单的提交</w:t>
      </w:r>
    </w:p>
    <w:p w14:paraId="4EEF92C4">
      <w:pPr>
        <w:spacing w:before="135" w:line="342" w:lineRule="auto"/>
        <w:ind w:left="3" w:right="177" w:firstLine="423"/>
        <w:rPr>
          <w:rFonts w:ascii="宋体" w:hAnsi="宋体" w:eastAsia="宋体" w:cs="宋体"/>
          <w:sz w:val="21"/>
          <w:szCs w:val="21"/>
        </w:rPr>
      </w:pPr>
      <w:r>
        <w:rPr>
          <w:rFonts w:ascii="宋体" w:hAnsi="宋体" w:eastAsia="宋体" w:cs="宋体"/>
          <w:spacing w:val="-1"/>
          <w:sz w:val="21"/>
          <w:szCs w:val="21"/>
        </w:rPr>
        <w:t>总价合同按月计量支付的，承包人按照第</w:t>
      </w:r>
      <w:r>
        <w:rPr>
          <w:rFonts w:ascii="宋体" w:hAnsi="宋体" w:eastAsia="宋体" w:cs="宋体"/>
          <w:spacing w:val="-18"/>
          <w:sz w:val="21"/>
          <w:szCs w:val="21"/>
        </w:rPr>
        <w:t xml:space="preserve"> </w:t>
      </w:r>
      <w:r>
        <w:rPr>
          <w:rFonts w:ascii="Times New Roman" w:hAnsi="Times New Roman" w:eastAsia="Times New Roman" w:cs="Times New Roman"/>
          <w:spacing w:val="-1"/>
          <w:sz w:val="21"/>
          <w:szCs w:val="21"/>
        </w:rPr>
        <w:t xml:space="preserve">12.3.4 </w:t>
      </w:r>
      <w:r>
        <w:rPr>
          <w:rFonts w:ascii="宋体" w:hAnsi="宋体" w:eastAsia="宋体" w:cs="宋体"/>
          <w:spacing w:val="-1"/>
          <w:sz w:val="21"/>
          <w:szCs w:val="21"/>
        </w:rPr>
        <w:t>项〔总价合同的计量〕约定的时间按月向监理人提交进度付款申请单，并附上已完成工程量报表和有关资料。</w:t>
      </w:r>
    </w:p>
    <w:p w14:paraId="3D48E441">
      <w:pPr>
        <w:spacing w:before="22" w:line="344" w:lineRule="auto"/>
        <w:ind w:right="177" w:firstLine="426"/>
        <w:rPr>
          <w:rFonts w:ascii="宋体" w:hAnsi="宋体" w:eastAsia="宋体" w:cs="宋体"/>
          <w:sz w:val="21"/>
          <w:szCs w:val="21"/>
        </w:rPr>
      </w:pPr>
      <w:r>
        <w:rPr>
          <w:rFonts w:ascii="宋体" w:hAnsi="宋体" w:eastAsia="宋体" w:cs="宋体"/>
          <w:spacing w:val="-1"/>
          <w:sz w:val="21"/>
          <w:szCs w:val="21"/>
        </w:rPr>
        <w:t>总价合同按支付分解表支付的，承包人应按照第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12.4.6 </w:t>
      </w:r>
      <w:r>
        <w:rPr>
          <w:rFonts w:ascii="宋体" w:hAnsi="宋体" w:eastAsia="宋体" w:cs="宋体"/>
          <w:spacing w:val="-1"/>
          <w:sz w:val="21"/>
          <w:szCs w:val="21"/>
        </w:rPr>
        <w:t>项〔支付分解表〕</w:t>
      </w:r>
      <w:r>
        <w:rPr>
          <w:rFonts w:ascii="宋体" w:hAnsi="宋体" w:eastAsia="宋体" w:cs="宋体"/>
          <w:spacing w:val="-2"/>
          <w:sz w:val="21"/>
          <w:szCs w:val="21"/>
        </w:rPr>
        <w:t>及第</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 xml:space="preserve">12.4.2 </w:t>
      </w:r>
      <w:r>
        <w:rPr>
          <w:rFonts w:ascii="宋体" w:hAnsi="宋体" w:eastAsia="宋体" w:cs="宋体"/>
          <w:spacing w:val="-2"/>
          <w:sz w:val="21"/>
          <w:szCs w:val="21"/>
        </w:rPr>
        <w:t>项〔进</w:t>
      </w:r>
      <w:r>
        <w:rPr>
          <w:rFonts w:ascii="宋体" w:hAnsi="宋体" w:eastAsia="宋体" w:cs="宋体"/>
          <w:spacing w:val="-1"/>
          <w:sz w:val="21"/>
          <w:szCs w:val="21"/>
        </w:rPr>
        <w:t>度付款申请单的编制〕的约定向监理人提交进度付款申请单。</w:t>
      </w:r>
    </w:p>
    <w:p w14:paraId="70A37A56">
      <w:pPr>
        <w:spacing w:before="17"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）其他价格形式合同的进度付款申请单的提交</w:t>
      </w:r>
    </w:p>
    <w:p w14:paraId="42E60278">
      <w:pPr>
        <w:spacing w:before="136" w:line="219" w:lineRule="auto"/>
        <w:jc w:val="right"/>
        <w:rPr>
          <w:rFonts w:ascii="宋体" w:hAnsi="宋体" w:eastAsia="宋体" w:cs="宋体"/>
          <w:sz w:val="21"/>
          <w:szCs w:val="21"/>
        </w:rPr>
      </w:pPr>
      <w:r>
        <w:rPr>
          <w:rFonts w:ascii="宋体" w:hAnsi="宋体" w:eastAsia="宋体" w:cs="宋体"/>
          <w:spacing w:val="-1"/>
          <w:sz w:val="21"/>
          <w:szCs w:val="21"/>
        </w:rPr>
        <w:t>合同当事人可在专用合同条款中约定其他价格形式合同的进度付款申请单的编制和提交程序。</w:t>
      </w:r>
    </w:p>
    <w:p w14:paraId="64DBCDB0">
      <w:pPr>
        <w:spacing w:before="152"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12.4.4  </w:t>
      </w:r>
      <w:r>
        <w:rPr>
          <w:rFonts w:ascii="宋体" w:hAnsi="宋体" w:eastAsia="宋体" w:cs="宋体"/>
          <w:spacing w:val="-2"/>
          <w:sz w:val="21"/>
          <w:szCs w:val="21"/>
        </w:rPr>
        <w:t>进度款审核和支付</w:t>
      </w:r>
    </w:p>
    <w:p w14:paraId="62D92A9F">
      <w:pPr>
        <w:spacing w:before="133" w:line="346" w:lineRule="auto"/>
        <w:ind w:right="177" w:firstLine="426"/>
        <w:jc w:val="both"/>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）除专用合同条款另有约定外，监理人应在收到承包人进度付款申请单以及相关资料后</w:t>
      </w:r>
      <w:r>
        <w:rPr>
          <w:rFonts w:ascii="Times New Roman" w:hAnsi="Times New Roman" w:eastAsia="Times New Roman" w:cs="Times New Roman"/>
          <w:spacing w:val="-1"/>
          <w:sz w:val="21"/>
          <w:szCs w:val="21"/>
        </w:rPr>
        <w:t>7</w:t>
      </w:r>
      <w:r>
        <w:rPr>
          <w:rFonts w:ascii="Times New Roman" w:hAnsi="Times New Roman" w:eastAsia="Times New Roman" w:cs="Times New Roman"/>
          <w:spacing w:val="39"/>
          <w:w w:val="101"/>
          <w:sz w:val="21"/>
          <w:szCs w:val="21"/>
        </w:rPr>
        <w:t xml:space="preserve"> </w:t>
      </w:r>
      <w:r>
        <w:rPr>
          <w:rFonts w:ascii="宋体" w:hAnsi="宋体" w:eastAsia="宋体" w:cs="宋体"/>
          <w:spacing w:val="-1"/>
          <w:sz w:val="21"/>
          <w:szCs w:val="21"/>
        </w:rPr>
        <w:t>天内完成审查并报送发包人，发包人应在收到后</w:t>
      </w:r>
      <w:r>
        <w:rPr>
          <w:rFonts w:ascii="宋体" w:hAnsi="宋体" w:eastAsia="宋体" w:cs="宋体"/>
          <w:spacing w:val="-30"/>
          <w:sz w:val="21"/>
          <w:szCs w:val="21"/>
        </w:rPr>
        <w:t xml:space="preserve"> </w:t>
      </w:r>
      <w:r>
        <w:rPr>
          <w:rFonts w:ascii="Times New Roman" w:hAnsi="Times New Roman" w:eastAsia="Times New Roman" w:cs="Times New Roman"/>
          <w:spacing w:val="-1"/>
          <w:sz w:val="21"/>
          <w:szCs w:val="21"/>
        </w:rPr>
        <w:t>7</w:t>
      </w:r>
      <w:r>
        <w:rPr>
          <w:rFonts w:ascii="Times New Roman" w:hAnsi="Times New Roman" w:eastAsia="Times New Roman" w:cs="Times New Roman"/>
          <w:spacing w:val="29"/>
          <w:w w:val="101"/>
          <w:sz w:val="21"/>
          <w:szCs w:val="21"/>
        </w:rPr>
        <w:t xml:space="preserve"> </w:t>
      </w:r>
      <w:r>
        <w:rPr>
          <w:rFonts w:ascii="宋体" w:hAnsi="宋体" w:eastAsia="宋体" w:cs="宋体"/>
          <w:spacing w:val="-1"/>
          <w:sz w:val="21"/>
          <w:szCs w:val="21"/>
        </w:rPr>
        <w:t>天内完成审批并签发进度款支付证书。发包人逾期未完成审批且未提出异议的，视为已签发进度款支付证书。</w:t>
      </w:r>
    </w:p>
    <w:p w14:paraId="19D48FF6">
      <w:pPr>
        <w:spacing w:before="19" w:line="350" w:lineRule="auto"/>
        <w:ind w:right="16" w:firstLine="423"/>
        <w:jc w:val="both"/>
        <w:rPr>
          <w:rFonts w:ascii="宋体" w:hAnsi="宋体" w:eastAsia="宋体" w:cs="宋体"/>
          <w:sz w:val="21"/>
          <w:szCs w:val="21"/>
        </w:rPr>
      </w:pPr>
      <w:r>
        <w:rPr>
          <w:rFonts w:ascii="宋体" w:hAnsi="宋体" w:eastAsia="宋体" w:cs="宋体"/>
          <w:spacing w:val="-1"/>
          <w:sz w:val="21"/>
          <w:szCs w:val="21"/>
        </w:rPr>
        <w:t>发包人和监理人对承包人的进度付款申请单有异议的，有权</w:t>
      </w:r>
      <w:r>
        <w:rPr>
          <w:rFonts w:ascii="宋体" w:hAnsi="宋体" w:eastAsia="宋体" w:cs="宋体"/>
          <w:spacing w:val="-2"/>
          <w:sz w:val="21"/>
          <w:szCs w:val="21"/>
        </w:rPr>
        <w:t>要求承包人修正和提供补充资料，</w:t>
      </w:r>
      <w:r>
        <w:rPr>
          <w:rFonts w:ascii="宋体" w:hAnsi="宋体" w:eastAsia="宋体" w:cs="宋体"/>
          <w:sz w:val="21"/>
          <w:szCs w:val="21"/>
        </w:rPr>
        <w:t>承包人应提交修正后的进度付款申请单。监理人应在收到承包人修正后的进度付款申请单</w:t>
      </w:r>
      <w:r>
        <w:rPr>
          <w:rFonts w:ascii="宋体" w:hAnsi="宋体" w:eastAsia="宋体" w:cs="宋体"/>
          <w:spacing w:val="-1"/>
          <w:sz w:val="21"/>
          <w:szCs w:val="21"/>
        </w:rPr>
        <w:t>及相关</w:t>
      </w:r>
      <w:r>
        <w:rPr>
          <w:rFonts w:ascii="宋体" w:hAnsi="宋体" w:eastAsia="宋体" w:cs="宋体"/>
          <w:sz w:val="21"/>
          <w:szCs w:val="21"/>
        </w:rPr>
        <w:t>资料后</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天内完成审查并报送发包人，发包人应在收到监理人报送的进度付</w:t>
      </w:r>
      <w:r>
        <w:rPr>
          <w:rFonts w:ascii="宋体" w:hAnsi="宋体" w:eastAsia="宋体" w:cs="宋体"/>
          <w:spacing w:val="-1"/>
          <w:sz w:val="21"/>
          <w:szCs w:val="21"/>
        </w:rPr>
        <w:t>款申请单及相关资料</w:t>
      </w:r>
      <w:r>
        <w:rPr>
          <w:rFonts w:ascii="宋体" w:hAnsi="宋体" w:eastAsia="宋体" w:cs="宋体"/>
          <w:spacing w:val="2"/>
          <w:sz w:val="21"/>
          <w:szCs w:val="21"/>
        </w:rPr>
        <w:t xml:space="preserve">后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 xml:space="preserve">天内，向承包人签发无异议部分的临时进度款支付证书。存在争议的部分，按照第 </w:t>
      </w:r>
      <w:r>
        <w:rPr>
          <w:rFonts w:ascii="Times New Roman" w:hAnsi="Times New Roman" w:eastAsia="Times New Roman" w:cs="Times New Roman"/>
          <w:spacing w:val="2"/>
          <w:sz w:val="21"/>
          <w:szCs w:val="21"/>
        </w:rPr>
        <w:t xml:space="preserve">20  </w:t>
      </w:r>
      <w:r>
        <w:rPr>
          <w:rFonts w:ascii="宋体" w:hAnsi="宋体" w:eastAsia="宋体" w:cs="宋体"/>
          <w:spacing w:val="2"/>
          <w:sz w:val="21"/>
          <w:szCs w:val="21"/>
        </w:rPr>
        <w:t>条</w:t>
      </w:r>
      <w:r>
        <w:rPr>
          <w:rFonts w:ascii="宋体" w:hAnsi="宋体" w:eastAsia="宋体" w:cs="宋体"/>
          <w:spacing w:val="-1"/>
          <w:sz w:val="21"/>
          <w:szCs w:val="21"/>
        </w:rPr>
        <w:t>〔争议解决〕的约定处理。</w:t>
      </w:r>
    </w:p>
    <w:p w14:paraId="1F9635DC">
      <w:pPr>
        <w:spacing w:before="68" w:line="308" w:lineRule="auto"/>
        <w:ind w:left="1" w:right="194" w:firstLine="425"/>
        <w:rPr>
          <w:rFonts w:ascii="宋体" w:hAnsi="宋体" w:eastAsia="宋体" w:cs="宋体"/>
          <w:sz w:val="21"/>
          <w:szCs w:val="21"/>
        </w:rPr>
      </w:pPr>
      <w:bookmarkStart w:id="314" w:name="bookmark571"/>
      <w:bookmarkEnd w:id="314"/>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）除专用合同条款另有约定外，发包人应在进度款支付证书或临时进度款支付证书签发</w:t>
      </w:r>
      <w:r>
        <w:rPr>
          <w:rFonts w:ascii="宋体" w:hAnsi="宋体" w:eastAsia="宋体" w:cs="宋体"/>
          <w:sz w:val="21"/>
          <w:szCs w:val="21"/>
        </w:rPr>
        <w:t xml:space="preserve">后 </w:t>
      </w:r>
      <w:r>
        <w:rPr>
          <w:rFonts w:ascii="Times New Roman" w:hAnsi="Times New Roman" w:eastAsia="Times New Roman" w:cs="Times New Roman"/>
          <w:sz w:val="21"/>
          <w:szCs w:val="21"/>
        </w:rPr>
        <w:t xml:space="preserve">14  </w:t>
      </w:r>
      <w:r>
        <w:rPr>
          <w:rFonts w:ascii="宋体" w:hAnsi="宋体" w:eastAsia="宋体" w:cs="宋体"/>
          <w:sz w:val="21"/>
          <w:szCs w:val="21"/>
        </w:rPr>
        <w:t>天内完成支付，发包人逾期支付进度款的，应按照中国人民银行发布的同期同类</w:t>
      </w:r>
      <w:r>
        <w:rPr>
          <w:rFonts w:ascii="宋体" w:hAnsi="宋体" w:eastAsia="宋体" w:cs="宋体"/>
          <w:spacing w:val="-1"/>
          <w:sz w:val="21"/>
          <w:szCs w:val="21"/>
        </w:rPr>
        <w:t>贷款基准利率支付违约金。</w:t>
      </w:r>
    </w:p>
    <w:p w14:paraId="3E825614">
      <w:pPr>
        <w:spacing w:before="148" w:line="286" w:lineRule="auto"/>
        <w:ind w:left="5" w:right="211" w:firstLine="42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）发包人签发进度款支付证书或临时进度款支付证书，不表明发包人已同意、批准或接</w:t>
      </w:r>
      <w:r>
        <w:rPr>
          <w:rFonts w:ascii="宋体" w:hAnsi="宋体" w:eastAsia="宋体" w:cs="宋体"/>
          <w:spacing w:val="-2"/>
          <w:sz w:val="21"/>
          <w:szCs w:val="21"/>
        </w:rPr>
        <w:t>受了承包人完成的相应部分的工作。</w:t>
      </w:r>
    </w:p>
    <w:p w14:paraId="1A1E537E">
      <w:pPr>
        <w:spacing w:before="150"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12.4.5  </w:t>
      </w:r>
      <w:r>
        <w:rPr>
          <w:rFonts w:ascii="宋体" w:hAnsi="宋体" w:eastAsia="宋体" w:cs="宋体"/>
          <w:spacing w:val="-2"/>
          <w:sz w:val="21"/>
          <w:szCs w:val="21"/>
        </w:rPr>
        <w:t>进度付款的修正</w:t>
      </w:r>
    </w:p>
    <w:p w14:paraId="67AEC090">
      <w:pPr>
        <w:spacing w:before="130" w:line="353" w:lineRule="auto"/>
        <w:ind w:right="194" w:firstLine="419"/>
        <w:rPr>
          <w:rFonts w:ascii="宋体" w:hAnsi="宋体" w:eastAsia="宋体" w:cs="宋体"/>
          <w:sz w:val="21"/>
          <w:szCs w:val="21"/>
        </w:rPr>
      </w:pPr>
      <w:r>
        <w:rPr>
          <w:rFonts w:ascii="宋体" w:hAnsi="宋体" w:eastAsia="宋体" w:cs="宋体"/>
          <w:sz w:val="21"/>
          <w:szCs w:val="21"/>
        </w:rPr>
        <w:t>在对已签发的进度款支付证书进行阶段汇总和复核中发现错误、遗漏或重复的，发包</w:t>
      </w:r>
      <w:r>
        <w:rPr>
          <w:rFonts w:ascii="宋体" w:hAnsi="宋体" w:eastAsia="宋体" w:cs="宋体"/>
          <w:spacing w:val="-1"/>
          <w:sz w:val="21"/>
          <w:szCs w:val="21"/>
        </w:rPr>
        <w:t>人和承</w:t>
      </w:r>
      <w:r>
        <w:rPr>
          <w:rFonts w:ascii="宋体" w:hAnsi="宋体" w:eastAsia="宋体" w:cs="宋体"/>
          <w:sz w:val="21"/>
          <w:szCs w:val="21"/>
        </w:rPr>
        <w:t>包人均有权提出修正申请。经发包人和承包人同意的修正，应在下期进度付款中支付或扣除。</w:t>
      </w:r>
    </w:p>
    <w:p w14:paraId="40A33EC4">
      <w:pPr>
        <w:spacing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12.4.6  </w:t>
      </w:r>
      <w:r>
        <w:rPr>
          <w:rFonts w:ascii="宋体" w:hAnsi="宋体" w:eastAsia="宋体" w:cs="宋体"/>
          <w:spacing w:val="-2"/>
          <w:sz w:val="21"/>
          <w:szCs w:val="21"/>
        </w:rPr>
        <w:t>支付分解表</w:t>
      </w:r>
    </w:p>
    <w:p w14:paraId="57A336D3">
      <w:pPr>
        <w:spacing w:before="132"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支付分解表的编制要求</w:t>
      </w:r>
    </w:p>
    <w:p w14:paraId="4A992712">
      <w:pPr>
        <w:spacing w:before="134" w:line="286" w:lineRule="auto"/>
        <w:ind w:left="41" w:firstLine="38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）支付分解表中所列的每期付款金额，应为第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12.4.2 </w:t>
      </w:r>
      <w:r>
        <w:rPr>
          <w:rFonts w:ascii="宋体" w:hAnsi="宋体" w:eastAsia="宋体" w:cs="宋体"/>
          <w:spacing w:val="-1"/>
          <w:sz w:val="21"/>
          <w:szCs w:val="21"/>
        </w:rPr>
        <w:t>项〔进度付款申请单的编制</w:t>
      </w:r>
      <w:r>
        <w:rPr>
          <w:rFonts w:ascii="宋体" w:hAnsi="宋体" w:eastAsia="宋体" w:cs="宋体"/>
          <w:spacing w:val="-2"/>
          <w:sz w:val="21"/>
          <w:szCs w:val="21"/>
        </w:rPr>
        <w:t>〕第（</w:t>
      </w:r>
      <w:r>
        <w:rPr>
          <w:rFonts w:ascii="Times New Roman" w:hAnsi="Times New Roman" w:eastAsia="Times New Roman" w:cs="Times New Roman"/>
          <w:spacing w:val="-2"/>
          <w:sz w:val="21"/>
          <w:szCs w:val="21"/>
        </w:rPr>
        <w:t>1</w:t>
      </w:r>
      <w:r>
        <w:rPr>
          <w:rFonts w:ascii="宋体" w:hAnsi="宋体" w:eastAsia="宋体" w:cs="宋体"/>
          <w:spacing w:val="-2"/>
          <w:sz w:val="21"/>
          <w:szCs w:val="21"/>
        </w:rPr>
        <w:t>）</w:t>
      </w:r>
      <w:r>
        <w:rPr>
          <w:rFonts w:ascii="宋体" w:hAnsi="宋体" w:eastAsia="宋体" w:cs="宋体"/>
          <w:spacing w:val="-10"/>
          <w:sz w:val="21"/>
          <w:szCs w:val="21"/>
        </w:rPr>
        <w:t>目的估算金额；</w:t>
      </w:r>
    </w:p>
    <w:p w14:paraId="2CD6EBA0">
      <w:pPr>
        <w:spacing w:before="150" w:line="286" w:lineRule="auto"/>
        <w:ind w:left="1" w:right="196" w:firstLine="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）实际进度与施工进度计划不一致的，合同当事人可按照第 </w:t>
      </w:r>
      <w:r>
        <w:rPr>
          <w:rFonts w:ascii="Times New Roman" w:hAnsi="Times New Roman" w:eastAsia="Times New Roman" w:cs="Times New Roman"/>
          <w:spacing w:val="1"/>
          <w:sz w:val="21"/>
          <w:szCs w:val="21"/>
        </w:rPr>
        <w:t xml:space="preserve">4.4  </w:t>
      </w:r>
      <w:r>
        <w:rPr>
          <w:rFonts w:ascii="宋体" w:hAnsi="宋体" w:eastAsia="宋体" w:cs="宋体"/>
          <w:spacing w:val="1"/>
          <w:sz w:val="21"/>
          <w:szCs w:val="21"/>
        </w:rPr>
        <w:t>款〔商定或确</w:t>
      </w:r>
      <w:r>
        <w:rPr>
          <w:rFonts w:ascii="宋体" w:hAnsi="宋体" w:eastAsia="宋体" w:cs="宋体"/>
          <w:sz w:val="21"/>
          <w:szCs w:val="21"/>
        </w:rPr>
        <w:t>定〕修改</w:t>
      </w:r>
      <w:r>
        <w:rPr>
          <w:rFonts w:ascii="宋体" w:hAnsi="宋体" w:eastAsia="宋体" w:cs="宋体"/>
          <w:spacing w:val="-1"/>
          <w:sz w:val="21"/>
          <w:szCs w:val="21"/>
        </w:rPr>
        <w:t>支付分解表；</w:t>
      </w:r>
    </w:p>
    <w:p w14:paraId="37169F84">
      <w:pPr>
        <w:spacing w:before="151" w:line="285" w:lineRule="auto"/>
        <w:ind w:left="2" w:right="41" w:firstLine="42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）不采用支付分解表的，承包人应向发包人和监理人提交按季度编制的支付估算分</w:t>
      </w:r>
      <w:r>
        <w:rPr>
          <w:rFonts w:ascii="宋体" w:hAnsi="宋体" w:eastAsia="宋体" w:cs="宋体"/>
          <w:sz w:val="21"/>
          <w:szCs w:val="21"/>
        </w:rPr>
        <w:t>解表，</w:t>
      </w:r>
      <w:r>
        <w:rPr>
          <w:rFonts w:ascii="宋体" w:hAnsi="宋体" w:eastAsia="宋体" w:cs="宋体"/>
          <w:spacing w:val="-4"/>
          <w:sz w:val="21"/>
          <w:szCs w:val="21"/>
        </w:rPr>
        <w:t>用于支付参考。</w:t>
      </w:r>
    </w:p>
    <w:p w14:paraId="0DD95ED0">
      <w:pPr>
        <w:spacing w:before="150" w:line="233" w:lineRule="auto"/>
        <w:ind w:left="417"/>
        <w:rPr>
          <w:rFonts w:ascii="宋体" w:hAnsi="宋体" w:eastAsia="宋体" w:cs="宋体"/>
          <w:sz w:val="21"/>
          <w:szCs w:val="21"/>
        </w:rPr>
      </w:pPr>
      <w:r>
        <w:rPr>
          <w:rFonts w:ascii="Times New Roman" w:hAnsi="Times New Roman" w:eastAsia="Times New Roman" w:cs="Times New Roman"/>
          <w:sz w:val="21"/>
          <w:szCs w:val="21"/>
        </w:rPr>
        <w:t>2.</w:t>
      </w:r>
      <w:r>
        <w:rPr>
          <w:rFonts w:ascii="宋体" w:hAnsi="宋体" w:eastAsia="宋体" w:cs="宋体"/>
          <w:sz w:val="21"/>
          <w:szCs w:val="21"/>
        </w:rPr>
        <w:t>总价合同支付分解表的编制与审批</w:t>
      </w:r>
    </w:p>
    <w:p w14:paraId="6828C59B">
      <w:pPr>
        <w:spacing w:before="135" w:line="319" w:lineRule="auto"/>
        <w:ind w:right="194"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xml:space="preserve">）除专用合同条款另有约定外，承包人应根据第 </w:t>
      </w:r>
      <w:r>
        <w:rPr>
          <w:rFonts w:ascii="Times New Roman" w:hAnsi="Times New Roman" w:eastAsia="Times New Roman" w:cs="Times New Roman"/>
          <w:spacing w:val="1"/>
          <w:sz w:val="21"/>
          <w:szCs w:val="21"/>
        </w:rPr>
        <w:t xml:space="preserve">7.2  </w:t>
      </w:r>
      <w:r>
        <w:rPr>
          <w:rFonts w:ascii="宋体" w:hAnsi="宋体" w:eastAsia="宋体" w:cs="宋体"/>
          <w:spacing w:val="1"/>
          <w:sz w:val="21"/>
          <w:szCs w:val="21"/>
        </w:rPr>
        <w:t>款〔施工进度计划〕约定的施</w:t>
      </w:r>
      <w:r>
        <w:rPr>
          <w:rFonts w:ascii="宋体" w:hAnsi="宋体" w:eastAsia="宋体" w:cs="宋体"/>
          <w:sz w:val="21"/>
          <w:szCs w:val="21"/>
        </w:rPr>
        <w:t>工进度计划、签约合同价和工程量等因素对总价合同按月进行分解，编制支付分解表。承包人</w:t>
      </w:r>
      <w:r>
        <w:rPr>
          <w:rFonts w:ascii="宋体" w:hAnsi="宋体" w:eastAsia="宋体" w:cs="宋体"/>
          <w:spacing w:val="-1"/>
          <w:sz w:val="21"/>
          <w:szCs w:val="21"/>
        </w:rPr>
        <w:t>应当在</w:t>
      </w:r>
      <w:r>
        <w:rPr>
          <w:rFonts w:ascii="宋体" w:hAnsi="宋体" w:eastAsia="宋体" w:cs="宋体"/>
          <w:sz w:val="21"/>
          <w:szCs w:val="21"/>
        </w:rPr>
        <w:t>收到监理人和发包人批准的施工进度计划后</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天内，将支付分解表及编</w:t>
      </w:r>
      <w:r>
        <w:rPr>
          <w:rFonts w:ascii="宋体" w:hAnsi="宋体" w:eastAsia="宋体" w:cs="宋体"/>
          <w:spacing w:val="-1"/>
          <w:sz w:val="21"/>
          <w:szCs w:val="21"/>
        </w:rPr>
        <w:t>制支付分解表的支持性资</w:t>
      </w:r>
      <w:r>
        <w:rPr>
          <w:rFonts w:ascii="宋体" w:hAnsi="宋体" w:eastAsia="宋体" w:cs="宋体"/>
          <w:spacing w:val="-3"/>
          <w:sz w:val="21"/>
          <w:szCs w:val="21"/>
        </w:rPr>
        <w:t>料报送监理人。</w:t>
      </w:r>
    </w:p>
    <w:p w14:paraId="291DA97A">
      <w:pPr>
        <w:spacing w:before="149" w:line="293" w:lineRule="auto"/>
        <w:ind w:left="2" w:right="196" w:firstLine="424"/>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 xml:space="preserve">）监理人应在收到支付分解表后 </w:t>
      </w:r>
      <w:r>
        <w:rPr>
          <w:rFonts w:ascii="Times New Roman" w:hAnsi="Times New Roman" w:eastAsia="Times New Roman" w:cs="Times New Roman"/>
          <w:sz w:val="21"/>
          <w:szCs w:val="21"/>
        </w:rPr>
        <w:t xml:space="preserve">7  </w:t>
      </w:r>
      <w:r>
        <w:rPr>
          <w:rFonts w:ascii="宋体" w:hAnsi="宋体" w:eastAsia="宋体" w:cs="宋体"/>
          <w:sz w:val="21"/>
          <w:szCs w:val="21"/>
        </w:rPr>
        <w:t>天内完成审核并报送发包</w:t>
      </w:r>
      <w:r>
        <w:rPr>
          <w:rFonts w:ascii="宋体" w:hAnsi="宋体" w:eastAsia="宋体" w:cs="宋体"/>
          <w:spacing w:val="-1"/>
          <w:sz w:val="21"/>
          <w:szCs w:val="21"/>
        </w:rPr>
        <w:t>人。发包人应在收到经监理人审核的支付分解表后</w:t>
      </w:r>
      <w:r>
        <w:rPr>
          <w:rFonts w:ascii="宋体" w:hAnsi="宋体" w:eastAsia="宋体" w:cs="宋体"/>
          <w:spacing w:val="-45"/>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天内完成审批，经发包人批准的支付分解表为有约束力的支付分解表。</w:t>
      </w:r>
    </w:p>
    <w:p w14:paraId="7B730219">
      <w:pPr>
        <w:spacing w:before="133" w:line="286" w:lineRule="auto"/>
        <w:ind w:left="18" w:right="199" w:firstLine="408"/>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）发包人逾期未完成支付分解表审批的，也未及时要求承包人进行修正和提供补充资料</w:t>
      </w:r>
      <w:r>
        <w:rPr>
          <w:rFonts w:ascii="宋体" w:hAnsi="宋体" w:eastAsia="宋体" w:cs="宋体"/>
          <w:spacing w:val="-1"/>
          <w:sz w:val="21"/>
          <w:szCs w:val="21"/>
        </w:rPr>
        <w:t>的，则承包人提交的支付分解表视为已经获得发包人批准。</w:t>
      </w:r>
    </w:p>
    <w:p w14:paraId="753C452C">
      <w:pPr>
        <w:spacing w:before="150" w:line="233" w:lineRule="auto"/>
        <w:ind w:left="421"/>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单价合同的总价项目支付分解表的编制与审批</w:t>
      </w:r>
    </w:p>
    <w:p w14:paraId="3CBD5550">
      <w:pPr>
        <w:spacing w:before="137" w:line="344" w:lineRule="auto"/>
        <w:ind w:left="2" w:right="194" w:firstLine="430"/>
        <w:rPr>
          <w:rFonts w:ascii="宋体" w:hAnsi="宋体" w:eastAsia="宋体" w:cs="宋体"/>
          <w:sz w:val="21"/>
          <w:szCs w:val="21"/>
        </w:rPr>
      </w:pPr>
      <w:r>
        <w:rPr>
          <w:rFonts w:ascii="宋体" w:hAnsi="宋体" w:eastAsia="宋体" w:cs="宋体"/>
          <w:sz w:val="21"/>
          <w:szCs w:val="21"/>
        </w:rPr>
        <w:t>除专用合同条款另有约定外，单价合同的总价项目，由</w:t>
      </w:r>
      <w:r>
        <w:rPr>
          <w:rFonts w:ascii="宋体" w:hAnsi="宋体" w:eastAsia="宋体" w:cs="宋体"/>
          <w:spacing w:val="-1"/>
          <w:sz w:val="21"/>
          <w:szCs w:val="21"/>
        </w:rPr>
        <w:t>承包人根据施工进度计划和总价项目</w:t>
      </w:r>
      <w:r>
        <w:rPr>
          <w:rFonts w:ascii="宋体" w:hAnsi="宋体" w:eastAsia="宋体" w:cs="宋体"/>
          <w:sz w:val="21"/>
          <w:szCs w:val="21"/>
        </w:rPr>
        <w:t>的总价构成、费用性质、计划发生时间和相应工程量等因素按月进行分解，形成支付</w:t>
      </w:r>
      <w:r>
        <w:rPr>
          <w:rFonts w:ascii="宋体" w:hAnsi="宋体" w:eastAsia="宋体" w:cs="宋体"/>
          <w:spacing w:val="-1"/>
          <w:sz w:val="21"/>
          <w:szCs w:val="21"/>
        </w:rPr>
        <w:t>分解表，其编制与审批参照总价合同支付分解表的编制与审批执行。</w:t>
      </w:r>
    </w:p>
    <w:p w14:paraId="27A1C577">
      <w:pPr>
        <w:spacing w:before="1" w:line="231" w:lineRule="auto"/>
        <w:ind w:left="8"/>
        <w:outlineLvl w:val="1"/>
        <w:rPr>
          <w:rFonts w:ascii="黑体" w:hAnsi="黑体" w:eastAsia="黑体" w:cs="黑体"/>
          <w:sz w:val="24"/>
          <w:szCs w:val="24"/>
        </w:rPr>
      </w:pPr>
      <w:bookmarkStart w:id="315" w:name="bookmark236"/>
      <w:bookmarkEnd w:id="315"/>
      <w:r>
        <w:rPr>
          <w:rFonts w:ascii="Times New Roman" w:hAnsi="Times New Roman" w:eastAsia="Times New Roman" w:cs="Times New Roman"/>
          <w:b/>
          <w:bCs/>
          <w:spacing w:val="-5"/>
          <w:sz w:val="24"/>
          <w:szCs w:val="24"/>
        </w:rPr>
        <w:t>12.5</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支付账户</w:t>
      </w:r>
    </w:p>
    <w:p w14:paraId="38E95241">
      <w:pPr>
        <w:spacing w:before="122" w:line="219" w:lineRule="auto"/>
        <w:ind w:left="424"/>
        <w:rPr>
          <w:rFonts w:ascii="宋体" w:hAnsi="宋体" w:eastAsia="宋体" w:cs="宋体"/>
          <w:sz w:val="21"/>
          <w:szCs w:val="21"/>
        </w:rPr>
      </w:pPr>
      <w:r>
        <w:rPr>
          <w:rFonts w:ascii="宋体" w:hAnsi="宋体" w:eastAsia="宋体" w:cs="宋体"/>
          <w:spacing w:val="-1"/>
          <w:sz w:val="21"/>
          <w:szCs w:val="21"/>
        </w:rPr>
        <w:t>发包人应将合同价款支付至合同协议书中约定的承包人账户。</w:t>
      </w:r>
    </w:p>
    <w:p w14:paraId="2190DC59">
      <w:pPr>
        <w:spacing w:before="191" w:line="232" w:lineRule="auto"/>
        <w:ind w:left="11"/>
        <w:outlineLvl w:val="0"/>
        <w:rPr>
          <w:rFonts w:ascii="黑体" w:hAnsi="黑体" w:eastAsia="黑体" w:cs="黑体"/>
          <w:sz w:val="28"/>
          <w:szCs w:val="28"/>
        </w:rPr>
      </w:pPr>
      <w:bookmarkStart w:id="316" w:name="bookmark237"/>
      <w:bookmarkEnd w:id="316"/>
      <w:r>
        <w:rPr>
          <w:rFonts w:ascii="Times New Roman" w:hAnsi="Times New Roman" w:eastAsia="Times New Roman" w:cs="Times New Roman"/>
          <w:b/>
          <w:bCs/>
          <w:spacing w:val="-3"/>
          <w:sz w:val="28"/>
          <w:szCs w:val="28"/>
        </w:rPr>
        <w:t xml:space="preserve">13.  </w:t>
      </w:r>
      <w:r>
        <w:rPr>
          <w:rFonts w:ascii="黑体" w:hAnsi="黑体" w:eastAsia="黑体" w:cs="黑体"/>
          <w:b/>
          <w:bCs/>
          <w:spacing w:val="-3"/>
          <w:sz w:val="28"/>
          <w:szCs w:val="28"/>
        </w:rPr>
        <w:t>验收和工程试车</w:t>
      </w:r>
    </w:p>
    <w:p w14:paraId="6FB27259">
      <w:pPr>
        <w:spacing w:before="83" w:line="233" w:lineRule="auto"/>
        <w:ind w:left="8"/>
        <w:outlineLvl w:val="1"/>
        <w:rPr>
          <w:rFonts w:ascii="黑体" w:hAnsi="黑体" w:eastAsia="黑体" w:cs="黑体"/>
          <w:sz w:val="24"/>
          <w:szCs w:val="24"/>
        </w:rPr>
      </w:pPr>
      <w:bookmarkStart w:id="317" w:name="bookmark238"/>
      <w:bookmarkEnd w:id="317"/>
      <w:r>
        <w:rPr>
          <w:rFonts w:ascii="Times New Roman" w:hAnsi="Times New Roman" w:eastAsia="Times New Roman" w:cs="Times New Roman"/>
          <w:b/>
          <w:bCs/>
          <w:spacing w:val="-4"/>
          <w:sz w:val="24"/>
          <w:szCs w:val="24"/>
        </w:rPr>
        <w:t>13.1</w:t>
      </w:r>
      <w:r>
        <w:rPr>
          <w:rFonts w:ascii="Times New Roman" w:hAnsi="Times New Roman" w:eastAsia="Times New Roman" w:cs="Times New Roman"/>
          <w:b/>
          <w:bCs/>
          <w:spacing w:val="17"/>
          <w:sz w:val="24"/>
          <w:szCs w:val="24"/>
        </w:rPr>
        <w:t xml:space="preserve"> </w:t>
      </w:r>
      <w:r>
        <w:rPr>
          <w:rFonts w:ascii="黑体" w:hAnsi="黑体" w:eastAsia="黑体" w:cs="黑体"/>
          <w:b/>
          <w:bCs/>
          <w:spacing w:val="-4"/>
          <w:sz w:val="24"/>
          <w:szCs w:val="24"/>
        </w:rPr>
        <w:t>分部分项工程验收</w:t>
      </w:r>
    </w:p>
    <w:p w14:paraId="44A610BD">
      <w:pPr>
        <w:spacing w:before="124" w:line="234" w:lineRule="auto"/>
        <w:ind w:left="437"/>
        <w:rPr>
          <w:rFonts w:ascii="宋体" w:hAnsi="宋体" w:eastAsia="宋体" w:cs="宋体"/>
          <w:sz w:val="21"/>
          <w:szCs w:val="21"/>
        </w:rPr>
      </w:pPr>
      <w:r>
        <w:rPr>
          <w:rFonts w:ascii="Times New Roman" w:hAnsi="Times New Roman" w:eastAsia="Times New Roman" w:cs="Times New Roman"/>
          <w:sz w:val="21"/>
          <w:szCs w:val="21"/>
        </w:rPr>
        <w:t xml:space="preserve">13.1.1  </w:t>
      </w:r>
      <w:r>
        <w:rPr>
          <w:rFonts w:ascii="宋体" w:hAnsi="宋体" w:eastAsia="宋体" w:cs="宋体"/>
          <w:sz w:val="21"/>
          <w:szCs w:val="21"/>
        </w:rPr>
        <w:t>分部分项工程质量应符合国家有关工程施</w:t>
      </w:r>
      <w:r>
        <w:rPr>
          <w:rFonts w:ascii="宋体" w:hAnsi="宋体" w:eastAsia="宋体" w:cs="宋体"/>
          <w:spacing w:val="-1"/>
          <w:sz w:val="21"/>
          <w:szCs w:val="21"/>
        </w:rPr>
        <w:t>工验收规范、标准及合同约定，承包人应按</w:t>
      </w:r>
    </w:p>
    <w:p w14:paraId="4AEE9273">
      <w:pPr>
        <w:spacing w:line="234" w:lineRule="auto"/>
        <w:rPr>
          <w:rFonts w:ascii="宋体" w:hAnsi="宋体" w:eastAsia="宋体" w:cs="宋体"/>
          <w:sz w:val="21"/>
          <w:szCs w:val="21"/>
        </w:rPr>
        <w:sectPr>
          <w:footerReference r:id="rId119" w:type="default"/>
          <w:pgSz w:w="11905" w:h="16843"/>
          <w:pgMar w:top="969" w:right="1355" w:bottom="1026" w:left="1480" w:header="0" w:footer="754" w:gutter="0"/>
          <w:cols w:space="0" w:num="1"/>
          <w:rtlGutter w:val="0"/>
          <w:docGrid w:linePitch="0" w:charSpace="0"/>
        </w:sectPr>
      </w:pPr>
    </w:p>
    <w:p w14:paraId="1FB85C7E">
      <w:pPr>
        <w:pStyle w:val="5"/>
        <w:spacing w:line="270" w:lineRule="auto"/>
      </w:pPr>
    </w:p>
    <w:p w14:paraId="6830EAB2">
      <w:pPr>
        <w:pStyle w:val="5"/>
        <w:spacing w:line="270" w:lineRule="auto"/>
      </w:pPr>
    </w:p>
    <w:p w14:paraId="3074B89A">
      <w:pPr>
        <w:pStyle w:val="5"/>
        <w:spacing w:line="270" w:lineRule="auto"/>
      </w:pPr>
    </w:p>
    <w:p w14:paraId="29268B9F">
      <w:pPr>
        <w:pStyle w:val="5"/>
        <w:spacing w:line="271" w:lineRule="auto"/>
      </w:pPr>
    </w:p>
    <w:p w14:paraId="5A2ABC94">
      <w:pPr>
        <w:spacing w:before="68" w:line="221" w:lineRule="auto"/>
        <w:ind w:left="8"/>
        <w:rPr>
          <w:rFonts w:ascii="宋体" w:hAnsi="宋体" w:eastAsia="宋体" w:cs="宋体"/>
          <w:sz w:val="21"/>
          <w:szCs w:val="21"/>
        </w:rPr>
      </w:pPr>
      <w:bookmarkStart w:id="318" w:name="bookmark572"/>
      <w:bookmarkEnd w:id="318"/>
      <w:r>
        <w:rPr>
          <w:rFonts w:ascii="宋体" w:hAnsi="宋体" w:eastAsia="宋体" w:cs="宋体"/>
          <w:spacing w:val="-1"/>
          <w:sz w:val="21"/>
          <w:szCs w:val="21"/>
        </w:rPr>
        <w:t>照施工组织设计的要求完成分部分项工程施工。</w:t>
      </w:r>
    </w:p>
    <w:p w14:paraId="7E516C4D">
      <w:pPr>
        <w:spacing w:before="148" w:line="350" w:lineRule="auto"/>
        <w:ind w:left="1" w:right="169" w:firstLine="436"/>
        <w:jc w:val="both"/>
        <w:rPr>
          <w:rFonts w:ascii="宋体" w:hAnsi="宋体" w:eastAsia="宋体" w:cs="宋体"/>
          <w:sz w:val="21"/>
          <w:szCs w:val="21"/>
        </w:rPr>
      </w:pPr>
      <w:r>
        <w:rPr>
          <w:rFonts w:ascii="Times New Roman" w:hAnsi="Times New Roman" w:eastAsia="Times New Roman" w:cs="Times New Roman"/>
          <w:sz w:val="21"/>
          <w:szCs w:val="21"/>
        </w:rPr>
        <w:t xml:space="preserve">13.1.2  </w:t>
      </w:r>
      <w:r>
        <w:rPr>
          <w:rFonts w:ascii="宋体" w:hAnsi="宋体" w:eastAsia="宋体" w:cs="宋体"/>
          <w:sz w:val="21"/>
          <w:szCs w:val="21"/>
        </w:rPr>
        <w:t>除专用合同条款另有约定外，分部分项</w:t>
      </w:r>
      <w:r>
        <w:rPr>
          <w:rFonts w:ascii="宋体" w:hAnsi="宋体" w:eastAsia="宋体" w:cs="宋体"/>
          <w:spacing w:val="-1"/>
          <w:sz w:val="21"/>
          <w:szCs w:val="21"/>
        </w:rPr>
        <w:t>工程经承包人自检合格并具备验收条件的，承</w:t>
      </w:r>
      <w:r>
        <w:rPr>
          <w:rFonts w:ascii="宋体" w:hAnsi="宋体" w:eastAsia="宋体" w:cs="宋体"/>
          <w:sz w:val="21"/>
          <w:szCs w:val="21"/>
        </w:rPr>
        <w:t>包人应提前</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48</w:t>
      </w:r>
      <w:r>
        <w:rPr>
          <w:rFonts w:ascii="Times New Roman" w:hAnsi="Times New Roman" w:eastAsia="Times New Roman" w:cs="Times New Roman"/>
          <w:spacing w:val="14"/>
          <w:w w:val="101"/>
          <w:sz w:val="21"/>
          <w:szCs w:val="21"/>
        </w:rPr>
        <w:t xml:space="preserve"> </w:t>
      </w:r>
      <w:r>
        <w:rPr>
          <w:rFonts w:ascii="宋体" w:hAnsi="宋体" w:eastAsia="宋体" w:cs="宋体"/>
          <w:sz w:val="21"/>
          <w:szCs w:val="21"/>
        </w:rPr>
        <w:t>小时通知监理人进行验收。监理人</w:t>
      </w:r>
      <w:r>
        <w:rPr>
          <w:rFonts w:ascii="宋体" w:hAnsi="宋体" w:eastAsia="宋体" w:cs="宋体"/>
          <w:spacing w:val="-1"/>
          <w:sz w:val="21"/>
          <w:szCs w:val="21"/>
        </w:rPr>
        <w:t>不能按时进行验收的，应在验收前</w:t>
      </w:r>
      <w:r>
        <w:rPr>
          <w:rFonts w:ascii="宋体" w:hAnsi="宋体" w:eastAsia="宋体" w:cs="宋体"/>
          <w:spacing w:val="-50"/>
          <w:sz w:val="21"/>
          <w:szCs w:val="21"/>
        </w:rPr>
        <w:t xml:space="preserve">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小时向承</w:t>
      </w:r>
      <w:r>
        <w:rPr>
          <w:rFonts w:ascii="宋体" w:hAnsi="宋体" w:eastAsia="宋体" w:cs="宋体"/>
          <w:sz w:val="21"/>
          <w:szCs w:val="21"/>
        </w:rPr>
        <w:t xml:space="preserve">包人提交书面延期要求，但延期不能超过 </w:t>
      </w:r>
      <w:r>
        <w:rPr>
          <w:rFonts w:ascii="Times New Roman" w:hAnsi="Times New Roman" w:eastAsia="Times New Roman" w:cs="Times New Roman"/>
          <w:sz w:val="21"/>
          <w:szCs w:val="21"/>
        </w:rPr>
        <w:t xml:space="preserve">48  </w:t>
      </w:r>
      <w:r>
        <w:rPr>
          <w:rFonts w:ascii="宋体" w:hAnsi="宋体" w:eastAsia="宋体" w:cs="宋体"/>
          <w:sz w:val="21"/>
          <w:szCs w:val="21"/>
        </w:rPr>
        <w:t>小时。监理人未按时进行验收，也未提出</w:t>
      </w:r>
      <w:r>
        <w:rPr>
          <w:rFonts w:ascii="宋体" w:hAnsi="宋体" w:eastAsia="宋体" w:cs="宋体"/>
          <w:spacing w:val="-1"/>
          <w:sz w:val="21"/>
          <w:szCs w:val="21"/>
        </w:rPr>
        <w:t>延期要求</w:t>
      </w:r>
      <w:r>
        <w:rPr>
          <w:rFonts w:ascii="宋体" w:hAnsi="宋体" w:eastAsia="宋体" w:cs="宋体"/>
          <w:sz w:val="21"/>
          <w:szCs w:val="21"/>
        </w:rPr>
        <w:t>的，承包人有权自行验收，监理人应认可验收结果。分部分项工程未经验收的，不得进入</w:t>
      </w:r>
      <w:r>
        <w:rPr>
          <w:rFonts w:ascii="宋体" w:hAnsi="宋体" w:eastAsia="宋体" w:cs="宋体"/>
          <w:spacing w:val="-1"/>
          <w:sz w:val="21"/>
          <w:szCs w:val="21"/>
        </w:rPr>
        <w:t>下一道</w:t>
      </w:r>
      <w:r>
        <w:rPr>
          <w:rFonts w:ascii="宋体" w:hAnsi="宋体" w:eastAsia="宋体" w:cs="宋体"/>
          <w:spacing w:val="-5"/>
          <w:sz w:val="21"/>
          <w:szCs w:val="21"/>
        </w:rPr>
        <w:t>工序施工。</w:t>
      </w:r>
    </w:p>
    <w:p w14:paraId="7455C349">
      <w:pPr>
        <w:spacing w:before="9" w:line="221" w:lineRule="auto"/>
        <w:ind w:left="424"/>
        <w:rPr>
          <w:rFonts w:ascii="宋体" w:hAnsi="宋体" w:eastAsia="宋体" w:cs="宋体"/>
          <w:sz w:val="21"/>
          <w:szCs w:val="21"/>
        </w:rPr>
      </w:pPr>
      <w:r>
        <w:rPr>
          <w:rFonts w:ascii="宋体" w:hAnsi="宋体" w:eastAsia="宋体" w:cs="宋体"/>
          <w:spacing w:val="-1"/>
          <w:sz w:val="21"/>
          <w:szCs w:val="21"/>
        </w:rPr>
        <w:t>分部分项工程的验收资料应当作为竣工资料的组成部</w:t>
      </w:r>
      <w:r>
        <w:rPr>
          <w:rFonts w:ascii="宋体" w:hAnsi="宋体" w:eastAsia="宋体" w:cs="宋体"/>
          <w:spacing w:val="-2"/>
          <w:sz w:val="21"/>
          <w:szCs w:val="21"/>
        </w:rPr>
        <w:t>分。</w:t>
      </w:r>
    </w:p>
    <w:p w14:paraId="5480D00F">
      <w:pPr>
        <w:spacing w:before="125" w:line="232" w:lineRule="auto"/>
        <w:ind w:left="9"/>
        <w:outlineLvl w:val="1"/>
        <w:rPr>
          <w:rFonts w:ascii="黑体" w:hAnsi="黑体" w:eastAsia="黑体" w:cs="黑体"/>
          <w:sz w:val="24"/>
          <w:szCs w:val="24"/>
        </w:rPr>
      </w:pPr>
      <w:bookmarkStart w:id="319" w:name="bookmark239"/>
      <w:bookmarkEnd w:id="319"/>
      <w:r>
        <w:rPr>
          <w:rFonts w:ascii="Times New Roman" w:hAnsi="Times New Roman" w:eastAsia="Times New Roman" w:cs="Times New Roman"/>
          <w:b/>
          <w:bCs/>
          <w:spacing w:val="-3"/>
          <w:sz w:val="24"/>
          <w:szCs w:val="24"/>
        </w:rPr>
        <w:t xml:space="preserve">13.2 </w:t>
      </w:r>
      <w:r>
        <w:rPr>
          <w:rFonts w:ascii="黑体" w:hAnsi="黑体" w:eastAsia="黑体" w:cs="黑体"/>
          <w:b/>
          <w:bCs/>
          <w:spacing w:val="-3"/>
          <w:sz w:val="24"/>
          <w:szCs w:val="24"/>
        </w:rPr>
        <w:t>竣工验收</w:t>
      </w:r>
    </w:p>
    <w:p w14:paraId="46E23CE2">
      <w:pPr>
        <w:spacing w:before="125"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13.2.1 </w:t>
      </w:r>
      <w:r>
        <w:rPr>
          <w:rFonts w:ascii="宋体" w:hAnsi="宋体" w:eastAsia="宋体" w:cs="宋体"/>
          <w:spacing w:val="-2"/>
          <w:sz w:val="21"/>
          <w:szCs w:val="21"/>
        </w:rPr>
        <w:t>竣工验收条件</w:t>
      </w:r>
    </w:p>
    <w:p w14:paraId="78CA0568">
      <w:pPr>
        <w:spacing w:before="131" w:line="221" w:lineRule="auto"/>
        <w:ind w:left="424"/>
        <w:rPr>
          <w:rFonts w:ascii="宋体" w:hAnsi="宋体" w:eastAsia="宋体" w:cs="宋体"/>
          <w:sz w:val="21"/>
          <w:szCs w:val="21"/>
        </w:rPr>
      </w:pPr>
      <w:r>
        <w:rPr>
          <w:rFonts w:ascii="宋体" w:hAnsi="宋体" w:eastAsia="宋体" w:cs="宋体"/>
          <w:spacing w:val="-2"/>
          <w:sz w:val="21"/>
          <w:szCs w:val="21"/>
        </w:rPr>
        <w:t>工程具备以下条件的，承包人可以申请竣工验收：</w:t>
      </w:r>
    </w:p>
    <w:p w14:paraId="6D7F981E">
      <w:pPr>
        <w:spacing w:before="150" w:line="286" w:lineRule="auto"/>
        <w:ind w:left="1" w:right="222"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）除发包人同意的甩项工作和缺陷修补工作外，合同范围内的全部工程以及有关工作，</w:t>
      </w:r>
      <w:r>
        <w:rPr>
          <w:rFonts w:ascii="宋体" w:hAnsi="宋体" w:eastAsia="宋体" w:cs="宋体"/>
          <w:sz w:val="21"/>
          <w:szCs w:val="21"/>
        </w:rPr>
        <w:t>包括合同要求的试验、试运行以及检验均已完成，并符合合同</w:t>
      </w:r>
      <w:r>
        <w:rPr>
          <w:rFonts w:ascii="宋体" w:hAnsi="宋体" w:eastAsia="宋体" w:cs="宋体"/>
          <w:spacing w:val="-1"/>
          <w:sz w:val="21"/>
          <w:szCs w:val="21"/>
        </w:rPr>
        <w:t>要求；</w:t>
      </w:r>
    </w:p>
    <w:p w14:paraId="5D75A63D">
      <w:pPr>
        <w:spacing w:before="148"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）已按合同约定编制了甩项工作和缺陷修补工作清</w:t>
      </w:r>
      <w:r>
        <w:rPr>
          <w:rFonts w:ascii="宋体" w:hAnsi="宋体" w:eastAsia="宋体" w:cs="宋体"/>
          <w:spacing w:val="-1"/>
          <w:sz w:val="21"/>
          <w:szCs w:val="21"/>
        </w:rPr>
        <w:t>单以及相应的施工计划；</w:t>
      </w:r>
    </w:p>
    <w:p w14:paraId="5DEABEB6">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）已按合同约定的内容和份数备齐竣工资料。</w:t>
      </w:r>
    </w:p>
    <w:p w14:paraId="0CDED3E1">
      <w:pPr>
        <w:spacing w:before="135"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13.2.2 </w:t>
      </w:r>
      <w:r>
        <w:rPr>
          <w:rFonts w:ascii="宋体" w:hAnsi="宋体" w:eastAsia="宋体" w:cs="宋体"/>
          <w:spacing w:val="-2"/>
          <w:sz w:val="21"/>
          <w:szCs w:val="21"/>
        </w:rPr>
        <w:t>竣工验收程序</w:t>
      </w:r>
    </w:p>
    <w:p w14:paraId="45C3D660">
      <w:pPr>
        <w:spacing w:before="131" w:line="221" w:lineRule="auto"/>
        <w:ind w:left="434"/>
        <w:rPr>
          <w:rFonts w:ascii="宋体" w:hAnsi="宋体" w:eastAsia="宋体" w:cs="宋体"/>
          <w:sz w:val="21"/>
          <w:szCs w:val="21"/>
        </w:rPr>
      </w:pPr>
      <w:r>
        <w:rPr>
          <w:rFonts w:ascii="宋体" w:hAnsi="宋体" w:eastAsia="宋体" w:cs="宋体"/>
          <w:spacing w:val="-1"/>
          <w:sz w:val="21"/>
          <w:szCs w:val="21"/>
        </w:rPr>
        <w:t>除专用合同条款另有约定外，承包人申请竣工验收的，应当按照以下</w:t>
      </w:r>
      <w:r>
        <w:rPr>
          <w:rFonts w:ascii="宋体" w:hAnsi="宋体" w:eastAsia="宋体" w:cs="宋体"/>
          <w:spacing w:val="-2"/>
          <w:sz w:val="21"/>
          <w:szCs w:val="21"/>
        </w:rPr>
        <w:t>程序进行：</w:t>
      </w:r>
    </w:p>
    <w:p w14:paraId="52986302">
      <w:pPr>
        <w:spacing w:before="148" w:line="319" w:lineRule="auto"/>
        <w:ind w:right="169"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）承包人向监理人报送竣工验收申请报告，监理人应在收到竣工验收申请报告后</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w:t>
      </w:r>
      <w:r>
        <w:rPr>
          <w:rFonts w:ascii="宋体" w:hAnsi="宋体" w:eastAsia="宋体" w:cs="宋体"/>
          <w:sz w:val="21"/>
          <w:szCs w:val="21"/>
        </w:rPr>
        <w:t>完成审查并报送发包人。监理人审查后认为尚不具备验收条件的，应通知承包人在竣工验收</w:t>
      </w:r>
      <w:r>
        <w:rPr>
          <w:rFonts w:ascii="宋体" w:hAnsi="宋体" w:eastAsia="宋体" w:cs="宋体"/>
          <w:spacing w:val="-1"/>
          <w:sz w:val="21"/>
          <w:szCs w:val="21"/>
        </w:rPr>
        <w:t>前承</w:t>
      </w:r>
      <w:r>
        <w:rPr>
          <w:rFonts w:ascii="宋体" w:hAnsi="宋体" w:eastAsia="宋体" w:cs="宋体"/>
          <w:sz w:val="21"/>
          <w:szCs w:val="21"/>
        </w:rPr>
        <w:t>包人还需完成的工作内容，承包人应在完成监理人通知的全部工作内容后，再次提交竣工验</w:t>
      </w:r>
      <w:r>
        <w:rPr>
          <w:rFonts w:ascii="宋体" w:hAnsi="宋体" w:eastAsia="宋体" w:cs="宋体"/>
          <w:spacing w:val="-1"/>
          <w:sz w:val="21"/>
          <w:szCs w:val="21"/>
        </w:rPr>
        <w:t>收申请报告。</w:t>
      </w:r>
    </w:p>
    <w:p w14:paraId="168F0A6C">
      <w:pPr>
        <w:spacing w:before="150" w:line="308" w:lineRule="auto"/>
        <w:ind w:left="3" w:right="169" w:firstLine="4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）监理人审查后认为已具备竣工验收条件的，应将竣工验收申请报告提交发包人，发包</w:t>
      </w:r>
      <w:r>
        <w:rPr>
          <w:rFonts w:ascii="宋体" w:hAnsi="宋体" w:eastAsia="宋体" w:cs="宋体"/>
          <w:sz w:val="21"/>
          <w:szCs w:val="21"/>
        </w:rPr>
        <w:t xml:space="preserve">人应在收到经监理人审核的竣工验收申请报告后 </w:t>
      </w:r>
      <w:r>
        <w:rPr>
          <w:rFonts w:ascii="Times New Roman" w:hAnsi="Times New Roman" w:eastAsia="Times New Roman" w:cs="Times New Roman"/>
          <w:sz w:val="21"/>
          <w:szCs w:val="21"/>
        </w:rPr>
        <w:t xml:space="preserve">28  </w:t>
      </w:r>
      <w:r>
        <w:rPr>
          <w:rFonts w:ascii="宋体" w:hAnsi="宋体" w:eastAsia="宋体" w:cs="宋体"/>
          <w:sz w:val="21"/>
          <w:szCs w:val="21"/>
        </w:rPr>
        <w:t>天内审批完毕并组织监理人、承</w:t>
      </w:r>
      <w:r>
        <w:rPr>
          <w:rFonts w:ascii="宋体" w:hAnsi="宋体" w:eastAsia="宋体" w:cs="宋体"/>
          <w:spacing w:val="-1"/>
          <w:sz w:val="21"/>
          <w:szCs w:val="21"/>
        </w:rPr>
        <w:t>包人、设计</w:t>
      </w:r>
      <w:r>
        <w:rPr>
          <w:rFonts w:ascii="宋体" w:hAnsi="宋体" w:eastAsia="宋体" w:cs="宋体"/>
          <w:spacing w:val="-2"/>
          <w:sz w:val="21"/>
          <w:szCs w:val="21"/>
        </w:rPr>
        <w:t>人等相关单位完成竣工验收。</w:t>
      </w:r>
    </w:p>
    <w:p w14:paraId="1B336B79">
      <w:pPr>
        <w:spacing w:before="151" w:line="292" w:lineRule="auto"/>
        <w:ind w:left="3" w:right="169" w:firstLine="42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）竣工验收合格的，发包人应在验收合格后</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天内向承包人签发工程接收证书。发包人无正当理由逾期不颁发工程接收证书的，自验收合格后第</w:t>
      </w:r>
      <w:r>
        <w:rPr>
          <w:rFonts w:ascii="宋体" w:hAnsi="宋体" w:eastAsia="宋体" w:cs="宋体"/>
          <w:spacing w:val="-28"/>
          <w:sz w:val="21"/>
          <w:szCs w:val="21"/>
        </w:rPr>
        <w:t xml:space="preserve"> </w:t>
      </w:r>
      <w:r>
        <w:rPr>
          <w:rFonts w:ascii="Times New Roman" w:hAnsi="Times New Roman" w:eastAsia="Times New Roman" w:cs="Times New Roman"/>
          <w:spacing w:val="-1"/>
          <w:sz w:val="21"/>
          <w:szCs w:val="21"/>
        </w:rPr>
        <w:t xml:space="preserve">15 </w:t>
      </w:r>
      <w:r>
        <w:rPr>
          <w:rFonts w:ascii="宋体" w:hAnsi="宋体" w:eastAsia="宋体" w:cs="宋体"/>
          <w:spacing w:val="-1"/>
          <w:sz w:val="21"/>
          <w:szCs w:val="21"/>
        </w:rPr>
        <w:t>天起视为已颁发工程接收</w:t>
      </w:r>
      <w:r>
        <w:rPr>
          <w:rFonts w:ascii="宋体" w:hAnsi="宋体" w:eastAsia="宋体" w:cs="宋体"/>
          <w:spacing w:val="-2"/>
          <w:sz w:val="21"/>
          <w:szCs w:val="21"/>
        </w:rPr>
        <w:t>证书。</w:t>
      </w:r>
    </w:p>
    <w:p w14:paraId="390C2F24">
      <w:pPr>
        <w:spacing w:before="134" w:line="319" w:lineRule="auto"/>
        <w:ind w:firstLine="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）竣工验收不合格的，监理人应按照验收意见发出指示，要求承包人对不合格工程返工、</w:t>
      </w:r>
      <w:r>
        <w:rPr>
          <w:rFonts w:ascii="宋体" w:hAnsi="宋体" w:eastAsia="宋体" w:cs="宋体"/>
          <w:sz w:val="21"/>
          <w:szCs w:val="21"/>
        </w:rPr>
        <w:t>修复或采取其他补救措施，由此增加的费用和（或）延误的工期由承包人承担。承包人在</w:t>
      </w:r>
      <w:r>
        <w:rPr>
          <w:rFonts w:ascii="宋体" w:hAnsi="宋体" w:eastAsia="宋体" w:cs="宋体"/>
          <w:spacing w:val="-1"/>
          <w:sz w:val="21"/>
          <w:szCs w:val="21"/>
        </w:rPr>
        <w:t>完成不</w:t>
      </w:r>
      <w:r>
        <w:rPr>
          <w:rFonts w:ascii="宋体" w:hAnsi="宋体" w:eastAsia="宋体" w:cs="宋体"/>
          <w:sz w:val="21"/>
          <w:szCs w:val="21"/>
        </w:rPr>
        <w:t>合格工程的返工、修复或采取其他补救措施后，应重新提交竣工验收申请报告，并按本项</w:t>
      </w:r>
      <w:r>
        <w:rPr>
          <w:rFonts w:ascii="宋体" w:hAnsi="宋体" w:eastAsia="宋体" w:cs="宋体"/>
          <w:spacing w:val="-1"/>
          <w:sz w:val="21"/>
          <w:szCs w:val="21"/>
        </w:rPr>
        <w:t>约定的</w:t>
      </w:r>
      <w:r>
        <w:rPr>
          <w:rFonts w:ascii="宋体" w:hAnsi="宋体" w:eastAsia="宋体" w:cs="宋体"/>
          <w:spacing w:val="-3"/>
          <w:sz w:val="21"/>
          <w:szCs w:val="21"/>
        </w:rPr>
        <w:t>程序重新进行验收。</w:t>
      </w:r>
    </w:p>
    <w:p w14:paraId="61B1275B">
      <w:pPr>
        <w:spacing w:before="152" w:line="307" w:lineRule="auto"/>
        <w:ind w:right="169" w:firstLine="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5</w:t>
      </w:r>
      <w:r>
        <w:rPr>
          <w:rFonts w:ascii="宋体" w:hAnsi="宋体" w:eastAsia="宋体" w:cs="宋体"/>
          <w:sz w:val="21"/>
          <w:szCs w:val="21"/>
        </w:rPr>
        <w:t>）工程未经验收或验收不合格，发包人擅自使用的，应在转移占有</w:t>
      </w:r>
      <w:r>
        <w:rPr>
          <w:rFonts w:ascii="宋体" w:hAnsi="宋体" w:eastAsia="宋体" w:cs="宋体"/>
          <w:spacing w:val="-1"/>
          <w:sz w:val="21"/>
          <w:szCs w:val="21"/>
        </w:rPr>
        <w:t xml:space="preserve">工程后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天内向承包</w:t>
      </w:r>
      <w:r>
        <w:rPr>
          <w:rFonts w:ascii="宋体" w:hAnsi="宋体" w:eastAsia="宋体" w:cs="宋体"/>
          <w:sz w:val="21"/>
          <w:szCs w:val="21"/>
        </w:rPr>
        <w:t xml:space="preserve">人颁发工程接收证书；发包人无正当理由逾期不颁发工程接收证书的，自转移占有后第 </w:t>
      </w:r>
      <w:r>
        <w:rPr>
          <w:rFonts w:ascii="Times New Roman" w:hAnsi="Times New Roman" w:eastAsia="Times New Roman" w:cs="Times New Roman"/>
          <w:sz w:val="21"/>
          <w:szCs w:val="21"/>
        </w:rPr>
        <w:t xml:space="preserve">15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天起视为已颁发工程接收证书。</w:t>
      </w:r>
    </w:p>
    <w:p w14:paraId="0A3D55CA">
      <w:pPr>
        <w:spacing w:before="150" w:line="355" w:lineRule="auto"/>
        <w:ind w:left="1" w:right="169" w:firstLine="432"/>
        <w:jc w:val="both"/>
        <w:rPr>
          <w:rFonts w:ascii="宋体" w:hAnsi="宋体" w:eastAsia="宋体" w:cs="宋体"/>
          <w:sz w:val="21"/>
          <w:szCs w:val="21"/>
        </w:rPr>
      </w:pPr>
      <w:r>
        <w:rPr>
          <w:rFonts w:ascii="宋体" w:hAnsi="宋体" w:eastAsia="宋体" w:cs="宋体"/>
          <w:sz w:val="21"/>
          <w:szCs w:val="21"/>
        </w:rPr>
        <w:t>除专用合同条款另有约定外，发包人不按照本项约定组</w:t>
      </w:r>
      <w:r>
        <w:rPr>
          <w:rFonts w:ascii="宋体" w:hAnsi="宋体" w:eastAsia="宋体" w:cs="宋体"/>
          <w:spacing w:val="-1"/>
          <w:sz w:val="21"/>
          <w:szCs w:val="21"/>
        </w:rPr>
        <w:t>织竣工验收、颁发工程接收证书的，</w:t>
      </w:r>
      <w:r>
        <w:rPr>
          <w:rFonts w:ascii="宋体" w:hAnsi="宋体" w:eastAsia="宋体" w:cs="宋体"/>
          <w:sz w:val="21"/>
          <w:szCs w:val="21"/>
        </w:rPr>
        <w:t>每逾期一天，应以签约合同价为基数，按照中国人民银行发布的同期同类贷款基准利率支</w:t>
      </w:r>
      <w:r>
        <w:rPr>
          <w:rFonts w:ascii="宋体" w:hAnsi="宋体" w:eastAsia="宋体" w:cs="宋体"/>
          <w:spacing w:val="-1"/>
          <w:sz w:val="21"/>
          <w:szCs w:val="21"/>
        </w:rPr>
        <w:t>付违约</w:t>
      </w:r>
      <w:r>
        <w:rPr>
          <w:rFonts w:ascii="宋体" w:hAnsi="宋体" w:eastAsia="宋体" w:cs="宋体"/>
          <w:spacing w:val="-10"/>
          <w:sz w:val="21"/>
          <w:szCs w:val="21"/>
        </w:rPr>
        <w:t>金。</w:t>
      </w:r>
    </w:p>
    <w:p w14:paraId="714C55D7">
      <w:pPr>
        <w:spacing w:before="68" w:line="234" w:lineRule="auto"/>
        <w:ind w:left="436"/>
        <w:rPr>
          <w:rFonts w:ascii="宋体" w:hAnsi="宋体" w:eastAsia="宋体" w:cs="宋体"/>
          <w:sz w:val="21"/>
          <w:szCs w:val="21"/>
        </w:rPr>
      </w:pPr>
      <w:bookmarkStart w:id="320" w:name="bookmark573"/>
      <w:bookmarkEnd w:id="320"/>
      <w:r>
        <w:rPr>
          <w:rFonts w:ascii="Times New Roman" w:hAnsi="Times New Roman" w:eastAsia="Times New Roman" w:cs="Times New Roman"/>
          <w:spacing w:val="-2"/>
          <w:sz w:val="21"/>
          <w:szCs w:val="21"/>
        </w:rPr>
        <w:t xml:space="preserve">13.2.3 </w:t>
      </w:r>
      <w:r>
        <w:rPr>
          <w:rFonts w:ascii="宋体" w:hAnsi="宋体" w:eastAsia="宋体" w:cs="宋体"/>
          <w:spacing w:val="-2"/>
          <w:sz w:val="21"/>
          <w:szCs w:val="21"/>
        </w:rPr>
        <w:t>竣工日期</w:t>
      </w:r>
    </w:p>
    <w:p w14:paraId="71DA0515">
      <w:pPr>
        <w:spacing w:before="132" w:line="351" w:lineRule="auto"/>
        <w:ind w:left="2" w:right="177" w:firstLine="420"/>
        <w:rPr>
          <w:rFonts w:ascii="宋体" w:hAnsi="宋体" w:eastAsia="宋体" w:cs="宋体"/>
          <w:sz w:val="21"/>
          <w:szCs w:val="21"/>
        </w:rPr>
      </w:pPr>
      <w:r>
        <w:rPr>
          <w:rFonts w:ascii="宋体" w:hAnsi="宋体" w:eastAsia="宋体" w:cs="宋体"/>
          <w:sz w:val="21"/>
          <w:szCs w:val="21"/>
        </w:rPr>
        <w:t>工程经竣工验收合格的，以承包人提交竣工验收申请报告之日为实际竣工日期</w:t>
      </w:r>
      <w:r>
        <w:rPr>
          <w:rFonts w:ascii="宋体" w:hAnsi="宋体" w:eastAsia="宋体" w:cs="宋体"/>
          <w:spacing w:val="-1"/>
          <w:sz w:val="21"/>
          <w:szCs w:val="21"/>
        </w:rPr>
        <w:t>，并在工程接</w:t>
      </w:r>
      <w:r>
        <w:rPr>
          <w:rFonts w:ascii="宋体" w:hAnsi="宋体" w:eastAsia="宋体" w:cs="宋体"/>
          <w:sz w:val="21"/>
          <w:szCs w:val="21"/>
        </w:rPr>
        <w:t xml:space="preserve">收证书中载明；因发包人原因，未在监理人收到承包人提交的竣工验收申请报告 </w:t>
      </w:r>
      <w:r>
        <w:rPr>
          <w:rFonts w:ascii="Times New Roman" w:hAnsi="Times New Roman" w:eastAsia="Times New Roman" w:cs="Times New Roman"/>
          <w:sz w:val="21"/>
          <w:szCs w:val="21"/>
        </w:rPr>
        <w:t xml:space="preserve">42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天内完成竣</w:t>
      </w:r>
      <w:r>
        <w:rPr>
          <w:rFonts w:ascii="宋体" w:hAnsi="宋体" w:eastAsia="宋体" w:cs="宋体"/>
          <w:sz w:val="21"/>
          <w:szCs w:val="21"/>
        </w:rPr>
        <w:t>工验收，或完成竣工验收不予签发工程接收证书的，以提交竣工验收申请报告的日</w:t>
      </w:r>
      <w:r>
        <w:rPr>
          <w:rFonts w:ascii="宋体" w:hAnsi="宋体" w:eastAsia="宋体" w:cs="宋体"/>
          <w:spacing w:val="-1"/>
          <w:sz w:val="21"/>
          <w:szCs w:val="21"/>
        </w:rPr>
        <w:t>期为实际竣工</w:t>
      </w:r>
      <w:r>
        <w:rPr>
          <w:rFonts w:ascii="宋体" w:hAnsi="宋体" w:eastAsia="宋体" w:cs="宋体"/>
          <w:sz w:val="21"/>
          <w:szCs w:val="21"/>
        </w:rPr>
        <w:t>日期；工程未经竣工验收，发包人擅自使用</w:t>
      </w:r>
      <w:r>
        <w:rPr>
          <w:rFonts w:ascii="宋体" w:hAnsi="宋体" w:eastAsia="宋体" w:cs="宋体"/>
          <w:spacing w:val="-1"/>
          <w:sz w:val="21"/>
          <w:szCs w:val="21"/>
        </w:rPr>
        <w:t>的，以转移占有工程之日为实际竣工日期。</w:t>
      </w:r>
    </w:p>
    <w:p w14:paraId="1C048534">
      <w:pPr>
        <w:spacing w:before="6"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13.2.4  </w:t>
      </w:r>
      <w:r>
        <w:rPr>
          <w:rFonts w:ascii="宋体" w:hAnsi="宋体" w:eastAsia="宋体" w:cs="宋体"/>
          <w:spacing w:val="-2"/>
          <w:sz w:val="21"/>
          <w:szCs w:val="21"/>
        </w:rPr>
        <w:t>拒绝接收全部或部分工程</w:t>
      </w:r>
    </w:p>
    <w:p w14:paraId="00A086F8">
      <w:pPr>
        <w:spacing w:before="131" w:line="352" w:lineRule="auto"/>
        <w:ind w:left="2" w:right="177" w:firstLine="416"/>
        <w:rPr>
          <w:rFonts w:ascii="宋体" w:hAnsi="宋体" w:eastAsia="宋体" w:cs="宋体"/>
          <w:sz w:val="21"/>
          <w:szCs w:val="21"/>
        </w:rPr>
      </w:pPr>
      <w:r>
        <w:rPr>
          <w:rFonts w:ascii="宋体" w:hAnsi="宋体" w:eastAsia="宋体" w:cs="宋体"/>
          <w:sz w:val="21"/>
          <w:szCs w:val="21"/>
        </w:rPr>
        <w:t>对于竣工验收不合格的工程，承包人完成整改后，应当重新进行竣工验收，经重新组</w:t>
      </w:r>
      <w:r>
        <w:rPr>
          <w:rFonts w:ascii="宋体" w:hAnsi="宋体" w:eastAsia="宋体" w:cs="宋体"/>
          <w:spacing w:val="-1"/>
          <w:sz w:val="21"/>
          <w:szCs w:val="21"/>
        </w:rPr>
        <w:t>织验收</w:t>
      </w:r>
      <w:r>
        <w:rPr>
          <w:rFonts w:ascii="宋体" w:hAnsi="宋体" w:eastAsia="宋体" w:cs="宋体"/>
          <w:sz w:val="21"/>
          <w:szCs w:val="21"/>
        </w:rPr>
        <w:t>仍不合格的且无法采取措施补救的，则发包人可以拒绝接收不合格工程，因不合格</w:t>
      </w:r>
      <w:r>
        <w:rPr>
          <w:rFonts w:ascii="宋体" w:hAnsi="宋体" w:eastAsia="宋体" w:cs="宋体"/>
          <w:spacing w:val="-1"/>
          <w:sz w:val="21"/>
          <w:szCs w:val="21"/>
        </w:rPr>
        <w:t>工程导致其他</w:t>
      </w:r>
      <w:r>
        <w:rPr>
          <w:rFonts w:ascii="宋体" w:hAnsi="宋体" w:eastAsia="宋体" w:cs="宋体"/>
          <w:sz w:val="21"/>
          <w:szCs w:val="21"/>
        </w:rPr>
        <w:t>工程不能正常使用的，承包人应采取措施确保相关工程的正常使用，由此增加的费</w:t>
      </w:r>
      <w:r>
        <w:rPr>
          <w:rFonts w:ascii="宋体" w:hAnsi="宋体" w:eastAsia="宋体" w:cs="宋体"/>
          <w:spacing w:val="-1"/>
          <w:sz w:val="21"/>
          <w:szCs w:val="21"/>
        </w:rPr>
        <w:t>用和（或）延</w:t>
      </w:r>
      <w:r>
        <w:rPr>
          <w:rFonts w:ascii="宋体" w:hAnsi="宋体" w:eastAsia="宋体" w:cs="宋体"/>
          <w:spacing w:val="-3"/>
          <w:sz w:val="21"/>
          <w:szCs w:val="21"/>
        </w:rPr>
        <w:t>误的工期由承包人承担。</w:t>
      </w:r>
    </w:p>
    <w:p w14:paraId="760F505C">
      <w:pPr>
        <w:spacing w:line="234" w:lineRule="auto"/>
        <w:ind w:left="436"/>
        <w:rPr>
          <w:rFonts w:ascii="宋体" w:hAnsi="宋体" w:eastAsia="宋体" w:cs="宋体"/>
          <w:sz w:val="21"/>
          <w:szCs w:val="21"/>
        </w:rPr>
      </w:pPr>
      <w:r>
        <w:rPr>
          <w:rFonts w:ascii="Times New Roman" w:hAnsi="Times New Roman" w:eastAsia="Times New Roman" w:cs="Times New Roman"/>
          <w:spacing w:val="-1"/>
          <w:sz w:val="21"/>
          <w:szCs w:val="21"/>
        </w:rPr>
        <w:t xml:space="preserve">13.2.5  </w:t>
      </w:r>
      <w:r>
        <w:rPr>
          <w:rFonts w:ascii="宋体" w:hAnsi="宋体" w:eastAsia="宋体" w:cs="宋体"/>
          <w:spacing w:val="-1"/>
          <w:sz w:val="21"/>
          <w:szCs w:val="21"/>
        </w:rPr>
        <w:t>移交、接收全部与部分工程</w:t>
      </w:r>
    </w:p>
    <w:p w14:paraId="545C06F6">
      <w:pPr>
        <w:spacing w:before="133" w:line="234" w:lineRule="auto"/>
        <w:jc w:val="right"/>
        <w:rPr>
          <w:rFonts w:ascii="宋体" w:hAnsi="宋体" w:eastAsia="宋体" w:cs="宋体"/>
          <w:sz w:val="21"/>
          <w:szCs w:val="21"/>
        </w:rPr>
      </w:pPr>
      <w:r>
        <w:rPr>
          <w:rFonts w:ascii="宋体" w:hAnsi="宋体" w:eastAsia="宋体" w:cs="宋体"/>
          <w:spacing w:val="-1"/>
          <w:sz w:val="21"/>
          <w:szCs w:val="21"/>
        </w:rPr>
        <w:t>除专用合同条款另有约定外，合同当事人应当在颁发工程接收证</w:t>
      </w:r>
      <w:r>
        <w:rPr>
          <w:rFonts w:ascii="宋体" w:hAnsi="宋体" w:eastAsia="宋体" w:cs="宋体"/>
          <w:spacing w:val="-2"/>
          <w:sz w:val="21"/>
          <w:szCs w:val="21"/>
        </w:rPr>
        <w:t>书后</w:t>
      </w:r>
      <w:r>
        <w:rPr>
          <w:rFonts w:ascii="宋体" w:hAnsi="宋体" w:eastAsia="宋体" w:cs="宋体"/>
          <w:spacing w:val="-45"/>
          <w:sz w:val="21"/>
          <w:szCs w:val="21"/>
        </w:rPr>
        <w:t xml:space="preserve">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天内完成工程的移交。</w:t>
      </w:r>
    </w:p>
    <w:p w14:paraId="2BEB14B4">
      <w:pPr>
        <w:spacing w:before="131" w:line="352" w:lineRule="auto"/>
        <w:ind w:firstLine="422"/>
        <w:rPr>
          <w:rFonts w:ascii="宋体" w:hAnsi="宋体" w:eastAsia="宋体" w:cs="宋体"/>
          <w:sz w:val="21"/>
          <w:szCs w:val="21"/>
        </w:rPr>
      </w:pPr>
      <w:r>
        <w:rPr>
          <w:rFonts w:ascii="宋体" w:hAnsi="宋体" w:eastAsia="宋体" w:cs="宋体"/>
          <w:spacing w:val="-1"/>
          <w:sz w:val="21"/>
          <w:szCs w:val="21"/>
        </w:rPr>
        <w:t>发包人无正当理由不接收工程的，发包人自应当接收工程之日起，承担工程照管、成品保护、</w:t>
      </w:r>
      <w:r>
        <w:rPr>
          <w:rFonts w:ascii="宋体" w:hAnsi="宋体" w:eastAsia="宋体" w:cs="宋体"/>
          <w:sz w:val="21"/>
          <w:szCs w:val="21"/>
        </w:rPr>
        <w:t>保管等与工程有关的各项费用，合同当事人可以在专用合同条款中另行约定发包人逾期</w:t>
      </w:r>
      <w:r>
        <w:rPr>
          <w:rFonts w:ascii="宋体" w:hAnsi="宋体" w:eastAsia="宋体" w:cs="宋体"/>
          <w:spacing w:val="-1"/>
          <w:sz w:val="21"/>
          <w:szCs w:val="21"/>
        </w:rPr>
        <w:t>接收工程的违约责任。</w:t>
      </w:r>
    </w:p>
    <w:p w14:paraId="3FE3AB57">
      <w:pPr>
        <w:spacing w:before="2" w:line="341" w:lineRule="auto"/>
        <w:ind w:left="2" w:firstLine="417"/>
        <w:rPr>
          <w:rFonts w:ascii="宋体" w:hAnsi="宋体" w:eastAsia="宋体" w:cs="宋体"/>
          <w:sz w:val="21"/>
          <w:szCs w:val="21"/>
        </w:rPr>
      </w:pPr>
      <w:r>
        <w:rPr>
          <w:rFonts w:ascii="宋体" w:hAnsi="宋体" w:eastAsia="宋体" w:cs="宋体"/>
          <w:sz w:val="21"/>
          <w:szCs w:val="21"/>
        </w:rPr>
        <w:t>承包人无正当理由不移交工程的，承包人应承担工程照管、成品保护、保管等与工程</w:t>
      </w:r>
      <w:r>
        <w:rPr>
          <w:rFonts w:ascii="宋体" w:hAnsi="宋体" w:eastAsia="宋体" w:cs="宋体"/>
          <w:spacing w:val="-1"/>
          <w:sz w:val="21"/>
          <w:szCs w:val="21"/>
        </w:rPr>
        <w:t>有关的各项费用，合同当事人可以在专用合同条款中另行约定承包人无正当理由不移交工程的违约责任。</w:t>
      </w:r>
    </w:p>
    <w:p w14:paraId="7508786C">
      <w:pPr>
        <w:spacing w:before="1" w:line="231" w:lineRule="auto"/>
        <w:ind w:left="7"/>
        <w:outlineLvl w:val="1"/>
        <w:rPr>
          <w:rFonts w:ascii="黑体" w:hAnsi="黑体" w:eastAsia="黑体" w:cs="黑体"/>
          <w:sz w:val="24"/>
          <w:szCs w:val="24"/>
        </w:rPr>
      </w:pPr>
      <w:bookmarkStart w:id="321" w:name="bookmark240"/>
      <w:bookmarkEnd w:id="321"/>
      <w:r>
        <w:rPr>
          <w:rFonts w:ascii="Times New Roman" w:hAnsi="Times New Roman" w:eastAsia="Times New Roman" w:cs="Times New Roman"/>
          <w:b/>
          <w:bCs/>
          <w:spacing w:val="-3"/>
          <w:sz w:val="24"/>
          <w:szCs w:val="24"/>
        </w:rPr>
        <w:t xml:space="preserve">13.3 </w:t>
      </w:r>
      <w:r>
        <w:rPr>
          <w:rFonts w:ascii="黑体" w:hAnsi="黑体" w:eastAsia="黑体" w:cs="黑体"/>
          <w:b/>
          <w:bCs/>
          <w:spacing w:val="-3"/>
          <w:sz w:val="24"/>
          <w:szCs w:val="24"/>
        </w:rPr>
        <w:t>工程试车</w:t>
      </w:r>
    </w:p>
    <w:p w14:paraId="228EF0BC">
      <w:pPr>
        <w:spacing w:before="122"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13.3.1 </w:t>
      </w:r>
      <w:r>
        <w:rPr>
          <w:rFonts w:ascii="宋体" w:hAnsi="宋体" w:eastAsia="宋体" w:cs="宋体"/>
          <w:spacing w:val="-2"/>
          <w:sz w:val="21"/>
          <w:szCs w:val="21"/>
        </w:rPr>
        <w:t>试车程序</w:t>
      </w:r>
    </w:p>
    <w:p w14:paraId="61DD14B6">
      <w:pPr>
        <w:spacing w:before="135" w:line="351" w:lineRule="auto"/>
        <w:ind w:left="11" w:right="177" w:firstLine="410"/>
        <w:rPr>
          <w:rFonts w:ascii="宋体" w:hAnsi="宋体" w:eastAsia="宋体" w:cs="宋体"/>
          <w:sz w:val="21"/>
          <w:szCs w:val="21"/>
        </w:rPr>
      </w:pPr>
      <w:r>
        <w:rPr>
          <w:rFonts w:ascii="宋体" w:hAnsi="宋体" w:eastAsia="宋体" w:cs="宋体"/>
          <w:sz w:val="21"/>
          <w:szCs w:val="21"/>
        </w:rPr>
        <w:t>工程需要试车的，除专用合同条款另有约定外，试车内容应与承包人承包范围</w:t>
      </w:r>
      <w:r>
        <w:rPr>
          <w:rFonts w:ascii="宋体" w:hAnsi="宋体" w:eastAsia="宋体" w:cs="宋体"/>
          <w:spacing w:val="-1"/>
          <w:sz w:val="21"/>
          <w:szCs w:val="21"/>
        </w:rPr>
        <w:t>相一致，试车</w:t>
      </w:r>
      <w:r>
        <w:rPr>
          <w:rFonts w:ascii="宋体" w:hAnsi="宋体" w:eastAsia="宋体" w:cs="宋体"/>
          <w:spacing w:val="-2"/>
          <w:sz w:val="21"/>
          <w:szCs w:val="21"/>
        </w:rPr>
        <w:t>费用由承包人承担。工程试车应按如下程序进行：</w:t>
      </w:r>
    </w:p>
    <w:p w14:paraId="210EE248">
      <w:pPr>
        <w:spacing w:before="4" w:line="351" w:lineRule="auto"/>
        <w:ind w:right="177" w:firstLine="426"/>
        <w:jc w:val="both"/>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）具备单机无负荷试车条件，承包人组织试车，并在试车前</w:t>
      </w:r>
      <w:r>
        <w:rPr>
          <w:rFonts w:ascii="宋体" w:hAnsi="宋体" w:eastAsia="宋体" w:cs="宋体"/>
          <w:spacing w:val="-36"/>
          <w:sz w:val="21"/>
          <w:szCs w:val="21"/>
        </w:rPr>
        <w:t xml:space="preserve"> </w:t>
      </w:r>
      <w:r>
        <w:rPr>
          <w:rFonts w:ascii="Times New Roman" w:hAnsi="Times New Roman" w:eastAsia="Times New Roman" w:cs="Times New Roman"/>
          <w:spacing w:val="-1"/>
          <w:sz w:val="21"/>
          <w:szCs w:val="21"/>
        </w:rPr>
        <w:t>48</w:t>
      </w:r>
      <w:r>
        <w:rPr>
          <w:rFonts w:ascii="Times New Roman" w:hAnsi="Times New Roman" w:eastAsia="Times New Roman" w:cs="Times New Roman"/>
          <w:spacing w:val="15"/>
          <w:sz w:val="21"/>
          <w:szCs w:val="21"/>
        </w:rPr>
        <w:t xml:space="preserve"> </w:t>
      </w:r>
      <w:r>
        <w:rPr>
          <w:rFonts w:ascii="宋体" w:hAnsi="宋体" w:eastAsia="宋体" w:cs="宋体"/>
          <w:spacing w:val="-1"/>
          <w:sz w:val="21"/>
          <w:szCs w:val="21"/>
        </w:rPr>
        <w:t>小时书面通知监理人，通</w:t>
      </w:r>
      <w:r>
        <w:rPr>
          <w:rFonts w:ascii="宋体" w:hAnsi="宋体" w:eastAsia="宋体" w:cs="宋体"/>
          <w:sz w:val="21"/>
          <w:szCs w:val="21"/>
        </w:rPr>
        <w:t>知中应载明试车内容、时间、地点。承包人准备试车记录，发包人根据承包人要求为试车</w:t>
      </w:r>
      <w:r>
        <w:rPr>
          <w:rFonts w:ascii="宋体" w:hAnsi="宋体" w:eastAsia="宋体" w:cs="宋体"/>
          <w:spacing w:val="-1"/>
          <w:sz w:val="21"/>
          <w:szCs w:val="21"/>
        </w:rPr>
        <w:t>提供必</w:t>
      </w:r>
      <w:r>
        <w:rPr>
          <w:rFonts w:ascii="宋体" w:hAnsi="宋体" w:eastAsia="宋体" w:cs="宋体"/>
          <w:sz w:val="21"/>
          <w:szCs w:val="21"/>
        </w:rPr>
        <w:t>要条件。试车合格的，监理人在试车记录上签字。监理人在试车合格后不在试车记录上签</w:t>
      </w:r>
      <w:r>
        <w:rPr>
          <w:rFonts w:ascii="宋体" w:hAnsi="宋体" w:eastAsia="宋体" w:cs="宋体"/>
          <w:spacing w:val="-1"/>
          <w:sz w:val="21"/>
          <w:szCs w:val="21"/>
        </w:rPr>
        <w:t>字，自</w:t>
      </w:r>
      <w:r>
        <w:rPr>
          <w:rFonts w:ascii="宋体" w:hAnsi="宋体" w:eastAsia="宋体" w:cs="宋体"/>
          <w:sz w:val="21"/>
          <w:szCs w:val="21"/>
        </w:rPr>
        <w:t>试车结束满</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24 </w:t>
      </w:r>
      <w:r>
        <w:rPr>
          <w:rFonts w:ascii="宋体" w:hAnsi="宋体" w:eastAsia="宋体" w:cs="宋体"/>
          <w:sz w:val="21"/>
          <w:szCs w:val="21"/>
        </w:rPr>
        <w:t>小时后视为监理人已经认可试车记录，承包人可继续施工或办</w:t>
      </w:r>
      <w:r>
        <w:rPr>
          <w:rFonts w:ascii="宋体" w:hAnsi="宋体" w:eastAsia="宋体" w:cs="宋体"/>
          <w:spacing w:val="-1"/>
          <w:sz w:val="21"/>
          <w:szCs w:val="21"/>
        </w:rPr>
        <w:t>理竣工验收手续。</w:t>
      </w:r>
    </w:p>
    <w:p w14:paraId="33095CB3">
      <w:pPr>
        <w:spacing w:before="2" w:line="345" w:lineRule="auto"/>
        <w:ind w:right="177" w:firstLine="420"/>
        <w:jc w:val="both"/>
        <w:rPr>
          <w:rFonts w:ascii="宋体" w:hAnsi="宋体" w:eastAsia="宋体" w:cs="宋体"/>
          <w:sz w:val="21"/>
          <w:szCs w:val="21"/>
        </w:rPr>
      </w:pPr>
      <w:r>
        <w:rPr>
          <w:rFonts w:ascii="宋体" w:hAnsi="宋体" w:eastAsia="宋体" w:cs="宋体"/>
          <w:sz w:val="21"/>
          <w:szCs w:val="21"/>
        </w:rPr>
        <w:t xml:space="preserve">监理人不能按时参加试车，应在试车前 </w:t>
      </w:r>
      <w:r>
        <w:rPr>
          <w:rFonts w:ascii="Times New Roman" w:hAnsi="Times New Roman" w:eastAsia="Times New Roman" w:cs="Times New Roman"/>
          <w:sz w:val="21"/>
          <w:szCs w:val="21"/>
        </w:rPr>
        <w:t xml:space="preserve">24  </w:t>
      </w:r>
      <w:r>
        <w:rPr>
          <w:rFonts w:ascii="宋体" w:hAnsi="宋体" w:eastAsia="宋体" w:cs="宋体"/>
          <w:sz w:val="21"/>
          <w:szCs w:val="21"/>
        </w:rPr>
        <w:t>小时以书面形式向承包人提出延期要求</w:t>
      </w:r>
      <w:r>
        <w:rPr>
          <w:rFonts w:ascii="宋体" w:hAnsi="宋体" w:eastAsia="宋体" w:cs="宋体"/>
          <w:spacing w:val="-1"/>
          <w:sz w:val="21"/>
          <w:szCs w:val="21"/>
        </w:rPr>
        <w:t>，但延期</w:t>
      </w:r>
      <w:r>
        <w:rPr>
          <w:rFonts w:ascii="宋体" w:hAnsi="宋体" w:eastAsia="宋体" w:cs="宋体"/>
          <w:sz w:val="21"/>
          <w:szCs w:val="21"/>
        </w:rPr>
        <w:t xml:space="preserve">不能超过 </w:t>
      </w:r>
      <w:r>
        <w:rPr>
          <w:rFonts w:ascii="Times New Roman" w:hAnsi="Times New Roman" w:eastAsia="Times New Roman" w:cs="Times New Roman"/>
          <w:sz w:val="21"/>
          <w:szCs w:val="21"/>
        </w:rPr>
        <w:t xml:space="preserve">48  </w:t>
      </w:r>
      <w:r>
        <w:rPr>
          <w:rFonts w:ascii="宋体" w:hAnsi="宋体" w:eastAsia="宋体" w:cs="宋体"/>
          <w:sz w:val="21"/>
          <w:szCs w:val="21"/>
        </w:rPr>
        <w:t>小时，由此导致工期延误的，工期应予以顺延。监理人未能在前述期限</w:t>
      </w:r>
      <w:r>
        <w:rPr>
          <w:rFonts w:ascii="宋体" w:hAnsi="宋体" w:eastAsia="宋体" w:cs="宋体"/>
          <w:spacing w:val="-1"/>
          <w:sz w:val="21"/>
          <w:szCs w:val="21"/>
        </w:rPr>
        <w:t>内提出延期要求，又不参加试车的，视为认可试车记录。</w:t>
      </w:r>
    </w:p>
    <w:p w14:paraId="107DFD0E">
      <w:pPr>
        <w:spacing w:before="20" w:line="350" w:lineRule="auto"/>
        <w:ind w:right="177" w:firstLine="425"/>
        <w:jc w:val="both"/>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）具备无负荷联动试车条件，发包人组织试车，并在试车前</w:t>
      </w:r>
      <w:r>
        <w:rPr>
          <w:rFonts w:ascii="宋体" w:hAnsi="宋体" w:eastAsia="宋体" w:cs="宋体"/>
          <w:spacing w:val="-36"/>
          <w:sz w:val="21"/>
          <w:szCs w:val="21"/>
        </w:rPr>
        <w:t xml:space="preserve"> </w:t>
      </w:r>
      <w:r>
        <w:rPr>
          <w:rFonts w:ascii="Times New Roman" w:hAnsi="Times New Roman" w:eastAsia="Times New Roman" w:cs="Times New Roman"/>
          <w:spacing w:val="-1"/>
          <w:sz w:val="21"/>
          <w:szCs w:val="21"/>
        </w:rPr>
        <w:t>48</w:t>
      </w:r>
      <w:r>
        <w:rPr>
          <w:rFonts w:ascii="Times New Roman" w:hAnsi="Times New Roman" w:eastAsia="Times New Roman" w:cs="Times New Roman"/>
          <w:spacing w:val="15"/>
          <w:sz w:val="21"/>
          <w:szCs w:val="21"/>
        </w:rPr>
        <w:t xml:space="preserve"> </w:t>
      </w:r>
      <w:r>
        <w:rPr>
          <w:rFonts w:ascii="宋体" w:hAnsi="宋体" w:eastAsia="宋体" w:cs="宋体"/>
          <w:spacing w:val="-1"/>
          <w:sz w:val="21"/>
          <w:szCs w:val="21"/>
        </w:rPr>
        <w:t>小时以书面形式通知承包</w:t>
      </w:r>
      <w:r>
        <w:rPr>
          <w:rFonts w:ascii="宋体" w:hAnsi="宋体" w:eastAsia="宋体" w:cs="宋体"/>
          <w:sz w:val="21"/>
          <w:szCs w:val="21"/>
        </w:rPr>
        <w:t>人。通知中应载明试车内容、时间、地点和对承包人的要求，承包人按要求做好准备工</w:t>
      </w:r>
      <w:r>
        <w:rPr>
          <w:rFonts w:ascii="宋体" w:hAnsi="宋体" w:eastAsia="宋体" w:cs="宋体"/>
          <w:spacing w:val="-1"/>
          <w:sz w:val="21"/>
          <w:szCs w:val="21"/>
        </w:rPr>
        <w:t>作。试车</w:t>
      </w:r>
      <w:r>
        <w:rPr>
          <w:rFonts w:ascii="宋体" w:hAnsi="宋体" w:eastAsia="宋体" w:cs="宋体"/>
          <w:sz w:val="21"/>
          <w:szCs w:val="21"/>
        </w:rPr>
        <w:t>合格，合同当事人在试车记录上签字。承包人无正当理由不参加试车的，视为认可试车记</w:t>
      </w:r>
      <w:r>
        <w:rPr>
          <w:rFonts w:ascii="宋体" w:hAnsi="宋体" w:eastAsia="宋体" w:cs="宋体"/>
          <w:spacing w:val="-1"/>
          <w:sz w:val="21"/>
          <w:szCs w:val="21"/>
        </w:rPr>
        <w:t>录。</w:t>
      </w:r>
    </w:p>
    <w:p w14:paraId="3F040522">
      <w:pPr>
        <w:spacing w:before="7"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13.3.2  </w:t>
      </w:r>
      <w:r>
        <w:rPr>
          <w:rFonts w:ascii="宋体" w:hAnsi="宋体" w:eastAsia="宋体" w:cs="宋体"/>
          <w:spacing w:val="-2"/>
          <w:sz w:val="21"/>
          <w:szCs w:val="21"/>
        </w:rPr>
        <w:t>试车中的责任</w:t>
      </w:r>
    </w:p>
    <w:p w14:paraId="7585A8C9">
      <w:pPr>
        <w:spacing w:before="134" w:line="353" w:lineRule="auto"/>
        <w:ind w:right="16" w:firstLine="436"/>
        <w:rPr>
          <w:rFonts w:ascii="宋体" w:hAnsi="宋体" w:eastAsia="宋体" w:cs="宋体"/>
          <w:sz w:val="21"/>
          <w:szCs w:val="21"/>
        </w:rPr>
      </w:pPr>
      <w:r>
        <w:rPr>
          <w:rFonts w:ascii="宋体" w:hAnsi="宋体" w:eastAsia="宋体" w:cs="宋体"/>
          <w:sz w:val="21"/>
          <w:szCs w:val="21"/>
        </w:rPr>
        <w:t>因设计原因导致试车达不到验收要求，发包人</w:t>
      </w:r>
      <w:r>
        <w:rPr>
          <w:rFonts w:ascii="宋体" w:hAnsi="宋体" w:eastAsia="宋体" w:cs="宋体"/>
          <w:spacing w:val="-1"/>
          <w:sz w:val="21"/>
          <w:szCs w:val="21"/>
        </w:rPr>
        <w:t>应要求设计人修改设计，承包人按修改后的设</w:t>
      </w:r>
      <w:r>
        <w:rPr>
          <w:rFonts w:ascii="宋体" w:hAnsi="宋体" w:eastAsia="宋体" w:cs="宋体"/>
          <w:sz w:val="21"/>
          <w:szCs w:val="21"/>
        </w:rPr>
        <w:t>计重新安装。发包人承担修改设计、拆除及重新安装的全部费用，工期相应顺延。因承包</w:t>
      </w:r>
      <w:r>
        <w:rPr>
          <w:rFonts w:ascii="宋体" w:hAnsi="宋体" w:eastAsia="宋体" w:cs="宋体"/>
          <w:spacing w:val="-1"/>
          <w:sz w:val="21"/>
          <w:szCs w:val="21"/>
        </w:rPr>
        <w:t>人原因导致试车达不到验收要求，承包人按监理人要求重新安装和试车，并承担重</w:t>
      </w:r>
      <w:r>
        <w:rPr>
          <w:rFonts w:ascii="宋体" w:hAnsi="宋体" w:eastAsia="宋体" w:cs="宋体"/>
          <w:spacing w:val="-2"/>
          <w:sz w:val="21"/>
          <w:szCs w:val="21"/>
        </w:rPr>
        <w:t>新安装和试车的费用，</w:t>
      </w:r>
    </w:p>
    <w:p w14:paraId="1C2A0093">
      <w:pPr>
        <w:spacing w:before="69" w:line="221" w:lineRule="auto"/>
        <w:ind w:left="4"/>
        <w:rPr>
          <w:rFonts w:ascii="宋体" w:hAnsi="宋体" w:eastAsia="宋体" w:cs="宋体"/>
          <w:sz w:val="21"/>
          <w:szCs w:val="21"/>
        </w:rPr>
      </w:pPr>
      <w:bookmarkStart w:id="322" w:name="bookmark574"/>
      <w:bookmarkEnd w:id="322"/>
      <w:r>
        <w:rPr>
          <w:rFonts w:ascii="宋体" w:hAnsi="宋体" w:eastAsia="宋体" w:cs="宋体"/>
          <w:spacing w:val="-4"/>
          <w:sz w:val="21"/>
          <w:szCs w:val="21"/>
        </w:rPr>
        <w:t>工期不予顺延。</w:t>
      </w:r>
    </w:p>
    <w:p w14:paraId="7C964D0C">
      <w:pPr>
        <w:spacing w:before="147" w:line="352" w:lineRule="auto"/>
        <w:ind w:firstLine="438"/>
        <w:jc w:val="both"/>
        <w:rPr>
          <w:rFonts w:ascii="宋体" w:hAnsi="宋体" w:eastAsia="宋体" w:cs="宋体"/>
          <w:sz w:val="21"/>
          <w:szCs w:val="21"/>
        </w:rPr>
      </w:pPr>
      <w:r>
        <w:rPr>
          <w:rFonts w:ascii="宋体" w:hAnsi="宋体" w:eastAsia="宋体" w:cs="宋体"/>
          <w:sz w:val="21"/>
          <w:szCs w:val="21"/>
        </w:rPr>
        <w:t>因工程设备制造原因导致试车达不到验收要求</w:t>
      </w:r>
      <w:r>
        <w:rPr>
          <w:rFonts w:ascii="宋体" w:hAnsi="宋体" w:eastAsia="宋体" w:cs="宋体"/>
          <w:spacing w:val="-1"/>
          <w:sz w:val="21"/>
          <w:szCs w:val="21"/>
        </w:rPr>
        <w:t>的，由采购该工程设备的合同当事人负责重新</w:t>
      </w:r>
      <w:r>
        <w:rPr>
          <w:rFonts w:ascii="宋体" w:hAnsi="宋体" w:eastAsia="宋体" w:cs="宋体"/>
          <w:sz w:val="21"/>
          <w:szCs w:val="21"/>
        </w:rPr>
        <w:t>购置或修理，承包人负责拆除和重新安装，由此增加的修理、重新购置、拆除及重新安装的</w:t>
      </w:r>
      <w:r>
        <w:rPr>
          <w:rFonts w:ascii="宋体" w:hAnsi="宋体" w:eastAsia="宋体" w:cs="宋体"/>
          <w:spacing w:val="-1"/>
          <w:sz w:val="21"/>
          <w:szCs w:val="21"/>
        </w:rPr>
        <w:t>费用</w:t>
      </w:r>
      <w:r>
        <w:rPr>
          <w:rFonts w:ascii="宋体" w:hAnsi="宋体" w:eastAsia="宋体" w:cs="宋体"/>
          <w:sz w:val="21"/>
          <w:szCs w:val="21"/>
        </w:rPr>
        <w:t>及延误的工期由采购该工程设备的合同当事人</w:t>
      </w:r>
      <w:r>
        <w:rPr>
          <w:rFonts w:ascii="宋体" w:hAnsi="宋体" w:eastAsia="宋体" w:cs="宋体"/>
          <w:spacing w:val="-1"/>
          <w:sz w:val="21"/>
          <w:szCs w:val="21"/>
        </w:rPr>
        <w:t>承担。</w:t>
      </w:r>
    </w:p>
    <w:p w14:paraId="529D7820">
      <w:pPr>
        <w:spacing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13.3.3  </w:t>
      </w:r>
      <w:r>
        <w:rPr>
          <w:rFonts w:ascii="宋体" w:hAnsi="宋体" w:eastAsia="宋体" w:cs="宋体"/>
          <w:spacing w:val="-2"/>
          <w:sz w:val="21"/>
          <w:szCs w:val="21"/>
        </w:rPr>
        <w:t>投料试车</w:t>
      </w:r>
    </w:p>
    <w:p w14:paraId="4205A1C8">
      <w:pPr>
        <w:spacing w:before="134" w:line="351" w:lineRule="auto"/>
        <w:ind w:left="9" w:firstLine="415"/>
        <w:rPr>
          <w:rFonts w:ascii="宋体" w:hAnsi="宋体" w:eastAsia="宋体" w:cs="宋体"/>
          <w:sz w:val="21"/>
          <w:szCs w:val="21"/>
        </w:rPr>
      </w:pPr>
      <w:r>
        <w:rPr>
          <w:rFonts w:ascii="宋体" w:hAnsi="宋体" w:eastAsia="宋体" w:cs="宋体"/>
          <w:sz w:val="21"/>
          <w:szCs w:val="21"/>
        </w:rPr>
        <w:t>如需进行投料试车的，发包人应在工程竣工验收后组织投料试车。发包人要</w:t>
      </w:r>
      <w:r>
        <w:rPr>
          <w:rFonts w:ascii="宋体" w:hAnsi="宋体" w:eastAsia="宋体" w:cs="宋体"/>
          <w:spacing w:val="-1"/>
          <w:sz w:val="21"/>
          <w:szCs w:val="21"/>
        </w:rPr>
        <w:t>求在工程竣工验</w:t>
      </w:r>
      <w:r>
        <w:rPr>
          <w:rFonts w:ascii="宋体" w:hAnsi="宋体" w:eastAsia="宋体" w:cs="宋体"/>
          <w:sz w:val="21"/>
          <w:szCs w:val="21"/>
        </w:rPr>
        <w:t>收前进行或需要承包人配合时，应征得承包人同意，并在专用合同条</w:t>
      </w:r>
      <w:r>
        <w:rPr>
          <w:rFonts w:ascii="宋体" w:hAnsi="宋体" w:eastAsia="宋体" w:cs="宋体"/>
          <w:spacing w:val="-1"/>
          <w:sz w:val="21"/>
          <w:szCs w:val="21"/>
        </w:rPr>
        <w:t>款中约定有关事项。</w:t>
      </w:r>
    </w:p>
    <w:p w14:paraId="4C4F55B7">
      <w:pPr>
        <w:spacing w:before="2" w:line="344" w:lineRule="auto"/>
        <w:ind w:left="5" w:firstLine="419"/>
        <w:jc w:val="both"/>
        <w:rPr>
          <w:rFonts w:ascii="宋体" w:hAnsi="宋体" w:eastAsia="宋体" w:cs="宋体"/>
          <w:sz w:val="21"/>
          <w:szCs w:val="21"/>
        </w:rPr>
      </w:pPr>
      <w:r>
        <w:rPr>
          <w:rFonts w:ascii="宋体" w:hAnsi="宋体" w:eastAsia="宋体" w:cs="宋体"/>
          <w:sz w:val="21"/>
          <w:szCs w:val="21"/>
        </w:rPr>
        <w:t>投料试车合格的，费用由发包人承担；因承包人原因造成投料试车不合格的，</w:t>
      </w:r>
      <w:r>
        <w:rPr>
          <w:rFonts w:ascii="宋体" w:hAnsi="宋体" w:eastAsia="宋体" w:cs="宋体"/>
          <w:spacing w:val="-1"/>
          <w:sz w:val="21"/>
          <w:szCs w:val="21"/>
        </w:rPr>
        <w:t>承包人应按照</w:t>
      </w:r>
      <w:r>
        <w:rPr>
          <w:rFonts w:ascii="宋体" w:hAnsi="宋体" w:eastAsia="宋体" w:cs="宋体"/>
          <w:sz w:val="21"/>
          <w:szCs w:val="21"/>
        </w:rPr>
        <w:t>发包人要求进行整改，由此产生的整改费用由承包人承担；非因承包人原因导致</w:t>
      </w:r>
      <w:r>
        <w:rPr>
          <w:rFonts w:ascii="宋体" w:hAnsi="宋体" w:eastAsia="宋体" w:cs="宋体"/>
          <w:spacing w:val="-1"/>
          <w:sz w:val="21"/>
          <w:szCs w:val="21"/>
        </w:rPr>
        <w:t>投料试车不合格的，如发包人要求承包人进行整改的，由此产生的费用由发包人承担。</w:t>
      </w:r>
    </w:p>
    <w:p w14:paraId="17565385">
      <w:pPr>
        <w:spacing w:before="1" w:line="232" w:lineRule="auto"/>
        <w:ind w:left="9"/>
        <w:outlineLvl w:val="1"/>
        <w:rPr>
          <w:rFonts w:ascii="黑体" w:hAnsi="黑体" w:eastAsia="黑体" w:cs="黑体"/>
          <w:sz w:val="24"/>
          <w:szCs w:val="24"/>
        </w:rPr>
      </w:pPr>
      <w:bookmarkStart w:id="323" w:name="bookmark241"/>
      <w:bookmarkEnd w:id="323"/>
      <w:r>
        <w:rPr>
          <w:rFonts w:ascii="Times New Roman" w:hAnsi="Times New Roman" w:eastAsia="Times New Roman" w:cs="Times New Roman"/>
          <w:b/>
          <w:bCs/>
          <w:spacing w:val="-3"/>
          <w:sz w:val="24"/>
          <w:szCs w:val="24"/>
        </w:rPr>
        <w:t xml:space="preserve">13.4 </w:t>
      </w:r>
      <w:r>
        <w:rPr>
          <w:rFonts w:ascii="黑体" w:hAnsi="黑体" w:eastAsia="黑体" w:cs="黑体"/>
          <w:b/>
          <w:bCs/>
          <w:spacing w:val="-3"/>
          <w:sz w:val="24"/>
          <w:szCs w:val="24"/>
        </w:rPr>
        <w:t>提前交付单位工程的验收</w:t>
      </w:r>
    </w:p>
    <w:p w14:paraId="71FA69AE">
      <w:pPr>
        <w:spacing w:before="122" w:line="346" w:lineRule="auto"/>
        <w:ind w:firstLine="437"/>
        <w:jc w:val="both"/>
        <w:rPr>
          <w:rFonts w:ascii="宋体" w:hAnsi="宋体" w:eastAsia="宋体" w:cs="宋体"/>
          <w:sz w:val="21"/>
          <w:szCs w:val="21"/>
        </w:rPr>
      </w:pPr>
      <w:r>
        <w:rPr>
          <w:rFonts w:ascii="Times New Roman" w:hAnsi="Times New Roman" w:eastAsia="Times New Roman" w:cs="Times New Roman"/>
          <w:sz w:val="21"/>
          <w:szCs w:val="21"/>
        </w:rPr>
        <w:t xml:space="preserve">13.4.1  </w:t>
      </w:r>
      <w:r>
        <w:rPr>
          <w:rFonts w:ascii="宋体" w:hAnsi="宋体" w:eastAsia="宋体" w:cs="宋体"/>
          <w:sz w:val="21"/>
          <w:szCs w:val="21"/>
        </w:rPr>
        <w:t>发包人需要在工程竣工前使用单位工程</w:t>
      </w:r>
      <w:r>
        <w:rPr>
          <w:rFonts w:ascii="宋体" w:hAnsi="宋体" w:eastAsia="宋体" w:cs="宋体"/>
          <w:spacing w:val="-1"/>
          <w:sz w:val="21"/>
          <w:szCs w:val="21"/>
        </w:rPr>
        <w:t>的，或承包人提出提前交付已经竣工的单位工</w:t>
      </w:r>
      <w:r>
        <w:rPr>
          <w:rFonts w:ascii="宋体" w:hAnsi="宋体" w:eastAsia="宋体" w:cs="宋体"/>
          <w:spacing w:val="1"/>
          <w:sz w:val="21"/>
          <w:szCs w:val="21"/>
        </w:rPr>
        <w:t>程且经发包人同意的，可进行单位工程验收，</w:t>
      </w:r>
      <w:r>
        <w:rPr>
          <w:rFonts w:ascii="宋体" w:hAnsi="宋体" w:eastAsia="宋体" w:cs="宋体"/>
          <w:sz w:val="21"/>
          <w:szCs w:val="21"/>
        </w:rPr>
        <w:t>验收的程序按照第</w:t>
      </w:r>
      <w:r>
        <w:rPr>
          <w:rFonts w:ascii="宋体" w:hAnsi="宋体" w:eastAsia="宋体" w:cs="宋体"/>
          <w:spacing w:val="28"/>
          <w:sz w:val="21"/>
          <w:szCs w:val="21"/>
        </w:rPr>
        <w:t xml:space="preserve"> </w:t>
      </w:r>
      <w:r>
        <w:rPr>
          <w:rFonts w:ascii="Times New Roman" w:hAnsi="Times New Roman" w:eastAsia="Times New Roman" w:cs="Times New Roman"/>
          <w:sz w:val="21"/>
          <w:szCs w:val="21"/>
        </w:rPr>
        <w:t xml:space="preserve">13.2  </w:t>
      </w:r>
      <w:r>
        <w:rPr>
          <w:rFonts w:ascii="宋体" w:hAnsi="宋体" w:eastAsia="宋体" w:cs="宋体"/>
          <w:sz w:val="21"/>
          <w:szCs w:val="21"/>
        </w:rPr>
        <w:t>款〔竣工验收〕的约定进</w:t>
      </w:r>
      <w:r>
        <w:rPr>
          <w:rFonts w:ascii="宋体" w:hAnsi="宋体" w:eastAsia="宋体" w:cs="宋体"/>
          <w:spacing w:val="-10"/>
          <w:sz w:val="21"/>
          <w:szCs w:val="21"/>
        </w:rPr>
        <w:t>行。</w:t>
      </w:r>
    </w:p>
    <w:p w14:paraId="2FD42619">
      <w:pPr>
        <w:spacing w:before="19" w:line="352" w:lineRule="auto"/>
        <w:ind w:left="6" w:firstLine="414"/>
        <w:jc w:val="both"/>
        <w:rPr>
          <w:rFonts w:ascii="宋体" w:hAnsi="宋体" w:eastAsia="宋体" w:cs="宋体"/>
          <w:sz w:val="21"/>
          <w:szCs w:val="21"/>
        </w:rPr>
      </w:pPr>
      <w:r>
        <w:rPr>
          <w:rFonts w:ascii="宋体" w:hAnsi="宋体" w:eastAsia="宋体" w:cs="宋体"/>
          <w:sz w:val="21"/>
          <w:szCs w:val="21"/>
        </w:rPr>
        <w:t>验收合格后，由监理人向承包人出具经发包人签认的单位工程接收证书。已签发单位</w:t>
      </w:r>
      <w:r>
        <w:rPr>
          <w:rFonts w:ascii="宋体" w:hAnsi="宋体" w:eastAsia="宋体" w:cs="宋体"/>
          <w:spacing w:val="-1"/>
          <w:sz w:val="21"/>
          <w:szCs w:val="21"/>
        </w:rPr>
        <w:t>工程接</w:t>
      </w:r>
      <w:r>
        <w:rPr>
          <w:rFonts w:ascii="宋体" w:hAnsi="宋体" w:eastAsia="宋体" w:cs="宋体"/>
          <w:sz w:val="21"/>
          <w:szCs w:val="21"/>
        </w:rPr>
        <w:t>收证书的单位工程由发包人负责照管。单位工程的验收成果和结论作为整体</w:t>
      </w:r>
      <w:r>
        <w:rPr>
          <w:rFonts w:ascii="宋体" w:hAnsi="宋体" w:eastAsia="宋体" w:cs="宋体"/>
          <w:spacing w:val="-1"/>
          <w:sz w:val="21"/>
          <w:szCs w:val="21"/>
        </w:rPr>
        <w:t>工程竣工验收申请报</w:t>
      </w:r>
      <w:r>
        <w:rPr>
          <w:rFonts w:ascii="宋体" w:hAnsi="宋体" w:eastAsia="宋体" w:cs="宋体"/>
          <w:spacing w:val="-6"/>
          <w:sz w:val="21"/>
          <w:szCs w:val="21"/>
        </w:rPr>
        <w:t>告的附件。</w:t>
      </w:r>
    </w:p>
    <w:p w14:paraId="6AE8BCF8">
      <w:pPr>
        <w:spacing w:before="1" w:line="340" w:lineRule="auto"/>
        <w:ind w:left="19" w:firstLine="419"/>
        <w:rPr>
          <w:rFonts w:ascii="宋体" w:hAnsi="宋体" w:eastAsia="宋体" w:cs="宋体"/>
          <w:sz w:val="21"/>
          <w:szCs w:val="21"/>
        </w:rPr>
      </w:pPr>
      <w:r>
        <w:rPr>
          <w:rFonts w:ascii="Times New Roman" w:hAnsi="Times New Roman" w:eastAsia="Times New Roman" w:cs="Times New Roman"/>
          <w:sz w:val="21"/>
          <w:szCs w:val="21"/>
        </w:rPr>
        <w:t xml:space="preserve">13.4.2  </w:t>
      </w:r>
      <w:r>
        <w:rPr>
          <w:rFonts w:ascii="宋体" w:hAnsi="宋体" w:eastAsia="宋体" w:cs="宋体"/>
          <w:sz w:val="21"/>
          <w:szCs w:val="21"/>
        </w:rPr>
        <w:t>发包人要求在工程竣工前交付单位工程</w:t>
      </w:r>
      <w:r>
        <w:rPr>
          <w:rFonts w:ascii="宋体" w:hAnsi="宋体" w:eastAsia="宋体" w:cs="宋体"/>
          <w:spacing w:val="-1"/>
          <w:sz w:val="21"/>
          <w:szCs w:val="21"/>
        </w:rPr>
        <w:t>，由此导致承包人费用增加和（或）工期延误的，由发包人承担由此增加的费用和（或）延误的工期，并支付承包人合理的利润。</w:t>
      </w:r>
    </w:p>
    <w:p w14:paraId="429E36CF">
      <w:pPr>
        <w:spacing w:before="1" w:line="232" w:lineRule="auto"/>
        <w:ind w:left="9"/>
        <w:outlineLvl w:val="1"/>
        <w:rPr>
          <w:rFonts w:ascii="黑体" w:hAnsi="黑体" w:eastAsia="黑体" w:cs="黑体"/>
          <w:sz w:val="24"/>
          <w:szCs w:val="24"/>
        </w:rPr>
      </w:pPr>
      <w:bookmarkStart w:id="324" w:name="bookmark242"/>
      <w:bookmarkEnd w:id="324"/>
      <w:r>
        <w:rPr>
          <w:rFonts w:ascii="Times New Roman" w:hAnsi="Times New Roman" w:eastAsia="Times New Roman" w:cs="Times New Roman"/>
          <w:b/>
          <w:bCs/>
          <w:spacing w:val="-3"/>
          <w:sz w:val="24"/>
          <w:szCs w:val="24"/>
        </w:rPr>
        <w:t xml:space="preserve">13.5  </w:t>
      </w:r>
      <w:r>
        <w:rPr>
          <w:rFonts w:ascii="黑体" w:hAnsi="黑体" w:eastAsia="黑体" w:cs="黑体"/>
          <w:b/>
          <w:bCs/>
          <w:spacing w:val="-3"/>
          <w:sz w:val="24"/>
          <w:szCs w:val="24"/>
        </w:rPr>
        <w:t>施工期运行</w:t>
      </w:r>
    </w:p>
    <w:p w14:paraId="3ABDDDB0">
      <w:pPr>
        <w:spacing w:before="125" w:line="307" w:lineRule="auto"/>
        <w:ind w:left="1" w:firstLine="436"/>
        <w:rPr>
          <w:rFonts w:ascii="宋体" w:hAnsi="宋体" w:eastAsia="宋体" w:cs="宋体"/>
          <w:sz w:val="21"/>
          <w:szCs w:val="21"/>
        </w:rPr>
      </w:pPr>
      <w:r>
        <w:rPr>
          <w:rFonts w:ascii="Times New Roman" w:hAnsi="Times New Roman" w:eastAsia="Times New Roman" w:cs="Times New Roman"/>
          <w:sz w:val="21"/>
          <w:szCs w:val="21"/>
        </w:rPr>
        <w:t xml:space="preserve">13.5.1  </w:t>
      </w:r>
      <w:r>
        <w:rPr>
          <w:rFonts w:ascii="宋体" w:hAnsi="宋体" w:eastAsia="宋体" w:cs="宋体"/>
          <w:sz w:val="21"/>
          <w:szCs w:val="21"/>
        </w:rPr>
        <w:t>施工期运行是指合同工程尚未全部竣工</w:t>
      </w:r>
      <w:r>
        <w:rPr>
          <w:rFonts w:ascii="宋体" w:hAnsi="宋体" w:eastAsia="宋体" w:cs="宋体"/>
          <w:spacing w:val="-1"/>
          <w:sz w:val="21"/>
          <w:szCs w:val="21"/>
        </w:rPr>
        <w:t>，其中某项或某几项单位工程或工程设备安装</w:t>
      </w:r>
      <w:r>
        <w:rPr>
          <w:rFonts w:ascii="宋体" w:hAnsi="宋体" w:eastAsia="宋体" w:cs="宋体"/>
          <w:spacing w:val="1"/>
          <w:sz w:val="21"/>
          <w:szCs w:val="21"/>
        </w:rPr>
        <w:t>已竣工，根据专用合同条款约定，需要投入施工期</w:t>
      </w:r>
      <w:r>
        <w:rPr>
          <w:rFonts w:ascii="宋体" w:hAnsi="宋体" w:eastAsia="宋体" w:cs="宋体"/>
          <w:sz w:val="21"/>
          <w:szCs w:val="21"/>
        </w:rPr>
        <w:t>运行的，经发包人按第</w:t>
      </w:r>
      <w:r>
        <w:rPr>
          <w:rFonts w:ascii="宋体" w:hAnsi="宋体" w:eastAsia="宋体" w:cs="宋体"/>
          <w:spacing w:val="27"/>
          <w:sz w:val="21"/>
          <w:szCs w:val="21"/>
        </w:rPr>
        <w:t xml:space="preserve"> </w:t>
      </w:r>
      <w:r>
        <w:rPr>
          <w:rFonts w:ascii="Times New Roman" w:hAnsi="Times New Roman" w:eastAsia="Times New Roman" w:cs="Times New Roman"/>
          <w:sz w:val="21"/>
          <w:szCs w:val="21"/>
        </w:rPr>
        <w:t xml:space="preserve">13.4  </w:t>
      </w:r>
      <w:r>
        <w:rPr>
          <w:rFonts w:ascii="宋体" w:hAnsi="宋体" w:eastAsia="宋体" w:cs="宋体"/>
          <w:sz w:val="21"/>
          <w:szCs w:val="21"/>
        </w:rPr>
        <w:t>款〔提前交付单</w:t>
      </w:r>
      <w:r>
        <w:rPr>
          <w:rFonts w:ascii="宋体" w:hAnsi="宋体" w:eastAsia="宋体" w:cs="宋体"/>
          <w:spacing w:val="-1"/>
          <w:sz w:val="21"/>
          <w:szCs w:val="21"/>
        </w:rPr>
        <w:t>位工程的验收〕的约定验收合格，证明能确保安全后，才能在施工期投入运行。</w:t>
      </w:r>
    </w:p>
    <w:p w14:paraId="385A6D8C">
      <w:pPr>
        <w:spacing w:before="150" w:line="286" w:lineRule="auto"/>
        <w:ind w:left="14" w:right="2" w:firstLine="423"/>
        <w:rPr>
          <w:rFonts w:ascii="宋体" w:hAnsi="宋体" w:eastAsia="宋体" w:cs="宋体"/>
          <w:sz w:val="21"/>
          <w:szCs w:val="21"/>
        </w:rPr>
      </w:pPr>
      <w:r>
        <w:rPr>
          <w:rFonts w:ascii="Times New Roman" w:hAnsi="Times New Roman" w:eastAsia="Times New Roman" w:cs="Times New Roman"/>
          <w:sz w:val="21"/>
          <w:szCs w:val="21"/>
        </w:rPr>
        <w:t xml:space="preserve">13.5.2  </w:t>
      </w:r>
      <w:r>
        <w:rPr>
          <w:rFonts w:ascii="宋体" w:hAnsi="宋体" w:eastAsia="宋体" w:cs="宋体"/>
          <w:sz w:val="21"/>
          <w:szCs w:val="21"/>
        </w:rPr>
        <w:t>在施工期运行中发现工程或工程设备损坏或存在缺陷的，由承包人按第</w:t>
      </w:r>
      <w:r>
        <w:rPr>
          <w:rFonts w:ascii="宋体" w:hAnsi="宋体" w:eastAsia="宋体" w:cs="宋体"/>
          <w:spacing w:val="30"/>
          <w:sz w:val="21"/>
          <w:szCs w:val="21"/>
        </w:rPr>
        <w:t xml:space="preserve"> </w:t>
      </w:r>
      <w:r>
        <w:rPr>
          <w:rFonts w:ascii="Times New Roman" w:hAnsi="Times New Roman" w:eastAsia="Times New Roman" w:cs="Times New Roman"/>
          <w:sz w:val="21"/>
          <w:szCs w:val="21"/>
        </w:rPr>
        <w:t xml:space="preserve">15.2  </w:t>
      </w:r>
      <w:r>
        <w:rPr>
          <w:rFonts w:ascii="宋体" w:hAnsi="宋体" w:eastAsia="宋体" w:cs="宋体"/>
          <w:sz w:val="21"/>
          <w:szCs w:val="21"/>
        </w:rPr>
        <w:t>款〔缺</w:t>
      </w:r>
      <w:r>
        <w:rPr>
          <w:rFonts w:ascii="宋体" w:hAnsi="宋体" w:eastAsia="宋体" w:cs="宋体"/>
          <w:spacing w:val="-2"/>
          <w:sz w:val="21"/>
          <w:szCs w:val="21"/>
        </w:rPr>
        <w:t>陷责任期〕约定进行修复。</w:t>
      </w:r>
    </w:p>
    <w:p w14:paraId="43C11DA2">
      <w:pPr>
        <w:spacing w:before="125" w:line="232" w:lineRule="auto"/>
        <w:ind w:left="9"/>
        <w:outlineLvl w:val="1"/>
        <w:rPr>
          <w:rFonts w:ascii="黑体" w:hAnsi="黑体" w:eastAsia="黑体" w:cs="黑体"/>
          <w:sz w:val="24"/>
          <w:szCs w:val="24"/>
        </w:rPr>
      </w:pPr>
      <w:bookmarkStart w:id="325" w:name="bookmark243"/>
      <w:bookmarkEnd w:id="325"/>
      <w:r>
        <w:rPr>
          <w:rFonts w:ascii="Times New Roman" w:hAnsi="Times New Roman" w:eastAsia="Times New Roman" w:cs="Times New Roman"/>
          <w:b/>
          <w:bCs/>
          <w:spacing w:val="-3"/>
          <w:sz w:val="24"/>
          <w:szCs w:val="24"/>
        </w:rPr>
        <w:t xml:space="preserve">13.6  </w:t>
      </w:r>
      <w:r>
        <w:rPr>
          <w:rFonts w:ascii="黑体" w:hAnsi="黑体" w:eastAsia="黑体" w:cs="黑体"/>
          <w:b/>
          <w:bCs/>
          <w:spacing w:val="-3"/>
          <w:sz w:val="24"/>
          <w:szCs w:val="24"/>
        </w:rPr>
        <w:t>竣工退场</w:t>
      </w:r>
    </w:p>
    <w:p w14:paraId="608232FB">
      <w:pPr>
        <w:spacing w:before="124"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13.6.1  </w:t>
      </w:r>
      <w:r>
        <w:rPr>
          <w:rFonts w:ascii="宋体" w:hAnsi="宋体" w:eastAsia="宋体" w:cs="宋体"/>
          <w:spacing w:val="-2"/>
          <w:sz w:val="21"/>
          <w:szCs w:val="21"/>
        </w:rPr>
        <w:t>竣工退场</w:t>
      </w:r>
    </w:p>
    <w:p w14:paraId="33BC1503">
      <w:pPr>
        <w:spacing w:before="132" w:line="220" w:lineRule="auto"/>
        <w:ind w:left="421"/>
        <w:rPr>
          <w:rFonts w:ascii="宋体" w:hAnsi="宋体" w:eastAsia="宋体" w:cs="宋体"/>
          <w:sz w:val="21"/>
          <w:szCs w:val="21"/>
        </w:rPr>
      </w:pPr>
      <w:r>
        <w:rPr>
          <w:rFonts w:ascii="宋体" w:hAnsi="宋体" w:eastAsia="宋体" w:cs="宋体"/>
          <w:spacing w:val="-1"/>
          <w:sz w:val="21"/>
          <w:szCs w:val="21"/>
        </w:rPr>
        <w:t>颁发工程接收证书后，承包人应按以下要求对施工现场进行清理：</w:t>
      </w:r>
    </w:p>
    <w:p w14:paraId="4F8E6F2B">
      <w:pPr>
        <w:spacing w:before="151"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）施工现场内残留的垃圾已全部清除出场；</w:t>
      </w:r>
    </w:p>
    <w:p w14:paraId="27471EED">
      <w:pPr>
        <w:spacing w:before="135"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）临时工程已拆除，场地已进行清理、平整或复原；</w:t>
      </w:r>
    </w:p>
    <w:p w14:paraId="5FD51FE2">
      <w:pPr>
        <w:spacing w:before="133" w:line="286" w:lineRule="auto"/>
        <w:ind w:left="1" w:right="15"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）按合同约定应撤离的人员、承包人施工设备和剩余的材料，包括废弃的施工设备和材</w:t>
      </w:r>
      <w:r>
        <w:rPr>
          <w:rFonts w:ascii="宋体" w:hAnsi="宋体" w:eastAsia="宋体" w:cs="宋体"/>
          <w:spacing w:val="-3"/>
          <w:sz w:val="21"/>
          <w:szCs w:val="21"/>
        </w:rPr>
        <w:t>料，已按计划撤离施工现场；</w:t>
      </w:r>
    </w:p>
    <w:p w14:paraId="287FF19A">
      <w:pPr>
        <w:spacing w:before="149"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）施工现场周边及其附近道路、河道的施</w:t>
      </w:r>
      <w:r>
        <w:rPr>
          <w:rFonts w:ascii="宋体" w:hAnsi="宋体" w:eastAsia="宋体" w:cs="宋体"/>
          <w:spacing w:val="-1"/>
          <w:sz w:val="21"/>
          <w:szCs w:val="21"/>
        </w:rPr>
        <w:t>工堆积物，已全部清理；</w:t>
      </w:r>
    </w:p>
    <w:p w14:paraId="7B268DA6">
      <w:pPr>
        <w:spacing w:before="134"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）施工现场其他场地清理工作已全部完成。</w:t>
      </w:r>
    </w:p>
    <w:p w14:paraId="5203BBB4">
      <w:pPr>
        <w:spacing w:before="133" w:line="221" w:lineRule="auto"/>
        <w:jc w:val="right"/>
        <w:rPr>
          <w:rFonts w:ascii="宋体" w:hAnsi="宋体" w:eastAsia="宋体" w:cs="宋体"/>
          <w:sz w:val="21"/>
          <w:szCs w:val="21"/>
        </w:rPr>
      </w:pPr>
      <w:r>
        <w:rPr>
          <w:rFonts w:ascii="宋体" w:hAnsi="宋体" w:eastAsia="宋体" w:cs="宋体"/>
          <w:sz w:val="21"/>
          <w:szCs w:val="21"/>
        </w:rPr>
        <w:t>施工现场的竣工退场费用由承包人承担。承包人应在专用合同条款约定的期限内完成</w:t>
      </w:r>
      <w:r>
        <w:rPr>
          <w:rFonts w:ascii="宋体" w:hAnsi="宋体" w:eastAsia="宋体" w:cs="宋体"/>
          <w:spacing w:val="-1"/>
          <w:sz w:val="21"/>
          <w:szCs w:val="21"/>
        </w:rPr>
        <w:t>竣工退</w:t>
      </w:r>
    </w:p>
    <w:p w14:paraId="395C243F">
      <w:pPr>
        <w:spacing w:line="221" w:lineRule="auto"/>
        <w:rPr>
          <w:rFonts w:ascii="宋体" w:hAnsi="宋体" w:eastAsia="宋体" w:cs="宋体"/>
          <w:sz w:val="21"/>
          <w:szCs w:val="21"/>
        </w:rPr>
        <w:sectPr>
          <w:footerReference r:id="rId120" w:type="default"/>
          <w:pgSz w:w="11905" w:h="16843"/>
          <w:pgMar w:top="969" w:right="1355" w:bottom="1026" w:left="1480" w:header="0" w:footer="754" w:gutter="0"/>
          <w:cols w:space="0" w:num="1"/>
          <w:rtlGutter w:val="0"/>
          <w:docGrid w:linePitch="0" w:charSpace="0"/>
        </w:sectPr>
      </w:pPr>
    </w:p>
    <w:p w14:paraId="20E074A6">
      <w:pPr>
        <w:pStyle w:val="5"/>
        <w:spacing w:line="270" w:lineRule="auto"/>
      </w:pPr>
    </w:p>
    <w:p w14:paraId="26E79CAE">
      <w:pPr>
        <w:pStyle w:val="5"/>
        <w:spacing w:line="270" w:lineRule="auto"/>
      </w:pPr>
    </w:p>
    <w:p w14:paraId="22251535">
      <w:pPr>
        <w:pStyle w:val="5"/>
        <w:spacing w:line="271" w:lineRule="auto"/>
      </w:pPr>
    </w:p>
    <w:p w14:paraId="4E787B23">
      <w:pPr>
        <w:pStyle w:val="5"/>
        <w:spacing w:line="271" w:lineRule="auto"/>
      </w:pPr>
    </w:p>
    <w:p w14:paraId="16081BED">
      <w:pPr>
        <w:spacing w:before="68" w:line="352" w:lineRule="auto"/>
        <w:ind w:left="1" w:right="177" w:hanging="1"/>
        <w:rPr>
          <w:rFonts w:ascii="宋体" w:hAnsi="宋体" w:eastAsia="宋体" w:cs="宋体"/>
          <w:sz w:val="21"/>
          <w:szCs w:val="21"/>
        </w:rPr>
      </w:pPr>
      <w:r>
        <w:rPr>
          <w:rFonts w:ascii="宋体" w:hAnsi="宋体" w:eastAsia="宋体" w:cs="宋体"/>
          <w:sz w:val="21"/>
          <w:szCs w:val="21"/>
        </w:rPr>
        <w:t>场，逾期未完成的，发包人有权出售或另行处理承包人遗留的物品，由此支出的费用由承</w:t>
      </w:r>
      <w:r>
        <w:rPr>
          <w:rFonts w:ascii="宋体" w:hAnsi="宋体" w:eastAsia="宋体" w:cs="宋体"/>
          <w:spacing w:val="-1"/>
          <w:sz w:val="21"/>
          <w:szCs w:val="21"/>
        </w:rPr>
        <w:t>包人承担，发包人出售承包人遗留物品所得款项在扣除必要费用后应返还承包人。</w:t>
      </w:r>
    </w:p>
    <w:p w14:paraId="6CEFC497">
      <w:pPr>
        <w:spacing w:before="1" w:line="235"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13.6.2  </w:t>
      </w:r>
      <w:r>
        <w:rPr>
          <w:rFonts w:ascii="宋体" w:hAnsi="宋体" w:eastAsia="宋体" w:cs="宋体"/>
          <w:spacing w:val="-2"/>
          <w:sz w:val="21"/>
          <w:szCs w:val="21"/>
        </w:rPr>
        <w:t>地表还原</w:t>
      </w:r>
    </w:p>
    <w:p w14:paraId="1E64DD4F">
      <w:pPr>
        <w:spacing w:before="128" w:line="354" w:lineRule="auto"/>
        <w:ind w:left="3" w:right="177" w:firstLine="418"/>
        <w:rPr>
          <w:rFonts w:ascii="宋体" w:hAnsi="宋体" w:eastAsia="宋体" w:cs="宋体"/>
          <w:sz w:val="21"/>
          <w:szCs w:val="21"/>
        </w:rPr>
      </w:pPr>
      <w:r>
        <w:rPr>
          <w:rFonts w:ascii="宋体" w:hAnsi="宋体" w:eastAsia="宋体" w:cs="宋体"/>
          <w:sz w:val="21"/>
          <w:szCs w:val="21"/>
        </w:rPr>
        <w:t>承包人应按发包人要求恢复临时占地及清理场地，承包人未按发包人的要求恢复临时</w:t>
      </w:r>
      <w:r>
        <w:rPr>
          <w:rFonts w:ascii="宋体" w:hAnsi="宋体" w:eastAsia="宋体" w:cs="宋体"/>
          <w:spacing w:val="-1"/>
          <w:sz w:val="21"/>
          <w:szCs w:val="21"/>
        </w:rPr>
        <w:t>占地，</w:t>
      </w:r>
      <w:r>
        <w:rPr>
          <w:rFonts w:ascii="宋体" w:hAnsi="宋体" w:eastAsia="宋体" w:cs="宋体"/>
          <w:sz w:val="21"/>
          <w:szCs w:val="21"/>
        </w:rPr>
        <w:t>或者场地清理未达到合同约定要求的，发包人有权委托其他人恢复或清理，所发生的</w:t>
      </w:r>
      <w:r>
        <w:rPr>
          <w:rFonts w:ascii="宋体" w:hAnsi="宋体" w:eastAsia="宋体" w:cs="宋体"/>
          <w:spacing w:val="-1"/>
          <w:sz w:val="21"/>
          <w:szCs w:val="21"/>
        </w:rPr>
        <w:t>费用由承包</w:t>
      </w:r>
      <w:r>
        <w:rPr>
          <w:rFonts w:ascii="宋体" w:hAnsi="宋体" w:eastAsia="宋体" w:cs="宋体"/>
          <w:spacing w:val="-2"/>
          <w:sz w:val="21"/>
          <w:szCs w:val="21"/>
        </w:rPr>
        <w:t>人承担。</w:t>
      </w:r>
    </w:p>
    <w:p w14:paraId="4DA7A6B2">
      <w:pPr>
        <w:spacing w:before="34" w:line="232" w:lineRule="auto"/>
        <w:ind w:left="11"/>
        <w:outlineLvl w:val="0"/>
        <w:rPr>
          <w:rFonts w:ascii="黑体" w:hAnsi="黑体" w:eastAsia="黑体" w:cs="黑体"/>
          <w:sz w:val="28"/>
          <w:szCs w:val="28"/>
        </w:rPr>
      </w:pPr>
      <w:bookmarkStart w:id="326" w:name="bookmark575"/>
      <w:bookmarkEnd w:id="326"/>
      <w:bookmarkStart w:id="327" w:name="bookmark244"/>
      <w:bookmarkEnd w:id="327"/>
      <w:r>
        <w:rPr>
          <w:rFonts w:ascii="Times New Roman" w:hAnsi="Times New Roman" w:eastAsia="Times New Roman" w:cs="Times New Roman"/>
          <w:b/>
          <w:bCs/>
          <w:spacing w:val="-3"/>
          <w:sz w:val="28"/>
          <w:szCs w:val="28"/>
        </w:rPr>
        <w:t xml:space="preserve">14.  </w:t>
      </w:r>
      <w:r>
        <w:rPr>
          <w:rFonts w:ascii="黑体" w:hAnsi="黑体" w:eastAsia="黑体" w:cs="黑体"/>
          <w:b/>
          <w:bCs/>
          <w:spacing w:val="-3"/>
          <w:sz w:val="28"/>
          <w:szCs w:val="28"/>
        </w:rPr>
        <w:t>竣工结算</w:t>
      </w:r>
    </w:p>
    <w:p w14:paraId="708D1330">
      <w:pPr>
        <w:spacing w:before="83" w:line="232" w:lineRule="auto"/>
        <w:ind w:left="9"/>
        <w:outlineLvl w:val="1"/>
        <w:rPr>
          <w:rFonts w:ascii="黑体" w:hAnsi="黑体" w:eastAsia="黑体" w:cs="黑体"/>
          <w:sz w:val="24"/>
          <w:szCs w:val="24"/>
        </w:rPr>
      </w:pPr>
      <w:bookmarkStart w:id="328" w:name="bookmark245"/>
      <w:bookmarkEnd w:id="328"/>
      <w:r>
        <w:rPr>
          <w:rFonts w:ascii="Times New Roman" w:hAnsi="Times New Roman" w:eastAsia="Times New Roman" w:cs="Times New Roman"/>
          <w:b/>
          <w:bCs/>
          <w:spacing w:val="-3"/>
          <w:sz w:val="24"/>
          <w:szCs w:val="24"/>
        </w:rPr>
        <w:t xml:space="preserve">14.1  </w:t>
      </w:r>
      <w:r>
        <w:rPr>
          <w:rFonts w:ascii="黑体" w:hAnsi="黑体" w:eastAsia="黑体" w:cs="黑体"/>
          <w:b/>
          <w:bCs/>
          <w:spacing w:val="-3"/>
          <w:sz w:val="24"/>
          <w:szCs w:val="24"/>
        </w:rPr>
        <w:t>竣工结算申请</w:t>
      </w:r>
    </w:p>
    <w:p w14:paraId="268B8BF7">
      <w:pPr>
        <w:spacing w:before="121" w:line="351" w:lineRule="auto"/>
        <w:ind w:left="5" w:right="176" w:firstLine="428"/>
        <w:jc w:val="both"/>
        <w:rPr>
          <w:rFonts w:ascii="宋体" w:hAnsi="宋体" w:eastAsia="宋体" w:cs="宋体"/>
          <w:sz w:val="21"/>
          <w:szCs w:val="21"/>
        </w:rPr>
      </w:pPr>
      <w:r>
        <w:rPr>
          <w:rFonts w:ascii="宋体" w:hAnsi="宋体" w:eastAsia="宋体" w:cs="宋体"/>
          <w:sz w:val="21"/>
          <w:szCs w:val="21"/>
        </w:rPr>
        <w:t>除专用合同条款另有约定外，承包人应在工程竣工验收合格后</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天内向发包人和监理人提</w:t>
      </w:r>
      <w:r>
        <w:rPr>
          <w:rFonts w:ascii="宋体" w:hAnsi="宋体" w:eastAsia="宋体" w:cs="宋体"/>
          <w:sz w:val="21"/>
          <w:szCs w:val="21"/>
        </w:rPr>
        <w:t>交竣工结算申请单，并提交完整的结算资料，有关竣工结算申请单的资料清单</w:t>
      </w:r>
      <w:r>
        <w:rPr>
          <w:rFonts w:ascii="宋体" w:hAnsi="宋体" w:eastAsia="宋体" w:cs="宋体"/>
          <w:spacing w:val="-1"/>
          <w:sz w:val="21"/>
          <w:szCs w:val="21"/>
        </w:rPr>
        <w:t>和份数等要求由合同当事人在专用合同条款中约定。</w:t>
      </w:r>
    </w:p>
    <w:p w14:paraId="6F545A5E">
      <w:pPr>
        <w:spacing w:before="3" w:line="221" w:lineRule="auto"/>
        <w:ind w:left="434"/>
        <w:rPr>
          <w:rFonts w:ascii="宋体" w:hAnsi="宋体" w:eastAsia="宋体" w:cs="宋体"/>
          <w:sz w:val="21"/>
          <w:szCs w:val="21"/>
        </w:rPr>
      </w:pPr>
      <w:r>
        <w:rPr>
          <w:rFonts w:ascii="宋体" w:hAnsi="宋体" w:eastAsia="宋体" w:cs="宋体"/>
          <w:spacing w:val="-1"/>
          <w:sz w:val="21"/>
          <w:szCs w:val="21"/>
        </w:rPr>
        <w:t>除专用合同条款另有约定外，竣工结算申请单应包括以下内容：</w:t>
      </w:r>
    </w:p>
    <w:p w14:paraId="3C12FEEB">
      <w:pPr>
        <w:spacing w:before="150"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）竣工结算合同价格；</w:t>
      </w:r>
    </w:p>
    <w:p w14:paraId="10DEE9C8">
      <w:pPr>
        <w:spacing w:before="136"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）发包人已支付承包人的款项；</w:t>
      </w:r>
    </w:p>
    <w:p w14:paraId="60AA609B">
      <w:pPr>
        <w:spacing w:before="132"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）应扣留的质量保证金。已缴纳履约保证金的或提供其他工程</w:t>
      </w:r>
      <w:r>
        <w:rPr>
          <w:rFonts w:ascii="宋体" w:hAnsi="宋体" w:eastAsia="宋体" w:cs="宋体"/>
          <w:spacing w:val="-1"/>
          <w:sz w:val="21"/>
          <w:szCs w:val="21"/>
        </w:rPr>
        <w:t>质量担保方式的除外；</w:t>
      </w:r>
    </w:p>
    <w:p w14:paraId="57AEE0CD">
      <w:pPr>
        <w:spacing w:before="135"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）发包人应支付承包人的合同价款。</w:t>
      </w:r>
    </w:p>
    <w:p w14:paraId="623E4F31">
      <w:pPr>
        <w:spacing w:before="111" w:line="232" w:lineRule="auto"/>
        <w:ind w:left="9"/>
        <w:outlineLvl w:val="1"/>
        <w:rPr>
          <w:rFonts w:ascii="黑体" w:hAnsi="黑体" w:eastAsia="黑体" w:cs="黑体"/>
          <w:sz w:val="24"/>
          <w:szCs w:val="24"/>
        </w:rPr>
      </w:pPr>
      <w:bookmarkStart w:id="329" w:name="bookmark246"/>
      <w:bookmarkEnd w:id="329"/>
      <w:r>
        <w:rPr>
          <w:rFonts w:ascii="Times New Roman" w:hAnsi="Times New Roman" w:eastAsia="Times New Roman" w:cs="Times New Roman"/>
          <w:b/>
          <w:bCs/>
          <w:spacing w:val="-3"/>
          <w:sz w:val="24"/>
          <w:szCs w:val="24"/>
        </w:rPr>
        <w:t xml:space="preserve">14.2  </w:t>
      </w:r>
      <w:r>
        <w:rPr>
          <w:rFonts w:ascii="黑体" w:hAnsi="黑体" w:eastAsia="黑体" w:cs="黑体"/>
          <w:b/>
          <w:bCs/>
          <w:spacing w:val="-3"/>
          <w:sz w:val="24"/>
          <w:szCs w:val="24"/>
        </w:rPr>
        <w:t>竣工结算审核</w:t>
      </w:r>
    </w:p>
    <w:p w14:paraId="3D4EA5C7">
      <w:pPr>
        <w:spacing w:before="122" w:line="349" w:lineRule="auto"/>
        <w:ind w:right="177" w:firstLine="427"/>
        <w:jc w:val="both"/>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）除专用合同条款另有约定外，监理人应在收到竣工结算申请单后</w:t>
      </w:r>
      <w:r>
        <w:rPr>
          <w:rFonts w:ascii="宋体" w:hAnsi="宋体" w:eastAsia="宋体" w:cs="宋体"/>
          <w:spacing w:val="-21"/>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天内完成核查并报</w:t>
      </w:r>
      <w:r>
        <w:rPr>
          <w:rFonts w:ascii="宋体" w:hAnsi="宋体" w:eastAsia="宋体" w:cs="宋体"/>
          <w:sz w:val="21"/>
          <w:szCs w:val="21"/>
        </w:rPr>
        <w:t xml:space="preserve">送发包人。发包人应在收到监理人提交的经审核的竣工结算申请单后 </w:t>
      </w:r>
      <w:r>
        <w:rPr>
          <w:rFonts w:ascii="Times New Roman" w:hAnsi="Times New Roman" w:eastAsia="Times New Roman" w:cs="Times New Roman"/>
          <w:sz w:val="21"/>
          <w:szCs w:val="21"/>
        </w:rPr>
        <w:t xml:space="preserve">14  </w:t>
      </w:r>
      <w:r>
        <w:rPr>
          <w:rFonts w:ascii="宋体" w:hAnsi="宋体" w:eastAsia="宋体" w:cs="宋体"/>
          <w:sz w:val="21"/>
          <w:szCs w:val="21"/>
        </w:rPr>
        <w:t>天内完成审批，并</w:t>
      </w:r>
      <w:r>
        <w:rPr>
          <w:rFonts w:ascii="宋体" w:hAnsi="宋体" w:eastAsia="宋体" w:cs="宋体"/>
          <w:spacing w:val="-1"/>
          <w:sz w:val="21"/>
          <w:szCs w:val="21"/>
        </w:rPr>
        <w:t>由监</w:t>
      </w:r>
      <w:r>
        <w:rPr>
          <w:rFonts w:ascii="宋体" w:hAnsi="宋体" w:eastAsia="宋体" w:cs="宋体"/>
          <w:sz w:val="21"/>
          <w:szCs w:val="21"/>
        </w:rPr>
        <w:t>理人向承包人签发经发包人签认的竣工付款证书。监理人或发包人对竣工结算申请单有异议</w:t>
      </w:r>
      <w:r>
        <w:rPr>
          <w:rFonts w:ascii="宋体" w:hAnsi="宋体" w:eastAsia="宋体" w:cs="宋体"/>
          <w:spacing w:val="-1"/>
          <w:sz w:val="21"/>
          <w:szCs w:val="21"/>
        </w:rPr>
        <w:t>的，</w:t>
      </w:r>
      <w:r>
        <w:rPr>
          <w:rFonts w:ascii="宋体" w:hAnsi="宋体" w:eastAsia="宋体" w:cs="宋体"/>
          <w:sz w:val="21"/>
          <w:szCs w:val="21"/>
        </w:rPr>
        <w:t>有权要求承包人进行修正和提供补充资料，承包人应提交修正后的竣工结算申请单。</w:t>
      </w:r>
    </w:p>
    <w:p w14:paraId="527FCC23">
      <w:pPr>
        <w:spacing w:before="14" w:line="345" w:lineRule="auto"/>
        <w:ind w:left="2" w:right="176" w:firstLine="422"/>
        <w:jc w:val="both"/>
        <w:rPr>
          <w:rFonts w:ascii="宋体" w:hAnsi="宋体" w:eastAsia="宋体" w:cs="宋体"/>
          <w:sz w:val="21"/>
          <w:szCs w:val="21"/>
        </w:rPr>
      </w:pPr>
      <w:r>
        <w:rPr>
          <w:rFonts w:ascii="宋体" w:hAnsi="宋体" w:eastAsia="宋体" w:cs="宋体"/>
          <w:sz w:val="21"/>
          <w:szCs w:val="21"/>
        </w:rPr>
        <w:t xml:space="preserve">发包人在收到承包人提交竣工结算申请书后 </w:t>
      </w:r>
      <w:r>
        <w:rPr>
          <w:rFonts w:ascii="Times New Roman" w:hAnsi="Times New Roman" w:eastAsia="Times New Roman" w:cs="Times New Roman"/>
          <w:sz w:val="21"/>
          <w:szCs w:val="21"/>
        </w:rPr>
        <w:t xml:space="preserve">28  </w:t>
      </w:r>
      <w:r>
        <w:rPr>
          <w:rFonts w:ascii="宋体" w:hAnsi="宋体" w:eastAsia="宋体" w:cs="宋体"/>
          <w:sz w:val="21"/>
          <w:szCs w:val="21"/>
        </w:rPr>
        <w:t>天内未完成审批且未提出异</w:t>
      </w:r>
      <w:r>
        <w:rPr>
          <w:rFonts w:ascii="宋体" w:hAnsi="宋体" w:eastAsia="宋体" w:cs="宋体"/>
          <w:spacing w:val="-1"/>
          <w:sz w:val="21"/>
          <w:szCs w:val="21"/>
        </w:rPr>
        <w:t>议的，视为发包</w:t>
      </w:r>
      <w:r>
        <w:rPr>
          <w:rFonts w:ascii="宋体" w:hAnsi="宋体" w:eastAsia="宋体" w:cs="宋体"/>
          <w:sz w:val="21"/>
          <w:szCs w:val="21"/>
        </w:rPr>
        <w:t xml:space="preserve">人认可承包人提交的竣工结算申请单，并自发包人收到承包人提交的竣工结算申请单后第 </w:t>
      </w:r>
      <w:r>
        <w:rPr>
          <w:rFonts w:ascii="Times New Roman" w:hAnsi="Times New Roman" w:eastAsia="Times New Roman" w:cs="Times New Roman"/>
          <w:sz w:val="21"/>
          <w:szCs w:val="21"/>
        </w:rPr>
        <w:t>2</w:t>
      </w:r>
      <w:r>
        <w:rPr>
          <w:rFonts w:ascii="Times New Roman" w:hAnsi="Times New Roman" w:eastAsia="Times New Roman" w:cs="Times New Roman"/>
          <w:spacing w:val="-1"/>
          <w:sz w:val="21"/>
          <w:szCs w:val="21"/>
        </w:rPr>
        <w:t xml:space="preserve">9  </w:t>
      </w:r>
      <w:r>
        <w:rPr>
          <w:rFonts w:ascii="宋体" w:hAnsi="宋体" w:eastAsia="宋体" w:cs="宋体"/>
          <w:spacing w:val="-1"/>
          <w:sz w:val="21"/>
          <w:szCs w:val="21"/>
        </w:rPr>
        <w:t>天</w:t>
      </w:r>
      <w:r>
        <w:rPr>
          <w:rFonts w:ascii="宋体" w:hAnsi="宋体" w:eastAsia="宋体" w:cs="宋体"/>
          <w:spacing w:val="-2"/>
          <w:sz w:val="21"/>
          <w:szCs w:val="21"/>
        </w:rPr>
        <w:t>起视为已签发竣工付款证书。</w:t>
      </w:r>
    </w:p>
    <w:p w14:paraId="76481FBB">
      <w:pPr>
        <w:spacing w:before="22" w:line="312" w:lineRule="auto"/>
        <w:ind w:left="1"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）除专用合同条款另有约定外，发包人应在签发竣工付款证书后的</w:t>
      </w:r>
      <w:r>
        <w:rPr>
          <w:rFonts w:ascii="宋体" w:hAnsi="宋体" w:eastAsia="宋体" w:cs="宋体"/>
          <w:spacing w:val="5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天内，完成对承</w:t>
      </w:r>
      <w:r>
        <w:rPr>
          <w:rFonts w:ascii="宋体" w:hAnsi="宋体" w:eastAsia="宋体" w:cs="宋体"/>
          <w:sz w:val="21"/>
          <w:szCs w:val="21"/>
        </w:rPr>
        <w:t>包人的竣工付款。发包人逾期支付的，按照中国人民银行发布的同期同类贷款基准利率支</w:t>
      </w:r>
      <w:r>
        <w:rPr>
          <w:rFonts w:ascii="宋体" w:hAnsi="宋体" w:eastAsia="宋体" w:cs="宋体"/>
          <w:spacing w:val="-1"/>
          <w:sz w:val="21"/>
          <w:szCs w:val="21"/>
        </w:rPr>
        <w:t xml:space="preserve">付违约金；逾期支付超过 </w:t>
      </w:r>
      <w:r>
        <w:rPr>
          <w:rFonts w:ascii="Times New Roman" w:hAnsi="Times New Roman" w:eastAsia="Times New Roman" w:cs="Times New Roman"/>
          <w:spacing w:val="-1"/>
          <w:sz w:val="21"/>
          <w:szCs w:val="21"/>
        </w:rPr>
        <w:t xml:space="preserve">56  </w:t>
      </w:r>
      <w:r>
        <w:rPr>
          <w:rFonts w:ascii="宋体" w:hAnsi="宋体" w:eastAsia="宋体" w:cs="宋体"/>
          <w:spacing w:val="-1"/>
          <w:sz w:val="21"/>
          <w:szCs w:val="21"/>
        </w:rPr>
        <w:t>天的，按照中国人民银行发布的同期同类贷款基准利率的两倍支付违约金。</w:t>
      </w:r>
    </w:p>
    <w:p w14:paraId="2DE6DE41">
      <w:pPr>
        <w:spacing w:before="136" w:line="322" w:lineRule="auto"/>
        <w:ind w:left="4" w:right="16" w:firstLine="423"/>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）承包人对发包人签认的竣工付款证书有异议的，对于有异议部分应在收到发包人签认</w:t>
      </w:r>
      <w:r>
        <w:rPr>
          <w:rFonts w:ascii="宋体" w:hAnsi="宋体" w:eastAsia="宋体" w:cs="宋体"/>
          <w:sz w:val="21"/>
          <w:szCs w:val="21"/>
        </w:rPr>
        <w:t>的竣工付款证书后</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7 </w:t>
      </w:r>
      <w:r>
        <w:rPr>
          <w:rFonts w:ascii="宋体" w:hAnsi="宋体" w:eastAsia="宋体" w:cs="宋体"/>
          <w:sz w:val="21"/>
          <w:szCs w:val="21"/>
        </w:rPr>
        <w:t>天内提出异议，并由合同当事人按照专用合</w:t>
      </w:r>
      <w:r>
        <w:rPr>
          <w:rFonts w:ascii="宋体" w:hAnsi="宋体" w:eastAsia="宋体" w:cs="宋体"/>
          <w:spacing w:val="-1"/>
          <w:sz w:val="21"/>
          <w:szCs w:val="21"/>
        </w:rPr>
        <w:t xml:space="preserve">同条款约定的方式和程序进行复核，或按照第 </w:t>
      </w:r>
      <w:r>
        <w:rPr>
          <w:rFonts w:ascii="Times New Roman" w:hAnsi="Times New Roman" w:eastAsia="Times New Roman" w:cs="Times New Roman"/>
          <w:spacing w:val="-1"/>
          <w:sz w:val="21"/>
          <w:szCs w:val="21"/>
        </w:rPr>
        <w:t xml:space="preserve">20  </w:t>
      </w:r>
      <w:r>
        <w:rPr>
          <w:rFonts w:ascii="宋体" w:hAnsi="宋体" w:eastAsia="宋体" w:cs="宋体"/>
          <w:spacing w:val="-1"/>
          <w:sz w:val="21"/>
          <w:szCs w:val="21"/>
        </w:rPr>
        <w:t>条〔争议解决〕约定处理。对于无异议部分，发包人应签发</w:t>
      </w:r>
      <w:r>
        <w:rPr>
          <w:rFonts w:ascii="宋体" w:hAnsi="宋体" w:eastAsia="宋体" w:cs="宋体"/>
          <w:spacing w:val="-2"/>
          <w:sz w:val="21"/>
          <w:szCs w:val="21"/>
        </w:rPr>
        <w:t>临时竣工付款证书，</w:t>
      </w:r>
      <w:r>
        <w:rPr>
          <w:rFonts w:ascii="宋体" w:hAnsi="宋体" w:eastAsia="宋体" w:cs="宋体"/>
          <w:spacing w:val="-1"/>
          <w:sz w:val="21"/>
          <w:szCs w:val="21"/>
        </w:rPr>
        <w:t>并按本款第（</w:t>
      </w:r>
      <w:r>
        <w:rPr>
          <w:rFonts w:ascii="Times New Roman" w:hAnsi="Times New Roman" w:eastAsia="Times New Roman" w:cs="Times New Roman"/>
          <w:spacing w:val="-1"/>
          <w:sz w:val="21"/>
          <w:szCs w:val="21"/>
        </w:rPr>
        <w:t>2</w:t>
      </w:r>
      <w:r>
        <w:rPr>
          <w:rFonts w:ascii="宋体" w:hAnsi="宋体" w:eastAsia="宋体" w:cs="宋体"/>
          <w:spacing w:val="-1"/>
          <w:sz w:val="21"/>
          <w:szCs w:val="21"/>
        </w:rPr>
        <w:t>）项完成付款。承包人逾期未提出异议的，视为认可发包人的审批结果。</w:t>
      </w:r>
    </w:p>
    <w:p w14:paraId="0093A7BE">
      <w:pPr>
        <w:spacing w:before="110" w:line="232" w:lineRule="auto"/>
        <w:ind w:left="9"/>
        <w:outlineLvl w:val="1"/>
        <w:rPr>
          <w:rFonts w:ascii="黑体" w:hAnsi="黑体" w:eastAsia="黑体" w:cs="黑体"/>
          <w:sz w:val="24"/>
          <w:szCs w:val="24"/>
        </w:rPr>
      </w:pPr>
      <w:bookmarkStart w:id="330" w:name="bookmark247"/>
      <w:bookmarkEnd w:id="330"/>
      <w:r>
        <w:rPr>
          <w:rFonts w:ascii="Times New Roman" w:hAnsi="Times New Roman" w:eastAsia="Times New Roman" w:cs="Times New Roman"/>
          <w:b/>
          <w:bCs/>
          <w:spacing w:val="-3"/>
          <w:sz w:val="24"/>
          <w:szCs w:val="24"/>
        </w:rPr>
        <w:t xml:space="preserve">14.3  </w:t>
      </w:r>
      <w:r>
        <w:rPr>
          <w:rFonts w:ascii="黑体" w:hAnsi="黑体" w:eastAsia="黑体" w:cs="黑体"/>
          <w:b/>
          <w:bCs/>
          <w:spacing w:val="-3"/>
          <w:sz w:val="24"/>
          <w:szCs w:val="24"/>
        </w:rPr>
        <w:t>甩项竣工协议</w:t>
      </w:r>
    </w:p>
    <w:p w14:paraId="3B742F34">
      <w:pPr>
        <w:spacing w:before="122" w:line="364" w:lineRule="auto"/>
        <w:ind w:left="14" w:right="176" w:firstLine="410"/>
        <w:rPr>
          <w:rFonts w:ascii="宋体" w:hAnsi="宋体" w:eastAsia="宋体" w:cs="宋体"/>
          <w:sz w:val="21"/>
          <w:szCs w:val="21"/>
        </w:rPr>
      </w:pPr>
      <w:r>
        <w:rPr>
          <w:rFonts w:ascii="宋体" w:hAnsi="宋体" w:eastAsia="宋体" w:cs="宋体"/>
          <w:sz w:val="21"/>
          <w:szCs w:val="21"/>
        </w:rPr>
        <w:t>发包人要求甩项竣工的，合同当事人应签订甩项竣工协议。在甩项竣工协议</w:t>
      </w:r>
      <w:r>
        <w:rPr>
          <w:rFonts w:ascii="宋体" w:hAnsi="宋体" w:eastAsia="宋体" w:cs="宋体"/>
          <w:spacing w:val="-1"/>
          <w:sz w:val="21"/>
          <w:szCs w:val="21"/>
        </w:rPr>
        <w:t>中应明确，合同</w:t>
      </w:r>
      <w:r>
        <w:rPr>
          <w:rFonts w:ascii="宋体" w:hAnsi="宋体" w:eastAsia="宋体" w:cs="宋体"/>
          <w:spacing w:val="-2"/>
          <w:sz w:val="21"/>
          <w:szCs w:val="21"/>
        </w:rPr>
        <w:t xml:space="preserve">当事人按照第 </w:t>
      </w:r>
      <w:r>
        <w:rPr>
          <w:rFonts w:ascii="Times New Roman" w:hAnsi="Times New Roman" w:eastAsia="Times New Roman" w:cs="Times New Roman"/>
          <w:spacing w:val="-2"/>
          <w:sz w:val="21"/>
          <w:szCs w:val="21"/>
        </w:rPr>
        <w:t>14.1</w:t>
      </w:r>
      <w:r>
        <w:rPr>
          <w:rFonts w:ascii="Times New Roman" w:hAnsi="Times New Roman" w:eastAsia="Times New Roman" w:cs="Times New Roman"/>
          <w:spacing w:val="44"/>
          <w:sz w:val="21"/>
          <w:szCs w:val="21"/>
        </w:rPr>
        <w:t xml:space="preserve"> </w:t>
      </w:r>
      <w:r>
        <w:rPr>
          <w:rFonts w:ascii="宋体" w:hAnsi="宋体" w:eastAsia="宋体" w:cs="宋体"/>
          <w:spacing w:val="-2"/>
          <w:sz w:val="21"/>
          <w:szCs w:val="21"/>
        </w:rPr>
        <w:t xml:space="preserve">款〔竣工结算申请〕及 </w:t>
      </w:r>
      <w:r>
        <w:rPr>
          <w:rFonts w:ascii="Times New Roman" w:hAnsi="Times New Roman" w:eastAsia="Times New Roman" w:cs="Times New Roman"/>
          <w:spacing w:val="-2"/>
          <w:sz w:val="21"/>
          <w:szCs w:val="21"/>
        </w:rPr>
        <w:t>14.2</w:t>
      </w:r>
      <w:r>
        <w:rPr>
          <w:rFonts w:ascii="Times New Roman" w:hAnsi="Times New Roman" w:eastAsia="Times New Roman" w:cs="Times New Roman"/>
          <w:spacing w:val="33"/>
          <w:w w:val="101"/>
          <w:sz w:val="21"/>
          <w:szCs w:val="21"/>
        </w:rPr>
        <w:t xml:space="preserve"> </w:t>
      </w:r>
      <w:r>
        <w:rPr>
          <w:rFonts w:ascii="宋体" w:hAnsi="宋体" w:eastAsia="宋体" w:cs="宋体"/>
          <w:spacing w:val="-2"/>
          <w:sz w:val="21"/>
          <w:szCs w:val="21"/>
        </w:rPr>
        <w:t>款〔竣工结算审核〕的约定，对已完合格工程进</w:t>
      </w:r>
    </w:p>
    <w:p w14:paraId="4AE9B9F8">
      <w:pPr>
        <w:spacing w:line="364" w:lineRule="auto"/>
        <w:rPr>
          <w:rFonts w:ascii="宋体" w:hAnsi="宋体" w:eastAsia="宋体" w:cs="宋体"/>
          <w:sz w:val="21"/>
          <w:szCs w:val="21"/>
        </w:rPr>
        <w:sectPr>
          <w:footerReference r:id="rId121" w:type="default"/>
          <w:pgSz w:w="11905" w:h="16843"/>
          <w:pgMar w:top="969" w:right="1355" w:bottom="1026" w:left="1480" w:header="0" w:footer="754" w:gutter="0"/>
          <w:cols w:space="0" w:num="1"/>
          <w:rtlGutter w:val="0"/>
          <w:docGrid w:linePitch="0" w:charSpace="0"/>
        </w:sectPr>
      </w:pPr>
    </w:p>
    <w:p w14:paraId="7D782412">
      <w:pPr>
        <w:pStyle w:val="5"/>
        <w:spacing w:line="270" w:lineRule="auto"/>
      </w:pPr>
    </w:p>
    <w:p w14:paraId="1EFDBB7B">
      <w:pPr>
        <w:pStyle w:val="5"/>
        <w:spacing w:line="270" w:lineRule="auto"/>
      </w:pPr>
    </w:p>
    <w:p w14:paraId="7916C660">
      <w:pPr>
        <w:pStyle w:val="5"/>
        <w:spacing w:line="270" w:lineRule="auto"/>
      </w:pPr>
    </w:p>
    <w:p w14:paraId="091FC519">
      <w:pPr>
        <w:pStyle w:val="5"/>
        <w:spacing w:line="271" w:lineRule="auto"/>
      </w:pPr>
    </w:p>
    <w:p w14:paraId="7CE3AA0B">
      <w:pPr>
        <w:spacing w:before="69" w:line="219" w:lineRule="auto"/>
        <w:ind w:left="4"/>
        <w:rPr>
          <w:rFonts w:ascii="宋体" w:hAnsi="宋体" w:eastAsia="宋体" w:cs="宋体"/>
          <w:sz w:val="21"/>
          <w:szCs w:val="21"/>
        </w:rPr>
      </w:pPr>
      <w:r>
        <w:rPr>
          <w:rFonts w:ascii="宋体" w:hAnsi="宋体" w:eastAsia="宋体" w:cs="宋体"/>
          <w:spacing w:val="-2"/>
          <w:sz w:val="21"/>
          <w:szCs w:val="21"/>
        </w:rPr>
        <w:t>行结算，并支付相应合同价款。</w:t>
      </w:r>
    </w:p>
    <w:p w14:paraId="2F815402">
      <w:pPr>
        <w:spacing w:before="126" w:line="234" w:lineRule="auto"/>
        <w:ind w:left="8"/>
        <w:outlineLvl w:val="1"/>
        <w:rPr>
          <w:rFonts w:ascii="黑体" w:hAnsi="黑体" w:eastAsia="黑体" w:cs="黑体"/>
          <w:sz w:val="24"/>
          <w:szCs w:val="24"/>
        </w:rPr>
      </w:pPr>
      <w:bookmarkStart w:id="331" w:name="bookmark248"/>
      <w:bookmarkEnd w:id="331"/>
      <w:bookmarkStart w:id="332" w:name="bookmark576"/>
      <w:bookmarkEnd w:id="332"/>
      <w:r>
        <w:rPr>
          <w:rFonts w:ascii="Times New Roman" w:hAnsi="Times New Roman" w:eastAsia="Times New Roman" w:cs="Times New Roman"/>
          <w:b/>
          <w:bCs/>
          <w:spacing w:val="-5"/>
          <w:sz w:val="24"/>
          <w:szCs w:val="24"/>
        </w:rPr>
        <w:t>14.4</w:t>
      </w:r>
      <w:r>
        <w:rPr>
          <w:rFonts w:ascii="Times New Roman" w:hAnsi="Times New Roman" w:eastAsia="Times New Roman" w:cs="Times New Roman"/>
          <w:b/>
          <w:bCs/>
          <w:spacing w:val="8"/>
          <w:sz w:val="24"/>
          <w:szCs w:val="24"/>
        </w:rPr>
        <w:t xml:space="preserve">  </w:t>
      </w:r>
      <w:r>
        <w:rPr>
          <w:rFonts w:ascii="黑体" w:hAnsi="黑体" w:eastAsia="黑体" w:cs="黑体"/>
          <w:b/>
          <w:bCs/>
          <w:spacing w:val="-5"/>
          <w:sz w:val="24"/>
          <w:szCs w:val="24"/>
        </w:rPr>
        <w:t>最终结清</w:t>
      </w:r>
    </w:p>
    <w:p w14:paraId="2155188D">
      <w:pPr>
        <w:spacing w:before="121"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14.4.1  </w:t>
      </w:r>
      <w:r>
        <w:rPr>
          <w:rFonts w:ascii="宋体" w:hAnsi="宋体" w:eastAsia="宋体" w:cs="宋体"/>
          <w:spacing w:val="-2"/>
          <w:sz w:val="21"/>
          <w:szCs w:val="21"/>
        </w:rPr>
        <w:t>最终结清申请单</w:t>
      </w:r>
    </w:p>
    <w:p w14:paraId="6CA9CE36">
      <w:pPr>
        <w:spacing w:before="131" w:line="344" w:lineRule="auto"/>
        <w:ind w:left="1" w:right="163"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）除专用合同条款另有约定外，承包人应在缺陷责任期终止证书颁</w:t>
      </w:r>
      <w:r>
        <w:rPr>
          <w:rFonts w:ascii="宋体" w:hAnsi="宋体" w:eastAsia="宋体" w:cs="宋体"/>
          <w:spacing w:val="-1"/>
          <w:sz w:val="21"/>
          <w:szCs w:val="21"/>
        </w:rPr>
        <w:t xml:space="preserve">发后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天内，按专用合同条款约定的份数向发包人提交最终结清申请单，并提供相关证明材料。</w:t>
      </w:r>
    </w:p>
    <w:p w14:paraId="2342E2B5">
      <w:pPr>
        <w:spacing w:before="20" w:line="351" w:lineRule="auto"/>
        <w:ind w:left="14" w:right="161" w:firstLine="419"/>
        <w:rPr>
          <w:rFonts w:ascii="宋体" w:hAnsi="宋体" w:eastAsia="宋体" w:cs="宋体"/>
          <w:sz w:val="21"/>
          <w:szCs w:val="21"/>
        </w:rPr>
      </w:pPr>
      <w:r>
        <w:rPr>
          <w:rFonts w:ascii="宋体" w:hAnsi="宋体" w:eastAsia="宋体" w:cs="宋体"/>
          <w:sz w:val="21"/>
          <w:szCs w:val="21"/>
        </w:rPr>
        <w:t>除专用合同条款另有约定外，最终结清申请单应列明质</w:t>
      </w:r>
      <w:r>
        <w:rPr>
          <w:rFonts w:ascii="宋体" w:hAnsi="宋体" w:eastAsia="宋体" w:cs="宋体"/>
          <w:spacing w:val="-1"/>
          <w:sz w:val="21"/>
          <w:szCs w:val="21"/>
        </w:rPr>
        <w:t>量保证金、应扣除的质量保证金、缺</w:t>
      </w:r>
      <w:r>
        <w:rPr>
          <w:rFonts w:ascii="宋体" w:hAnsi="宋体" w:eastAsia="宋体" w:cs="宋体"/>
          <w:spacing w:val="-3"/>
          <w:sz w:val="21"/>
          <w:szCs w:val="21"/>
        </w:rPr>
        <w:t>陷责任期内发生的增减费用。</w:t>
      </w:r>
    </w:p>
    <w:p w14:paraId="18465747">
      <w:pPr>
        <w:spacing w:before="1" w:line="344" w:lineRule="auto"/>
        <w:ind w:right="217"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）发包人对最终结清申请单内容有异议的，有权要求承包人进行修正和提供补充资料，</w:t>
      </w:r>
      <w:r>
        <w:rPr>
          <w:rFonts w:ascii="宋体" w:hAnsi="宋体" w:eastAsia="宋体" w:cs="宋体"/>
          <w:spacing w:val="-1"/>
          <w:sz w:val="21"/>
          <w:szCs w:val="21"/>
        </w:rPr>
        <w:t>承包人应向发包人提交修正后的最终结清申请单。</w:t>
      </w:r>
    </w:p>
    <w:p w14:paraId="787ADB71">
      <w:pPr>
        <w:spacing w:before="16"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14.4.2  </w:t>
      </w:r>
      <w:r>
        <w:rPr>
          <w:rFonts w:ascii="宋体" w:hAnsi="宋体" w:eastAsia="宋体" w:cs="宋体"/>
          <w:spacing w:val="-2"/>
          <w:sz w:val="21"/>
          <w:szCs w:val="21"/>
        </w:rPr>
        <w:t>最终结清证书和支付</w:t>
      </w:r>
    </w:p>
    <w:p w14:paraId="3F0222D4">
      <w:pPr>
        <w:spacing w:before="133" w:line="319" w:lineRule="auto"/>
        <w:ind w:right="160"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）除专用合同条款另有约定外，发包人应在收到承包人提交的最终结清申请单后</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w:t>
      </w:r>
      <w:r>
        <w:rPr>
          <w:rFonts w:ascii="宋体" w:hAnsi="宋体" w:eastAsia="宋体" w:cs="宋体"/>
          <w:sz w:val="21"/>
          <w:szCs w:val="21"/>
        </w:rPr>
        <w:t>完成审批并向承包人颁发最终结清证书。发包人逾期未完成审批，又未提出修改意见的，</w:t>
      </w:r>
      <w:r>
        <w:rPr>
          <w:rFonts w:ascii="宋体" w:hAnsi="宋体" w:eastAsia="宋体" w:cs="宋体"/>
          <w:spacing w:val="-1"/>
          <w:sz w:val="21"/>
          <w:szCs w:val="21"/>
        </w:rPr>
        <w:t>视为发</w:t>
      </w:r>
      <w:r>
        <w:rPr>
          <w:rFonts w:ascii="宋体" w:hAnsi="宋体" w:eastAsia="宋体" w:cs="宋体"/>
          <w:sz w:val="21"/>
          <w:szCs w:val="21"/>
        </w:rPr>
        <w:t xml:space="preserve">包人同意承包人提交的最终结清申请单，且自发包人收到承包人提交的最终结清申请单后 </w:t>
      </w:r>
      <w:r>
        <w:rPr>
          <w:rFonts w:ascii="Times New Roman" w:hAnsi="Times New Roman" w:eastAsia="Times New Roman" w:cs="Times New Roman"/>
          <w:sz w:val="21"/>
          <w:szCs w:val="21"/>
        </w:rPr>
        <w:t>15</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天</w:t>
      </w:r>
      <w:r>
        <w:rPr>
          <w:rFonts w:ascii="宋体" w:hAnsi="宋体" w:eastAsia="宋体" w:cs="宋体"/>
          <w:spacing w:val="-2"/>
          <w:sz w:val="21"/>
          <w:szCs w:val="21"/>
        </w:rPr>
        <w:t>起视为已颁发最终结清证书。</w:t>
      </w:r>
    </w:p>
    <w:p w14:paraId="454AF411">
      <w:pPr>
        <w:spacing w:before="149" w:line="308" w:lineRule="auto"/>
        <w:ind w:left="2" w:right="160" w:firstLine="424"/>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 xml:space="preserve">）除专用合同条款另有约定外，发包人应在颁发最终结清证书后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天内完成支付。发包</w:t>
      </w:r>
      <w:r>
        <w:rPr>
          <w:rFonts w:ascii="宋体" w:hAnsi="宋体" w:eastAsia="宋体" w:cs="宋体"/>
          <w:spacing w:val="2"/>
          <w:sz w:val="21"/>
          <w:szCs w:val="21"/>
        </w:rPr>
        <w:t xml:space="preserve">人逾期支付的，按照中国人民银行发布的同期同类贷款基准利率支付违约金；逾期支付超过 </w:t>
      </w:r>
      <w:r>
        <w:rPr>
          <w:rFonts w:ascii="Times New Roman" w:hAnsi="Times New Roman" w:eastAsia="Times New Roman" w:cs="Times New Roman"/>
          <w:spacing w:val="2"/>
          <w:sz w:val="21"/>
          <w:szCs w:val="21"/>
        </w:rPr>
        <w:t>56</w:t>
      </w:r>
      <w:r>
        <w:rPr>
          <w:rFonts w:ascii="宋体" w:hAnsi="宋体" w:eastAsia="宋体" w:cs="宋体"/>
          <w:spacing w:val="-1"/>
          <w:sz w:val="21"/>
          <w:szCs w:val="21"/>
        </w:rPr>
        <w:t>天的，按照中国人民银行发布的同期同类贷款基准利率的两倍支付违约金。</w:t>
      </w:r>
    </w:p>
    <w:p w14:paraId="4D4F580C">
      <w:pPr>
        <w:spacing w:before="151"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）承包人对发包人颁发的最终结清证书有异议的，按第</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20 </w:t>
      </w:r>
      <w:r>
        <w:rPr>
          <w:rFonts w:ascii="宋体" w:hAnsi="宋体" w:eastAsia="宋体" w:cs="宋体"/>
          <w:spacing w:val="-1"/>
          <w:sz w:val="21"/>
          <w:szCs w:val="21"/>
        </w:rPr>
        <w:t>条〔争议解决〕的约定办理。</w:t>
      </w:r>
    </w:p>
    <w:p w14:paraId="3CBB0D07">
      <w:pPr>
        <w:spacing w:before="174" w:line="232" w:lineRule="auto"/>
        <w:ind w:left="11"/>
        <w:outlineLvl w:val="0"/>
        <w:rPr>
          <w:rFonts w:ascii="黑体" w:hAnsi="黑体" w:eastAsia="黑体" w:cs="黑体"/>
          <w:sz w:val="28"/>
          <w:szCs w:val="28"/>
        </w:rPr>
      </w:pPr>
      <w:bookmarkStart w:id="333" w:name="bookmark249"/>
      <w:bookmarkEnd w:id="333"/>
      <w:r>
        <w:rPr>
          <w:rFonts w:ascii="Times New Roman" w:hAnsi="Times New Roman" w:eastAsia="Times New Roman" w:cs="Times New Roman"/>
          <w:b/>
          <w:bCs/>
          <w:spacing w:val="-3"/>
          <w:sz w:val="28"/>
          <w:szCs w:val="28"/>
        </w:rPr>
        <w:t xml:space="preserve">15.  </w:t>
      </w:r>
      <w:r>
        <w:rPr>
          <w:rFonts w:ascii="黑体" w:hAnsi="黑体" w:eastAsia="黑体" w:cs="黑体"/>
          <w:b/>
          <w:bCs/>
          <w:spacing w:val="-3"/>
          <w:sz w:val="28"/>
          <w:szCs w:val="28"/>
        </w:rPr>
        <w:t>缺陷责任与保修</w:t>
      </w:r>
    </w:p>
    <w:p w14:paraId="7300F2BD">
      <w:pPr>
        <w:spacing w:before="83" w:line="233" w:lineRule="auto"/>
        <w:ind w:left="8"/>
        <w:outlineLvl w:val="1"/>
        <w:rPr>
          <w:rFonts w:ascii="黑体" w:hAnsi="黑体" w:eastAsia="黑体" w:cs="黑体"/>
          <w:sz w:val="24"/>
          <w:szCs w:val="24"/>
        </w:rPr>
      </w:pPr>
      <w:bookmarkStart w:id="334" w:name="bookmark250"/>
      <w:bookmarkEnd w:id="334"/>
      <w:r>
        <w:rPr>
          <w:rFonts w:ascii="Times New Roman" w:hAnsi="Times New Roman" w:eastAsia="Times New Roman" w:cs="Times New Roman"/>
          <w:b/>
          <w:bCs/>
          <w:spacing w:val="-3"/>
          <w:sz w:val="24"/>
          <w:szCs w:val="24"/>
        </w:rPr>
        <w:t xml:space="preserve">15.1  </w:t>
      </w:r>
      <w:r>
        <w:rPr>
          <w:rFonts w:ascii="黑体" w:hAnsi="黑体" w:eastAsia="黑体" w:cs="黑体"/>
          <w:b/>
          <w:bCs/>
          <w:spacing w:val="-3"/>
          <w:sz w:val="24"/>
          <w:szCs w:val="24"/>
        </w:rPr>
        <w:t>工程保修的原则</w:t>
      </w:r>
    </w:p>
    <w:p w14:paraId="211F5A16">
      <w:pPr>
        <w:spacing w:before="122" w:line="341" w:lineRule="auto"/>
        <w:ind w:left="2" w:right="161" w:firstLine="417"/>
        <w:rPr>
          <w:rFonts w:ascii="宋体" w:hAnsi="宋体" w:eastAsia="宋体" w:cs="宋体"/>
          <w:sz w:val="21"/>
          <w:szCs w:val="21"/>
        </w:rPr>
      </w:pPr>
      <w:r>
        <w:rPr>
          <w:rFonts w:ascii="宋体" w:hAnsi="宋体" w:eastAsia="宋体" w:cs="宋体"/>
          <w:sz w:val="21"/>
          <w:szCs w:val="21"/>
        </w:rPr>
        <w:t>在工程移交发包人后，因承包人原因产生的质量缺陷，承包人应承担质量缺陷责任和</w:t>
      </w:r>
      <w:r>
        <w:rPr>
          <w:rFonts w:ascii="宋体" w:hAnsi="宋体" w:eastAsia="宋体" w:cs="宋体"/>
          <w:spacing w:val="-1"/>
          <w:sz w:val="21"/>
          <w:szCs w:val="21"/>
        </w:rPr>
        <w:t>保修义</w:t>
      </w:r>
      <w:r>
        <w:rPr>
          <w:rFonts w:ascii="宋体" w:hAnsi="宋体" w:eastAsia="宋体" w:cs="宋体"/>
          <w:sz w:val="21"/>
          <w:szCs w:val="21"/>
        </w:rPr>
        <w:t>务。缺陷责任期届满，承包人仍应按合同约定的工程各部位保修年限承担保修</w:t>
      </w:r>
      <w:r>
        <w:rPr>
          <w:rFonts w:ascii="宋体" w:hAnsi="宋体" w:eastAsia="宋体" w:cs="宋体"/>
          <w:spacing w:val="-1"/>
          <w:sz w:val="21"/>
          <w:szCs w:val="21"/>
        </w:rPr>
        <w:t>义务。</w:t>
      </w:r>
    </w:p>
    <w:p w14:paraId="59429A39">
      <w:pPr>
        <w:spacing w:before="1" w:line="231" w:lineRule="auto"/>
        <w:ind w:left="8"/>
        <w:outlineLvl w:val="1"/>
        <w:rPr>
          <w:rFonts w:ascii="黑体" w:hAnsi="黑体" w:eastAsia="黑体" w:cs="黑体"/>
          <w:sz w:val="24"/>
          <w:szCs w:val="24"/>
        </w:rPr>
      </w:pPr>
      <w:bookmarkStart w:id="335" w:name="bookmark251"/>
      <w:bookmarkEnd w:id="335"/>
      <w:r>
        <w:rPr>
          <w:rFonts w:ascii="Times New Roman" w:hAnsi="Times New Roman" w:eastAsia="Times New Roman" w:cs="Times New Roman"/>
          <w:b/>
          <w:bCs/>
          <w:spacing w:val="-3"/>
          <w:sz w:val="24"/>
          <w:szCs w:val="24"/>
        </w:rPr>
        <w:t xml:space="preserve">15.2  </w:t>
      </w:r>
      <w:r>
        <w:rPr>
          <w:rFonts w:ascii="黑体" w:hAnsi="黑体" w:eastAsia="黑体" w:cs="黑体"/>
          <w:b/>
          <w:bCs/>
          <w:spacing w:val="-3"/>
          <w:sz w:val="24"/>
          <w:szCs w:val="24"/>
        </w:rPr>
        <w:t>缺陷责任期</w:t>
      </w:r>
    </w:p>
    <w:p w14:paraId="5473D0E5">
      <w:pPr>
        <w:spacing w:before="121" w:line="353" w:lineRule="auto"/>
        <w:ind w:left="8" w:right="161" w:firstLine="429"/>
        <w:rPr>
          <w:rFonts w:ascii="宋体" w:hAnsi="宋体" w:eastAsia="宋体" w:cs="宋体"/>
          <w:sz w:val="21"/>
          <w:szCs w:val="21"/>
        </w:rPr>
      </w:pPr>
      <w:r>
        <w:rPr>
          <w:rFonts w:ascii="Times New Roman" w:hAnsi="Times New Roman" w:eastAsia="Times New Roman" w:cs="Times New Roman"/>
          <w:sz w:val="21"/>
          <w:szCs w:val="21"/>
        </w:rPr>
        <w:t xml:space="preserve">15.2.1  </w:t>
      </w:r>
      <w:r>
        <w:rPr>
          <w:rFonts w:ascii="宋体" w:hAnsi="宋体" w:eastAsia="宋体" w:cs="宋体"/>
          <w:sz w:val="21"/>
          <w:szCs w:val="21"/>
        </w:rPr>
        <w:t>缺陷责任期从工程通过竣工验收之日起</w:t>
      </w:r>
      <w:r>
        <w:rPr>
          <w:rFonts w:ascii="宋体" w:hAnsi="宋体" w:eastAsia="宋体" w:cs="宋体"/>
          <w:spacing w:val="-1"/>
          <w:sz w:val="21"/>
          <w:szCs w:val="21"/>
        </w:rPr>
        <w:t>计算，合同当事人应在专用合同条款约定缺陷责任期的具体期限，但该期限最长不超过</w:t>
      </w:r>
      <w:r>
        <w:rPr>
          <w:rFonts w:ascii="宋体" w:hAnsi="宋体" w:eastAsia="宋体" w:cs="宋体"/>
          <w:spacing w:val="-41"/>
          <w:sz w:val="21"/>
          <w:szCs w:val="21"/>
        </w:rPr>
        <w:t xml:space="preserve">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个月。</w:t>
      </w:r>
    </w:p>
    <w:p w14:paraId="17645E43">
      <w:pPr>
        <w:spacing w:before="5" w:line="350" w:lineRule="auto"/>
        <w:ind w:firstLine="422"/>
        <w:jc w:val="both"/>
        <w:rPr>
          <w:rFonts w:ascii="宋体" w:hAnsi="宋体" w:eastAsia="宋体" w:cs="宋体"/>
          <w:sz w:val="21"/>
          <w:szCs w:val="21"/>
        </w:rPr>
      </w:pPr>
      <w:r>
        <w:rPr>
          <w:rFonts w:ascii="宋体" w:hAnsi="宋体" w:eastAsia="宋体" w:cs="宋体"/>
          <w:sz w:val="21"/>
          <w:szCs w:val="21"/>
        </w:rPr>
        <w:t>单位工程先于全部工程进行验收，经验收合格并交付使用的，该单位工程缺陷责</w:t>
      </w:r>
      <w:r>
        <w:rPr>
          <w:rFonts w:ascii="宋体" w:hAnsi="宋体" w:eastAsia="宋体" w:cs="宋体"/>
          <w:spacing w:val="-1"/>
          <w:sz w:val="21"/>
          <w:szCs w:val="21"/>
        </w:rPr>
        <w:t>任期自单位</w:t>
      </w:r>
      <w:r>
        <w:rPr>
          <w:rFonts w:ascii="宋体" w:hAnsi="宋体" w:eastAsia="宋体" w:cs="宋体"/>
          <w:sz w:val="21"/>
          <w:szCs w:val="21"/>
        </w:rPr>
        <w:t>工程验收合格之日起算。因承包人原因导致工程无法按合同约定期限进行竣工验收的，缺陷</w:t>
      </w:r>
      <w:r>
        <w:rPr>
          <w:rFonts w:ascii="宋体" w:hAnsi="宋体" w:eastAsia="宋体" w:cs="宋体"/>
          <w:spacing w:val="-1"/>
          <w:sz w:val="21"/>
          <w:szCs w:val="21"/>
        </w:rPr>
        <w:t>责任期从实际通过竣工验收之日起计算。因发包人原因导致工程无法按合同约定期</w:t>
      </w:r>
      <w:r>
        <w:rPr>
          <w:rFonts w:ascii="宋体" w:hAnsi="宋体" w:eastAsia="宋体" w:cs="宋体"/>
          <w:spacing w:val="-2"/>
          <w:sz w:val="21"/>
          <w:szCs w:val="21"/>
        </w:rPr>
        <w:t>限进行竣工验收的，</w:t>
      </w:r>
      <w:r>
        <w:rPr>
          <w:rFonts w:ascii="宋体" w:hAnsi="宋体" w:eastAsia="宋体" w:cs="宋体"/>
          <w:sz w:val="21"/>
          <w:szCs w:val="21"/>
        </w:rPr>
        <w:t xml:space="preserve">在承包人提交竣工验收报告 </w:t>
      </w:r>
      <w:r>
        <w:rPr>
          <w:rFonts w:ascii="Times New Roman" w:hAnsi="Times New Roman" w:eastAsia="Times New Roman" w:cs="Times New Roman"/>
          <w:sz w:val="21"/>
          <w:szCs w:val="21"/>
        </w:rPr>
        <w:t xml:space="preserve">90  </w:t>
      </w:r>
      <w:r>
        <w:rPr>
          <w:rFonts w:ascii="宋体" w:hAnsi="宋体" w:eastAsia="宋体" w:cs="宋体"/>
          <w:sz w:val="21"/>
          <w:szCs w:val="21"/>
        </w:rPr>
        <w:t>天后，工程自动进入缺陷责任期；发包人未经竣工验收擅</w:t>
      </w:r>
      <w:r>
        <w:rPr>
          <w:rFonts w:ascii="宋体" w:hAnsi="宋体" w:eastAsia="宋体" w:cs="宋体"/>
          <w:spacing w:val="-1"/>
          <w:sz w:val="21"/>
          <w:szCs w:val="21"/>
        </w:rPr>
        <w:t>自使用工程的，缺陷责任期自工程转移占有之日起开始计算。</w:t>
      </w:r>
    </w:p>
    <w:p w14:paraId="2D96FBBF">
      <w:pPr>
        <w:spacing w:before="5" w:line="351" w:lineRule="auto"/>
        <w:ind w:left="1" w:right="160" w:firstLine="435"/>
        <w:jc w:val="both"/>
        <w:rPr>
          <w:rFonts w:ascii="宋体" w:hAnsi="宋体" w:eastAsia="宋体" w:cs="宋体"/>
          <w:sz w:val="21"/>
          <w:szCs w:val="21"/>
        </w:rPr>
      </w:pPr>
      <w:r>
        <w:rPr>
          <w:rFonts w:ascii="Times New Roman" w:hAnsi="Times New Roman" w:eastAsia="Times New Roman" w:cs="Times New Roman"/>
          <w:sz w:val="21"/>
          <w:szCs w:val="21"/>
        </w:rPr>
        <w:t xml:space="preserve">15.2.2  </w:t>
      </w:r>
      <w:r>
        <w:rPr>
          <w:rFonts w:ascii="宋体" w:hAnsi="宋体" w:eastAsia="宋体" w:cs="宋体"/>
          <w:sz w:val="21"/>
          <w:szCs w:val="21"/>
        </w:rPr>
        <w:t>缺陷责任期内，由承包人原因造成的缺</w:t>
      </w:r>
      <w:r>
        <w:rPr>
          <w:rFonts w:ascii="宋体" w:hAnsi="宋体" w:eastAsia="宋体" w:cs="宋体"/>
          <w:spacing w:val="-1"/>
          <w:sz w:val="21"/>
          <w:szCs w:val="21"/>
        </w:rPr>
        <w:t>陷，承包人应负责维修，并承担鉴定及维修费</w:t>
      </w:r>
      <w:r>
        <w:rPr>
          <w:rFonts w:ascii="宋体" w:hAnsi="宋体" w:eastAsia="宋体" w:cs="宋体"/>
          <w:sz w:val="21"/>
          <w:szCs w:val="21"/>
        </w:rPr>
        <w:t>用。如承包人不维修也不承担费用，发包人可按合同约定从保证金或银行保函中扣除，</w:t>
      </w:r>
      <w:r>
        <w:rPr>
          <w:rFonts w:ascii="宋体" w:hAnsi="宋体" w:eastAsia="宋体" w:cs="宋体"/>
          <w:spacing w:val="-1"/>
          <w:sz w:val="21"/>
          <w:szCs w:val="21"/>
        </w:rPr>
        <w:t>费用超出</w:t>
      </w:r>
      <w:r>
        <w:rPr>
          <w:rFonts w:ascii="宋体" w:hAnsi="宋体" w:eastAsia="宋体" w:cs="宋体"/>
          <w:sz w:val="21"/>
          <w:szCs w:val="21"/>
        </w:rPr>
        <w:t>保证金额的，发包人可按合同约定向承包人进行索赔。承包人维修并承担相应费用后，</w:t>
      </w:r>
      <w:r>
        <w:rPr>
          <w:rFonts w:ascii="宋体" w:hAnsi="宋体" w:eastAsia="宋体" w:cs="宋体"/>
          <w:spacing w:val="-1"/>
          <w:sz w:val="21"/>
          <w:szCs w:val="21"/>
        </w:rPr>
        <w:t>不免除对</w:t>
      </w:r>
      <w:r>
        <w:rPr>
          <w:rFonts w:ascii="宋体" w:hAnsi="宋体" w:eastAsia="宋体" w:cs="宋体"/>
          <w:sz w:val="21"/>
          <w:szCs w:val="21"/>
        </w:rPr>
        <w:t>工程的损失赔偿责任。发包人有权要求承包人延长缺陷责任期，并应在原缺陷责任期</w:t>
      </w:r>
      <w:r>
        <w:rPr>
          <w:rFonts w:ascii="宋体" w:hAnsi="宋体" w:eastAsia="宋体" w:cs="宋体"/>
          <w:spacing w:val="-1"/>
          <w:sz w:val="21"/>
          <w:szCs w:val="21"/>
        </w:rPr>
        <w:t>届满前发出</w:t>
      </w:r>
    </w:p>
    <w:p w14:paraId="2749BB0F">
      <w:pPr>
        <w:spacing w:line="351" w:lineRule="auto"/>
        <w:rPr>
          <w:rFonts w:ascii="宋体" w:hAnsi="宋体" w:eastAsia="宋体" w:cs="宋体"/>
          <w:sz w:val="21"/>
          <w:szCs w:val="21"/>
        </w:rPr>
        <w:sectPr>
          <w:footerReference r:id="rId122" w:type="default"/>
          <w:pgSz w:w="11905" w:h="16843"/>
          <w:pgMar w:top="969" w:right="1355" w:bottom="1026" w:left="1480" w:header="0" w:footer="754" w:gutter="0"/>
          <w:cols w:space="0" w:num="1"/>
          <w:rtlGutter w:val="0"/>
          <w:docGrid w:linePitch="0" w:charSpace="0"/>
        </w:sectPr>
      </w:pPr>
    </w:p>
    <w:p w14:paraId="5D43D865">
      <w:pPr>
        <w:pStyle w:val="5"/>
        <w:spacing w:line="270" w:lineRule="auto"/>
      </w:pPr>
    </w:p>
    <w:p w14:paraId="4E14F87A">
      <w:pPr>
        <w:pStyle w:val="5"/>
        <w:spacing w:line="270" w:lineRule="auto"/>
      </w:pPr>
    </w:p>
    <w:p w14:paraId="47519595">
      <w:pPr>
        <w:pStyle w:val="5"/>
        <w:spacing w:line="271" w:lineRule="auto"/>
      </w:pPr>
    </w:p>
    <w:p w14:paraId="2A756FE7">
      <w:pPr>
        <w:pStyle w:val="5"/>
        <w:spacing w:line="271" w:lineRule="auto"/>
      </w:pPr>
    </w:p>
    <w:p w14:paraId="25FE1D0C">
      <w:pPr>
        <w:spacing w:before="68" w:line="234" w:lineRule="auto"/>
        <w:rPr>
          <w:rFonts w:ascii="宋体" w:hAnsi="宋体" w:eastAsia="宋体" w:cs="宋体"/>
          <w:sz w:val="21"/>
          <w:szCs w:val="21"/>
        </w:rPr>
      </w:pPr>
      <w:bookmarkStart w:id="336" w:name="bookmark577"/>
      <w:bookmarkEnd w:id="336"/>
      <w:r>
        <w:rPr>
          <w:rFonts w:ascii="宋体" w:hAnsi="宋体" w:eastAsia="宋体" w:cs="宋体"/>
          <w:spacing w:val="-1"/>
          <w:sz w:val="21"/>
          <w:szCs w:val="21"/>
        </w:rPr>
        <w:t>延长通知。但缺陷责任期（含延长部分）最长不能超过</w:t>
      </w:r>
      <w:r>
        <w:rPr>
          <w:rFonts w:ascii="宋体" w:hAnsi="宋体" w:eastAsia="宋体" w:cs="宋体"/>
          <w:spacing w:val="-42"/>
          <w:sz w:val="21"/>
          <w:szCs w:val="21"/>
        </w:rPr>
        <w:t xml:space="preserve">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个月。</w:t>
      </w:r>
    </w:p>
    <w:p w14:paraId="6FFE6C4E">
      <w:pPr>
        <w:spacing w:before="134" w:line="351" w:lineRule="auto"/>
        <w:ind w:left="19" w:right="177" w:firstLine="425"/>
        <w:rPr>
          <w:rFonts w:ascii="宋体" w:hAnsi="宋体" w:eastAsia="宋体" w:cs="宋体"/>
          <w:sz w:val="21"/>
          <w:szCs w:val="21"/>
        </w:rPr>
      </w:pPr>
      <w:r>
        <w:rPr>
          <w:rFonts w:ascii="宋体" w:hAnsi="宋体" w:eastAsia="宋体" w:cs="宋体"/>
          <w:spacing w:val="-1"/>
          <w:sz w:val="21"/>
          <w:szCs w:val="21"/>
        </w:rPr>
        <w:t>由他人原因造成的缺陷，发包人负责组织维修，承包人不承担费用，且发包人不得从保证金</w:t>
      </w:r>
      <w:r>
        <w:rPr>
          <w:rFonts w:ascii="宋体" w:hAnsi="宋体" w:eastAsia="宋体" w:cs="宋体"/>
          <w:spacing w:val="-5"/>
          <w:sz w:val="21"/>
          <w:szCs w:val="21"/>
        </w:rPr>
        <w:t>中扣除费用。</w:t>
      </w:r>
    </w:p>
    <w:p w14:paraId="31AA3C07">
      <w:pPr>
        <w:spacing w:before="1" w:line="286" w:lineRule="auto"/>
        <w:ind w:right="177" w:firstLine="434"/>
        <w:rPr>
          <w:rFonts w:ascii="宋体" w:hAnsi="宋体" w:eastAsia="宋体" w:cs="宋体"/>
          <w:sz w:val="21"/>
          <w:szCs w:val="21"/>
        </w:rPr>
      </w:pPr>
      <w:r>
        <w:rPr>
          <w:rFonts w:ascii="Times New Roman" w:hAnsi="Times New Roman" w:eastAsia="Times New Roman" w:cs="Times New Roman"/>
          <w:sz w:val="21"/>
          <w:szCs w:val="21"/>
        </w:rPr>
        <w:t xml:space="preserve">15.2.3  </w:t>
      </w:r>
      <w:r>
        <w:rPr>
          <w:rFonts w:ascii="宋体" w:hAnsi="宋体" w:eastAsia="宋体" w:cs="宋体"/>
          <w:sz w:val="21"/>
          <w:szCs w:val="21"/>
        </w:rPr>
        <w:t>任何一项缺陷或损坏修复后，经检查证</w:t>
      </w:r>
      <w:r>
        <w:rPr>
          <w:rFonts w:ascii="宋体" w:hAnsi="宋体" w:eastAsia="宋体" w:cs="宋体"/>
          <w:spacing w:val="-1"/>
          <w:sz w:val="21"/>
          <w:szCs w:val="21"/>
        </w:rPr>
        <w:t>明其影响了工程或工程设备的使用性能，承包</w:t>
      </w:r>
      <w:r>
        <w:rPr>
          <w:rFonts w:ascii="宋体" w:hAnsi="宋体" w:eastAsia="宋体" w:cs="宋体"/>
          <w:sz w:val="21"/>
          <w:szCs w:val="21"/>
        </w:rPr>
        <w:t>人应重新进行合同约定的试验和试运行，试验和试运行的全部费用应由责任方</w:t>
      </w:r>
      <w:r>
        <w:rPr>
          <w:rFonts w:ascii="宋体" w:hAnsi="宋体" w:eastAsia="宋体" w:cs="宋体"/>
          <w:spacing w:val="-1"/>
          <w:sz w:val="21"/>
          <w:szCs w:val="21"/>
        </w:rPr>
        <w:t>承担。</w:t>
      </w:r>
    </w:p>
    <w:p w14:paraId="0EC7B2D9">
      <w:pPr>
        <w:spacing w:before="151" w:line="322" w:lineRule="auto"/>
        <w:ind w:right="177" w:firstLine="434"/>
        <w:rPr>
          <w:rFonts w:ascii="宋体" w:hAnsi="宋体" w:eastAsia="宋体" w:cs="宋体"/>
          <w:sz w:val="21"/>
          <w:szCs w:val="21"/>
        </w:rPr>
      </w:pPr>
      <w:r>
        <w:rPr>
          <w:rFonts w:ascii="Times New Roman" w:hAnsi="Times New Roman" w:eastAsia="Times New Roman" w:cs="Times New Roman"/>
          <w:sz w:val="21"/>
          <w:szCs w:val="21"/>
        </w:rPr>
        <w:t xml:space="preserve">15.2.4  </w:t>
      </w:r>
      <w:r>
        <w:rPr>
          <w:rFonts w:ascii="宋体" w:hAnsi="宋体" w:eastAsia="宋体" w:cs="宋体"/>
          <w:sz w:val="21"/>
          <w:szCs w:val="21"/>
        </w:rPr>
        <w:t>除专用合同条款另有约定外</w:t>
      </w:r>
      <w:r>
        <w:rPr>
          <w:rFonts w:ascii="宋体" w:hAnsi="宋体" w:eastAsia="宋体" w:cs="宋体"/>
          <w:spacing w:val="-1"/>
          <w:sz w:val="21"/>
          <w:szCs w:val="21"/>
        </w:rPr>
        <w:t>，承包人应于缺陷责任期届满后</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天内向发包人发出缺陷</w:t>
      </w:r>
      <w:r>
        <w:rPr>
          <w:rFonts w:ascii="宋体" w:hAnsi="宋体" w:eastAsia="宋体" w:cs="宋体"/>
          <w:sz w:val="21"/>
          <w:szCs w:val="21"/>
        </w:rPr>
        <w:t xml:space="preserve">责任期届满通知，发包人应在收到缺陷责任期满通知后 </w:t>
      </w:r>
      <w:r>
        <w:rPr>
          <w:rFonts w:ascii="Times New Roman" w:hAnsi="Times New Roman" w:eastAsia="Times New Roman" w:cs="Times New Roman"/>
          <w:sz w:val="21"/>
          <w:szCs w:val="21"/>
        </w:rPr>
        <w:t xml:space="preserve">14  </w:t>
      </w:r>
      <w:r>
        <w:rPr>
          <w:rFonts w:ascii="宋体" w:hAnsi="宋体" w:eastAsia="宋体" w:cs="宋体"/>
          <w:sz w:val="21"/>
          <w:szCs w:val="21"/>
        </w:rPr>
        <w:t>天内核实承包人是否履行</w:t>
      </w:r>
      <w:r>
        <w:rPr>
          <w:rFonts w:ascii="宋体" w:hAnsi="宋体" w:eastAsia="宋体" w:cs="宋体"/>
          <w:spacing w:val="-1"/>
          <w:sz w:val="21"/>
          <w:szCs w:val="21"/>
        </w:rPr>
        <w:t>缺陷修复义</w:t>
      </w:r>
      <w:r>
        <w:rPr>
          <w:rFonts w:ascii="宋体" w:hAnsi="宋体" w:eastAsia="宋体" w:cs="宋体"/>
          <w:sz w:val="21"/>
          <w:szCs w:val="21"/>
        </w:rPr>
        <w:t>务，承包人未能履行缺陷修复义务的，发包人有权扣除相应金额的维修费用。发包人</w:t>
      </w:r>
      <w:r>
        <w:rPr>
          <w:rFonts w:ascii="宋体" w:hAnsi="宋体" w:eastAsia="宋体" w:cs="宋体"/>
          <w:spacing w:val="-1"/>
          <w:sz w:val="21"/>
          <w:szCs w:val="21"/>
        </w:rPr>
        <w:t>应在收到缺陷责任期届满通知后</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天内，向承包人颁发缺陷责任期终止证</w:t>
      </w:r>
      <w:r>
        <w:rPr>
          <w:rFonts w:ascii="宋体" w:hAnsi="宋体" w:eastAsia="宋体" w:cs="宋体"/>
          <w:spacing w:val="-2"/>
          <w:sz w:val="21"/>
          <w:szCs w:val="21"/>
        </w:rPr>
        <w:t>书。</w:t>
      </w:r>
    </w:p>
    <w:p w14:paraId="61438F0D">
      <w:pPr>
        <w:spacing w:before="108" w:line="233" w:lineRule="auto"/>
        <w:ind w:left="6"/>
        <w:outlineLvl w:val="1"/>
        <w:rPr>
          <w:rFonts w:ascii="黑体" w:hAnsi="黑体" w:eastAsia="黑体" w:cs="黑体"/>
          <w:sz w:val="24"/>
          <w:szCs w:val="24"/>
        </w:rPr>
      </w:pPr>
      <w:bookmarkStart w:id="337" w:name="bookmark252"/>
      <w:bookmarkEnd w:id="337"/>
      <w:r>
        <w:rPr>
          <w:rFonts w:ascii="Times New Roman" w:hAnsi="Times New Roman" w:eastAsia="Times New Roman" w:cs="Times New Roman"/>
          <w:b/>
          <w:bCs/>
          <w:spacing w:val="-3"/>
          <w:sz w:val="24"/>
          <w:szCs w:val="24"/>
        </w:rPr>
        <w:t xml:space="preserve">15.3  </w:t>
      </w:r>
      <w:r>
        <w:rPr>
          <w:rFonts w:ascii="黑体" w:hAnsi="黑体" w:eastAsia="黑体" w:cs="黑体"/>
          <w:b/>
          <w:bCs/>
          <w:spacing w:val="-3"/>
          <w:sz w:val="24"/>
          <w:szCs w:val="24"/>
        </w:rPr>
        <w:t>质量保证金</w:t>
      </w:r>
    </w:p>
    <w:p w14:paraId="3C5303AF">
      <w:pPr>
        <w:spacing w:before="121" w:line="221" w:lineRule="auto"/>
        <w:ind w:left="420"/>
        <w:rPr>
          <w:rFonts w:ascii="宋体" w:hAnsi="宋体" w:eastAsia="宋体" w:cs="宋体"/>
          <w:sz w:val="21"/>
          <w:szCs w:val="21"/>
        </w:rPr>
      </w:pPr>
      <w:r>
        <w:rPr>
          <w:rFonts w:ascii="宋体" w:hAnsi="宋体" w:eastAsia="宋体" w:cs="宋体"/>
          <w:spacing w:val="-1"/>
          <w:sz w:val="21"/>
          <w:szCs w:val="21"/>
        </w:rPr>
        <w:t>经合同当事人协商一致扣留质量保证金的，应在专用合同条款中予以明确。</w:t>
      </w:r>
    </w:p>
    <w:p w14:paraId="510D5D7F">
      <w:pPr>
        <w:spacing w:before="150" w:line="220" w:lineRule="auto"/>
        <w:ind w:left="418"/>
        <w:rPr>
          <w:rFonts w:ascii="宋体" w:hAnsi="宋体" w:eastAsia="宋体" w:cs="宋体"/>
          <w:sz w:val="21"/>
          <w:szCs w:val="21"/>
        </w:rPr>
      </w:pPr>
      <w:r>
        <w:rPr>
          <w:rFonts w:ascii="宋体" w:hAnsi="宋体" w:eastAsia="宋体" w:cs="宋体"/>
          <w:sz w:val="21"/>
          <w:szCs w:val="21"/>
        </w:rPr>
        <w:t>在工程项目竣工前，承包人已经提供履约担保的，发包人不得同时预留工程质量保证金。</w:t>
      </w:r>
    </w:p>
    <w:p w14:paraId="697DD6E7">
      <w:pPr>
        <w:spacing w:before="148" w:line="234" w:lineRule="auto"/>
        <w:ind w:left="435"/>
        <w:rPr>
          <w:rFonts w:ascii="宋体" w:hAnsi="宋体" w:eastAsia="宋体" w:cs="宋体"/>
          <w:sz w:val="21"/>
          <w:szCs w:val="21"/>
        </w:rPr>
      </w:pPr>
      <w:r>
        <w:rPr>
          <w:rFonts w:ascii="Times New Roman" w:hAnsi="Times New Roman" w:eastAsia="Times New Roman" w:cs="Times New Roman"/>
          <w:spacing w:val="-1"/>
          <w:sz w:val="21"/>
          <w:szCs w:val="21"/>
        </w:rPr>
        <w:t xml:space="preserve">15.3.1  </w:t>
      </w:r>
      <w:r>
        <w:rPr>
          <w:rFonts w:ascii="宋体" w:hAnsi="宋体" w:eastAsia="宋体" w:cs="宋体"/>
          <w:spacing w:val="-1"/>
          <w:sz w:val="21"/>
          <w:szCs w:val="21"/>
        </w:rPr>
        <w:t>承包人提供质量保证金的方式</w:t>
      </w:r>
    </w:p>
    <w:p w14:paraId="3CE0A226">
      <w:pPr>
        <w:spacing w:before="134" w:line="220" w:lineRule="auto"/>
        <w:ind w:left="419"/>
        <w:rPr>
          <w:rFonts w:ascii="宋体" w:hAnsi="宋体" w:eastAsia="宋体" w:cs="宋体"/>
          <w:sz w:val="21"/>
          <w:szCs w:val="21"/>
        </w:rPr>
      </w:pPr>
      <w:r>
        <w:rPr>
          <w:rFonts w:ascii="宋体" w:hAnsi="宋体" w:eastAsia="宋体" w:cs="宋体"/>
          <w:spacing w:val="-2"/>
          <w:sz w:val="21"/>
          <w:szCs w:val="21"/>
        </w:rPr>
        <w:t>承包人提供质量保证金有以下三种方式：</w:t>
      </w:r>
    </w:p>
    <w:p w14:paraId="330DE552">
      <w:pPr>
        <w:spacing w:before="151" w:line="235" w:lineRule="auto"/>
        <w:ind w:left="425"/>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宋体" w:hAnsi="宋体" w:eastAsia="宋体" w:cs="宋体"/>
          <w:spacing w:val="-4"/>
          <w:sz w:val="21"/>
          <w:szCs w:val="21"/>
        </w:rPr>
        <w:t>）质量保证金保函；</w:t>
      </w:r>
    </w:p>
    <w:p w14:paraId="475716CD">
      <w:pPr>
        <w:spacing w:before="132" w:line="235" w:lineRule="auto"/>
        <w:ind w:left="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）相应比例的工程款；</w:t>
      </w:r>
    </w:p>
    <w:p w14:paraId="1D105B8C">
      <w:pPr>
        <w:spacing w:before="133" w:line="235" w:lineRule="auto"/>
        <w:ind w:left="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）双方约定的其他方式。</w:t>
      </w:r>
    </w:p>
    <w:p w14:paraId="02E066CF">
      <w:pPr>
        <w:spacing w:before="133" w:line="234" w:lineRule="auto"/>
        <w:ind w:left="431"/>
        <w:rPr>
          <w:rFonts w:ascii="宋体" w:hAnsi="宋体" w:eastAsia="宋体" w:cs="宋体"/>
          <w:sz w:val="21"/>
          <w:szCs w:val="21"/>
        </w:rPr>
      </w:pPr>
      <w:r>
        <w:rPr>
          <w:rFonts w:ascii="宋体" w:hAnsi="宋体" w:eastAsia="宋体" w:cs="宋体"/>
          <w:spacing w:val="-1"/>
          <w:sz w:val="21"/>
          <w:szCs w:val="21"/>
        </w:rPr>
        <w:t>除专用合同条款另有约定外，质量保证金原则上采用上述第（</w:t>
      </w:r>
      <w:r>
        <w:rPr>
          <w:rFonts w:ascii="Times New Roman" w:hAnsi="Times New Roman" w:eastAsia="Times New Roman" w:cs="Times New Roman"/>
          <w:spacing w:val="-1"/>
          <w:sz w:val="21"/>
          <w:szCs w:val="21"/>
        </w:rPr>
        <w:t>1</w:t>
      </w:r>
      <w:r>
        <w:rPr>
          <w:rFonts w:ascii="宋体" w:hAnsi="宋体" w:eastAsia="宋体" w:cs="宋体"/>
          <w:spacing w:val="-1"/>
          <w:sz w:val="21"/>
          <w:szCs w:val="21"/>
        </w:rPr>
        <w:t>）种方式。</w:t>
      </w:r>
    </w:p>
    <w:p w14:paraId="4BE725C9">
      <w:pPr>
        <w:spacing w:before="133" w:line="235" w:lineRule="auto"/>
        <w:ind w:left="435"/>
        <w:rPr>
          <w:rFonts w:ascii="宋体" w:hAnsi="宋体" w:eastAsia="宋体" w:cs="宋体"/>
          <w:sz w:val="21"/>
          <w:szCs w:val="21"/>
        </w:rPr>
      </w:pPr>
      <w:r>
        <w:rPr>
          <w:rFonts w:ascii="Times New Roman" w:hAnsi="Times New Roman" w:eastAsia="Times New Roman" w:cs="Times New Roman"/>
          <w:spacing w:val="-2"/>
          <w:sz w:val="21"/>
          <w:szCs w:val="21"/>
        </w:rPr>
        <w:t xml:space="preserve">15.3.2  </w:t>
      </w:r>
      <w:r>
        <w:rPr>
          <w:rFonts w:ascii="宋体" w:hAnsi="宋体" w:eastAsia="宋体" w:cs="宋体"/>
          <w:spacing w:val="-2"/>
          <w:sz w:val="21"/>
          <w:szCs w:val="21"/>
        </w:rPr>
        <w:t>质量保证金的扣留</w:t>
      </w:r>
    </w:p>
    <w:p w14:paraId="4C87795C">
      <w:pPr>
        <w:spacing w:before="134" w:line="221" w:lineRule="auto"/>
        <w:ind w:left="420"/>
        <w:rPr>
          <w:rFonts w:ascii="宋体" w:hAnsi="宋体" w:eastAsia="宋体" w:cs="宋体"/>
          <w:sz w:val="21"/>
          <w:szCs w:val="21"/>
        </w:rPr>
      </w:pPr>
      <w:r>
        <w:rPr>
          <w:rFonts w:ascii="宋体" w:hAnsi="宋体" w:eastAsia="宋体" w:cs="宋体"/>
          <w:spacing w:val="-1"/>
          <w:sz w:val="21"/>
          <w:szCs w:val="21"/>
        </w:rPr>
        <w:t>质量保证金的扣留有以下三种方式：</w:t>
      </w:r>
    </w:p>
    <w:p w14:paraId="759603A3">
      <w:pPr>
        <w:spacing w:before="148" w:line="285" w:lineRule="auto"/>
        <w:ind w:right="202"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）在支付工程进度款时逐次扣留，在此情形下，质量保证金的计</w:t>
      </w:r>
      <w:r>
        <w:rPr>
          <w:rFonts w:ascii="宋体" w:hAnsi="宋体" w:eastAsia="宋体" w:cs="宋体"/>
          <w:spacing w:val="1"/>
          <w:sz w:val="21"/>
          <w:szCs w:val="21"/>
        </w:rPr>
        <w:t>算基数不包括预付款的</w:t>
      </w:r>
      <w:r>
        <w:rPr>
          <w:rFonts w:ascii="宋体" w:hAnsi="宋体" w:eastAsia="宋体" w:cs="宋体"/>
          <w:spacing w:val="-1"/>
          <w:sz w:val="21"/>
          <w:szCs w:val="21"/>
        </w:rPr>
        <w:t>支付、扣回以及价格调整的金额；</w:t>
      </w:r>
    </w:p>
    <w:p w14:paraId="71590A18">
      <w:pPr>
        <w:spacing w:before="152" w:line="234" w:lineRule="auto"/>
        <w:ind w:left="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）工程竣工结算时一次性扣留质量保证金；</w:t>
      </w:r>
    </w:p>
    <w:p w14:paraId="78E759DE">
      <w:pPr>
        <w:spacing w:before="134" w:line="235" w:lineRule="auto"/>
        <w:ind w:left="425"/>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3</w:t>
      </w:r>
      <w:r>
        <w:rPr>
          <w:rFonts w:ascii="宋体" w:hAnsi="宋体" w:eastAsia="宋体" w:cs="宋体"/>
          <w:spacing w:val="-3"/>
          <w:sz w:val="21"/>
          <w:szCs w:val="21"/>
        </w:rPr>
        <w:t>）双方约定的其他扣留方式。</w:t>
      </w:r>
    </w:p>
    <w:p w14:paraId="39524BB9">
      <w:pPr>
        <w:spacing w:before="132" w:line="234" w:lineRule="auto"/>
        <w:ind w:left="431"/>
        <w:rPr>
          <w:rFonts w:ascii="宋体" w:hAnsi="宋体" w:eastAsia="宋体" w:cs="宋体"/>
          <w:sz w:val="21"/>
          <w:szCs w:val="21"/>
        </w:rPr>
      </w:pPr>
      <w:r>
        <w:rPr>
          <w:rFonts w:ascii="宋体" w:hAnsi="宋体" w:eastAsia="宋体" w:cs="宋体"/>
          <w:spacing w:val="-1"/>
          <w:sz w:val="21"/>
          <w:szCs w:val="21"/>
        </w:rPr>
        <w:t>除专用合同条款另有约定外，质量保证金的扣留原则上采用上述第（</w:t>
      </w:r>
      <w:r>
        <w:rPr>
          <w:rFonts w:ascii="Times New Roman" w:hAnsi="Times New Roman" w:eastAsia="Times New Roman" w:cs="Times New Roman"/>
          <w:spacing w:val="-1"/>
          <w:sz w:val="21"/>
          <w:szCs w:val="21"/>
        </w:rPr>
        <w:t>1</w:t>
      </w:r>
      <w:r>
        <w:rPr>
          <w:rFonts w:ascii="宋体" w:hAnsi="宋体" w:eastAsia="宋体" w:cs="宋体"/>
          <w:spacing w:val="-1"/>
          <w:sz w:val="21"/>
          <w:szCs w:val="21"/>
        </w:rPr>
        <w:t>）种方式。</w:t>
      </w:r>
    </w:p>
    <w:p w14:paraId="7BAD47E0">
      <w:pPr>
        <w:spacing w:before="136" w:line="351" w:lineRule="auto"/>
        <w:ind w:right="177" w:firstLine="422"/>
        <w:rPr>
          <w:rFonts w:ascii="宋体" w:hAnsi="宋体" w:eastAsia="宋体" w:cs="宋体"/>
          <w:sz w:val="21"/>
          <w:szCs w:val="21"/>
        </w:rPr>
      </w:pPr>
      <w:r>
        <w:rPr>
          <w:rFonts w:ascii="宋体" w:hAnsi="宋体" w:eastAsia="宋体" w:cs="宋体"/>
          <w:sz w:val="21"/>
          <w:szCs w:val="21"/>
        </w:rPr>
        <w:t xml:space="preserve">发包人累计扣留的质量保证金不得超过工程价款结算总额的 </w:t>
      </w:r>
      <w:r>
        <w:rPr>
          <w:rFonts w:ascii="Times New Roman" w:hAnsi="Times New Roman" w:eastAsia="Times New Roman" w:cs="Times New Roman"/>
          <w:sz w:val="21"/>
          <w:szCs w:val="21"/>
        </w:rPr>
        <w:t>1.5</w:t>
      </w:r>
      <w:r>
        <w:rPr>
          <w:rFonts w:ascii="Times New Roman" w:hAnsi="Times New Roman" w:eastAsia="Times New Roman" w:cs="Times New Roman"/>
          <w:spacing w:val="32"/>
          <w:sz w:val="21"/>
          <w:szCs w:val="21"/>
        </w:rPr>
        <w:t xml:space="preserve"> </w:t>
      </w:r>
      <w:r>
        <w:rPr>
          <w:rFonts w:ascii="Times New Roman" w:hAnsi="Times New Roman" w:eastAsia="Times New Roman" w:cs="Times New Roman"/>
          <w:sz w:val="21"/>
          <w:szCs w:val="21"/>
        </w:rPr>
        <w:t>%</w:t>
      </w:r>
      <w:r>
        <w:rPr>
          <w:rFonts w:ascii="宋体" w:hAnsi="宋体" w:eastAsia="宋体" w:cs="宋体"/>
          <w:sz w:val="21"/>
          <w:szCs w:val="21"/>
        </w:rPr>
        <w:t>。如承包人在发</w:t>
      </w:r>
      <w:r>
        <w:rPr>
          <w:rFonts w:ascii="宋体" w:hAnsi="宋体" w:eastAsia="宋体" w:cs="宋体"/>
          <w:spacing w:val="-1"/>
          <w:sz w:val="21"/>
          <w:szCs w:val="21"/>
        </w:rPr>
        <w:t>包人签发</w:t>
      </w:r>
      <w:r>
        <w:rPr>
          <w:rFonts w:ascii="宋体" w:hAnsi="宋体" w:eastAsia="宋体" w:cs="宋体"/>
          <w:sz w:val="21"/>
          <w:szCs w:val="21"/>
        </w:rPr>
        <w:t xml:space="preserve">竣工付款证书后 </w:t>
      </w:r>
      <w:r>
        <w:rPr>
          <w:rFonts w:ascii="Times New Roman" w:hAnsi="Times New Roman" w:eastAsia="Times New Roman" w:cs="Times New Roman"/>
          <w:sz w:val="21"/>
          <w:szCs w:val="21"/>
        </w:rPr>
        <w:t xml:space="preserve">28  </w:t>
      </w:r>
      <w:r>
        <w:rPr>
          <w:rFonts w:ascii="宋体" w:hAnsi="宋体" w:eastAsia="宋体" w:cs="宋体"/>
          <w:sz w:val="21"/>
          <w:szCs w:val="21"/>
        </w:rPr>
        <w:t>天内提交质量保证金保函，发包人应同时退还扣留的作为质量保</w:t>
      </w:r>
      <w:r>
        <w:rPr>
          <w:rFonts w:ascii="宋体" w:hAnsi="宋体" w:eastAsia="宋体" w:cs="宋体"/>
          <w:spacing w:val="-1"/>
          <w:sz w:val="21"/>
          <w:szCs w:val="21"/>
        </w:rPr>
        <w:t>证金的工程价款；保函金额不得超过工程价款结算总额的</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2"/>
          <w:sz w:val="21"/>
          <w:szCs w:val="21"/>
        </w:rPr>
        <w:t>5 %</w:t>
      </w:r>
      <w:r>
        <w:rPr>
          <w:rFonts w:ascii="宋体" w:hAnsi="宋体" w:eastAsia="宋体" w:cs="宋体"/>
          <w:spacing w:val="-2"/>
          <w:sz w:val="21"/>
          <w:szCs w:val="21"/>
        </w:rPr>
        <w:t>。</w:t>
      </w:r>
    </w:p>
    <w:p w14:paraId="6E0AE420">
      <w:pPr>
        <w:spacing w:before="1" w:line="220" w:lineRule="auto"/>
        <w:ind w:left="422"/>
        <w:rPr>
          <w:rFonts w:ascii="宋体" w:hAnsi="宋体" w:eastAsia="宋体" w:cs="宋体"/>
          <w:sz w:val="21"/>
          <w:szCs w:val="21"/>
        </w:rPr>
      </w:pPr>
      <w:r>
        <w:rPr>
          <w:rFonts w:ascii="宋体" w:hAnsi="宋体" w:eastAsia="宋体" w:cs="宋体"/>
          <w:spacing w:val="-1"/>
          <w:sz w:val="21"/>
          <w:szCs w:val="21"/>
        </w:rPr>
        <w:t>发包人在退还质量保证金的同时按照中国人民银行发布的同期同类贷款基准利率支付利息。</w:t>
      </w:r>
    </w:p>
    <w:p w14:paraId="382764E7">
      <w:pPr>
        <w:spacing w:before="151" w:line="235" w:lineRule="auto"/>
        <w:ind w:left="435"/>
        <w:rPr>
          <w:rFonts w:ascii="宋体" w:hAnsi="宋体" w:eastAsia="宋体" w:cs="宋体"/>
          <w:sz w:val="21"/>
          <w:szCs w:val="21"/>
        </w:rPr>
      </w:pPr>
      <w:r>
        <w:rPr>
          <w:rFonts w:ascii="Times New Roman" w:hAnsi="Times New Roman" w:eastAsia="Times New Roman" w:cs="Times New Roman"/>
          <w:spacing w:val="-2"/>
          <w:sz w:val="21"/>
          <w:szCs w:val="21"/>
        </w:rPr>
        <w:t xml:space="preserve">15.3.3  </w:t>
      </w:r>
      <w:r>
        <w:rPr>
          <w:rFonts w:ascii="宋体" w:hAnsi="宋体" w:eastAsia="宋体" w:cs="宋体"/>
          <w:spacing w:val="-2"/>
          <w:sz w:val="21"/>
          <w:szCs w:val="21"/>
        </w:rPr>
        <w:t>质量保证金的退还</w:t>
      </w:r>
    </w:p>
    <w:p w14:paraId="40ED8B2D">
      <w:pPr>
        <w:spacing w:before="131" w:line="352" w:lineRule="auto"/>
        <w:ind w:right="177" w:firstLine="418"/>
        <w:rPr>
          <w:rFonts w:ascii="宋体" w:hAnsi="宋体" w:eastAsia="宋体" w:cs="宋体"/>
          <w:sz w:val="21"/>
          <w:szCs w:val="21"/>
        </w:rPr>
      </w:pPr>
      <w:r>
        <w:rPr>
          <w:rFonts w:ascii="宋体" w:hAnsi="宋体" w:eastAsia="宋体" w:cs="宋体"/>
          <w:sz w:val="21"/>
          <w:szCs w:val="21"/>
        </w:rPr>
        <w:t>缺陷责任期内，承包人认真履行合同约定的责任，到期后，承包人可向发包人申请</w:t>
      </w:r>
      <w:r>
        <w:rPr>
          <w:rFonts w:ascii="宋体" w:hAnsi="宋体" w:eastAsia="宋体" w:cs="宋体"/>
          <w:spacing w:val="-1"/>
          <w:sz w:val="21"/>
          <w:szCs w:val="21"/>
        </w:rPr>
        <w:t>返还保证</w:t>
      </w:r>
      <w:r>
        <w:rPr>
          <w:rFonts w:ascii="宋体" w:hAnsi="宋体" w:eastAsia="宋体" w:cs="宋体"/>
          <w:spacing w:val="-10"/>
          <w:sz w:val="21"/>
          <w:szCs w:val="21"/>
        </w:rPr>
        <w:t>金。</w:t>
      </w:r>
    </w:p>
    <w:p w14:paraId="21D92DA7">
      <w:pPr>
        <w:spacing w:before="1" w:line="356" w:lineRule="auto"/>
        <w:ind w:left="1" w:firstLine="420"/>
        <w:jc w:val="both"/>
        <w:rPr>
          <w:rFonts w:ascii="宋体" w:hAnsi="宋体" w:eastAsia="宋体" w:cs="宋体"/>
          <w:sz w:val="21"/>
          <w:szCs w:val="21"/>
        </w:rPr>
      </w:pPr>
      <w:r>
        <w:rPr>
          <w:rFonts w:ascii="宋体" w:hAnsi="宋体" w:eastAsia="宋体" w:cs="宋体"/>
          <w:sz w:val="21"/>
          <w:szCs w:val="21"/>
        </w:rPr>
        <w:t xml:space="preserve">发包人在接到承包人返还保证金申请后，应于 </w:t>
      </w:r>
      <w:r>
        <w:rPr>
          <w:rFonts w:ascii="Times New Roman" w:hAnsi="Times New Roman" w:eastAsia="Times New Roman" w:cs="Times New Roman"/>
          <w:sz w:val="21"/>
          <w:szCs w:val="21"/>
        </w:rPr>
        <w:t xml:space="preserve">14  </w:t>
      </w:r>
      <w:r>
        <w:rPr>
          <w:rFonts w:ascii="宋体" w:hAnsi="宋体" w:eastAsia="宋体" w:cs="宋体"/>
          <w:sz w:val="21"/>
          <w:szCs w:val="21"/>
        </w:rPr>
        <w:t>天内会同承包人按照合同</w:t>
      </w:r>
      <w:r>
        <w:rPr>
          <w:rFonts w:ascii="宋体" w:hAnsi="宋体" w:eastAsia="宋体" w:cs="宋体"/>
          <w:spacing w:val="-1"/>
          <w:sz w:val="21"/>
          <w:szCs w:val="21"/>
        </w:rPr>
        <w:t>约定的内容进行</w:t>
      </w:r>
      <w:r>
        <w:rPr>
          <w:rFonts w:ascii="宋体" w:hAnsi="宋体" w:eastAsia="宋体" w:cs="宋体"/>
          <w:sz w:val="21"/>
          <w:szCs w:val="21"/>
        </w:rPr>
        <w:t>核实。如无异议，发包人应当按照约定将保证金返还给承包人。对返还期限没有约</w:t>
      </w:r>
      <w:r>
        <w:rPr>
          <w:rFonts w:ascii="宋体" w:hAnsi="宋体" w:eastAsia="宋体" w:cs="宋体"/>
          <w:spacing w:val="-1"/>
          <w:sz w:val="21"/>
          <w:szCs w:val="21"/>
        </w:rPr>
        <w:t xml:space="preserve">定或者约定不明确的，发包人应当在核实后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天内将保证金返还承包人，逾期未返还的，依法承担违约责任。</w:t>
      </w:r>
    </w:p>
    <w:p w14:paraId="45AF24E7">
      <w:pPr>
        <w:spacing w:before="68" w:line="344" w:lineRule="auto"/>
        <w:ind w:left="1" w:right="161" w:firstLine="1"/>
        <w:rPr>
          <w:rFonts w:ascii="宋体" w:hAnsi="宋体" w:eastAsia="宋体" w:cs="宋体"/>
          <w:sz w:val="21"/>
          <w:szCs w:val="21"/>
        </w:rPr>
      </w:pPr>
      <w:r>
        <w:rPr>
          <w:rFonts w:ascii="宋体" w:hAnsi="宋体" w:eastAsia="宋体" w:cs="宋体"/>
          <w:spacing w:val="-1"/>
          <w:sz w:val="21"/>
          <w:szCs w:val="21"/>
        </w:rPr>
        <w:t>发包人在接到承包人返还保证金申请后</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2"/>
          <w:sz w:val="21"/>
          <w:szCs w:val="21"/>
        </w:rPr>
        <w:t>天内不予答复，经催告后</w:t>
      </w:r>
      <w:r>
        <w:rPr>
          <w:rFonts w:ascii="宋体" w:hAnsi="宋体" w:eastAsia="宋体" w:cs="宋体"/>
          <w:spacing w:val="-30"/>
          <w:sz w:val="21"/>
          <w:szCs w:val="21"/>
        </w:rPr>
        <w:t xml:space="preserve"> </w:t>
      </w:r>
      <w:r>
        <w:rPr>
          <w:rFonts w:ascii="Times New Roman" w:hAnsi="Times New Roman" w:eastAsia="Times New Roman" w:cs="Times New Roman"/>
          <w:spacing w:val="-2"/>
          <w:sz w:val="21"/>
          <w:szCs w:val="21"/>
        </w:rPr>
        <w:t>14</w:t>
      </w:r>
      <w:r>
        <w:rPr>
          <w:rFonts w:ascii="Times New Roman" w:hAnsi="Times New Roman" w:eastAsia="Times New Roman" w:cs="Times New Roman"/>
          <w:spacing w:val="13"/>
          <w:sz w:val="21"/>
          <w:szCs w:val="21"/>
        </w:rPr>
        <w:t xml:space="preserve"> </w:t>
      </w:r>
      <w:r>
        <w:rPr>
          <w:rFonts w:ascii="宋体" w:hAnsi="宋体" w:eastAsia="宋体" w:cs="宋体"/>
          <w:spacing w:val="-2"/>
          <w:sz w:val="21"/>
          <w:szCs w:val="21"/>
        </w:rPr>
        <w:t>天内仍不予答复，视同认可承包人的返还保证金申请。</w:t>
      </w:r>
    </w:p>
    <w:p w14:paraId="4AC50954">
      <w:pPr>
        <w:spacing w:before="19" w:line="340" w:lineRule="auto"/>
        <w:ind w:left="5" w:right="160" w:firstLine="418"/>
        <w:rPr>
          <w:rFonts w:ascii="宋体" w:hAnsi="宋体" w:eastAsia="宋体" w:cs="宋体"/>
          <w:sz w:val="21"/>
          <w:szCs w:val="21"/>
        </w:rPr>
      </w:pPr>
      <w:r>
        <w:rPr>
          <w:rFonts w:ascii="宋体" w:hAnsi="宋体" w:eastAsia="宋体" w:cs="宋体"/>
          <w:sz w:val="21"/>
          <w:szCs w:val="21"/>
        </w:rPr>
        <w:t>发包人和承包人对保证金预留、返还以及工程维修质量、费用有争议的，按本合同</w:t>
      </w:r>
      <w:r>
        <w:rPr>
          <w:rFonts w:ascii="宋体" w:hAnsi="宋体" w:eastAsia="宋体" w:cs="宋体"/>
          <w:spacing w:val="-1"/>
          <w:sz w:val="21"/>
          <w:szCs w:val="21"/>
        </w:rPr>
        <w:t xml:space="preserve">第 </w:t>
      </w:r>
      <w:r>
        <w:rPr>
          <w:rFonts w:ascii="Times New Roman" w:hAnsi="Times New Roman" w:eastAsia="Times New Roman" w:cs="Times New Roman"/>
          <w:spacing w:val="-1"/>
          <w:sz w:val="21"/>
          <w:szCs w:val="21"/>
        </w:rPr>
        <w:t xml:space="preserve">20  </w:t>
      </w:r>
      <w:r>
        <w:rPr>
          <w:rFonts w:ascii="宋体" w:hAnsi="宋体" w:eastAsia="宋体" w:cs="宋体"/>
          <w:spacing w:val="-1"/>
          <w:sz w:val="21"/>
          <w:szCs w:val="21"/>
        </w:rPr>
        <w:t>条约定的争议和纠纷解决程序处理。</w:t>
      </w:r>
    </w:p>
    <w:p w14:paraId="063029BE">
      <w:pPr>
        <w:spacing w:line="232" w:lineRule="auto"/>
        <w:ind w:left="7"/>
        <w:outlineLvl w:val="1"/>
        <w:rPr>
          <w:rFonts w:ascii="黑体" w:hAnsi="黑体" w:eastAsia="黑体" w:cs="黑体"/>
          <w:sz w:val="24"/>
          <w:szCs w:val="24"/>
        </w:rPr>
      </w:pPr>
      <w:bookmarkStart w:id="338" w:name="bookmark578"/>
      <w:bookmarkEnd w:id="338"/>
      <w:bookmarkStart w:id="339" w:name="bookmark253"/>
      <w:bookmarkEnd w:id="339"/>
      <w:r>
        <w:rPr>
          <w:rFonts w:ascii="Times New Roman" w:hAnsi="Times New Roman" w:eastAsia="Times New Roman" w:cs="Times New Roman"/>
          <w:b/>
          <w:bCs/>
          <w:spacing w:val="-4"/>
          <w:sz w:val="24"/>
          <w:szCs w:val="24"/>
        </w:rPr>
        <w:t>15.4</w:t>
      </w:r>
      <w:r>
        <w:rPr>
          <w:rFonts w:ascii="Times New Roman" w:hAnsi="Times New Roman" w:eastAsia="Times New Roman" w:cs="Times New Roman"/>
          <w:b/>
          <w:bCs/>
          <w:spacing w:val="3"/>
          <w:sz w:val="24"/>
          <w:szCs w:val="24"/>
        </w:rPr>
        <w:t xml:space="preserve">  </w:t>
      </w:r>
      <w:r>
        <w:rPr>
          <w:rFonts w:ascii="黑体" w:hAnsi="黑体" w:eastAsia="黑体" w:cs="黑体"/>
          <w:b/>
          <w:bCs/>
          <w:spacing w:val="-4"/>
          <w:sz w:val="24"/>
          <w:szCs w:val="24"/>
        </w:rPr>
        <w:t>保修</w:t>
      </w:r>
    </w:p>
    <w:p w14:paraId="62BAC22E">
      <w:pPr>
        <w:spacing w:before="123"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15.4.1 </w:t>
      </w:r>
      <w:r>
        <w:rPr>
          <w:rFonts w:ascii="宋体" w:hAnsi="宋体" w:eastAsia="宋体" w:cs="宋体"/>
          <w:spacing w:val="-2"/>
          <w:sz w:val="21"/>
          <w:szCs w:val="21"/>
        </w:rPr>
        <w:t>保修责任</w:t>
      </w:r>
    </w:p>
    <w:p w14:paraId="3D45B6B1">
      <w:pPr>
        <w:spacing w:before="131" w:line="352" w:lineRule="auto"/>
        <w:ind w:right="160" w:firstLine="421"/>
        <w:rPr>
          <w:rFonts w:ascii="宋体" w:hAnsi="宋体" w:eastAsia="宋体" w:cs="宋体"/>
          <w:sz w:val="21"/>
          <w:szCs w:val="21"/>
        </w:rPr>
      </w:pPr>
      <w:r>
        <w:rPr>
          <w:rFonts w:ascii="宋体" w:hAnsi="宋体" w:eastAsia="宋体" w:cs="宋体"/>
          <w:sz w:val="21"/>
          <w:szCs w:val="21"/>
        </w:rPr>
        <w:t>工程保修期从工程竣工验收合格之日起算，具体分部分项工程的保修期由合同</w:t>
      </w:r>
      <w:r>
        <w:rPr>
          <w:rFonts w:ascii="宋体" w:hAnsi="宋体" w:eastAsia="宋体" w:cs="宋体"/>
          <w:spacing w:val="-1"/>
          <w:sz w:val="21"/>
          <w:szCs w:val="21"/>
        </w:rPr>
        <w:t>当事人在专用</w:t>
      </w:r>
      <w:r>
        <w:rPr>
          <w:rFonts w:ascii="宋体" w:hAnsi="宋体" w:eastAsia="宋体" w:cs="宋体"/>
          <w:sz w:val="21"/>
          <w:szCs w:val="21"/>
        </w:rPr>
        <w:t>合同条款中约定，但不得低于法定最低保修年限。在工程保修期内，承包人应当根据有</w:t>
      </w:r>
      <w:r>
        <w:rPr>
          <w:rFonts w:ascii="宋体" w:hAnsi="宋体" w:eastAsia="宋体" w:cs="宋体"/>
          <w:spacing w:val="-1"/>
          <w:sz w:val="21"/>
          <w:szCs w:val="21"/>
        </w:rPr>
        <w:t>关法律规</w:t>
      </w:r>
      <w:r>
        <w:rPr>
          <w:rFonts w:ascii="宋体" w:hAnsi="宋体" w:eastAsia="宋体" w:cs="宋体"/>
          <w:spacing w:val="-2"/>
          <w:sz w:val="21"/>
          <w:szCs w:val="21"/>
        </w:rPr>
        <w:t>定以及合同约定承担保修责任。</w:t>
      </w:r>
    </w:p>
    <w:p w14:paraId="18232B6A">
      <w:pPr>
        <w:spacing w:before="1" w:line="220" w:lineRule="auto"/>
        <w:ind w:left="423"/>
        <w:rPr>
          <w:rFonts w:ascii="宋体" w:hAnsi="宋体" w:eastAsia="宋体" w:cs="宋体"/>
          <w:sz w:val="21"/>
          <w:szCs w:val="21"/>
        </w:rPr>
      </w:pPr>
      <w:r>
        <w:rPr>
          <w:rFonts w:ascii="宋体" w:hAnsi="宋体" w:eastAsia="宋体" w:cs="宋体"/>
          <w:sz w:val="21"/>
          <w:szCs w:val="21"/>
        </w:rPr>
        <w:t>发包人未经竣工验收擅自使用工程的，保修期自转移占</w:t>
      </w:r>
      <w:r>
        <w:rPr>
          <w:rFonts w:ascii="宋体" w:hAnsi="宋体" w:eastAsia="宋体" w:cs="宋体"/>
          <w:spacing w:val="-1"/>
          <w:sz w:val="21"/>
          <w:szCs w:val="21"/>
        </w:rPr>
        <w:t>有之日起算。</w:t>
      </w:r>
    </w:p>
    <w:p w14:paraId="373C386C">
      <w:pPr>
        <w:spacing w:before="150"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15.4.2  </w:t>
      </w:r>
      <w:r>
        <w:rPr>
          <w:rFonts w:ascii="宋体" w:hAnsi="宋体" w:eastAsia="宋体" w:cs="宋体"/>
          <w:spacing w:val="-2"/>
          <w:sz w:val="21"/>
          <w:szCs w:val="21"/>
        </w:rPr>
        <w:t>修复费用</w:t>
      </w:r>
    </w:p>
    <w:p w14:paraId="48CCE454">
      <w:pPr>
        <w:spacing w:before="134" w:line="221" w:lineRule="auto"/>
        <w:ind w:left="420"/>
        <w:rPr>
          <w:rFonts w:ascii="宋体" w:hAnsi="宋体" w:eastAsia="宋体" w:cs="宋体"/>
          <w:sz w:val="21"/>
          <w:szCs w:val="21"/>
        </w:rPr>
      </w:pPr>
      <w:r>
        <w:rPr>
          <w:rFonts w:ascii="宋体" w:hAnsi="宋体" w:eastAsia="宋体" w:cs="宋体"/>
          <w:spacing w:val="-1"/>
          <w:sz w:val="21"/>
          <w:szCs w:val="21"/>
        </w:rPr>
        <w:t>保修期内，修复的费用按照以下约定处理：</w:t>
      </w:r>
    </w:p>
    <w:p w14:paraId="24BBEC29">
      <w:pPr>
        <w:spacing w:before="148" w:line="286" w:lineRule="auto"/>
        <w:ind w:left="11" w:right="185" w:firstLine="41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）保修期内，因承包人原因造成工程的缺陷、损坏，承包人应负</w:t>
      </w:r>
      <w:r>
        <w:rPr>
          <w:rFonts w:ascii="宋体" w:hAnsi="宋体" w:eastAsia="宋体" w:cs="宋体"/>
          <w:spacing w:val="1"/>
          <w:sz w:val="21"/>
          <w:szCs w:val="21"/>
        </w:rPr>
        <w:t>责修复，并承担修复的</w:t>
      </w:r>
      <w:r>
        <w:rPr>
          <w:rFonts w:ascii="宋体" w:hAnsi="宋体" w:eastAsia="宋体" w:cs="宋体"/>
          <w:spacing w:val="-1"/>
          <w:sz w:val="21"/>
          <w:szCs w:val="21"/>
        </w:rPr>
        <w:t>费用以及因工程的缺陷、损坏造成的人身伤害和财产损失；</w:t>
      </w:r>
    </w:p>
    <w:p w14:paraId="5CC17BDE">
      <w:pPr>
        <w:spacing w:before="151" w:line="285" w:lineRule="auto"/>
        <w:ind w:left="1" w:right="179" w:firstLine="4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）保修期内，因发包人使用不当造成工程的缺陷、损坏，可以委托承包人修复，</w:t>
      </w:r>
      <w:r>
        <w:rPr>
          <w:rFonts w:ascii="宋体" w:hAnsi="宋体" w:eastAsia="宋体" w:cs="宋体"/>
          <w:spacing w:val="1"/>
          <w:sz w:val="21"/>
          <w:szCs w:val="21"/>
        </w:rPr>
        <w:t>但发包</w:t>
      </w:r>
      <w:r>
        <w:rPr>
          <w:rFonts w:ascii="宋体" w:hAnsi="宋体" w:eastAsia="宋体" w:cs="宋体"/>
          <w:spacing w:val="-1"/>
          <w:sz w:val="21"/>
          <w:szCs w:val="21"/>
        </w:rPr>
        <w:t>人应承担修复的费用，并支付承包人合理利润；</w:t>
      </w:r>
    </w:p>
    <w:p w14:paraId="5107BF66">
      <w:pPr>
        <w:spacing w:before="151" w:line="286" w:lineRule="auto"/>
        <w:ind w:left="5" w:right="8" w:firstLine="421"/>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）因其他原因造成工程的缺陷、损坏，可以委托承包人修复，发包人应承担修复的</w:t>
      </w:r>
      <w:r>
        <w:rPr>
          <w:rFonts w:ascii="宋体" w:hAnsi="宋体" w:eastAsia="宋体" w:cs="宋体"/>
          <w:sz w:val="21"/>
          <w:szCs w:val="21"/>
        </w:rPr>
        <w:t>费用，</w:t>
      </w:r>
      <w:r>
        <w:rPr>
          <w:rFonts w:ascii="宋体" w:hAnsi="宋体" w:eastAsia="宋体" w:cs="宋体"/>
          <w:spacing w:val="-1"/>
          <w:sz w:val="21"/>
          <w:szCs w:val="21"/>
        </w:rPr>
        <w:t>并支付承包人合理的利润，因工程的缺陷、损坏造成的人身伤害和财产损失由责任方承担。</w:t>
      </w:r>
    </w:p>
    <w:p w14:paraId="7B984FB0">
      <w:pPr>
        <w:spacing w:before="148"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15.4.3  </w:t>
      </w:r>
      <w:r>
        <w:rPr>
          <w:rFonts w:ascii="宋体" w:hAnsi="宋体" w:eastAsia="宋体" w:cs="宋体"/>
          <w:spacing w:val="-2"/>
          <w:sz w:val="21"/>
          <w:szCs w:val="21"/>
        </w:rPr>
        <w:t>修复通知</w:t>
      </w:r>
    </w:p>
    <w:p w14:paraId="39B4F3AA">
      <w:pPr>
        <w:spacing w:before="133" w:line="351" w:lineRule="auto"/>
        <w:ind w:right="160" w:firstLine="419"/>
        <w:rPr>
          <w:rFonts w:ascii="宋体" w:hAnsi="宋体" w:eastAsia="宋体" w:cs="宋体"/>
          <w:sz w:val="21"/>
          <w:szCs w:val="21"/>
        </w:rPr>
      </w:pPr>
      <w:r>
        <w:rPr>
          <w:rFonts w:ascii="宋体" w:hAnsi="宋体" w:eastAsia="宋体" w:cs="宋体"/>
          <w:sz w:val="21"/>
          <w:szCs w:val="21"/>
        </w:rPr>
        <w:t>在保修期内，发包人在使用过程中，发现已接收的工程存在缺陷或损坏的，应书面通</w:t>
      </w:r>
      <w:r>
        <w:rPr>
          <w:rFonts w:ascii="宋体" w:hAnsi="宋体" w:eastAsia="宋体" w:cs="宋体"/>
          <w:spacing w:val="-1"/>
          <w:sz w:val="21"/>
          <w:szCs w:val="21"/>
        </w:rPr>
        <w:t>知承包</w:t>
      </w:r>
      <w:r>
        <w:rPr>
          <w:rFonts w:ascii="宋体" w:hAnsi="宋体" w:eastAsia="宋体" w:cs="宋体"/>
          <w:sz w:val="21"/>
          <w:szCs w:val="21"/>
        </w:rPr>
        <w:t>人予以修复，但情况紧急必须立即修复缺陷或损坏的，发包人可以口头通知承包人并在口</w:t>
      </w:r>
      <w:r>
        <w:rPr>
          <w:rFonts w:ascii="宋体" w:hAnsi="宋体" w:eastAsia="宋体" w:cs="宋体"/>
          <w:spacing w:val="-1"/>
          <w:sz w:val="21"/>
          <w:szCs w:val="21"/>
        </w:rPr>
        <w:t>头通知</w:t>
      </w:r>
      <w:r>
        <w:rPr>
          <w:rFonts w:ascii="宋体" w:hAnsi="宋体" w:eastAsia="宋体" w:cs="宋体"/>
          <w:sz w:val="21"/>
          <w:szCs w:val="21"/>
        </w:rPr>
        <w:t xml:space="preserve">后 </w:t>
      </w:r>
      <w:r>
        <w:rPr>
          <w:rFonts w:ascii="Times New Roman" w:hAnsi="Times New Roman" w:eastAsia="Times New Roman" w:cs="Times New Roman"/>
          <w:sz w:val="21"/>
          <w:szCs w:val="21"/>
        </w:rPr>
        <w:t xml:space="preserve">48  </w:t>
      </w:r>
      <w:r>
        <w:rPr>
          <w:rFonts w:ascii="宋体" w:hAnsi="宋体" w:eastAsia="宋体" w:cs="宋体"/>
          <w:sz w:val="21"/>
          <w:szCs w:val="21"/>
        </w:rPr>
        <w:t>小时内书面确认，承包人应在专用合同条款约定的合理期限内到达工程现场并修</w:t>
      </w:r>
      <w:r>
        <w:rPr>
          <w:rFonts w:ascii="宋体" w:hAnsi="宋体" w:eastAsia="宋体" w:cs="宋体"/>
          <w:spacing w:val="-1"/>
          <w:sz w:val="21"/>
          <w:szCs w:val="21"/>
        </w:rPr>
        <w:t>复缺陷或</w:t>
      </w:r>
      <w:r>
        <w:rPr>
          <w:rFonts w:ascii="宋体" w:hAnsi="宋体" w:eastAsia="宋体" w:cs="宋体"/>
          <w:spacing w:val="-8"/>
          <w:sz w:val="21"/>
          <w:szCs w:val="21"/>
        </w:rPr>
        <w:t>损坏。</w:t>
      </w:r>
    </w:p>
    <w:p w14:paraId="2F67E7FD">
      <w:pPr>
        <w:spacing w:before="6"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15.4.4  </w:t>
      </w:r>
      <w:r>
        <w:rPr>
          <w:rFonts w:ascii="宋体" w:hAnsi="宋体" w:eastAsia="宋体" w:cs="宋体"/>
          <w:spacing w:val="-2"/>
          <w:sz w:val="21"/>
          <w:szCs w:val="21"/>
        </w:rPr>
        <w:t>未能修复</w:t>
      </w:r>
    </w:p>
    <w:p w14:paraId="5CA9F74A">
      <w:pPr>
        <w:spacing w:before="131" w:line="352" w:lineRule="auto"/>
        <w:ind w:firstLine="436"/>
        <w:rPr>
          <w:rFonts w:ascii="宋体" w:hAnsi="宋体" w:eastAsia="宋体" w:cs="宋体"/>
          <w:sz w:val="21"/>
          <w:szCs w:val="21"/>
        </w:rPr>
      </w:pPr>
      <w:r>
        <w:rPr>
          <w:rFonts w:ascii="宋体" w:hAnsi="宋体" w:eastAsia="宋体" w:cs="宋体"/>
          <w:spacing w:val="-2"/>
          <w:sz w:val="21"/>
          <w:szCs w:val="21"/>
        </w:rPr>
        <w:t>因承包人原因造成工程的缺陷或损坏，承包人拒绝维修或未能在合理期限内修复缺陷或损坏，</w:t>
      </w:r>
      <w:r>
        <w:rPr>
          <w:rFonts w:ascii="宋体" w:hAnsi="宋体" w:eastAsia="宋体" w:cs="宋体"/>
          <w:sz w:val="21"/>
          <w:szCs w:val="21"/>
        </w:rPr>
        <w:t>且经发包人书面催告后仍未修复的，发包人有权自行修复或委托第三方修复，所需费用由</w:t>
      </w:r>
      <w:r>
        <w:rPr>
          <w:rFonts w:ascii="宋体" w:hAnsi="宋体" w:eastAsia="宋体" w:cs="宋体"/>
          <w:spacing w:val="-1"/>
          <w:sz w:val="21"/>
          <w:szCs w:val="21"/>
        </w:rPr>
        <w:t>承包人</w:t>
      </w:r>
      <w:r>
        <w:rPr>
          <w:rFonts w:ascii="宋体" w:hAnsi="宋体" w:eastAsia="宋体" w:cs="宋体"/>
          <w:sz w:val="21"/>
          <w:szCs w:val="21"/>
        </w:rPr>
        <w:t>承担。但修复范围超出缺陷或损坏范围的，超出范围部分的修复费用由发包人承</w:t>
      </w:r>
      <w:r>
        <w:rPr>
          <w:rFonts w:ascii="宋体" w:hAnsi="宋体" w:eastAsia="宋体" w:cs="宋体"/>
          <w:spacing w:val="-1"/>
          <w:sz w:val="21"/>
          <w:szCs w:val="21"/>
        </w:rPr>
        <w:t>担。</w:t>
      </w:r>
    </w:p>
    <w:p w14:paraId="1AFEEB2A">
      <w:pPr>
        <w:spacing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15.4.5  </w:t>
      </w:r>
      <w:r>
        <w:rPr>
          <w:rFonts w:ascii="宋体" w:hAnsi="宋体" w:eastAsia="宋体" w:cs="宋体"/>
          <w:spacing w:val="-2"/>
          <w:sz w:val="21"/>
          <w:szCs w:val="21"/>
        </w:rPr>
        <w:t>承包人出入权</w:t>
      </w:r>
    </w:p>
    <w:p w14:paraId="46999025">
      <w:pPr>
        <w:spacing w:before="133" w:line="349" w:lineRule="auto"/>
        <w:ind w:left="3" w:right="160" w:firstLine="415"/>
        <w:rPr>
          <w:rFonts w:ascii="宋体" w:hAnsi="宋体" w:eastAsia="宋体" w:cs="宋体"/>
          <w:sz w:val="21"/>
          <w:szCs w:val="21"/>
        </w:rPr>
      </w:pPr>
      <w:r>
        <w:rPr>
          <w:rFonts w:ascii="宋体" w:hAnsi="宋体" w:eastAsia="宋体" w:cs="宋体"/>
          <w:sz w:val="21"/>
          <w:szCs w:val="21"/>
        </w:rPr>
        <w:t>在保修期内，为了修复缺陷或损坏，承包人有权出入工程现场，除情况紧急必须立即</w:t>
      </w:r>
      <w:r>
        <w:rPr>
          <w:rFonts w:ascii="宋体" w:hAnsi="宋体" w:eastAsia="宋体" w:cs="宋体"/>
          <w:spacing w:val="-1"/>
          <w:sz w:val="21"/>
          <w:szCs w:val="21"/>
        </w:rPr>
        <w:t>修复缺</w:t>
      </w:r>
      <w:r>
        <w:rPr>
          <w:rFonts w:ascii="宋体" w:hAnsi="宋体" w:eastAsia="宋体" w:cs="宋体"/>
          <w:sz w:val="21"/>
          <w:szCs w:val="21"/>
        </w:rPr>
        <w:t xml:space="preserve">陷或损坏外，承包人应提前 </w:t>
      </w:r>
      <w:r>
        <w:rPr>
          <w:rFonts w:ascii="Times New Roman" w:hAnsi="Times New Roman" w:eastAsia="Times New Roman" w:cs="Times New Roman"/>
          <w:sz w:val="21"/>
          <w:szCs w:val="21"/>
        </w:rPr>
        <w:t xml:space="preserve">24  </w:t>
      </w:r>
      <w:r>
        <w:rPr>
          <w:rFonts w:ascii="宋体" w:hAnsi="宋体" w:eastAsia="宋体" w:cs="宋体"/>
          <w:sz w:val="21"/>
          <w:szCs w:val="21"/>
        </w:rPr>
        <w:t>小时通知发包人进场修复的时间。承包人进入工</w:t>
      </w:r>
      <w:r>
        <w:rPr>
          <w:rFonts w:ascii="宋体" w:hAnsi="宋体" w:eastAsia="宋体" w:cs="宋体"/>
          <w:spacing w:val="-1"/>
          <w:sz w:val="21"/>
          <w:szCs w:val="21"/>
        </w:rPr>
        <w:t>程现场前应获得</w:t>
      </w:r>
      <w:r>
        <w:rPr>
          <w:rFonts w:ascii="宋体" w:hAnsi="宋体" w:eastAsia="宋体" w:cs="宋体"/>
          <w:sz w:val="21"/>
          <w:szCs w:val="21"/>
        </w:rPr>
        <w:t>发包人同意，且不应影响发包人正常的生产经</w:t>
      </w:r>
      <w:r>
        <w:rPr>
          <w:rFonts w:ascii="宋体" w:hAnsi="宋体" w:eastAsia="宋体" w:cs="宋体"/>
          <w:spacing w:val="-1"/>
          <w:sz w:val="21"/>
          <w:szCs w:val="21"/>
        </w:rPr>
        <w:t>营，并应遵守发包人有关保安和保密等规定。</w:t>
      </w:r>
    </w:p>
    <w:p w14:paraId="519ED8ED">
      <w:pPr>
        <w:spacing w:before="49" w:line="235" w:lineRule="auto"/>
        <w:ind w:left="10"/>
        <w:outlineLvl w:val="0"/>
        <w:rPr>
          <w:rFonts w:ascii="黑体" w:hAnsi="黑体" w:eastAsia="黑体" w:cs="黑体"/>
          <w:sz w:val="28"/>
          <w:szCs w:val="28"/>
        </w:rPr>
      </w:pPr>
      <w:bookmarkStart w:id="340" w:name="bookmark254"/>
      <w:bookmarkEnd w:id="340"/>
      <w:r>
        <w:rPr>
          <w:rFonts w:ascii="Times New Roman" w:hAnsi="Times New Roman" w:eastAsia="Times New Roman" w:cs="Times New Roman"/>
          <w:b/>
          <w:bCs/>
          <w:spacing w:val="-6"/>
          <w:sz w:val="28"/>
          <w:szCs w:val="28"/>
        </w:rPr>
        <w:t>16.</w:t>
      </w:r>
      <w:r>
        <w:rPr>
          <w:rFonts w:ascii="Times New Roman" w:hAnsi="Times New Roman" w:eastAsia="Times New Roman" w:cs="Times New Roman"/>
          <w:b/>
          <w:bCs/>
          <w:spacing w:val="6"/>
          <w:sz w:val="28"/>
          <w:szCs w:val="28"/>
        </w:rPr>
        <w:t xml:space="preserve">  </w:t>
      </w:r>
      <w:r>
        <w:rPr>
          <w:rFonts w:ascii="黑体" w:hAnsi="黑体" w:eastAsia="黑体" w:cs="黑体"/>
          <w:b/>
          <w:bCs/>
          <w:spacing w:val="-6"/>
          <w:sz w:val="28"/>
          <w:szCs w:val="28"/>
        </w:rPr>
        <w:t>违约</w:t>
      </w:r>
    </w:p>
    <w:p w14:paraId="5BE5F281">
      <w:pPr>
        <w:spacing w:before="80" w:line="232" w:lineRule="auto"/>
        <w:ind w:left="7"/>
        <w:outlineLvl w:val="1"/>
        <w:rPr>
          <w:rFonts w:ascii="黑体" w:hAnsi="黑体" w:eastAsia="黑体" w:cs="黑体"/>
          <w:sz w:val="24"/>
          <w:szCs w:val="24"/>
        </w:rPr>
      </w:pPr>
      <w:bookmarkStart w:id="341" w:name="bookmark255"/>
      <w:bookmarkEnd w:id="341"/>
      <w:r>
        <w:rPr>
          <w:rFonts w:ascii="Times New Roman" w:hAnsi="Times New Roman" w:eastAsia="Times New Roman" w:cs="Times New Roman"/>
          <w:b/>
          <w:bCs/>
          <w:spacing w:val="-3"/>
          <w:sz w:val="24"/>
          <w:szCs w:val="24"/>
        </w:rPr>
        <w:t xml:space="preserve">16.1  </w:t>
      </w:r>
      <w:r>
        <w:rPr>
          <w:rFonts w:ascii="黑体" w:hAnsi="黑体" w:eastAsia="黑体" w:cs="黑体"/>
          <w:b/>
          <w:bCs/>
          <w:spacing w:val="-3"/>
          <w:sz w:val="24"/>
          <w:szCs w:val="24"/>
        </w:rPr>
        <w:t>发包人违约</w:t>
      </w:r>
    </w:p>
    <w:p w14:paraId="0FC9EBFC">
      <w:pPr>
        <w:spacing w:before="124" w:line="235"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16.1.1  </w:t>
      </w:r>
      <w:r>
        <w:rPr>
          <w:rFonts w:ascii="宋体" w:hAnsi="宋体" w:eastAsia="宋体" w:cs="宋体"/>
          <w:spacing w:val="-2"/>
          <w:sz w:val="21"/>
          <w:szCs w:val="21"/>
        </w:rPr>
        <w:t>发包人违约的情形</w:t>
      </w:r>
    </w:p>
    <w:p w14:paraId="195A6256">
      <w:pPr>
        <w:spacing w:line="235" w:lineRule="auto"/>
        <w:rPr>
          <w:rFonts w:ascii="宋体" w:hAnsi="宋体" w:eastAsia="宋体" w:cs="宋体"/>
          <w:sz w:val="21"/>
          <w:szCs w:val="21"/>
        </w:rPr>
        <w:sectPr>
          <w:footerReference r:id="rId123" w:type="default"/>
          <w:pgSz w:w="11905" w:h="16843"/>
          <w:pgMar w:top="969" w:right="1355" w:bottom="1026" w:left="1480" w:header="0" w:footer="754" w:gutter="0"/>
          <w:cols w:space="0" w:num="1"/>
          <w:rtlGutter w:val="0"/>
          <w:docGrid w:linePitch="0" w:charSpace="0"/>
        </w:sectPr>
      </w:pPr>
    </w:p>
    <w:p w14:paraId="34CB42F7">
      <w:pPr>
        <w:pStyle w:val="5"/>
        <w:spacing w:line="270" w:lineRule="auto"/>
      </w:pPr>
    </w:p>
    <w:p w14:paraId="3C8F1905">
      <w:pPr>
        <w:pStyle w:val="5"/>
        <w:spacing w:line="270" w:lineRule="auto"/>
      </w:pPr>
    </w:p>
    <w:p w14:paraId="224B8AB8">
      <w:pPr>
        <w:pStyle w:val="5"/>
        <w:spacing w:line="270" w:lineRule="auto"/>
      </w:pPr>
    </w:p>
    <w:p w14:paraId="4B5AE41C">
      <w:pPr>
        <w:pStyle w:val="5"/>
        <w:spacing w:line="271" w:lineRule="auto"/>
      </w:pPr>
    </w:p>
    <w:p w14:paraId="7DF5EA11">
      <w:pPr>
        <w:spacing w:before="69" w:line="221" w:lineRule="auto"/>
        <w:ind w:left="420"/>
        <w:rPr>
          <w:rFonts w:ascii="宋体" w:hAnsi="宋体" w:eastAsia="宋体" w:cs="宋体"/>
          <w:sz w:val="21"/>
          <w:szCs w:val="21"/>
        </w:rPr>
      </w:pPr>
      <w:bookmarkStart w:id="342" w:name="bookmark579"/>
      <w:bookmarkEnd w:id="342"/>
      <w:r>
        <w:rPr>
          <w:rFonts w:ascii="宋体" w:hAnsi="宋体" w:eastAsia="宋体" w:cs="宋体"/>
          <w:spacing w:val="-1"/>
          <w:sz w:val="21"/>
          <w:szCs w:val="21"/>
        </w:rPr>
        <w:t>在合同履行过程中发生的下列情形，属于发包</w:t>
      </w:r>
      <w:r>
        <w:rPr>
          <w:rFonts w:ascii="宋体" w:hAnsi="宋体" w:eastAsia="宋体" w:cs="宋体"/>
          <w:spacing w:val="-2"/>
          <w:sz w:val="21"/>
          <w:szCs w:val="21"/>
        </w:rPr>
        <w:t>人违约：</w:t>
      </w:r>
    </w:p>
    <w:p w14:paraId="27A68C5A">
      <w:pPr>
        <w:spacing w:before="149"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）因发包人原因未能在计划开工日期前</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7</w:t>
      </w:r>
      <w:r>
        <w:rPr>
          <w:rFonts w:ascii="Times New Roman" w:hAnsi="Times New Roman" w:eastAsia="Times New Roman" w:cs="Times New Roman"/>
          <w:spacing w:val="12"/>
          <w:sz w:val="21"/>
          <w:szCs w:val="21"/>
        </w:rPr>
        <w:t xml:space="preserve"> </w:t>
      </w:r>
      <w:r>
        <w:rPr>
          <w:rFonts w:ascii="宋体" w:hAnsi="宋体" w:eastAsia="宋体" w:cs="宋体"/>
          <w:spacing w:val="-2"/>
          <w:sz w:val="21"/>
          <w:szCs w:val="21"/>
        </w:rPr>
        <w:t>天内下达开工通知的；</w:t>
      </w:r>
    </w:p>
    <w:p w14:paraId="68303412">
      <w:pPr>
        <w:spacing w:before="134"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）因发包人原因未能按合同约定支付合同价款的；</w:t>
      </w:r>
    </w:p>
    <w:p w14:paraId="29FA77EE">
      <w:pPr>
        <w:spacing w:before="132" w:line="287" w:lineRule="auto"/>
        <w:ind w:right="205" w:firstLine="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 xml:space="preserve">）发包人违反第 </w:t>
      </w:r>
      <w:r>
        <w:rPr>
          <w:rFonts w:ascii="Times New Roman" w:hAnsi="Times New Roman" w:eastAsia="Times New Roman" w:cs="Times New Roman"/>
          <w:sz w:val="21"/>
          <w:szCs w:val="21"/>
        </w:rPr>
        <w:t xml:space="preserve">10.1  </w:t>
      </w:r>
      <w:r>
        <w:rPr>
          <w:rFonts w:ascii="宋体" w:hAnsi="宋体" w:eastAsia="宋体" w:cs="宋体"/>
          <w:sz w:val="21"/>
          <w:szCs w:val="21"/>
        </w:rPr>
        <w:t>款〔变更的范围〕第（</w:t>
      </w:r>
      <w:r>
        <w:rPr>
          <w:rFonts w:ascii="Times New Roman" w:hAnsi="Times New Roman" w:eastAsia="Times New Roman" w:cs="Times New Roman"/>
          <w:sz w:val="21"/>
          <w:szCs w:val="21"/>
        </w:rPr>
        <w:t>2</w:t>
      </w:r>
      <w:r>
        <w:rPr>
          <w:rFonts w:ascii="宋体" w:hAnsi="宋体" w:eastAsia="宋体" w:cs="宋体"/>
          <w:sz w:val="21"/>
          <w:szCs w:val="21"/>
        </w:rPr>
        <w:t>）项约定，自行实施被取消的工作或转由</w:t>
      </w:r>
      <w:r>
        <w:rPr>
          <w:rFonts w:ascii="宋体" w:hAnsi="宋体" w:eastAsia="宋体" w:cs="宋体"/>
          <w:spacing w:val="-1"/>
          <w:sz w:val="21"/>
          <w:szCs w:val="21"/>
        </w:rPr>
        <w:t>他人实施的；</w:t>
      </w:r>
    </w:p>
    <w:p w14:paraId="58C74E0B">
      <w:pPr>
        <w:spacing w:before="149" w:line="285" w:lineRule="auto"/>
        <w:ind w:left="6" w:right="207" w:firstLine="420"/>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）发包人提供的材料、工程设备的规格、数量或质量</w:t>
      </w:r>
      <w:r>
        <w:rPr>
          <w:rFonts w:ascii="宋体" w:hAnsi="宋体" w:eastAsia="宋体" w:cs="宋体"/>
          <w:spacing w:val="1"/>
          <w:sz w:val="21"/>
          <w:szCs w:val="21"/>
        </w:rPr>
        <w:t>不符合合同约定，或因发包人原因</w:t>
      </w:r>
      <w:r>
        <w:rPr>
          <w:rFonts w:ascii="宋体" w:hAnsi="宋体" w:eastAsia="宋体" w:cs="宋体"/>
          <w:spacing w:val="-2"/>
          <w:sz w:val="21"/>
          <w:szCs w:val="21"/>
        </w:rPr>
        <w:t>导致交货日期延误或交货地点变更等情况的；</w:t>
      </w:r>
    </w:p>
    <w:p w14:paraId="5EAC2218">
      <w:pPr>
        <w:spacing w:before="151" w:line="235"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）因发包人违反合同约定造成暂停施工的；</w:t>
      </w:r>
    </w:p>
    <w:p w14:paraId="196E784D">
      <w:pPr>
        <w:spacing w:before="134"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6</w:t>
      </w:r>
      <w:r>
        <w:rPr>
          <w:rFonts w:ascii="宋体" w:hAnsi="宋体" w:eastAsia="宋体" w:cs="宋体"/>
          <w:spacing w:val="-1"/>
          <w:sz w:val="21"/>
          <w:szCs w:val="21"/>
        </w:rPr>
        <w:t>）发包人无正当理由没有在约定期限内发出复工指示，导致承包人</w:t>
      </w:r>
      <w:r>
        <w:rPr>
          <w:rFonts w:ascii="宋体" w:hAnsi="宋体" w:eastAsia="宋体" w:cs="宋体"/>
          <w:spacing w:val="-2"/>
          <w:sz w:val="21"/>
          <w:szCs w:val="21"/>
        </w:rPr>
        <w:t>无法复工的；</w:t>
      </w:r>
    </w:p>
    <w:p w14:paraId="09DA4B2A">
      <w:pPr>
        <w:spacing w:before="132"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）发包人明确表示或者以其行为表明不履行合同主要义务的；</w:t>
      </w:r>
    </w:p>
    <w:p w14:paraId="64A09EA7">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）发包人未能按照合同约定履行其他义务的。</w:t>
      </w:r>
    </w:p>
    <w:p w14:paraId="6D5AD23E">
      <w:pPr>
        <w:spacing w:before="132" w:line="346" w:lineRule="auto"/>
        <w:ind w:right="177" w:firstLine="424"/>
        <w:jc w:val="both"/>
        <w:rPr>
          <w:rFonts w:ascii="宋体" w:hAnsi="宋体" w:eastAsia="宋体" w:cs="宋体"/>
          <w:sz w:val="21"/>
          <w:szCs w:val="21"/>
        </w:rPr>
      </w:pPr>
      <w:r>
        <w:rPr>
          <w:rFonts w:ascii="宋体" w:hAnsi="宋体" w:eastAsia="宋体" w:cs="宋体"/>
          <w:spacing w:val="2"/>
          <w:sz w:val="21"/>
          <w:szCs w:val="21"/>
        </w:rPr>
        <w:t>发包人发生除本项第（</w:t>
      </w:r>
      <w:r>
        <w:rPr>
          <w:rFonts w:ascii="Times New Roman" w:hAnsi="Times New Roman" w:eastAsia="Times New Roman" w:cs="Times New Roman"/>
          <w:spacing w:val="2"/>
          <w:sz w:val="21"/>
          <w:szCs w:val="21"/>
        </w:rPr>
        <w:t>7</w:t>
      </w:r>
      <w:r>
        <w:rPr>
          <w:rFonts w:ascii="宋体" w:hAnsi="宋体" w:eastAsia="宋体" w:cs="宋体"/>
          <w:spacing w:val="2"/>
          <w:sz w:val="21"/>
          <w:szCs w:val="21"/>
        </w:rPr>
        <w:t>）目以外的违约情况时，承包人可向发包人发出通知，要求发包人</w:t>
      </w:r>
      <w:r>
        <w:rPr>
          <w:rFonts w:ascii="宋体" w:hAnsi="宋体" w:eastAsia="宋体" w:cs="宋体"/>
          <w:sz w:val="21"/>
          <w:szCs w:val="21"/>
        </w:rPr>
        <w:t xml:space="preserve">采取有效措施纠正违约行为。发包人收到承包人通知后 </w:t>
      </w:r>
      <w:r>
        <w:rPr>
          <w:rFonts w:ascii="Times New Roman" w:hAnsi="Times New Roman" w:eastAsia="Times New Roman" w:cs="Times New Roman"/>
          <w:sz w:val="21"/>
          <w:szCs w:val="21"/>
        </w:rPr>
        <w:t xml:space="preserve">28  </w:t>
      </w:r>
      <w:r>
        <w:rPr>
          <w:rFonts w:ascii="宋体" w:hAnsi="宋体" w:eastAsia="宋体" w:cs="宋体"/>
          <w:sz w:val="21"/>
          <w:szCs w:val="21"/>
        </w:rPr>
        <w:t>天内仍不纠正违约行为的，承</w:t>
      </w:r>
      <w:r>
        <w:rPr>
          <w:rFonts w:ascii="宋体" w:hAnsi="宋体" w:eastAsia="宋体" w:cs="宋体"/>
          <w:spacing w:val="-1"/>
          <w:sz w:val="21"/>
          <w:szCs w:val="21"/>
        </w:rPr>
        <w:t>包人有权暂停相应部位工程施工，并通知监理人。</w:t>
      </w:r>
    </w:p>
    <w:p w14:paraId="3B702F92">
      <w:pPr>
        <w:spacing w:before="22" w:line="234" w:lineRule="auto"/>
        <w:ind w:left="437"/>
        <w:rPr>
          <w:rFonts w:ascii="宋体" w:hAnsi="宋体" w:eastAsia="宋体" w:cs="宋体"/>
          <w:sz w:val="21"/>
          <w:szCs w:val="21"/>
        </w:rPr>
      </w:pPr>
      <w:r>
        <w:rPr>
          <w:rFonts w:ascii="Times New Roman" w:hAnsi="Times New Roman" w:eastAsia="Times New Roman" w:cs="Times New Roman"/>
          <w:spacing w:val="-2"/>
          <w:sz w:val="21"/>
          <w:szCs w:val="21"/>
        </w:rPr>
        <w:t xml:space="preserve">16.1.2  </w:t>
      </w:r>
      <w:r>
        <w:rPr>
          <w:rFonts w:ascii="宋体" w:hAnsi="宋体" w:eastAsia="宋体" w:cs="宋体"/>
          <w:spacing w:val="-2"/>
          <w:sz w:val="21"/>
          <w:szCs w:val="21"/>
        </w:rPr>
        <w:t>发包人违约的责任</w:t>
      </w:r>
    </w:p>
    <w:p w14:paraId="0FD4D078">
      <w:pPr>
        <w:spacing w:before="130" w:line="353" w:lineRule="auto"/>
        <w:ind w:left="1" w:firstLine="422"/>
        <w:rPr>
          <w:rFonts w:ascii="宋体" w:hAnsi="宋体" w:eastAsia="宋体" w:cs="宋体"/>
          <w:sz w:val="21"/>
          <w:szCs w:val="21"/>
        </w:rPr>
      </w:pPr>
      <w:r>
        <w:rPr>
          <w:rFonts w:ascii="宋体" w:hAnsi="宋体" w:eastAsia="宋体" w:cs="宋体"/>
          <w:spacing w:val="-1"/>
          <w:sz w:val="21"/>
          <w:szCs w:val="21"/>
        </w:rPr>
        <w:t>发包人应承担因其违约给承包人增加的费用和（或）延误的工期，并支付承包人合理的利润。</w:t>
      </w:r>
      <w:r>
        <w:rPr>
          <w:rFonts w:ascii="宋体" w:hAnsi="宋体" w:eastAsia="宋体" w:cs="宋体"/>
          <w:sz w:val="21"/>
          <w:szCs w:val="21"/>
        </w:rPr>
        <w:t>此外，合同当事人可在专用合同条款中另行约定发包人违约责任的承担方式和计算方</w:t>
      </w:r>
      <w:r>
        <w:rPr>
          <w:rFonts w:ascii="宋体" w:hAnsi="宋体" w:eastAsia="宋体" w:cs="宋体"/>
          <w:spacing w:val="-1"/>
          <w:sz w:val="21"/>
          <w:szCs w:val="21"/>
        </w:rPr>
        <w:t>法。</w:t>
      </w:r>
    </w:p>
    <w:p w14:paraId="1743FE4A">
      <w:pPr>
        <w:spacing w:before="1" w:line="234" w:lineRule="auto"/>
        <w:ind w:left="437"/>
        <w:rPr>
          <w:rFonts w:ascii="宋体" w:hAnsi="宋体" w:eastAsia="宋体" w:cs="宋体"/>
          <w:sz w:val="21"/>
          <w:szCs w:val="21"/>
        </w:rPr>
      </w:pPr>
      <w:r>
        <w:rPr>
          <w:rFonts w:ascii="Times New Roman" w:hAnsi="Times New Roman" w:eastAsia="Times New Roman" w:cs="Times New Roman"/>
          <w:spacing w:val="-3"/>
          <w:sz w:val="21"/>
          <w:szCs w:val="21"/>
        </w:rPr>
        <w:t>16.1.3</w:t>
      </w:r>
      <w:r>
        <w:rPr>
          <w:rFonts w:ascii="Times New Roman" w:hAnsi="Times New Roman" w:eastAsia="Times New Roman" w:cs="Times New Roman"/>
          <w:spacing w:val="13"/>
          <w:sz w:val="21"/>
          <w:szCs w:val="21"/>
        </w:rPr>
        <w:t xml:space="preserve">  </w:t>
      </w:r>
      <w:r>
        <w:rPr>
          <w:rFonts w:ascii="宋体" w:hAnsi="宋体" w:eastAsia="宋体" w:cs="宋体"/>
          <w:spacing w:val="-3"/>
          <w:sz w:val="21"/>
          <w:szCs w:val="21"/>
        </w:rPr>
        <w:t>因发包人违约解除合同</w:t>
      </w:r>
    </w:p>
    <w:p w14:paraId="75F550C3">
      <w:pPr>
        <w:spacing w:before="133" w:line="347" w:lineRule="auto"/>
        <w:ind w:left="1" w:right="177" w:firstLine="431"/>
        <w:rPr>
          <w:rFonts w:ascii="宋体" w:hAnsi="宋体" w:eastAsia="宋体" w:cs="宋体"/>
          <w:sz w:val="21"/>
          <w:szCs w:val="21"/>
        </w:rPr>
      </w:pPr>
      <w:r>
        <w:rPr>
          <w:rFonts w:ascii="宋体" w:hAnsi="宋体" w:eastAsia="宋体" w:cs="宋体"/>
          <w:sz w:val="21"/>
          <w:szCs w:val="21"/>
        </w:rPr>
        <w:t>除专用合同条款另有约定外，承包人按第</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16.</w:t>
      </w:r>
      <w:r>
        <w:rPr>
          <w:rFonts w:ascii="Times New Roman" w:hAnsi="Times New Roman" w:eastAsia="Times New Roman" w:cs="Times New Roman"/>
          <w:spacing w:val="-1"/>
          <w:sz w:val="21"/>
          <w:szCs w:val="21"/>
        </w:rPr>
        <w:t xml:space="preserve">1.1 </w:t>
      </w:r>
      <w:r>
        <w:rPr>
          <w:rFonts w:ascii="宋体" w:hAnsi="宋体" w:eastAsia="宋体" w:cs="宋体"/>
          <w:spacing w:val="-1"/>
          <w:sz w:val="21"/>
          <w:szCs w:val="21"/>
        </w:rPr>
        <w:t>项〔发包人违约的情形〕约定暂停施工满</w:t>
      </w:r>
      <w:r>
        <w:rPr>
          <w:rFonts w:ascii="Times New Roman" w:hAnsi="Times New Roman" w:eastAsia="Times New Roman" w:cs="Times New Roman"/>
          <w:spacing w:val="-1"/>
          <w:sz w:val="21"/>
          <w:szCs w:val="21"/>
        </w:rPr>
        <w:t>28</w:t>
      </w:r>
      <w:r>
        <w:rPr>
          <w:rFonts w:ascii="宋体" w:hAnsi="宋体" w:eastAsia="宋体" w:cs="宋体"/>
          <w:spacing w:val="-1"/>
          <w:sz w:val="21"/>
          <w:szCs w:val="21"/>
        </w:rPr>
        <w:t>天后，发包人仍不纠正其违约行为并致使合同目的不能实现的，或出现第</w:t>
      </w:r>
      <w:r>
        <w:rPr>
          <w:rFonts w:ascii="宋体" w:hAnsi="宋体" w:eastAsia="宋体" w:cs="宋体"/>
          <w:spacing w:val="-11"/>
          <w:sz w:val="21"/>
          <w:szCs w:val="21"/>
        </w:rPr>
        <w:t xml:space="preserve"> </w:t>
      </w:r>
      <w:r>
        <w:rPr>
          <w:rFonts w:ascii="Times New Roman" w:hAnsi="Times New Roman" w:eastAsia="Times New Roman" w:cs="Times New Roman"/>
          <w:spacing w:val="-1"/>
          <w:sz w:val="21"/>
          <w:szCs w:val="21"/>
        </w:rPr>
        <w:t xml:space="preserve">16.1.1 </w:t>
      </w:r>
      <w:r>
        <w:rPr>
          <w:rFonts w:ascii="宋体" w:hAnsi="宋体" w:eastAsia="宋体" w:cs="宋体"/>
          <w:spacing w:val="-1"/>
          <w:sz w:val="21"/>
          <w:szCs w:val="21"/>
        </w:rPr>
        <w:t>项〔发包人违约</w:t>
      </w:r>
      <w:r>
        <w:rPr>
          <w:rFonts w:ascii="宋体" w:hAnsi="宋体" w:eastAsia="宋体" w:cs="宋体"/>
          <w:spacing w:val="1"/>
          <w:sz w:val="21"/>
          <w:szCs w:val="21"/>
        </w:rPr>
        <w:t>的情形〕第（</w:t>
      </w:r>
      <w:r>
        <w:rPr>
          <w:rFonts w:ascii="Times New Roman" w:hAnsi="Times New Roman" w:eastAsia="Times New Roman" w:cs="Times New Roman"/>
          <w:spacing w:val="1"/>
          <w:sz w:val="21"/>
          <w:szCs w:val="21"/>
        </w:rPr>
        <w:t>7</w:t>
      </w:r>
      <w:r>
        <w:rPr>
          <w:rFonts w:ascii="宋体" w:hAnsi="宋体" w:eastAsia="宋体" w:cs="宋体"/>
          <w:spacing w:val="1"/>
          <w:sz w:val="21"/>
          <w:szCs w:val="21"/>
        </w:rPr>
        <w:t>）</w:t>
      </w:r>
      <w:r>
        <w:rPr>
          <w:rFonts w:ascii="宋体" w:hAnsi="宋体" w:eastAsia="宋体" w:cs="宋体"/>
          <w:spacing w:val="-51"/>
          <w:sz w:val="21"/>
          <w:szCs w:val="21"/>
        </w:rPr>
        <w:t xml:space="preserve"> </w:t>
      </w:r>
      <w:r>
        <w:rPr>
          <w:rFonts w:ascii="宋体" w:hAnsi="宋体" w:eastAsia="宋体" w:cs="宋体"/>
          <w:spacing w:val="1"/>
          <w:sz w:val="21"/>
          <w:szCs w:val="21"/>
        </w:rPr>
        <w:t>目约定的违约情况，承包人有权解除合同，发包人应承担由此增加</w:t>
      </w:r>
      <w:r>
        <w:rPr>
          <w:rFonts w:ascii="宋体" w:hAnsi="宋体" w:eastAsia="宋体" w:cs="宋体"/>
          <w:sz w:val="21"/>
          <w:szCs w:val="21"/>
        </w:rPr>
        <w:t>的费用，并</w:t>
      </w:r>
      <w:r>
        <w:rPr>
          <w:rFonts w:ascii="宋体" w:hAnsi="宋体" w:eastAsia="宋体" w:cs="宋体"/>
          <w:spacing w:val="-2"/>
          <w:sz w:val="21"/>
          <w:szCs w:val="21"/>
        </w:rPr>
        <w:t>支付承包人合理的利润。</w:t>
      </w:r>
    </w:p>
    <w:p w14:paraId="4ABE4C4B">
      <w:pPr>
        <w:spacing w:before="21" w:line="234" w:lineRule="auto"/>
        <w:ind w:left="437"/>
        <w:rPr>
          <w:rFonts w:ascii="宋体" w:hAnsi="宋体" w:eastAsia="宋体" w:cs="宋体"/>
          <w:sz w:val="21"/>
          <w:szCs w:val="21"/>
        </w:rPr>
      </w:pPr>
      <w:r>
        <w:rPr>
          <w:rFonts w:ascii="Times New Roman" w:hAnsi="Times New Roman" w:eastAsia="Times New Roman" w:cs="Times New Roman"/>
          <w:spacing w:val="-1"/>
          <w:sz w:val="21"/>
          <w:szCs w:val="21"/>
        </w:rPr>
        <w:t xml:space="preserve">16.1.4  </w:t>
      </w:r>
      <w:r>
        <w:rPr>
          <w:rFonts w:ascii="宋体" w:hAnsi="宋体" w:eastAsia="宋体" w:cs="宋体"/>
          <w:spacing w:val="-1"/>
          <w:sz w:val="21"/>
          <w:szCs w:val="21"/>
        </w:rPr>
        <w:t>因发包人违约解除合同后的付款</w:t>
      </w:r>
    </w:p>
    <w:p w14:paraId="354A7AC9">
      <w:pPr>
        <w:spacing w:before="134" w:line="343" w:lineRule="auto"/>
        <w:ind w:left="5" w:right="177" w:firstLine="414"/>
        <w:rPr>
          <w:rFonts w:ascii="宋体" w:hAnsi="宋体" w:eastAsia="宋体" w:cs="宋体"/>
          <w:sz w:val="21"/>
          <w:szCs w:val="21"/>
        </w:rPr>
      </w:pPr>
      <w:r>
        <w:rPr>
          <w:rFonts w:ascii="宋体" w:hAnsi="宋体" w:eastAsia="宋体" w:cs="宋体"/>
          <w:sz w:val="21"/>
          <w:szCs w:val="21"/>
        </w:rPr>
        <w:t xml:space="preserve">承包人按照本款约定解除合同的，发包人应在解除合同后 </w:t>
      </w:r>
      <w:r>
        <w:rPr>
          <w:rFonts w:ascii="Times New Roman" w:hAnsi="Times New Roman" w:eastAsia="Times New Roman" w:cs="Times New Roman"/>
          <w:sz w:val="21"/>
          <w:szCs w:val="21"/>
        </w:rPr>
        <w:t xml:space="preserve">28  </w:t>
      </w:r>
      <w:r>
        <w:rPr>
          <w:rFonts w:ascii="宋体" w:hAnsi="宋体" w:eastAsia="宋体" w:cs="宋体"/>
          <w:sz w:val="21"/>
          <w:szCs w:val="21"/>
        </w:rPr>
        <w:t>天内支付下列款项，</w:t>
      </w:r>
      <w:r>
        <w:rPr>
          <w:rFonts w:ascii="宋体" w:hAnsi="宋体" w:eastAsia="宋体" w:cs="宋体"/>
          <w:spacing w:val="-1"/>
          <w:sz w:val="21"/>
          <w:szCs w:val="21"/>
        </w:rPr>
        <w:t>并解除履</w:t>
      </w:r>
      <w:r>
        <w:rPr>
          <w:rFonts w:ascii="宋体" w:hAnsi="宋体" w:eastAsia="宋体" w:cs="宋体"/>
          <w:spacing w:val="-3"/>
          <w:sz w:val="21"/>
          <w:szCs w:val="21"/>
        </w:rPr>
        <w:t>约担保：</w:t>
      </w:r>
    </w:p>
    <w:p w14:paraId="5807B55C">
      <w:pPr>
        <w:spacing w:before="20" w:line="233" w:lineRule="auto"/>
        <w:ind w:left="427"/>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）合同解除前所完成工作的价款；</w:t>
      </w:r>
    </w:p>
    <w:p w14:paraId="09DB121E">
      <w:pPr>
        <w:spacing w:before="135"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）承包人为工程施工订购并已付款的材料、工程设备和其他物品的价</w:t>
      </w:r>
      <w:r>
        <w:rPr>
          <w:rFonts w:ascii="宋体" w:hAnsi="宋体" w:eastAsia="宋体" w:cs="宋体"/>
          <w:spacing w:val="-2"/>
          <w:sz w:val="21"/>
          <w:szCs w:val="21"/>
        </w:rPr>
        <w:t>款；</w:t>
      </w:r>
    </w:p>
    <w:p w14:paraId="2FCE6C4A">
      <w:pPr>
        <w:spacing w:before="134"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）承包人撤离施工现场以及遣散承包人人员的款项；</w:t>
      </w:r>
    </w:p>
    <w:p w14:paraId="3C2EFC88">
      <w:pPr>
        <w:spacing w:before="135"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）按照合同约定在合同解除前应支付的违约金；</w:t>
      </w:r>
    </w:p>
    <w:p w14:paraId="2A1F770D">
      <w:pPr>
        <w:spacing w:before="135"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）按照合同约定应当支付给承包人的其他款项；</w:t>
      </w:r>
    </w:p>
    <w:p w14:paraId="495A95DB">
      <w:pPr>
        <w:spacing w:before="132"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）按照合同约定应退还的质量保证金；</w:t>
      </w:r>
    </w:p>
    <w:p w14:paraId="49DF79CB">
      <w:pPr>
        <w:spacing w:before="134"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）因解除合同给承包人造成的损失。</w:t>
      </w:r>
    </w:p>
    <w:p w14:paraId="2FD539C0">
      <w:pPr>
        <w:spacing w:before="135" w:line="234" w:lineRule="auto"/>
        <w:ind w:left="421"/>
        <w:rPr>
          <w:rFonts w:ascii="宋体" w:hAnsi="宋体" w:eastAsia="宋体" w:cs="宋体"/>
          <w:sz w:val="21"/>
          <w:szCs w:val="21"/>
        </w:rPr>
      </w:pPr>
      <w:r>
        <w:rPr>
          <w:rFonts w:ascii="宋体" w:hAnsi="宋体" w:eastAsia="宋体" w:cs="宋体"/>
          <w:sz w:val="21"/>
          <w:szCs w:val="21"/>
        </w:rPr>
        <w:t>合同当事人未能就解除合同后的结清达成一致的，按照第</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20 </w:t>
      </w:r>
      <w:r>
        <w:rPr>
          <w:rFonts w:ascii="宋体" w:hAnsi="宋体" w:eastAsia="宋体" w:cs="宋体"/>
          <w:sz w:val="21"/>
          <w:szCs w:val="21"/>
        </w:rPr>
        <w:t>条〔争议解</w:t>
      </w:r>
      <w:r>
        <w:rPr>
          <w:rFonts w:ascii="宋体" w:hAnsi="宋体" w:eastAsia="宋体" w:cs="宋体"/>
          <w:spacing w:val="-1"/>
          <w:sz w:val="21"/>
          <w:szCs w:val="21"/>
        </w:rPr>
        <w:t>决〕的约定处理。</w:t>
      </w:r>
    </w:p>
    <w:p w14:paraId="3C56360B">
      <w:pPr>
        <w:spacing w:before="132" w:line="354" w:lineRule="auto"/>
        <w:ind w:left="3" w:right="177" w:firstLine="417"/>
        <w:rPr>
          <w:rFonts w:ascii="宋体" w:hAnsi="宋体" w:eastAsia="宋体" w:cs="宋体"/>
          <w:sz w:val="21"/>
          <w:szCs w:val="21"/>
        </w:rPr>
      </w:pPr>
      <w:r>
        <w:rPr>
          <w:rFonts w:ascii="宋体" w:hAnsi="宋体" w:eastAsia="宋体" w:cs="宋体"/>
          <w:sz w:val="21"/>
          <w:szCs w:val="21"/>
        </w:rPr>
        <w:t>承包人应妥善做好已完工程和与工程有关的已购材料、工程设备的保护和移交工作</w:t>
      </w:r>
      <w:r>
        <w:rPr>
          <w:rFonts w:ascii="宋体" w:hAnsi="宋体" w:eastAsia="宋体" w:cs="宋体"/>
          <w:spacing w:val="-1"/>
          <w:sz w:val="21"/>
          <w:szCs w:val="21"/>
        </w:rPr>
        <w:t>，并将施</w:t>
      </w:r>
      <w:r>
        <w:rPr>
          <w:rFonts w:ascii="宋体" w:hAnsi="宋体" w:eastAsia="宋体" w:cs="宋体"/>
          <w:sz w:val="21"/>
          <w:szCs w:val="21"/>
        </w:rPr>
        <w:t>工设备和人员撤出施工现场，发包人应为承包人撤出提供</w:t>
      </w:r>
      <w:r>
        <w:rPr>
          <w:rFonts w:ascii="宋体" w:hAnsi="宋体" w:eastAsia="宋体" w:cs="宋体"/>
          <w:spacing w:val="-1"/>
          <w:sz w:val="21"/>
          <w:szCs w:val="21"/>
        </w:rPr>
        <w:t>必要条件。</w:t>
      </w:r>
    </w:p>
    <w:p w14:paraId="20943612">
      <w:pPr>
        <w:spacing w:before="78" w:line="233" w:lineRule="auto"/>
        <w:ind w:left="7"/>
        <w:outlineLvl w:val="1"/>
        <w:rPr>
          <w:rFonts w:ascii="黑体" w:hAnsi="黑体" w:eastAsia="黑体" w:cs="黑体"/>
          <w:sz w:val="24"/>
          <w:szCs w:val="24"/>
        </w:rPr>
      </w:pPr>
      <w:bookmarkStart w:id="343" w:name="bookmark256"/>
      <w:bookmarkEnd w:id="343"/>
      <w:bookmarkStart w:id="344" w:name="bookmark580"/>
      <w:bookmarkEnd w:id="344"/>
      <w:r>
        <w:rPr>
          <w:rFonts w:ascii="Times New Roman" w:hAnsi="Times New Roman" w:eastAsia="Times New Roman" w:cs="Times New Roman"/>
          <w:b/>
          <w:bCs/>
          <w:spacing w:val="-3"/>
          <w:sz w:val="24"/>
          <w:szCs w:val="24"/>
        </w:rPr>
        <w:t xml:space="preserve">16.2  </w:t>
      </w:r>
      <w:r>
        <w:rPr>
          <w:rFonts w:ascii="黑体" w:hAnsi="黑体" w:eastAsia="黑体" w:cs="黑体"/>
          <w:b/>
          <w:bCs/>
          <w:spacing w:val="-3"/>
          <w:sz w:val="24"/>
          <w:szCs w:val="24"/>
        </w:rPr>
        <w:t>承包人违约</w:t>
      </w:r>
    </w:p>
    <w:p w14:paraId="3EA60140">
      <w:pPr>
        <w:spacing w:before="122"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16.2.1  </w:t>
      </w:r>
      <w:r>
        <w:rPr>
          <w:rFonts w:ascii="宋体" w:hAnsi="宋体" w:eastAsia="宋体" w:cs="宋体"/>
          <w:spacing w:val="-2"/>
          <w:sz w:val="21"/>
          <w:szCs w:val="21"/>
        </w:rPr>
        <w:t>承包人违约的情形</w:t>
      </w:r>
    </w:p>
    <w:p w14:paraId="67E68886">
      <w:pPr>
        <w:spacing w:before="133" w:line="221" w:lineRule="auto"/>
        <w:ind w:left="419"/>
        <w:rPr>
          <w:rFonts w:ascii="宋体" w:hAnsi="宋体" w:eastAsia="宋体" w:cs="宋体"/>
          <w:sz w:val="21"/>
          <w:szCs w:val="21"/>
        </w:rPr>
      </w:pPr>
      <w:r>
        <w:rPr>
          <w:rFonts w:ascii="宋体" w:hAnsi="宋体" w:eastAsia="宋体" w:cs="宋体"/>
          <w:spacing w:val="-1"/>
          <w:sz w:val="21"/>
          <w:szCs w:val="21"/>
        </w:rPr>
        <w:t>在合同履行过程中发生的下列情形，属于承包</w:t>
      </w:r>
      <w:r>
        <w:rPr>
          <w:rFonts w:ascii="宋体" w:hAnsi="宋体" w:eastAsia="宋体" w:cs="宋体"/>
          <w:spacing w:val="-2"/>
          <w:sz w:val="21"/>
          <w:szCs w:val="21"/>
        </w:rPr>
        <w:t>人违约：</w:t>
      </w:r>
    </w:p>
    <w:p w14:paraId="1DE586DD">
      <w:pPr>
        <w:spacing w:before="148" w:line="234" w:lineRule="auto"/>
        <w:ind w:left="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）承包人违反合同约定进行转包或违法分包的；</w:t>
      </w:r>
    </w:p>
    <w:p w14:paraId="6DBD17CA">
      <w:pPr>
        <w:spacing w:before="134"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）承包人违反合同约定采购和使用不合格的材料和</w:t>
      </w:r>
      <w:r>
        <w:rPr>
          <w:rFonts w:ascii="宋体" w:hAnsi="宋体" w:eastAsia="宋体" w:cs="宋体"/>
          <w:spacing w:val="-2"/>
          <w:sz w:val="21"/>
          <w:szCs w:val="21"/>
        </w:rPr>
        <w:t>工程设备的；</w:t>
      </w:r>
    </w:p>
    <w:p w14:paraId="5868F66E">
      <w:pPr>
        <w:spacing w:before="135"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）因承包人原因导致工程质量不符合合同要求的；</w:t>
      </w:r>
    </w:p>
    <w:p w14:paraId="4B91459F">
      <w:pPr>
        <w:spacing w:before="132" w:line="286" w:lineRule="auto"/>
        <w:ind w:left="5" w:right="158" w:firstLine="421"/>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 xml:space="preserve">）承包人违反第 </w:t>
      </w:r>
      <w:r>
        <w:rPr>
          <w:rFonts w:ascii="Times New Roman" w:hAnsi="Times New Roman" w:eastAsia="Times New Roman" w:cs="Times New Roman"/>
          <w:spacing w:val="1"/>
          <w:sz w:val="21"/>
          <w:szCs w:val="21"/>
        </w:rPr>
        <w:t xml:space="preserve">8.9  </w:t>
      </w:r>
      <w:r>
        <w:rPr>
          <w:rFonts w:ascii="宋体" w:hAnsi="宋体" w:eastAsia="宋体" w:cs="宋体"/>
          <w:spacing w:val="1"/>
          <w:sz w:val="21"/>
          <w:szCs w:val="21"/>
        </w:rPr>
        <w:t>款〔材料与设备专用要求〕的约定，未经批准，私自将</w:t>
      </w:r>
      <w:r>
        <w:rPr>
          <w:rFonts w:ascii="宋体" w:hAnsi="宋体" w:eastAsia="宋体" w:cs="宋体"/>
          <w:sz w:val="21"/>
          <w:szCs w:val="21"/>
        </w:rPr>
        <w:t>已按照合同</w:t>
      </w:r>
      <w:r>
        <w:rPr>
          <w:rFonts w:ascii="宋体" w:hAnsi="宋体" w:eastAsia="宋体" w:cs="宋体"/>
          <w:spacing w:val="-2"/>
          <w:sz w:val="21"/>
          <w:szCs w:val="21"/>
        </w:rPr>
        <w:t>约定进入施工现场的材料或设备撤离施工现场的；</w:t>
      </w:r>
    </w:p>
    <w:p w14:paraId="3B5C5BB0">
      <w:pPr>
        <w:spacing w:before="152" w:line="234" w:lineRule="auto"/>
        <w:ind w:left="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5</w:t>
      </w:r>
      <w:r>
        <w:rPr>
          <w:rFonts w:ascii="宋体" w:hAnsi="宋体" w:eastAsia="宋体" w:cs="宋体"/>
          <w:sz w:val="21"/>
          <w:szCs w:val="21"/>
        </w:rPr>
        <w:t>）承包人未能按施工进度计划及时完成合同约定的</w:t>
      </w:r>
      <w:r>
        <w:rPr>
          <w:rFonts w:ascii="宋体" w:hAnsi="宋体" w:eastAsia="宋体" w:cs="宋体"/>
          <w:spacing w:val="-1"/>
          <w:sz w:val="21"/>
          <w:szCs w:val="21"/>
        </w:rPr>
        <w:t>工作，造成工期延误的；</w:t>
      </w:r>
    </w:p>
    <w:p w14:paraId="0048A47F">
      <w:pPr>
        <w:spacing w:before="132" w:line="286" w:lineRule="auto"/>
        <w:ind w:right="172"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）承包人在缺陷责任期及保修期内，未能在合理期限对工程缺陷进行修复，或拒绝</w:t>
      </w:r>
      <w:r>
        <w:rPr>
          <w:rFonts w:ascii="宋体" w:hAnsi="宋体" w:eastAsia="宋体" w:cs="宋体"/>
          <w:spacing w:val="1"/>
          <w:sz w:val="21"/>
          <w:szCs w:val="21"/>
        </w:rPr>
        <w:t>按发</w:t>
      </w:r>
      <w:r>
        <w:rPr>
          <w:rFonts w:ascii="宋体" w:hAnsi="宋体" w:eastAsia="宋体" w:cs="宋体"/>
          <w:spacing w:val="-1"/>
          <w:sz w:val="21"/>
          <w:szCs w:val="21"/>
        </w:rPr>
        <w:t>包人要求进行修复的；</w:t>
      </w:r>
    </w:p>
    <w:p w14:paraId="3DA545DC">
      <w:pPr>
        <w:spacing w:before="151"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）承包人明确表示或者以其行为表明不履行合同主要义务的；</w:t>
      </w:r>
    </w:p>
    <w:p w14:paraId="3288E84E">
      <w:pPr>
        <w:spacing w:before="132"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8</w:t>
      </w:r>
      <w:r>
        <w:rPr>
          <w:rFonts w:ascii="宋体" w:hAnsi="宋体" w:eastAsia="宋体" w:cs="宋体"/>
          <w:spacing w:val="-1"/>
          <w:sz w:val="21"/>
          <w:szCs w:val="21"/>
        </w:rPr>
        <w:t>）承包人未能按照合同约定履行其他义务的。</w:t>
      </w:r>
    </w:p>
    <w:p w14:paraId="6D05EBFE">
      <w:pPr>
        <w:spacing w:before="135" w:line="344" w:lineRule="auto"/>
        <w:ind w:firstLine="419"/>
        <w:rPr>
          <w:rFonts w:ascii="宋体" w:hAnsi="宋体" w:eastAsia="宋体" w:cs="宋体"/>
          <w:sz w:val="21"/>
          <w:szCs w:val="21"/>
        </w:rPr>
      </w:pPr>
      <w:r>
        <w:rPr>
          <w:rFonts w:ascii="宋体" w:hAnsi="宋体" w:eastAsia="宋体" w:cs="宋体"/>
          <w:spacing w:val="1"/>
          <w:sz w:val="21"/>
          <w:szCs w:val="21"/>
        </w:rPr>
        <w:t>承包人发生除本项第（</w:t>
      </w:r>
      <w:r>
        <w:rPr>
          <w:rFonts w:ascii="Times New Roman" w:hAnsi="Times New Roman" w:eastAsia="Times New Roman" w:cs="Times New Roman"/>
          <w:spacing w:val="1"/>
          <w:sz w:val="21"/>
          <w:szCs w:val="21"/>
        </w:rPr>
        <w:t>7</w:t>
      </w:r>
      <w:r>
        <w:rPr>
          <w:rFonts w:ascii="宋体" w:hAnsi="宋体" w:eastAsia="宋体" w:cs="宋体"/>
          <w:spacing w:val="1"/>
          <w:sz w:val="21"/>
          <w:szCs w:val="21"/>
        </w:rPr>
        <w:t>）目约定以外的其他违约情况时，监理人可向承包人发出整改通知，</w:t>
      </w:r>
      <w:r>
        <w:rPr>
          <w:rFonts w:ascii="宋体" w:hAnsi="宋体" w:eastAsia="宋体" w:cs="宋体"/>
          <w:spacing w:val="-2"/>
          <w:sz w:val="21"/>
          <w:szCs w:val="21"/>
        </w:rPr>
        <w:t>要求其在指定的期限内改正。</w:t>
      </w:r>
    </w:p>
    <w:p w14:paraId="546B38E4">
      <w:pPr>
        <w:spacing w:before="16" w:line="234" w:lineRule="auto"/>
        <w:ind w:left="436"/>
        <w:rPr>
          <w:rFonts w:ascii="宋体" w:hAnsi="宋体" w:eastAsia="宋体" w:cs="宋体"/>
          <w:sz w:val="21"/>
          <w:szCs w:val="21"/>
        </w:rPr>
      </w:pPr>
      <w:r>
        <w:rPr>
          <w:rFonts w:ascii="Times New Roman" w:hAnsi="Times New Roman" w:eastAsia="Times New Roman" w:cs="Times New Roman"/>
          <w:spacing w:val="-2"/>
          <w:sz w:val="21"/>
          <w:szCs w:val="21"/>
        </w:rPr>
        <w:t xml:space="preserve">16.2.2  </w:t>
      </w:r>
      <w:r>
        <w:rPr>
          <w:rFonts w:ascii="宋体" w:hAnsi="宋体" w:eastAsia="宋体" w:cs="宋体"/>
          <w:spacing w:val="-2"/>
          <w:sz w:val="21"/>
          <w:szCs w:val="21"/>
        </w:rPr>
        <w:t>承包人违约的责任</w:t>
      </w:r>
    </w:p>
    <w:p w14:paraId="1C0F91CD">
      <w:pPr>
        <w:spacing w:before="136" w:line="351" w:lineRule="auto"/>
        <w:ind w:right="155" w:firstLine="419"/>
        <w:rPr>
          <w:rFonts w:ascii="宋体" w:hAnsi="宋体" w:eastAsia="宋体" w:cs="宋体"/>
          <w:sz w:val="21"/>
          <w:szCs w:val="21"/>
        </w:rPr>
      </w:pPr>
      <w:r>
        <w:rPr>
          <w:rFonts w:ascii="宋体" w:hAnsi="宋体" w:eastAsia="宋体" w:cs="宋体"/>
          <w:sz w:val="21"/>
          <w:szCs w:val="21"/>
        </w:rPr>
        <w:t>承包人应承担因其违约行为而增加的费用和（或）延误的工期。此外，合同当事人可</w:t>
      </w:r>
      <w:r>
        <w:rPr>
          <w:rFonts w:ascii="宋体" w:hAnsi="宋体" w:eastAsia="宋体" w:cs="宋体"/>
          <w:spacing w:val="-1"/>
          <w:sz w:val="21"/>
          <w:szCs w:val="21"/>
        </w:rPr>
        <w:t>在专用合同条款中另行约定承包人违约责任的承担方式和计算方法。</w:t>
      </w:r>
    </w:p>
    <w:p w14:paraId="51B17136">
      <w:pPr>
        <w:spacing w:line="234" w:lineRule="auto"/>
        <w:ind w:left="436"/>
        <w:rPr>
          <w:rFonts w:ascii="宋体" w:hAnsi="宋体" w:eastAsia="宋体" w:cs="宋体"/>
          <w:sz w:val="21"/>
          <w:szCs w:val="21"/>
        </w:rPr>
      </w:pPr>
      <w:r>
        <w:rPr>
          <w:rFonts w:ascii="Times New Roman" w:hAnsi="Times New Roman" w:eastAsia="Times New Roman" w:cs="Times New Roman"/>
          <w:spacing w:val="-3"/>
          <w:sz w:val="21"/>
          <w:szCs w:val="21"/>
        </w:rPr>
        <w:t>16.2.3</w:t>
      </w:r>
      <w:r>
        <w:rPr>
          <w:rFonts w:ascii="Times New Roman" w:hAnsi="Times New Roman" w:eastAsia="Times New Roman" w:cs="Times New Roman"/>
          <w:spacing w:val="13"/>
          <w:sz w:val="21"/>
          <w:szCs w:val="21"/>
        </w:rPr>
        <w:t xml:space="preserve">  </w:t>
      </w:r>
      <w:r>
        <w:rPr>
          <w:rFonts w:ascii="宋体" w:hAnsi="宋体" w:eastAsia="宋体" w:cs="宋体"/>
          <w:spacing w:val="-3"/>
          <w:sz w:val="21"/>
          <w:szCs w:val="21"/>
        </w:rPr>
        <w:t>因承包人违约解除合同</w:t>
      </w:r>
    </w:p>
    <w:p w14:paraId="6AF160BB">
      <w:pPr>
        <w:spacing w:before="132" w:line="352" w:lineRule="auto"/>
        <w:ind w:right="155" w:firstLine="432"/>
        <w:rPr>
          <w:rFonts w:ascii="宋体" w:hAnsi="宋体" w:eastAsia="宋体" w:cs="宋体"/>
          <w:sz w:val="21"/>
          <w:szCs w:val="21"/>
        </w:rPr>
      </w:pPr>
      <w:r>
        <w:rPr>
          <w:rFonts w:ascii="宋体" w:hAnsi="宋体" w:eastAsia="宋体" w:cs="宋体"/>
          <w:spacing w:val="-2"/>
          <w:sz w:val="21"/>
          <w:szCs w:val="21"/>
        </w:rPr>
        <w:t>除专用合同条款另有约定外，出现第</w:t>
      </w:r>
      <w:r>
        <w:rPr>
          <w:rFonts w:ascii="宋体" w:hAnsi="宋体" w:eastAsia="宋体" w:cs="宋体"/>
          <w:spacing w:val="25"/>
          <w:sz w:val="21"/>
          <w:szCs w:val="21"/>
        </w:rPr>
        <w:t xml:space="preserve"> </w:t>
      </w:r>
      <w:r>
        <w:rPr>
          <w:rFonts w:ascii="Times New Roman" w:hAnsi="Times New Roman" w:eastAsia="Times New Roman" w:cs="Times New Roman"/>
          <w:spacing w:val="-2"/>
          <w:sz w:val="21"/>
          <w:szCs w:val="21"/>
        </w:rPr>
        <w:t xml:space="preserve">16.2.1  </w:t>
      </w:r>
      <w:r>
        <w:rPr>
          <w:rFonts w:ascii="宋体" w:hAnsi="宋体" w:eastAsia="宋体" w:cs="宋体"/>
          <w:spacing w:val="-2"/>
          <w:sz w:val="21"/>
          <w:szCs w:val="21"/>
        </w:rPr>
        <w:t>项〔承包人违约的情形〕第（</w:t>
      </w:r>
      <w:r>
        <w:rPr>
          <w:rFonts w:ascii="Times New Roman" w:hAnsi="Times New Roman" w:eastAsia="Times New Roman" w:cs="Times New Roman"/>
          <w:spacing w:val="-2"/>
          <w:sz w:val="21"/>
          <w:szCs w:val="21"/>
        </w:rPr>
        <w:t>7</w:t>
      </w:r>
      <w:r>
        <w:rPr>
          <w:rFonts w:ascii="宋体" w:hAnsi="宋体" w:eastAsia="宋体" w:cs="宋体"/>
          <w:spacing w:val="-2"/>
          <w:sz w:val="21"/>
          <w:szCs w:val="21"/>
        </w:rPr>
        <w:t>）</w:t>
      </w:r>
      <w:r>
        <w:rPr>
          <w:rFonts w:ascii="宋体" w:hAnsi="宋体" w:eastAsia="宋体" w:cs="宋体"/>
          <w:spacing w:val="-58"/>
          <w:sz w:val="21"/>
          <w:szCs w:val="21"/>
        </w:rPr>
        <w:t xml:space="preserve"> </w:t>
      </w:r>
      <w:r>
        <w:rPr>
          <w:rFonts w:ascii="宋体" w:hAnsi="宋体" w:eastAsia="宋体" w:cs="宋体"/>
          <w:spacing w:val="-2"/>
          <w:sz w:val="21"/>
          <w:szCs w:val="21"/>
        </w:rPr>
        <w:t>目约定的违约</w:t>
      </w:r>
      <w:r>
        <w:rPr>
          <w:rFonts w:ascii="宋体" w:hAnsi="宋体" w:eastAsia="宋体" w:cs="宋体"/>
          <w:sz w:val="21"/>
          <w:szCs w:val="21"/>
        </w:rPr>
        <w:t>情况时，或监理人发出整改通知后，承包人在指定的合理期限内仍不纠正违约行为并致使</w:t>
      </w:r>
      <w:r>
        <w:rPr>
          <w:rFonts w:ascii="宋体" w:hAnsi="宋体" w:eastAsia="宋体" w:cs="宋体"/>
          <w:spacing w:val="-1"/>
          <w:sz w:val="21"/>
          <w:szCs w:val="21"/>
        </w:rPr>
        <w:t>合同目</w:t>
      </w:r>
      <w:r>
        <w:rPr>
          <w:rFonts w:ascii="宋体" w:hAnsi="宋体" w:eastAsia="宋体" w:cs="宋体"/>
          <w:sz w:val="21"/>
          <w:szCs w:val="21"/>
        </w:rPr>
        <w:t>的不能实现的，发包人有权解除合同。合同解除后，因继续完成工程的需要，发包人有权</w:t>
      </w:r>
      <w:r>
        <w:rPr>
          <w:rFonts w:ascii="宋体" w:hAnsi="宋体" w:eastAsia="宋体" w:cs="宋体"/>
          <w:spacing w:val="-1"/>
          <w:sz w:val="21"/>
          <w:szCs w:val="21"/>
        </w:rPr>
        <w:t>使用承</w:t>
      </w:r>
      <w:r>
        <w:rPr>
          <w:rFonts w:ascii="宋体" w:hAnsi="宋体" w:eastAsia="宋体" w:cs="宋体"/>
          <w:sz w:val="21"/>
          <w:szCs w:val="21"/>
        </w:rPr>
        <w:t>包人在施工现场的材料、设备、临时工程、承包人文件和由承包人或以其名义编制的其他</w:t>
      </w:r>
      <w:r>
        <w:rPr>
          <w:rFonts w:ascii="宋体" w:hAnsi="宋体" w:eastAsia="宋体" w:cs="宋体"/>
          <w:spacing w:val="-1"/>
          <w:sz w:val="21"/>
          <w:szCs w:val="21"/>
        </w:rPr>
        <w:t>文件，</w:t>
      </w:r>
      <w:r>
        <w:rPr>
          <w:rFonts w:ascii="宋体" w:hAnsi="宋体" w:eastAsia="宋体" w:cs="宋体"/>
          <w:sz w:val="21"/>
          <w:szCs w:val="21"/>
        </w:rPr>
        <w:t>合同当事人应在专用合同条款约定相应费用的承担方式。发包人继续使用的行为不免除</w:t>
      </w:r>
      <w:r>
        <w:rPr>
          <w:rFonts w:ascii="宋体" w:hAnsi="宋体" w:eastAsia="宋体" w:cs="宋体"/>
          <w:spacing w:val="-1"/>
          <w:sz w:val="21"/>
          <w:szCs w:val="21"/>
        </w:rPr>
        <w:t>或减轻承</w:t>
      </w:r>
      <w:r>
        <w:rPr>
          <w:rFonts w:ascii="宋体" w:hAnsi="宋体" w:eastAsia="宋体" w:cs="宋体"/>
          <w:spacing w:val="-2"/>
          <w:sz w:val="21"/>
          <w:szCs w:val="21"/>
        </w:rPr>
        <w:t>包人应承担的违约责任。</w:t>
      </w:r>
    </w:p>
    <w:p w14:paraId="3CEF8963">
      <w:pPr>
        <w:spacing w:before="1" w:line="234" w:lineRule="auto"/>
        <w:ind w:left="436"/>
        <w:rPr>
          <w:rFonts w:ascii="宋体" w:hAnsi="宋体" w:eastAsia="宋体" w:cs="宋体"/>
          <w:sz w:val="21"/>
          <w:szCs w:val="21"/>
        </w:rPr>
      </w:pPr>
      <w:r>
        <w:rPr>
          <w:rFonts w:ascii="Times New Roman" w:hAnsi="Times New Roman" w:eastAsia="Times New Roman" w:cs="Times New Roman"/>
          <w:spacing w:val="-3"/>
          <w:sz w:val="21"/>
          <w:szCs w:val="21"/>
        </w:rPr>
        <w:t>16.2.4</w:t>
      </w:r>
      <w:r>
        <w:rPr>
          <w:rFonts w:ascii="Times New Roman" w:hAnsi="Times New Roman" w:eastAsia="Times New Roman" w:cs="Times New Roman"/>
          <w:spacing w:val="39"/>
          <w:sz w:val="21"/>
          <w:szCs w:val="21"/>
        </w:rPr>
        <w:t xml:space="preserve"> </w:t>
      </w:r>
      <w:r>
        <w:rPr>
          <w:rFonts w:ascii="宋体" w:hAnsi="宋体" w:eastAsia="宋体" w:cs="宋体"/>
          <w:spacing w:val="-3"/>
          <w:sz w:val="21"/>
          <w:szCs w:val="21"/>
        </w:rPr>
        <w:t>因承包人违约解除合同后的处理</w:t>
      </w:r>
    </w:p>
    <w:p w14:paraId="04875282">
      <w:pPr>
        <w:spacing w:before="135" w:line="342" w:lineRule="auto"/>
        <w:ind w:left="1" w:right="155" w:firstLine="434"/>
        <w:rPr>
          <w:rFonts w:ascii="宋体" w:hAnsi="宋体" w:eastAsia="宋体" w:cs="宋体"/>
          <w:sz w:val="21"/>
          <w:szCs w:val="21"/>
        </w:rPr>
      </w:pPr>
      <w:r>
        <w:rPr>
          <w:rFonts w:ascii="宋体" w:hAnsi="宋体" w:eastAsia="宋体" w:cs="宋体"/>
          <w:sz w:val="21"/>
          <w:szCs w:val="21"/>
        </w:rPr>
        <w:t>因承包人原因导致合同解除的，则合同当事人应在合</w:t>
      </w:r>
      <w:r>
        <w:rPr>
          <w:rFonts w:ascii="宋体" w:hAnsi="宋体" w:eastAsia="宋体" w:cs="宋体"/>
          <w:spacing w:val="-1"/>
          <w:sz w:val="21"/>
          <w:szCs w:val="21"/>
        </w:rPr>
        <w:t xml:space="preserve">同解除后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天内完成估价、付款和清</w:t>
      </w:r>
      <w:r>
        <w:rPr>
          <w:rFonts w:ascii="宋体" w:hAnsi="宋体" w:eastAsia="宋体" w:cs="宋体"/>
          <w:spacing w:val="-3"/>
          <w:sz w:val="21"/>
          <w:szCs w:val="21"/>
        </w:rPr>
        <w:t>算，并按以下约定执行：</w:t>
      </w:r>
    </w:p>
    <w:p w14:paraId="2FEC9503">
      <w:pPr>
        <w:spacing w:before="20" w:line="286" w:lineRule="auto"/>
        <w:ind w:right="156" w:firstLine="425"/>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xml:space="preserve">）合同解除后，按第 </w:t>
      </w:r>
      <w:r>
        <w:rPr>
          <w:rFonts w:ascii="Times New Roman" w:hAnsi="Times New Roman" w:eastAsia="Times New Roman" w:cs="Times New Roman"/>
          <w:spacing w:val="1"/>
          <w:sz w:val="21"/>
          <w:szCs w:val="21"/>
        </w:rPr>
        <w:t xml:space="preserve">4.4  </w:t>
      </w:r>
      <w:r>
        <w:rPr>
          <w:rFonts w:ascii="宋体" w:hAnsi="宋体" w:eastAsia="宋体" w:cs="宋体"/>
          <w:spacing w:val="1"/>
          <w:sz w:val="21"/>
          <w:szCs w:val="21"/>
        </w:rPr>
        <w:t>款〔商定或确定〕商定或确定承包人实际完成工作对应的</w:t>
      </w:r>
      <w:r>
        <w:rPr>
          <w:rFonts w:ascii="宋体" w:hAnsi="宋体" w:eastAsia="宋体" w:cs="宋体"/>
          <w:sz w:val="21"/>
          <w:szCs w:val="21"/>
        </w:rPr>
        <w:t>合同价款，以及承包人已提供的材料、工程设备、施工设备和临时工程等</w:t>
      </w:r>
      <w:r>
        <w:rPr>
          <w:rFonts w:ascii="宋体" w:hAnsi="宋体" w:eastAsia="宋体" w:cs="宋体"/>
          <w:spacing w:val="-1"/>
          <w:sz w:val="21"/>
          <w:szCs w:val="21"/>
        </w:rPr>
        <w:t>的价值；</w:t>
      </w:r>
    </w:p>
    <w:p w14:paraId="650897F0">
      <w:pPr>
        <w:spacing w:before="149"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）合同解除后，承包人应支付的违约金；</w:t>
      </w:r>
    </w:p>
    <w:p w14:paraId="18A3FF65">
      <w:pPr>
        <w:spacing w:before="135" w:line="234" w:lineRule="auto"/>
        <w:ind w:left="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）合同解除后，因解除合同给发包人造成的损失；</w:t>
      </w:r>
    </w:p>
    <w:p w14:paraId="3B5EDEB4">
      <w:pPr>
        <w:spacing w:before="134" w:line="234" w:lineRule="auto"/>
        <w:ind w:left="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）合同解除后，承包人应按照发包人要求和监理人的指示完成</w:t>
      </w:r>
      <w:r>
        <w:rPr>
          <w:rFonts w:ascii="宋体" w:hAnsi="宋体" w:eastAsia="宋体" w:cs="宋体"/>
          <w:spacing w:val="-1"/>
          <w:sz w:val="21"/>
          <w:szCs w:val="21"/>
        </w:rPr>
        <w:t>现场的清理和撤离；</w:t>
      </w:r>
    </w:p>
    <w:p w14:paraId="5CA78FDA">
      <w:pPr>
        <w:spacing w:before="132" w:line="234" w:lineRule="auto"/>
        <w:ind w:left="426"/>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5</w:t>
      </w:r>
      <w:r>
        <w:rPr>
          <w:rFonts w:ascii="宋体" w:hAnsi="宋体" w:eastAsia="宋体" w:cs="宋体"/>
          <w:sz w:val="21"/>
          <w:szCs w:val="21"/>
        </w:rPr>
        <w:t>）发包人和承包人应在合同解除后进行清算，出具最终结清付款证</w:t>
      </w:r>
      <w:r>
        <w:rPr>
          <w:rFonts w:ascii="宋体" w:hAnsi="宋体" w:eastAsia="宋体" w:cs="宋体"/>
          <w:spacing w:val="-1"/>
          <w:sz w:val="21"/>
          <w:szCs w:val="21"/>
        </w:rPr>
        <w:t>书，结清全部款项。</w:t>
      </w:r>
    </w:p>
    <w:p w14:paraId="358E8B0F">
      <w:pPr>
        <w:spacing w:before="135" w:line="221" w:lineRule="auto"/>
        <w:ind w:left="436"/>
        <w:rPr>
          <w:rFonts w:ascii="宋体" w:hAnsi="宋体" w:eastAsia="宋体" w:cs="宋体"/>
          <w:sz w:val="21"/>
          <w:szCs w:val="21"/>
        </w:rPr>
      </w:pPr>
      <w:r>
        <w:rPr>
          <w:rFonts w:ascii="宋体" w:hAnsi="宋体" w:eastAsia="宋体" w:cs="宋体"/>
          <w:sz w:val="21"/>
          <w:szCs w:val="21"/>
        </w:rPr>
        <w:t>因承包人违约解除合同的，发包人有权暂停对</w:t>
      </w:r>
      <w:r>
        <w:rPr>
          <w:rFonts w:ascii="宋体" w:hAnsi="宋体" w:eastAsia="宋体" w:cs="宋体"/>
          <w:spacing w:val="-1"/>
          <w:sz w:val="21"/>
          <w:szCs w:val="21"/>
        </w:rPr>
        <w:t>承包人的付款，查清各项付款和已扣款项。发</w:t>
      </w:r>
    </w:p>
    <w:p w14:paraId="2BA22819">
      <w:pPr>
        <w:spacing w:line="221" w:lineRule="auto"/>
        <w:rPr>
          <w:rFonts w:ascii="宋体" w:hAnsi="宋体" w:eastAsia="宋体" w:cs="宋体"/>
          <w:sz w:val="21"/>
          <w:szCs w:val="21"/>
        </w:rPr>
        <w:sectPr>
          <w:footerReference r:id="rId124" w:type="default"/>
          <w:pgSz w:w="11905" w:h="16843"/>
          <w:pgMar w:top="969" w:right="1355" w:bottom="1026" w:left="1480" w:header="0" w:footer="754" w:gutter="0"/>
          <w:cols w:space="0" w:num="1"/>
          <w:rtlGutter w:val="0"/>
          <w:docGrid w:linePitch="0" w:charSpace="0"/>
        </w:sectPr>
      </w:pPr>
    </w:p>
    <w:p w14:paraId="0E84FA72">
      <w:pPr>
        <w:pStyle w:val="5"/>
        <w:spacing w:line="270" w:lineRule="auto"/>
      </w:pPr>
    </w:p>
    <w:p w14:paraId="4C586381">
      <w:pPr>
        <w:pStyle w:val="5"/>
        <w:spacing w:line="270" w:lineRule="auto"/>
      </w:pPr>
    </w:p>
    <w:p w14:paraId="0CFA88F7">
      <w:pPr>
        <w:pStyle w:val="5"/>
        <w:spacing w:line="270" w:lineRule="auto"/>
      </w:pPr>
    </w:p>
    <w:p w14:paraId="123DD29C">
      <w:pPr>
        <w:pStyle w:val="5"/>
        <w:spacing w:line="270" w:lineRule="auto"/>
      </w:pPr>
    </w:p>
    <w:p w14:paraId="16A71991">
      <w:pPr>
        <w:spacing w:before="69" w:line="345" w:lineRule="auto"/>
        <w:ind w:left="6" w:hanging="5"/>
        <w:rPr>
          <w:rFonts w:ascii="宋体" w:hAnsi="宋体" w:eastAsia="宋体" w:cs="宋体"/>
          <w:sz w:val="21"/>
          <w:szCs w:val="21"/>
        </w:rPr>
      </w:pPr>
      <w:bookmarkStart w:id="345" w:name="bookmark581"/>
      <w:bookmarkEnd w:id="345"/>
      <w:r>
        <w:rPr>
          <w:rFonts w:ascii="宋体" w:hAnsi="宋体" w:eastAsia="宋体" w:cs="宋体"/>
          <w:sz w:val="21"/>
          <w:szCs w:val="21"/>
        </w:rPr>
        <w:t xml:space="preserve">包人和承包人未能就合同解除后的清算和款项支付达成一致的，按照第 </w:t>
      </w:r>
      <w:r>
        <w:rPr>
          <w:rFonts w:ascii="Times New Roman" w:hAnsi="Times New Roman" w:eastAsia="Times New Roman" w:cs="Times New Roman"/>
          <w:sz w:val="21"/>
          <w:szCs w:val="21"/>
        </w:rPr>
        <w:t xml:space="preserve">20  </w:t>
      </w:r>
      <w:r>
        <w:rPr>
          <w:rFonts w:ascii="宋体" w:hAnsi="宋体" w:eastAsia="宋体" w:cs="宋体"/>
          <w:sz w:val="21"/>
          <w:szCs w:val="21"/>
        </w:rPr>
        <w:t>条〔争议解决</w:t>
      </w:r>
      <w:r>
        <w:rPr>
          <w:rFonts w:ascii="宋体" w:hAnsi="宋体" w:eastAsia="宋体" w:cs="宋体"/>
          <w:spacing w:val="-1"/>
          <w:sz w:val="21"/>
          <w:szCs w:val="21"/>
        </w:rPr>
        <w:t>〕的约</w:t>
      </w:r>
      <w:r>
        <w:rPr>
          <w:rFonts w:ascii="宋体" w:hAnsi="宋体" w:eastAsia="宋体" w:cs="宋体"/>
          <w:spacing w:val="-3"/>
          <w:sz w:val="21"/>
          <w:szCs w:val="21"/>
        </w:rPr>
        <w:t>定处理。</w:t>
      </w:r>
    </w:p>
    <w:p w14:paraId="39830265">
      <w:pPr>
        <w:spacing w:before="17" w:line="234" w:lineRule="auto"/>
        <w:ind w:left="438"/>
        <w:rPr>
          <w:rFonts w:ascii="宋体" w:hAnsi="宋体" w:eastAsia="宋体" w:cs="宋体"/>
          <w:sz w:val="21"/>
          <w:szCs w:val="21"/>
        </w:rPr>
      </w:pPr>
      <w:r>
        <w:rPr>
          <w:rFonts w:ascii="Times New Roman" w:hAnsi="Times New Roman" w:eastAsia="Times New Roman" w:cs="Times New Roman"/>
          <w:spacing w:val="-2"/>
          <w:sz w:val="21"/>
          <w:szCs w:val="21"/>
        </w:rPr>
        <w:t xml:space="preserve">16.2.5 </w:t>
      </w:r>
      <w:r>
        <w:rPr>
          <w:rFonts w:ascii="宋体" w:hAnsi="宋体" w:eastAsia="宋体" w:cs="宋体"/>
          <w:spacing w:val="-2"/>
          <w:sz w:val="21"/>
          <w:szCs w:val="21"/>
        </w:rPr>
        <w:t>采购合同权益转让</w:t>
      </w:r>
    </w:p>
    <w:p w14:paraId="13366812">
      <w:pPr>
        <w:spacing w:before="133" w:line="344" w:lineRule="auto"/>
        <w:ind w:firstLine="438"/>
        <w:rPr>
          <w:rFonts w:ascii="宋体" w:hAnsi="宋体" w:eastAsia="宋体" w:cs="宋体"/>
          <w:sz w:val="21"/>
          <w:szCs w:val="21"/>
        </w:rPr>
      </w:pPr>
      <w:r>
        <w:rPr>
          <w:rFonts w:ascii="宋体" w:hAnsi="宋体" w:eastAsia="宋体" w:cs="宋体"/>
          <w:sz w:val="21"/>
          <w:szCs w:val="21"/>
        </w:rPr>
        <w:t>因承包人违约解除合同的，发包人有权要求承</w:t>
      </w:r>
      <w:r>
        <w:rPr>
          <w:rFonts w:ascii="宋体" w:hAnsi="宋体" w:eastAsia="宋体" w:cs="宋体"/>
          <w:spacing w:val="-1"/>
          <w:sz w:val="21"/>
          <w:szCs w:val="21"/>
        </w:rPr>
        <w:t>包人将其为实施合同而签订的材料和设备的采</w:t>
      </w:r>
      <w:r>
        <w:rPr>
          <w:rFonts w:ascii="宋体" w:hAnsi="宋体" w:eastAsia="宋体" w:cs="宋体"/>
          <w:sz w:val="21"/>
          <w:szCs w:val="21"/>
        </w:rPr>
        <w:t xml:space="preserve">购合同的权益转让给发包人，承包人应在收到解除合同通知后 </w:t>
      </w:r>
      <w:r>
        <w:rPr>
          <w:rFonts w:ascii="Times New Roman" w:hAnsi="Times New Roman" w:eastAsia="Times New Roman" w:cs="Times New Roman"/>
          <w:sz w:val="21"/>
          <w:szCs w:val="21"/>
        </w:rPr>
        <w:t xml:space="preserve">14  </w:t>
      </w:r>
      <w:r>
        <w:rPr>
          <w:rFonts w:ascii="宋体" w:hAnsi="宋体" w:eastAsia="宋体" w:cs="宋体"/>
          <w:sz w:val="21"/>
          <w:szCs w:val="21"/>
        </w:rPr>
        <w:t>天内，协助发包人与采购</w:t>
      </w:r>
      <w:r>
        <w:rPr>
          <w:rFonts w:ascii="宋体" w:hAnsi="宋体" w:eastAsia="宋体" w:cs="宋体"/>
          <w:spacing w:val="-1"/>
          <w:sz w:val="21"/>
          <w:szCs w:val="21"/>
        </w:rPr>
        <w:t>合同</w:t>
      </w:r>
      <w:r>
        <w:rPr>
          <w:rFonts w:ascii="宋体" w:hAnsi="宋体" w:eastAsia="宋体" w:cs="宋体"/>
          <w:spacing w:val="-2"/>
          <w:sz w:val="21"/>
          <w:szCs w:val="21"/>
        </w:rPr>
        <w:t>的供应商达成相关的转让协议。</w:t>
      </w:r>
    </w:p>
    <w:p w14:paraId="1BBC35A8">
      <w:pPr>
        <w:spacing w:line="232" w:lineRule="auto"/>
        <w:ind w:left="9"/>
        <w:outlineLvl w:val="1"/>
        <w:rPr>
          <w:rFonts w:ascii="黑体" w:hAnsi="黑体" w:eastAsia="黑体" w:cs="黑体"/>
          <w:sz w:val="24"/>
          <w:szCs w:val="24"/>
        </w:rPr>
      </w:pPr>
      <w:bookmarkStart w:id="346" w:name="bookmark257"/>
      <w:bookmarkEnd w:id="346"/>
      <w:r>
        <w:rPr>
          <w:rFonts w:ascii="Times New Roman" w:hAnsi="Times New Roman" w:eastAsia="Times New Roman" w:cs="Times New Roman"/>
          <w:b/>
          <w:bCs/>
          <w:spacing w:val="-3"/>
          <w:sz w:val="24"/>
          <w:szCs w:val="24"/>
        </w:rPr>
        <w:t xml:space="preserve">16.3  </w:t>
      </w:r>
      <w:r>
        <w:rPr>
          <w:rFonts w:ascii="黑体" w:hAnsi="黑体" w:eastAsia="黑体" w:cs="黑体"/>
          <w:b/>
          <w:bCs/>
          <w:spacing w:val="-3"/>
          <w:sz w:val="24"/>
          <w:szCs w:val="24"/>
        </w:rPr>
        <w:t>第三人造成的违约</w:t>
      </w:r>
    </w:p>
    <w:p w14:paraId="0576BF88">
      <w:pPr>
        <w:spacing w:before="124" w:line="354" w:lineRule="auto"/>
        <w:ind w:firstLine="420"/>
        <w:rPr>
          <w:rFonts w:ascii="宋体" w:hAnsi="宋体" w:eastAsia="宋体" w:cs="宋体"/>
          <w:sz w:val="21"/>
          <w:szCs w:val="21"/>
        </w:rPr>
      </w:pPr>
      <w:r>
        <w:rPr>
          <w:rFonts w:ascii="宋体" w:hAnsi="宋体" w:eastAsia="宋体" w:cs="宋体"/>
          <w:sz w:val="21"/>
          <w:szCs w:val="21"/>
        </w:rPr>
        <w:t>在履行合同过程中，一方当事人因第三人的原因造成违约的，应当向对方当事人承担</w:t>
      </w:r>
      <w:r>
        <w:rPr>
          <w:rFonts w:ascii="宋体" w:hAnsi="宋体" w:eastAsia="宋体" w:cs="宋体"/>
          <w:spacing w:val="-1"/>
          <w:sz w:val="21"/>
          <w:szCs w:val="21"/>
        </w:rPr>
        <w:t>违约责</w:t>
      </w:r>
      <w:r>
        <w:rPr>
          <w:rFonts w:ascii="宋体" w:hAnsi="宋体" w:eastAsia="宋体" w:cs="宋体"/>
          <w:sz w:val="21"/>
          <w:szCs w:val="21"/>
        </w:rPr>
        <w:t>任。一方当事人和第三人之间的纠纷，依照法律规定或者按照约定解</w:t>
      </w:r>
      <w:r>
        <w:rPr>
          <w:rFonts w:ascii="宋体" w:hAnsi="宋体" w:eastAsia="宋体" w:cs="宋体"/>
          <w:spacing w:val="-1"/>
          <w:sz w:val="21"/>
          <w:szCs w:val="21"/>
        </w:rPr>
        <w:t>决。</w:t>
      </w:r>
    </w:p>
    <w:p w14:paraId="0C8F0BAF">
      <w:pPr>
        <w:spacing w:before="35" w:line="232" w:lineRule="auto"/>
        <w:ind w:left="11"/>
        <w:outlineLvl w:val="0"/>
        <w:rPr>
          <w:rFonts w:ascii="黑体" w:hAnsi="黑体" w:eastAsia="黑体" w:cs="黑体"/>
          <w:sz w:val="28"/>
          <w:szCs w:val="28"/>
        </w:rPr>
      </w:pPr>
      <w:bookmarkStart w:id="347" w:name="bookmark258"/>
      <w:bookmarkEnd w:id="347"/>
      <w:r>
        <w:rPr>
          <w:rFonts w:ascii="Times New Roman" w:hAnsi="Times New Roman" w:eastAsia="Times New Roman" w:cs="Times New Roman"/>
          <w:b/>
          <w:bCs/>
          <w:spacing w:val="-6"/>
          <w:sz w:val="28"/>
          <w:szCs w:val="28"/>
        </w:rPr>
        <w:t>17.</w:t>
      </w:r>
      <w:r>
        <w:rPr>
          <w:rFonts w:ascii="Times New Roman" w:hAnsi="Times New Roman" w:eastAsia="Times New Roman" w:cs="Times New Roman"/>
          <w:b/>
          <w:bCs/>
          <w:spacing w:val="9"/>
          <w:sz w:val="28"/>
          <w:szCs w:val="28"/>
        </w:rPr>
        <w:t xml:space="preserve">  </w:t>
      </w:r>
      <w:r>
        <w:rPr>
          <w:rFonts w:ascii="黑体" w:hAnsi="黑体" w:eastAsia="黑体" w:cs="黑体"/>
          <w:b/>
          <w:bCs/>
          <w:spacing w:val="-6"/>
          <w:sz w:val="28"/>
          <w:szCs w:val="28"/>
        </w:rPr>
        <w:t>不可抗力</w:t>
      </w:r>
    </w:p>
    <w:p w14:paraId="475D447E">
      <w:pPr>
        <w:spacing w:before="83" w:line="232" w:lineRule="auto"/>
        <w:ind w:left="9"/>
        <w:outlineLvl w:val="1"/>
        <w:rPr>
          <w:rFonts w:ascii="黑体" w:hAnsi="黑体" w:eastAsia="黑体" w:cs="黑体"/>
          <w:sz w:val="24"/>
          <w:szCs w:val="24"/>
        </w:rPr>
      </w:pPr>
      <w:bookmarkStart w:id="348" w:name="bookmark259"/>
      <w:bookmarkEnd w:id="348"/>
      <w:r>
        <w:rPr>
          <w:rFonts w:ascii="Times New Roman" w:hAnsi="Times New Roman" w:eastAsia="Times New Roman" w:cs="Times New Roman"/>
          <w:b/>
          <w:bCs/>
          <w:spacing w:val="-3"/>
          <w:sz w:val="24"/>
          <w:szCs w:val="24"/>
        </w:rPr>
        <w:t xml:space="preserve">17.1  </w:t>
      </w:r>
      <w:r>
        <w:rPr>
          <w:rFonts w:ascii="黑体" w:hAnsi="黑体" w:eastAsia="黑体" w:cs="黑体"/>
          <w:b/>
          <w:bCs/>
          <w:spacing w:val="-3"/>
          <w:sz w:val="24"/>
          <w:szCs w:val="24"/>
        </w:rPr>
        <w:t>不可抗力的确认</w:t>
      </w:r>
    </w:p>
    <w:p w14:paraId="62BAF8EA">
      <w:pPr>
        <w:spacing w:before="120" w:line="352" w:lineRule="auto"/>
        <w:ind w:left="6" w:firstLine="418"/>
        <w:jc w:val="both"/>
        <w:rPr>
          <w:rFonts w:ascii="宋体" w:hAnsi="宋体" w:eastAsia="宋体" w:cs="宋体"/>
          <w:sz w:val="21"/>
          <w:szCs w:val="21"/>
        </w:rPr>
      </w:pPr>
      <w:r>
        <w:rPr>
          <w:rFonts w:ascii="宋体" w:hAnsi="宋体" w:eastAsia="宋体" w:cs="宋体"/>
          <w:sz w:val="21"/>
          <w:szCs w:val="21"/>
        </w:rPr>
        <w:t>不可抗力是指合同当事人在签订合同时不可预见，在合同履行过程中不可避</w:t>
      </w:r>
      <w:r>
        <w:rPr>
          <w:rFonts w:ascii="宋体" w:hAnsi="宋体" w:eastAsia="宋体" w:cs="宋体"/>
          <w:spacing w:val="-1"/>
          <w:sz w:val="21"/>
          <w:szCs w:val="21"/>
        </w:rPr>
        <w:t>免且不能克服的</w:t>
      </w:r>
      <w:r>
        <w:rPr>
          <w:rFonts w:ascii="宋体" w:hAnsi="宋体" w:eastAsia="宋体" w:cs="宋体"/>
          <w:sz w:val="21"/>
          <w:szCs w:val="21"/>
        </w:rPr>
        <w:t>自然灾害和社会性突发事件，如地震、海啸、瘟疫、骚乱、戒严、暴动、战</w:t>
      </w:r>
      <w:r>
        <w:rPr>
          <w:rFonts w:ascii="宋体" w:hAnsi="宋体" w:eastAsia="宋体" w:cs="宋体"/>
          <w:spacing w:val="-1"/>
          <w:sz w:val="21"/>
          <w:szCs w:val="21"/>
        </w:rPr>
        <w:t>争和专用合同条款中</w:t>
      </w:r>
      <w:r>
        <w:rPr>
          <w:rFonts w:ascii="宋体" w:hAnsi="宋体" w:eastAsia="宋体" w:cs="宋体"/>
          <w:spacing w:val="-2"/>
          <w:sz w:val="21"/>
          <w:szCs w:val="21"/>
        </w:rPr>
        <w:t>约定的其他情形。</w:t>
      </w:r>
    </w:p>
    <w:p w14:paraId="0C171588">
      <w:pPr>
        <w:spacing w:before="2" w:line="344" w:lineRule="auto"/>
        <w:ind w:firstLine="424"/>
        <w:jc w:val="both"/>
        <w:rPr>
          <w:rFonts w:ascii="宋体" w:hAnsi="宋体" w:eastAsia="宋体" w:cs="宋体"/>
          <w:sz w:val="21"/>
          <w:szCs w:val="21"/>
        </w:rPr>
      </w:pPr>
      <w:r>
        <w:rPr>
          <w:rFonts w:ascii="宋体" w:hAnsi="宋体" w:eastAsia="宋体" w:cs="宋体"/>
          <w:sz w:val="21"/>
          <w:szCs w:val="21"/>
        </w:rPr>
        <w:t>不可抗力发生后，发包人和承包人应收集证明不可抗力发生及不可抗力造成</w:t>
      </w:r>
      <w:r>
        <w:rPr>
          <w:rFonts w:ascii="宋体" w:hAnsi="宋体" w:eastAsia="宋体" w:cs="宋体"/>
          <w:spacing w:val="-1"/>
          <w:sz w:val="21"/>
          <w:szCs w:val="21"/>
        </w:rPr>
        <w:t>损失的证据，并</w:t>
      </w:r>
      <w:r>
        <w:rPr>
          <w:rFonts w:ascii="宋体" w:hAnsi="宋体" w:eastAsia="宋体" w:cs="宋体"/>
          <w:sz w:val="21"/>
          <w:szCs w:val="21"/>
        </w:rPr>
        <w:t>及时认真统计所造成的损失。合同当事人对是否属于不可抗力或其损失的意见不一致的，</w:t>
      </w:r>
      <w:r>
        <w:rPr>
          <w:rFonts w:ascii="宋体" w:hAnsi="宋体" w:eastAsia="宋体" w:cs="宋体"/>
          <w:spacing w:val="-1"/>
          <w:sz w:val="21"/>
          <w:szCs w:val="21"/>
        </w:rPr>
        <w:t>由监理</w:t>
      </w:r>
      <w:r>
        <w:rPr>
          <w:rFonts w:ascii="宋体" w:hAnsi="宋体" w:eastAsia="宋体" w:cs="宋体"/>
          <w:sz w:val="21"/>
          <w:szCs w:val="21"/>
        </w:rPr>
        <w:t>人按第</w:t>
      </w:r>
      <w:r>
        <w:rPr>
          <w:rFonts w:ascii="宋体" w:hAnsi="宋体" w:eastAsia="宋体" w:cs="宋体"/>
          <w:spacing w:val="-49"/>
          <w:sz w:val="21"/>
          <w:szCs w:val="21"/>
        </w:rPr>
        <w:t xml:space="preserve"> </w:t>
      </w:r>
      <w:r>
        <w:rPr>
          <w:rFonts w:ascii="Times New Roman" w:hAnsi="Times New Roman" w:eastAsia="Times New Roman" w:cs="Times New Roman"/>
          <w:sz w:val="21"/>
          <w:szCs w:val="21"/>
        </w:rPr>
        <w:t xml:space="preserve">4.4 </w:t>
      </w:r>
      <w:r>
        <w:rPr>
          <w:rFonts w:ascii="宋体" w:hAnsi="宋体" w:eastAsia="宋体" w:cs="宋体"/>
          <w:sz w:val="21"/>
          <w:szCs w:val="21"/>
        </w:rPr>
        <w:t>款〔商定或确定〕的约定处理。发生争议时，按第</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20 </w:t>
      </w:r>
      <w:r>
        <w:rPr>
          <w:rFonts w:ascii="宋体" w:hAnsi="宋体" w:eastAsia="宋体" w:cs="宋体"/>
          <w:sz w:val="21"/>
          <w:szCs w:val="21"/>
        </w:rPr>
        <w:t>条〔争</w:t>
      </w:r>
      <w:r>
        <w:rPr>
          <w:rFonts w:ascii="宋体" w:hAnsi="宋体" w:eastAsia="宋体" w:cs="宋体"/>
          <w:spacing w:val="-1"/>
          <w:sz w:val="21"/>
          <w:szCs w:val="21"/>
        </w:rPr>
        <w:t>议解决〕的约定处理。</w:t>
      </w:r>
    </w:p>
    <w:p w14:paraId="22765E12">
      <w:pPr>
        <w:spacing w:before="1" w:line="231" w:lineRule="auto"/>
        <w:ind w:left="9"/>
        <w:outlineLvl w:val="1"/>
        <w:rPr>
          <w:rFonts w:ascii="黑体" w:hAnsi="黑体" w:eastAsia="黑体" w:cs="黑体"/>
          <w:sz w:val="24"/>
          <w:szCs w:val="24"/>
        </w:rPr>
      </w:pPr>
      <w:bookmarkStart w:id="349" w:name="bookmark260"/>
      <w:bookmarkEnd w:id="349"/>
      <w:r>
        <w:rPr>
          <w:rFonts w:ascii="Times New Roman" w:hAnsi="Times New Roman" w:eastAsia="Times New Roman" w:cs="Times New Roman"/>
          <w:b/>
          <w:bCs/>
          <w:spacing w:val="-3"/>
          <w:sz w:val="24"/>
          <w:szCs w:val="24"/>
        </w:rPr>
        <w:t xml:space="preserve">17.2  </w:t>
      </w:r>
      <w:r>
        <w:rPr>
          <w:rFonts w:ascii="黑体" w:hAnsi="黑体" w:eastAsia="黑体" w:cs="黑体"/>
          <w:b/>
          <w:bCs/>
          <w:spacing w:val="-3"/>
          <w:sz w:val="24"/>
          <w:szCs w:val="24"/>
        </w:rPr>
        <w:t>不可抗力的通知</w:t>
      </w:r>
    </w:p>
    <w:p w14:paraId="685A309F">
      <w:pPr>
        <w:spacing w:before="125" w:line="351" w:lineRule="auto"/>
        <w:ind w:left="14" w:firstLine="407"/>
        <w:rPr>
          <w:rFonts w:ascii="宋体" w:hAnsi="宋体" w:eastAsia="宋体" w:cs="宋体"/>
          <w:sz w:val="21"/>
          <w:szCs w:val="21"/>
        </w:rPr>
      </w:pPr>
      <w:r>
        <w:rPr>
          <w:rFonts w:ascii="宋体" w:hAnsi="宋体" w:eastAsia="宋体" w:cs="宋体"/>
          <w:sz w:val="21"/>
          <w:szCs w:val="21"/>
        </w:rPr>
        <w:t>合同一方当事人遇到不可抗力事件，使其履行合同义务受到阻碍时，应立即通知合</w:t>
      </w:r>
      <w:r>
        <w:rPr>
          <w:rFonts w:ascii="宋体" w:hAnsi="宋体" w:eastAsia="宋体" w:cs="宋体"/>
          <w:spacing w:val="-1"/>
          <w:sz w:val="21"/>
          <w:szCs w:val="21"/>
        </w:rPr>
        <w:t>同另一方当事人和监理人，书面说明不可抗力和受阻碍的详细情况，并提供必要的证明。</w:t>
      </w:r>
    </w:p>
    <w:p w14:paraId="1EFBCC6D">
      <w:pPr>
        <w:spacing w:before="1" w:line="344" w:lineRule="auto"/>
        <w:ind w:left="1" w:firstLine="423"/>
        <w:jc w:val="both"/>
        <w:rPr>
          <w:rFonts w:ascii="宋体" w:hAnsi="宋体" w:eastAsia="宋体" w:cs="宋体"/>
          <w:sz w:val="21"/>
          <w:szCs w:val="21"/>
        </w:rPr>
      </w:pPr>
      <w:r>
        <w:rPr>
          <w:rFonts w:ascii="宋体" w:hAnsi="宋体" w:eastAsia="宋体" w:cs="宋体"/>
          <w:sz w:val="21"/>
          <w:szCs w:val="21"/>
        </w:rPr>
        <w:t>不可抗力持续发生的，合同一方当事人应及时向合同另一方当事人和监理人</w:t>
      </w:r>
      <w:r>
        <w:rPr>
          <w:rFonts w:ascii="宋体" w:hAnsi="宋体" w:eastAsia="宋体" w:cs="宋体"/>
          <w:spacing w:val="-1"/>
          <w:sz w:val="21"/>
          <w:szCs w:val="21"/>
        </w:rPr>
        <w:t>提交中间报告，</w:t>
      </w:r>
      <w:r>
        <w:rPr>
          <w:rFonts w:ascii="宋体" w:hAnsi="宋体" w:eastAsia="宋体" w:cs="宋体"/>
          <w:sz w:val="21"/>
          <w:szCs w:val="21"/>
        </w:rPr>
        <w:t xml:space="preserve">说明不可抗力和履行合同受阻的情况，并于不可抗力事件结束后 </w:t>
      </w:r>
      <w:r>
        <w:rPr>
          <w:rFonts w:ascii="Times New Roman" w:hAnsi="Times New Roman" w:eastAsia="Times New Roman" w:cs="Times New Roman"/>
          <w:sz w:val="21"/>
          <w:szCs w:val="21"/>
        </w:rPr>
        <w:t xml:space="preserve">28  </w:t>
      </w:r>
      <w:r>
        <w:rPr>
          <w:rFonts w:ascii="宋体" w:hAnsi="宋体" w:eastAsia="宋体" w:cs="宋体"/>
          <w:sz w:val="21"/>
          <w:szCs w:val="21"/>
        </w:rPr>
        <w:t>天内提交最终报告</w:t>
      </w:r>
      <w:r>
        <w:rPr>
          <w:rFonts w:ascii="宋体" w:hAnsi="宋体" w:eastAsia="宋体" w:cs="宋体"/>
          <w:spacing w:val="-1"/>
          <w:sz w:val="21"/>
          <w:szCs w:val="21"/>
        </w:rPr>
        <w:t>及有关资</w:t>
      </w:r>
      <w:r>
        <w:rPr>
          <w:rFonts w:ascii="宋体" w:hAnsi="宋体" w:eastAsia="宋体" w:cs="宋体"/>
          <w:spacing w:val="-10"/>
          <w:sz w:val="21"/>
          <w:szCs w:val="21"/>
        </w:rPr>
        <w:t>料。</w:t>
      </w:r>
    </w:p>
    <w:p w14:paraId="16DED566">
      <w:pPr>
        <w:spacing w:before="2" w:line="231" w:lineRule="auto"/>
        <w:ind w:left="9"/>
        <w:outlineLvl w:val="1"/>
        <w:rPr>
          <w:rFonts w:ascii="黑体" w:hAnsi="黑体" w:eastAsia="黑体" w:cs="黑体"/>
          <w:sz w:val="24"/>
          <w:szCs w:val="24"/>
        </w:rPr>
      </w:pPr>
      <w:bookmarkStart w:id="350" w:name="bookmark261"/>
      <w:bookmarkEnd w:id="350"/>
      <w:r>
        <w:rPr>
          <w:rFonts w:ascii="Times New Roman" w:hAnsi="Times New Roman" w:eastAsia="Times New Roman" w:cs="Times New Roman"/>
          <w:b/>
          <w:bCs/>
          <w:spacing w:val="-2"/>
          <w:sz w:val="24"/>
          <w:szCs w:val="24"/>
        </w:rPr>
        <w:t xml:space="preserve">17.3  </w:t>
      </w:r>
      <w:r>
        <w:rPr>
          <w:rFonts w:ascii="黑体" w:hAnsi="黑体" w:eastAsia="黑体" w:cs="黑体"/>
          <w:b/>
          <w:bCs/>
          <w:spacing w:val="-2"/>
          <w:sz w:val="24"/>
          <w:szCs w:val="24"/>
        </w:rPr>
        <w:t>不可抗力后果的承担</w:t>
      </w:r>
    </w:p>
    <w:p w14:paraId="2D11AA59">
      <w:pPr>
        <w:spacing w:before="125" w:line="286" w:lineRule="auto"/>
        <w:ind w:left="5" w:right="31" w:firstLine="433"/>
        <w:rPr>
          <w:rFonts w:ascii="宋体" w:hAnsi="宋体" w:eastAsia="宋体" w:cs="宋体"/>
          <w:sz w:val="21"/>
          <w:szCs w:val="21"/>
        </w:rPr>
      </w:pPr>
      <w:r>
        <w:rPr>
          <w:rFonts w:ascii="Times New Roman" w:hAnsi="Times New Roman" w:eastAsia="Times New Roman" w:cs="Times New Roman"/>
          <w:spacing w:val="-1"/>
          <w:sz w:val="21"/>
          <w:szCs w:val="21"/>
        </w:rPr>
        <w:t xml:space="preserve">17.3.1  </w:t>
      </w:r>
      <w:r>
        <w:rPr>
          <w:rFonts w:ascii="宋体" w:hAnsi="宋体" w:eastAsia="宋体" w:cs="宋体"/>
          <w:spacing w:val="-1"/>
          <w:sz w:val="21"/>
          <w:szCs w:val="21"/>
        </w:rPr>
        <w:t>不可抗力引起的后果及造成的损失由合同当事人按照法律规定及合同约</w:t>
      </w:r>
      <w:r>
        <w:rPr>
          <w:rFonts w:ascii="宋体" w:hAnsi="宋体" w:eastAsia="宋体" w:cs="宋体"/>
          <w:spacing w:val="-2"/>
          <w:sz w:val="21"/>
          <w:szCs w:val="21"/>
        </w:rPr>
        <w:t>定各自承担。</w:t>
      </w:r>
      <w:r>
        <w:rPr>
          <w:rFonts w:ascii="宋体" w:hAnsi="宋体" w:eastAsia="宋体" w:cs="宋体"/>
          <w:sz w:val="21"/>
          <w:szCs w:val="21"/>
        </w:rPr>
        <w:t>不可抗力发生前已完成的工程应当按照合同约定进</w:t>
      </w:r>
      <w:r>
        <w:rPr>
          <w:rFonts w:ascii="宋体" w:hAnsi="宋体" w:eastAsia="宋体" w:cs="宋体"/>
          <w:spacing w:val="-1"/>
          <w:sz w:val="21"/>
          <w:szCs w:val="21"/>
        </w:rPr>
        <w:t>行计量支付。</w:t>
      </w:r>
    </w:p>
    <w:p w14:paraId="2DD57349">
      <w:pPr>
        <w:spacing w:before="149" w:line="286" w:lineRule="auto"/>
        <w:ind w:left="1" w:firstLine="436"/>
        <w:rPr>
          <w:rFonts w:ascii="宋体" w:hAnsi="宋体" w:eastAsia="宋体" w:cs="宋体"/>
          <w:sz w:val="21"/>
          <w:szCs w:val="21"/>
        </w:rPr>
      </w:pPr>
      <w:r>
        <w:rPr>
          <w:rFonts w:ascii="Times New Roman" w:hAnsi="Times New Roman" w:eastAsia="Times New Roman" w:cs="Times New Roman"/>
          <w:sz w:val="21"/>
          <w:szCs w:val="21"/>
        </w:rPr>
        <w:t xml:space="preserve">17.3.2  </w:t>
      </w:r>
      <w:r>
        <w:rPr>
          <w:rFonts w:ascii="宋体" w:hAnsi="宋体" w:eastAsia="宋体" w:cs="宋体"/>
          <w:sz w:val="21"/>
          <w:szCs w:val="21"/>
        </w:rPr>
        <w:t>不可抗力导致的人员伤亡、财产损失、</w:t>
      </w:r>
      <w:r>
        <w:rPr>
          <w:rFonts w:ascii="宋体" w:hAnsi="宋体" w:eastAsia="宋体" w:cs="宋体"/>
          <w:spacing w:val="-1"/>
          <w:sz w:val="21"/>
          <w:szCs w:val="21"/>
        </w:rPr>
        <w:t>费用增加和（或）工期延误等后果，由合同当事人按以下原则承担：</w:t>
      </w:r>
    </w:p>
    <w:p w14:paraId="37261F26">
      <w:pPr>
        <w:spacing w:before="151" w:line="285" w:lineRule="auto"/>
        <w:ind w:left="3" w:right="17" w:firstLine="4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）永久工程、已运至施工现场的材料和工程设备的损坏，以及因工程损坏造成的第</w:t>
      </w:r>
      <w:r>
        <w:rPr>
          <w:rFonts w:ascii="宋体" w:hAnsi="宋体" w:eastAsia="宋体" w:cs="宋体"/>
          <w:spacing w:val="1"/>
          <w:sz w:val="21"/>
          <w:szCs w:val="21"/>
        </w:rPr>
        <w:t>三人</w:t>
      </w:r>
      <w:r>
        <w:rPr>
          <w:rFonts w:ascii="宋体" w:hAnsi="宋体" w:eastAsia="宋体" w:cs="宋体"/>
          <w:spacing w:val="-2"/>
          <w:sz w:val="21"/>
          <w:szCs w:val="21"/>
        </w:rPr>
        <w:t>人员伤亡和财产损失由发包人承担；</w:t>
      </w:r>
    </w:p>
    <w:p w14:paraId="7189E138">
      <w:pPr>
        <w:spacing w:before="150"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）承包人施工设备的损坏由承包人承担；</w:t>
      </w:r>
    </w:p>
    <w:p w14:paraId="48F5CF43">
      <w:pPr>
        <w:spacing w:before="135"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）发包人和承包人承担各自人员伤亡和财产的损失；</w:t>
      </w:r>
    </w:p>
    <w:p w14:paraId="674DC98C">
      <w:pPr>
        <w:spacing w:before="133" w:line="286" w:lineRule="auto"/>
        <w:ind w:left="2"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）因不可抗力影响承包人履行合同约定的义务，已经引起或将引起工期延误的，应当顺</w:t>
      </w:r>
      <w:r>
        <w:rPr>
          <w:rFonts w:ascii="宋体" w:hAnsi="宋体" w:eastAsia="宋体" w:cs="宋体"/>
          <w:sz w:val="21"/>
          <w:szCs w:val="21"/>
        </w:rPr>
        <w:t>延工期，由此导致承包人停工的费用损失由发包人和承包人合理分担，停工期间必须支</w:t>
      </w:r>
      <w:r>
        <w:rPr>
          <w:rFonts w:ascii="宋体" w:hAnsi="宋体" w:eastAsia="宋体" w:cs="宋体"/>
          <w:spacing w:val="-1"/>
          <w:sz w:val="21"/>
          <w:szCs w:val="21"/>
        </w:rPr>
        <w:t>付的工人</w:t>
      </w:r>
    </w:p>
    <w:p w14:paraId="545DCB32">
      <w:pPr>
        <w:spacing w:line="286" w:lineRule="auto"/>
        <w:rPr>
          <w:rFonts w:ascii="宋体" w:hAnsi="宋体" w:eastAsia="宋体" w:cs="宋体"/>
          <w:sz w:val="21"/>
          <w:szCs w:val="21"/>
        </w:rPr>
        <w:sectPr>
          <w:footerReference r:id="rId125" w:type="default"/>
          <w:pgSz w:w="11905" w:h="16843"/>
          <w:pgMar w:top="969" w:right="1355" w:bottom="1026" w:left="1480" w:header="0" w:footer="754" w:gutter="0"/>
          <w:cols w:space="0" w:num="1"/>
          <w:rtlGutter w:val="0"/>
          <w:docGrid w:linePitch="0" w:charSpace="0"/>
        </w:sectPr>
      </w:pPr>
    </w:p>
    <w:p w14:paraId="51C0D9DD">
      <w:pPr>
        <w:pStyle w:val="5"/>
        <w:spacing w:line="270" w:lineRule="auto"/>
      </w:pPr>
    </w:p>
    <w:p w14:paraId="4675FDF6">
      <w:pPr>
        <w:pStyle w:val="5"/>
        <w:spacing w:line="270" w:lineRule="auto"/>
      </w:pPr>
    </w:p>
    <w:p w14:paraId="1D9751DE">
      <w:pPr>
        <w:pStyle w:val="5"/>
        <w:spacing w:line="270" w:lineRule="auto"/>
      </w:pPr>
    </w:p>
    <w:p w14:paraId="124FC426">
      <w:pPr>
        <w:pStyle w:val="5"/>
        <w:spacing w:line="271" w:lineRule="auto"/>
      </w:pPr>
    </w:p>
    <w:p w14:paraId="36C97477">
      <w:pPr>
        <w:spacing w:before="68" w:line="221" w:lineRule="auto"/>
        <w:ind w:left="3"/>
        <w:rPr>
          <w:rFonts w:ascii="宋体" w:hAnsi="宋体" w:eastAsia="宋体" w:cs="宋体"/>
          <w:sz w:val="21"/>
          <w:szCs w:val="21"/>
        </w:rPr>
      </w:pPr>
      <w:bookmarkStart w:id="351" w:name="bookmark582"/>
      <w:bookmarkEnd w:id="351"/>
      <w:r>
        <w:rPr>
          <w:rFonts w:ascii="宋体" w:hAnsi="宋体" w:eastAsia="宋体" w:cs="宋体"/>
          <w:spacing w:val="-4"/>
          <w:sz w:val="21"/>
          <w:szCs w:val="21"/>
        </w:rPr>
        <w:t>工资由发包人承担；</w:t>
      </w:r>
    </w:p>
    <w:p w14:paraId="15EA06CC">
      <w:pPr>
        <w:spacing w:before="150" w:line="286" w:lineRule="auto"/>
        <w:ind w:left="2" w:right="18" w:firstLine="4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5</w:t>
      </w:r>
      <w:r>
        <w:rPr>
          <w:rFonts w:ascii="宋体" w:hAnsi="宋体" w:eastAsia="宋体" w:cs="宋体"/>
          <w:spacing w:val="2"/>
          <w:sz w:val="21"/>
          <w:szCs w:val="21"/>
        </w:rPr>
        <w:t>）因不可抗力引起或将引起工期延误，发包人要求赶工的，由此增加的赶工费用</w:t>
      </w:r>
      <w:r>
        <w:rPr>
          <w:rFonts w:ascii="宋体" w:hAnsi="宋体" w:eastAsia="宋体" w:cs="宋体"/>
          <w:spacing w:val="1"/>
          <w:sz w:val="21"/>
          <w:szCs w:val="21"/>
        </w:rPr>
        <w:t>由发包</w:t>
      </w:r>
      <w:r>
        <w:rPr>
          <w:rFonts w:ascii="宋体" w:hAnsi="宋体" w:eastAsia="宋体" w:cs="宋体"/>
          <w:spacing w:val="-2"/>
          <w:sz w:val="21"/>
          <w:szCs w:val="21"/>
        </w:rPr>
        <w:t>人承担；</w:t>
      </w:r>
    </w:p>
    <w:p w14:paraId="059847E4">
      <w:pPr>
        <w:spacing w:before="148" w:line="234" w:lineRule="auto"/>
        <w:ind w:left="427"/>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6</w:t>
      </w:r>
      <w:r>
        <w:rPr>
          <w:rFonts w:ascii="宋体" w:hAnsi="宋体" w:eastAsia="宋体" w:cs="宋体"/>
          <w:sz w:val="21"/>
          <w:szCs w:val="21"/>
        </w:rPr>
        <w:t>）承包人在停工期间按照发包人要求照管、清理和修复工程的</w:t>
      </w:r>
      <w:r>
        <w:rPr>
          <w:rFonts w:ascii="宋体" w:hAnsi="宋体" w:eastAsia="宋体" w:cs="宋体"/>
          <w:spacing w:val="-1"/>
          <w:sz w:val="21"/>
          <w:szCs w:val="21"/>
        </w:rPr>
        <w:t>费用由发包人承担。</w:t>
      </w:r>
    </w:p>
    <w:p w14:paraId="3A42DD38">
      <w:pPr>
        <w:spacing w:before="134" w:line="351" w:lineRule="auto"/>
        <w:ind w:left="1" w:firstLine="422"/>
        <w:rPr>
          <w:rFonts w:ascii="宋体" w:hAnsi="宋体" w:eastAsia="宋体" w:cs="宋体"/>
          <w:sz w:val="21"/>
          <w:szCs w:val="21"/>
        </w:rPr>
      </w:pPr>
      <w:r>
        <w:rPr>
          <w:rFonts w:ascii="宋体" w:hAnsi="宋体" w:eastAsia="宋体" w:cs="宋体"/>
          <w:sz w:val="21"/>
          <w:szCs w:val="21"/>
        </w:rPr>
        <w:t>不可抗力发生后，合同当事人均应采取措施尽量避免和减少损失的扩大，任</w:t>
      </w:r>
      <w:r>
        <w:rPr>
          <w:rFonts w:ascii="宋体" w:hAnsi="宋体" w:eastAsia="宋体" w:cs="宋体"/>
          <w:spacing w:val="-1"/>
          <w:sz w:val="21"/>
          <w:szCs w:val="21"/>
        </w:rPr>
        <w:t>何一方当事人没有采取有效措施导致损失扩大的，应对扩大的损失承担责任。</w:t>
      </w:r>
    </w:p>
    <w:p w14:paraId="0580A923">
      <w:pPr>
        <w:spacing w:line="220" w:lineRule="auto"/>
        <w:ind w:left="437"/>
        <w:rPr>
          <w:rFonts w:ascii="宋体" w:hAnsi="宋体" w:eastAsia="宋体" w:cs="宋体"/>
          <w:sz w:val="21"/>
          <w:szCs w:val="21"/>
        </w:rPr>
      </w:pPr>
      <w:r>
        <w:rPr>
          <w:rFonts w:ascii="宋体" w:hAnsi="宋体" w:eastAsia="宋体" w:cs="宋体"/>
          <w:spacing w:val="-1"/>
          <w:sz w:val="21"/>
          <w:szCs w:val="21"/>
        </w:rPr>
        <w:t>因合同一方迟延履行合同义务，在迟延履行期间遭遇不可抗力的，不免除其违约责任。</w:t>
      </w:r>
    </w:p>
    <w:p w14:paraId="327E51E7">
      <w:pPr>
        <w:spacing w:before="125" w:line="232" w:lineRule="auto"/>
        <w:ind w:left="8"/>
        <w:outlineLvl w:val="1"/>
        <w:rPr>
          <w:rFonts w:ascii="黑体" w:hAnsi="黑体" w:eastAsia="黑体" w:cs="黑体"/>
          <w:sz w:val="24"/>
          <w:szCs w:val="24"/>
        </w:rPr>
      </w:pPr>
      <w:bookmarkStart w:id="352" w:name="bookmark262"/>
      <w:bookmarkEnd w:id="352"/>
      <w:r>
        <w:rPr>
          <w:rFonts w:ascii="Times New Roman" w:hAnsi="Times New Roman" w:eastAsia="Times New Roman" w:cs="Times New Roman"/>
          <w:b/>
          <w:bCs/>
          <w:spacing w:val="-5"/>
          <w:sz w:val="24"/>
          <w:szCs w:val="24"/>
        </w:rPr>
        <w:t>17.4</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因不可抗力解除合同</w:t>
      </w:r>
    </w:p>
    <w:p w14:paraId="65A44BA6">
      <w:pPr>
        <w:spacing w:before="124" w:line="346" w:lineRule="auto"/>
        <w:ind w:firstLine="437"/>
        <w:jc w:val="both"/>
        <w:rPr>
          <w:rFonts w:ascii="宋体" w:hAnsi="宋体" w:eastAsia="宋体" w:cs="宋体"/>
          <w:sz w:val="21"/>
          <w:szCs w:val="21"/>
        </w:rPr>
      </w:pPr>
      <w:r>
        <w:rPr>
          <w:rFonts w:ascii="宋体" w:hAnsi="宋体" w:eastAsia="宋体" w:cs="宋体"/>
          <w:spacing w:val="-2"/>
          <w:sz w:val="21"/>
          <w:szCs w:val="21"/>
        </w:rPr>
        <w:t xml:space="preserve">因不可抗力导致合同无法履行连续超过 </w:t>
      </w:r>
      <w:r>
        <w:rPr>
          <w:rFonts w:ascii="Times New Roman" w:hAnsi="Times New Roman" w:eastAsia="Times New Roman" w:cs="Times New Roman"/>
          <w:spacing w:val="-2"/>
          <w:sz w:val="21"/>
          <w:szCs w:val="21"/>
        </w:rPr>
        <w:t>84</w:t>
      </w:r>
      <w:r>
        <w:rPr>
          <w:rFonts w:ascii="Times New Roman" w:hAnsi="Times New Roman" w:eastAsia="Times New Roman" w:cs="Times New Roman"/>
          <w:spacing w:val="39"/>
          <w:w w:val="101"/>
          <w:sz w:val="21"/>
          <w:szCs w:val="21"/>
        </w:rPr>
        <w:t xml:space="preserve"> </w:t>
      </w:r>
      <w:r>
        <w:rPr>
          <w:rFonts w:ascii="宋体" w:hAnsi="宋体" w:eastAsia="宋体" w:cs="宋体"/>
          <w:spacing w:val="-2"/>
          <w:sz w:val="21"/>
          <w:szCs w:val="21"/>
        </w:rPr>
        <w:t xml:space="preserve">天或累计超过 </w:t>
      </w:r>
      <w:r>
        <w:rPr>
          <w:rFonts w:ascii="Times New Roman" w:hAnsi="Times New Roman" w:eastAsia="Times New Roman" w:cs="Times New Roman"/>
          <w:spacing w:val="-2"/>
          <w:sz w:val="21"/>
          <w:szCs w:val="21"/>
        </w:rPr>
        <w:t>140</w:t>
      </w:r>
      <w:r>
        <w:rPr>
          <w:rFonts w:ascii="Times New Roman" w:hAnsi="Times New Roman" w:eastAsia="Times New Roman" w:cs="Times New Roman"/>
          <w:spacing w:val="36"/>
          <w:w w:val="101"/>
          <w:sz w:val="21"/>
          <w:szCs w:val="21"/>
        </w:rPr>
        <w:t xml:space="preserve"> </w:t>
      </w:r>
      <w:r>
        <w:rPr>
          <w:rFonts w:ascii="宋体" w:hAnsi="宋体" w:eastAsia="宋体" w:cs="宋体"/>
          <w:spacing w:val="-2"/>
          <w:sz w:val="21"/>
          <w:szCs w:val="21"/>
        </w:rPr>
        <w:t>天的，</w:t>
      </w:r>
      <w:r>
        <w:rPr>
          <w:rFonts w:ascii="宋体" w:hAnsi="宋体" w:eastAsia="宋体" w:cs="宋体"/>
          <w:spacing w:val="-3"/>
          <w:sz w:val="21"/>
          <w:szCs w:val="21"/>
        </w:rPr>
        <w:t>发包人和承包人均有权</w:t>
      </w:r>
      <w:r>
        <w:rPr>
          <w:rFonts w:ascii="宋体" w:hAnsi="宋体" w:eastAsia="宋体" w:cs="宋体"/>
          <w:sz w:val="21"/>
          <w:szCs w:val="21"/>
        </w:rPr>
        <w:t>解除合同。合同解除后，由双方当事人按照第</w:t>
      </w:r>
      <w:r>
        <w:rPr>
          <w:rFonts w:ascii="宋体" w:hAnsi="宋体" w:eastAsia="宋体" w:cs="宋体"/>
          <w:spacing w:val="-25"/>
          <w:sz w:val="21"/>
          <w:szCs w:val="21"/>
        </w:rPr>
        <w:t xml:space="preserve"> </w:t>
      </w:r>
      <w:r>
        <w:rPr>
          <w:rFonts w:ascii="Times New Roman" w:hAnsi="Times New Roman" w:eastAsia="Times New Roman" w:cs="Times New Roman"/>
          <w:sz w:val="21"/>
          <w:szCs w:val="21"/>
        </w:rPr>
        <w:t>4.4</w:t>
      </w:r>
      <w:r>
        <w:rPr>
          <w:rFonts w:ascii="Times New Roman" w:hAnsi="Times New Roman" w:eastAsia="Times New Roman" w:cs="Times New Roman"/>
          <w:spacing w:val="33"/>
          <w:w w:val="101"/>
          <w:sz w:val="21"/>
          <w:szCs w:val="21"/>
        </w:rPr>
        <w:t xml:space="preserve"> </w:t>
      </w:r>
      <w:r>
        <w:rPr>
          <w:rFonts w:ascii="宋体" w:hAnsi="宋体" w:eastAsia="宋体" w:cs="宋体"/>
          <w:sz w:val="21"/>
          <w:szCs w:val="21"/>
        </w:rPr>
        <w:t>款〔商定或确定〕商</w:t>
      </w:r>
      <w:r>
        <w:rPr>
          <w:rFonts w:ascii="宋体" w:hAnsi="宋体" w:eastAsia="宋体" w:cs="宋体"/>
          <w:spacing w:val="-1"/>
          <w:sz w:val="21"/>
          <w:szCs w:val="21"/>
        </w:rPr>
        <w:t>定或确定发包人应支付的</w:t>
      </w:r>
      <w:r>
        <w:rPr>
          <w:rFonts w:ascii="宋体" w:hAnsi="宋体" w:eastAsia="宋体" w:cs="宋体"/>
          <w:spacing w:val="-4"/>
          <w:sz w:val="21"/>
          <w:szCs w:val="21"/>
        </w:rPr>
        <w:t>款项，该款项包括：</w:t>
      </w:r>
    </w:p>
    <w:p w14:paraId="54AC65D0">
      <w:pPr>
        <w:spacing w:before="20" w:line="233"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）合同解除前承包人已完成工作的价款；</w:t>
      </w:r>
    </w:p>
    <w:p w14:paraId="541A2E57">
      <w:pPr>
        <w:spacing w:before="133" w:line="286" w:lineRule="auto"/>
        <w:ind w:left="1" w:right="18" w:firstLine="425"/>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2</w:t>
      </w:r>
      <w:r>
        <w:rPr>
          <w:rFonts w:ascii="宋体" w:hAnsi="宋体" w:eastAsia="宋体" w:cs="宋体"/>
          <w:spacing w:val="2"/>
          <w:sz w:val="21"/>
          <w:szCs w:val="21"/>
        </w:rPr>
        <w:t>）承包人为工程订购的并已交付给承包人，或承包人有责任接受交付的材料、工</w:t>
      </w:r>
      <w:r>
        <w:rPr>
          <w:rFonts w:ascii="宋体" w:hAnsi="宋体" w:eastAsia="宋体" w:cs="宋体"/>
          <w:spacing w:val="1"/>
          <w:sz w:val="21"/>
          <w:szCs w:val="21"/>
        </w:rPr>
        <w:t>程设备</w:t>
      </w:r>
      <w:r>
        <w:rPr>
          <w:rFonts w:ascii="宋体" w:hAnsi="宋体" w:eastAsia="宋体" w:cs="宋体"/>
          <w:spacing w:val="-4"/>
          <w:sz w:val="21"/>
          <w:szCs w:val="21"/>
        </w:rPr>
        <w:t>和其他物品的价款；</w:t>
      </w:r>
    </w:p>
    <w:p w14:paraId="42751A70">
      <w:pPr>
        <w:spacing w:before="152" w:line="286" w:lineRule="auto"/>
        <w:ind w:left="2" w:right="21" w:firstLine="424"/>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）发包人要求承包人退货或解除订货合同而产生的费用，或因不能退货或</w:t>
      </w:r>
      <w:r>
        <w:rPr>
          <w:rFonts w:ascii="宋体" w:hAnsi="宋体" w:eastAsia="宋体" w:cs="宋体"/>
          <w:spacing w:val="1"/>
          <w:sz w:val="21"/>
          <w:szCs w:val="21"/>
        </w:rPr>
        <w:t>解除合同而产</w:t>
      </w:r>
      <w:r>
        <w:rPr>
          <w:rFonts w:ascii="宋体" w:hAnsi="宋体" w:eastAsia="宋体" w:cs="宋体"/>
          <w:spacing w:val="-7"/>
          <w:sz w:val="21"/>
          <w:szCs w:val="21"/>
        </w:rPr>
        <w:t>生的损失；</w:t>
      </w:r>
    </w:p>
    <w:p w14:paraId="37AE3C92">
      <w:pPr>
        <w:spacing w:before="149"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4</w:t>
      </w:r>
      <w:r>
        <w:rPr>
          <w:rFonts w:ascii="宋体" w:hAnsi="宋体" w:eastAsia="宋体" w:cs="宋体"/>
          <w:spacing w:val="-2"/>
          <w:sz w:val="21"/>
          <w:szCs w:val="21"/>
        </w:rPr>
        <w:t>）承包人撤离施工现场以及遣散承包人人员的费用；</w:t>
      </w:r>
    </w:p>
    <w:p w14:paraId="40591A37">
      <w:pPr>
        <w:spacing w:before="135" w:line="234"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5</w:t>
      </w:r>
      <w:r>
        <w:rPr>
          <w:rFonts w:ascii="宋体" w:hAnsi="宋体" w:eastAsia="宋体" w:cs="宋体"/>
          <w:spacing w:val="-1"/>
          <w:sz w:val="21"/>
          <w:szCs w:val="21"/>
        </w:rPr>
        <w:t>）按照合同约定在合同解除前应支付给承</w:t>
      </w:r>
      <w:r>
        <w:rPr>
          <w:rFonts w:ascii="宋体" w:hAnsi="宋体" w:eastAsia="宋体" w:cs="宋体"/>
          <w:spacing w:val="-2"/>
          <w:sz w:val="21"/>
          <w:szCs w:val="21"/>
        </w:rPr>
        <w:t>包人的其他款项；</w:t>
      </w:r>
    </w:p>
    <w:p w14:paraId="4DFC3240">
      <w:pPr>
        <w:spacing w:before="132" w:line="234" w:lineRule="auto"/>
        <w:ind w:left="427"/>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6</w:t>
      </w:r>
      <w:r>
        <w:rPr>
          <w:rFonts w:ascii="宋体" w:hAnsi="宋体" w:eastAsia="宋体" w:cs="宋体"/>
          <w:spacing w:val="-2"/>
          <w:sz w:val="21"/>
          <w:szCs w:val="21"/>
        </w:rPr>
        <w:t>）扣减承包人按照合同约定应向发包人支付的款项；</w:t>
      </w:r>
    </w:p>
    <w:p w14:paraId="5D1762DB">
      <w:pPr>
        <w:spacing w:before="134" w:line="235" w:lineRule="auto"/>
        <w:ind w:left="427"/>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7</w:t>
      </w:r>
      <w:r>
        <w:rPr>
          <w:rFonts w:ascii="宋体" w:hAnsi="宋体" w:eastAsia="宋体" w:cs="宋体"/>
          <w:spacing w:val="-1"/>
          <w:sz w:val="21"/>
          <w:szCs w:val="21"/>
        </w:rPr>
        <w:t>）双方商定或确定的其他款项。</w:t>
      </w:r>
    </w:p>
    <w:p w14:paraId="1567D2C6">
      <w:pPr>
        <w:spacing w:before="134" w:line="342" w:lineRule="auto"/>
        <w:ind w:left="2" w:firstLine="430"/>
        <w:rPr>
          <w:rFonts w:ascii="宋体" w:hAnsi="宋体" w:eastAsia="宋体" w:cs="宋体"/>
          <w:sz w:val="21"/>
          <w:szCs w:val="21"/>
        </w:rPr>
      </w:pPr>
      <w:r>
        <w:rPr>
          <w:rFonts w:ascii="宋体" w:hAnsi="宋体" w:eastAsia="宋体" w:cs="宋体"/>
          <w:sz w:val="21"/>
          <w:szCs w:val="21"/>
        </w:rPr>
        <w:t>除专用合同条款另有约定外，合同解除后，发包人应在商定或</w:t>
      </w:r>
      <w:r>
        <w:rPr>
          <w:rFonts w:ascii="宋体" w:hAnsi="宋体" w:eastAsia="宋体" w:cs="宋体"/>
          <w:spacing w:val="-1"/>
          <w:sz w:val="21"/>
          <w:szCs w:val="21"/>
        </w:rPr>
        <w:t xml:space="preserve">确定上述款项后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天内完成上述款项的支付。</w:t>
      </w:r>
    </w:p>
    <w:p w14:paraId="34AAFA7F">
      <w:pPr>
        <w:spacing w:before="59" w:line="234" w:lineRule="auto"/>
        <w:ind w:left="11"/>
        <w:outlineLvl w:val="0"/>
        <w:rPr>
          <w:rFonts w:ascii="黑体" w:hAnsi="黑体" w:eastAsia="黑体" w:cs="黑体"/>
          <w:sz w:val="28"/>
          <w:szCs w:val="28"/>
        </w:rPr>
      </w:pPr>
      <w:bookmarkStart w:id="353" w:name="bookmark263"/>
      <w:bookmarkEnd w:id="353"/>
      <w:r>
        <w:rPr>
          <w:rFonts w:ascii="Times New Roman" w:hAnsi="Times New Roman" w:eastAsia="Times New Roman" w:cs="Times New Roman"/>
          <w:b/>
          <w:bCs/>
          <w:spacing w:val="-6"/>
          <w:sz w:val="28"/>
          <w:szCs w:val="28"/>
        </w:rPr>
        <w:t>18.</w:t>
      </w:r>
      <w:r>
        <w:rPr>
          <w:rFonts w:ascii="Times New Roman" w:hAnsi="Times New Roman" w:eastAsia="Times New Roman" w:cs="Times New Roman"/>
          <w:b/>
          <w:bCs/>
          <w:spacing w:val="5"/>
          <w:sz w:val="28"/>
          <w:szCs w:val="28"/>
        </w:rPr>
        <w:t xml:space="preserve">  </w:t>
      </w:r>
      <w:r>
        <w:rPr>
          <w:rFonts w:ascii="黑体" w:hAnsi="黑体" w:eastAsia="黑体" w:cs="黑体"/>
          <w:b/>
          <w:bCs/>
          <w:spacing w:val="-6"/>
          <w:sz w:val="28"/>
          <w:szCs w:val="28"/>
        </w:rPr>
        <w:t>保险</w:t>
      </w:r>
    </w:p>
    <w:p w14:paraId="4583841E">
      <w:pPr>
        <w:spacing w:before="81" w:line="233" w:lineRule="auto"/>
        <w:ind w:left="8"/>
        <w:outlineLvl w:val="1"/>
        <w:rPr>
          <w:rFonts w:ascii="黑体" w:hAnsi="黑体" w:eastAsia="黑体" w:cs="黑体"/>
          <w:sz w:val="24"/>
          <w:szCs w:val="24"/>
        </w:rPr>
      </w:pPr>
      <w:bookmarkStart w:id="354" w:name="bookmark264"/>
      <w:bookmarkEnd w:id="354"/>
      <w:r>
        <w:rPr>
          <w:rFonts w:ascii="Times New Roman" w:hAnsi="Times New Roman" w:eastAsia="Times New Roman" w:cs="Times New Roman"/>
          <w:b/>
          <w:bCs/>
          <w:spacing w:val="-3"/>
          <w:sz w:val="24"/>
          <w:szCs w:val="24"/>
        </w:rPr>
        <w:t xml:space="preserve">18.1  </w:t>
      </w:r>
      <w:r>
        <w:rPr>
          <w:rFonts w:ascii="黑体" w:hAnsi="黑体" w:eastAsia="黑体" w:cs="黑体"/>
          <w:b/>
          <w:bCs/>
          <w:spacing w:val="-3"/>
          <w:sz w:val="24"/>
          <w:szCs w:val="24"/>
        </w:rPr>
        <w:t>工程保险</w:t>
      </w:r>
    </w:p>
    <w:p w14:paraId="68EB0736">
      <w:pPr>
        <w:spacing w:before="124" w:line="340" w:lineRule="auto"/>
        <w:ind w:firstLine="432"/>
        <w:rPr>
          <w:rFonts w:ascii="宋体" w:hAnsi="宋体" w:eastAsia="宋体" w:cs="宋体"/>
          <w:sz w:val="21"/>
          <w:szCs w:val="21"/>
        </w:rPr>
      </w:pPr>
      <w:r>
        <w:rPr>
          <w:rFonts w:ascii="宋体" w:hAnsi="宋体" w:eastAsia="宋体" w:cs="宋体"/>
          <w:sz w:val="21"/>
          <w:szCs w:val="21"/>
        </w:rPr>
        <w:t>除专用合同条款另有约定外，发包人应投保建筑工程一</w:t>
      </w:r>
      <w:r>
        <w:rPr>
          <w:rFonts w:ascii="宋体" w:hAnsi="宋体" w:eastAsia="宋体" w:cs="宋体"/>
          <w:spacing w:val="-1"/>
          <w:sz w:val="21"/>
          <w:szCs w:val="21"/>
        </w:rPr>
        <w:t>切险或安装工程一切险；发包人委托</w:t>
      </w:r>
      <w:r>
        <w:rPr>
          <w:rFonts w:ascii="宋体" w:hAnsi="宋体" w:eastAsia="宋体" w:cs="宋体"/>
          <w:sz w:val="21"/>
          <w:szCs w:val="21"/>
        </w:rPr>
        <w:t>承包人投保的，因投保产生的保险费和其他相关费用由发包人</w:t>
      </w:r>
      <w:r>
        <w:rPr>
          <w:rFonts w:ascii="宋体" w:hAnsi="宋体" w:eastAsia="宋体" w:cs="宋体"/>
          <w:spacing w:val="-1"/>
          <w:sz w:val="21"/>
          <w:szCs w:val="21"/>
        </w:rPr>
        <w:t>承担。</w:t>
      </w:r>
    </w:p>
    <w:p w14:paraId="115E7D48">
      <w:pPr>
        <w:spacing w:before="1" w:line="233" w:lineRule="auto"/>
        <w:ind w:left="8"/>
        <w:outlineLvl w:val="1"/>
        <w:rPr>
          <w:rFonts w:ascii="黑体" w:hAnsi="黑体" w:eastAsia="黑体" w:cs="黑体"/>
          <w:sz w:val="24"/>
          <w:szCs w:val="24"/>
        </w:rPr>
      </w:pPr>
      <w:bookmarkStart w:id="355" w:name="bookmark265"/>
      <w:bookmarkEnd w:id="355"/>
      <w:r>
        <w:rPr>
          <w:rFonts w:ascii="Times New Roman" w:hAnsi="Times New Roman" w:eastAsia="Times New Roman" w:cs="Times New Roman"/>
          <w:b/>
          <w:bCs/>
          <w:spacing w:val="-3"/>
          <w:sz w:val="24"/>
          <w:szCs w:val="24"/>
        </w:rPr>
        <w:t xml:space="preserve">18.2  </w:t>
      </w:r>
      <w:r>
        <w:rPr>
          <w:rFonts w:ascii="黑体" w:hAnsi="黑体" w:eastAsia="黑体" w:cs="黑体"/>
          <w:b/>
          <w:bCs/>
          <w:spacing w:val="-3"/>
          <w:sz w:val="24"/>
          <w:szCs w:val="24"/>
        </w:rPr>
        <w:t>工伤保险</w:t>
      </w:r>
    </w:p>
    <w:p w14:paraId="61A3B90E">
      <w:pPr>
        <w:spacing w:before="122" w:line="286" w:lineRule="auto"/>
        <w:ind w:left="2" w:firstLine="434"/>
        <w:rPr>
          <w:rFonts w:ascii="宋体" w:hAnsi="宋体" w:eastAsia="宋体" w:cs="宋体"/>
          <w:sz w:val="21"/>
          <w:szCs w:val="21"/>
        </w:rPr>
      </w:pPr>
      <w:r>
        <w:rPr>
          <w:rFonts w:ascii="Times New Roman" w:hAnsi="Times New Roman" w:eastAsia="Times New Roman" w:cs="Times New Roman"/>
          <w:sz w:val="21"/>
          <w:szCs w:val="21"/>
        </w:rPr>
        <w:t xml:space="preserve">18.2.1  </w:t>
      </w:r>
      <w:r>
        <w:rPr>
          <w:rFonts w:ascii="宋体" w:hAnsi="宋体" w:eastAsia="宋体" w:cs="宋体"/>
          <w:sz w:val="21"/>
          <w:szCs w:val="21"/>
        </w:rPr>
        <w:t>发包人应依照法律规定参加工伤保险，</w:t>
      </w:r>
      <w:r>
        <w:rPr>
          <w:rFonts w:ascii="宋体" w:hAnsi="宋体" w:eastAsia="宋体" w:cs="宋体"/>
          <w:spacing w:val="-1"/>
          <w:sz w:val="21"/>
          <w:szCs w:val="21"/>
        </w:rPr>
        <w:t>并为在施工现场的全部员工办理工伤保险，缴</w:t>
      </w:r>
      <w:r>
        <w:rPr>
          <w:rFonts w:ascii="宋体" w:hAnsi="宋体" w:eastAsia="宋体" w:cs="宋体"/>
          <w:sz w:val="21"/>
          <w:szCs w:val="21"/>
        </w:rPr>
        <w:t>纳工伤保险费，并要求监理人及由发包人为</w:t>
      </w:r>
      <w:r>
        <w:rPr>
          <w:rFonts w:ascii="宋体" w:hAnsi="宋体" w:eastAsia="宋体" w:cs="宋体"/>
          <w:spacing w:val="-1"/>
          <w:sz w:val="21"/>
          <w:szCs w:val="21"/>
        </w:rPr>
        <w:t>履行合同聘请的第三方依法参加工伤保险。</w:t>
      </w:r>
    </w:p>
    <w:p w14:paraId="18E1A80C">
      <w:pPr>
        <w:spacing w:before="149" w:line="286" w:lineRule="auto"/>
        <w:ind w:left="2" w:firstLine="434"/>
        <w:rPr>
          <w:rFonts w:ascii="宋体" w:hAnsi="宋体" w:eastAsia="宋体" w:cs="宋体"/>
          <w:sz w:val="21"/>
          <w:szCs w:val="21"/>
        </w:rPr>
      </w:pPr>
      <w:r>
        <w:rPr>
          <w:rFonts w:ascii="Times New Roman" w:hAnsi="Times New Roman" w:eastAsia="Times New Roman" w:cs="Times New Roman"/>
          <w:sz w:val="21"/>
          <w:szCs w:val="21"/>
        </w:rPr>
        <w:t xml:space="preserve">18.2.2  </w:t>
      </w:r>
      <w:r>
        <w:rPr>
          <w:rFonts w:ascii="宋体" w:hAnsi="宋体" w:eastAsia="宋体" w:cs="宋体"/>
          <w:sz w:val="21"/>
          <w:szCs w:val="21"/>
        </w:rPr>
        <w:t>承包人应依照法律规定参加工伤保险，</w:t>
      </w:r>
      <w:r>
        <w:rPr>
          <w:rFonts w:ascii="宋体" w:hAnsi="宋体" w:eastAsia="宋体" w:cs="宋体"/>
          <w:spacing w:val="-1"/>
          <w:sz w:val="21"/>
          <w:szCs w:val="21"/>
        </w:rPr>
        <w:t>并为其履行合同的全部员工办理工伤保险，缴</w:t>
      </w:r>
      <w:r>
        <w:rPr>
          <w:rFonts w:ascii="宋体" w:hAnsi="宋体" w:eastAsia="宋体" w:cs="宋体"/>
          <w:sz w:val="21"/>
          <w:szCs w:val="21"/>
        </w:rPr>
        <w:t>纳工伤保险费，并要求分包人及由承包人为</w:t>
      </w:r>
      <w:r>
        <w:rPr>
          <w:rFonts w:ascii="宋体" w:hAnsi="宋体" w:eastAsia="宋体" w:cs="宋体"/>
          <w:spacing w:val="-1"/>
          <w:sz w:val="21"/>
          <w:szCs w:val="21"/>
        </w:rPr>
        <w:t>履行合同聘请的第三方依法参加工伤保险。</w:t>
      </w:r>
    </w:p>
    <w:p w14:paraId="47471BE1">
      <w:pPr>
        <w:spacing w:before="126" w:line="233" w:lineRule="auto"/>
        <w:ind w:left="8"/>
        <w:outlineLvl w:val="1"/>
        <w:rPr>
          <w:rFonts w:ascii="黑体" w:hAnsi="黑体" w:eastAsia="黑体" w:cs="黑体"/>
          <w:sz w:val="24"/>
          <w:szCs w:val="24"/>
        </w:rPr>
      </w:pPr>
      <w:bookmarkStart w:id="356" w:name="bookmark266"/>
      <w:bookmarkEnd w:id="356"/>
      <w:r>
        <w:rPr>
          <w:rFonts w:ascii="Times New Roman" w:hAnsi="Times New Roman" w:eastAsia="Times New Roman" w:cs="Times New Roman"/>
          <w:b/>
          <w:bCs/>
          <w:spacing w:val="-5"/>
          <w:sz w:val="24"/>
          <w:szCs w:val="24"/>
        </w:rPr>
        <w:t>18.3</w:t>
      </w:r>
      <w:r>
        <w:rPr>
          <w:rFonts w:ascii="Times New Roman" w:hAnsi="Times New Roman" w:eastAsia="Times New Roman" w:cs="Times New Roman"/>
          <w:b/>
          <w:bCs/>
          <w:spacing w:val="17"/>
          <w:sz w:val="24"/>
          <w:szCs w:val="24"/>
        </w:rPr>
        <w:t xml:space="preserve"> </w:t>
      </w:r>
      <w:r>
        <w:rPr>
          <w:rFonts w:ascii="黑体" w:hAnsi="黑体" w:eastAsia="黑体" w:cs="黑体"/>
          <w:b/>
          <w:bCs/>
          <w:spacing w:val="-5"/>
          <w:sz w:val="24"/>
          <w:szCs w:val="24"/>
        </w:rPr>
        <w:t>其他保险</w:t>
      </w:r>
    </w:p>
    <w:p w14:paraId="293CA2D5">
      <w:pPr>
        <w:spacing w:before="121" w:line="354" w:lineRule="auto"/>
        <w:ind w:firstLine="424"/>
        <w:rPr>
          <w:rFonts w:ascii="宋体" w:hAnsi="宋体" w:eastAsia="宋体" w:cs="宋体"/>
          <w:sz w:val="21"/>
          <w:szCs w:val="21"/>
        </w:rPr>
      </w:pPr>
      <w:r>
        <w:rPr>
          <w:rFonts w:ascii="宋体" w:hAnsi="宋体" w:eastAsia="宋体" w:cs="宋体"/>
          <w:sz w:val="21"/>
          <w:szCs w:val="21"/>
        </w:rPr>
        <w:t>发包人和承包人可以为其施工现场的全部人员办理意外伤害保险并支付保险</w:t>
      </w:r>
      <w:r>
        <w:rPr>
          <w:rFonts w:ascii="宋体" w:hAnsi="宋体" w:eastAsia="宋体" w:cs="宋体"/>
          <w:spacing w:val="-1"/>
          <w:sz w:val="21"/>
          <w:szCs w:val="21"/>
        </w:rPr>
        <w:t>费，包括其员工及为履行合同聘请的第三方的人员，具体事项由合同当事人在专用合同条款约定。</w:t>
      </w:r>
    </w:p>
    <w:p w14:paraId="5E7A81C7">
      <w:pPr>
        <w:spacing w:line="354" w:lineRule="auto"/>
        <w:rPr>
          <w:rFonts w:ascii="宋体" w:hAnsi="宋体" w:eastAsia="宋体" w:cs="宋体"/>
          <w:sz w:val="21"/>
          <w:szCs w:val="21"/>
        </w:rPr>
        <w:sectPr>
          <w:footerReference r:id="rId126" w:type="default"/>
          <w:pgSz w:w="11905" w:h="16843"/>
          <w:pgMar w:top="969" w:right="1355" w:bottom="1026" w:left="1480" w:header="0" w:footer="754" w:gutter="0"/>
          <w:cols w:space="0" w:num="1"/>
          <w:rtlGutter w:val="0"/>
          <w:docGrid w:linePitch="0" w:charSpace="0"/>
        </w:sectPr>
      </w:pPr>
    </w:p>
    <w:p w14:paraId="328FD37C">
      <w:pPr>
        <w:pStyle w:val="5"/>
        <w:spacing w:line="270" w:lineRule="auto"/>
      </w:pPr>
    </w:p>
    <w:p w14:paraId="50CDF48A">
      <w:pPr>
        <w:pStyle w:val="5"/>
        <w:spacing w:line="270" w:lineRule="auto"/>
      </w:pPr>
    </w:p>
    <w:p w14:paraId="1D759AD4">
      <w:pPr>
        <w:pStyle w:val="5"/>
        <w:spacing w:line="270" w:lineRule="auto"/>
      </w:pPr>
    </w:p>
    <w:p w14:paraId="745732EE">
      <w:pPr>
        <w:pStyle w:val="5"/>
        <w:spacing w:line="271" w:lineRule="auto"/>
      </w:pPr>
    </w:p>
    <w:p w14:paraId="45034DEC">
      <w:pPr>
        <w:spacing w:before="68" w:line="221" w:lineRule="auto"/>
        <w:ind w:left="432"/>
        <w:rPr>
          <w:rFonts w:ascii="宋体" w:hAnsi="宋体" w:eastAsia="宋体" w:cs="宋体"/>
          <w:sz w:val="21"/>
          <w:szCs w:val="21"/>
        </w:rPr>
      </w:pPr>
      <w:r>
        <w:rPr>
          <w:rFonts w:ascii="宋体" w:hAnsi="宋体" w:eastAsia="宋体" w:cs="宋体"/>
          <w:spacing w:val="-1"/>
          <w:sz w:val="21"/>
          <w:szCs w:val="21"/>
        </w:rPr>
        <w:t>除专用合同条款另有约定外，承包人应为其施工设备等办理财产保险。</w:t>
      </w:r>
    </w:p>
    <w:p w14:paraId="088F29B7">
      <w:pPr>
        <w:spacing w:before="125" w:line="233" w:lineRule="auto"/>
        <w:ind w:left="7"/>
        <w:outlineLvl w:val="1"/>
        <w:rPr>
          <w:rFonts w:ascii="黑体" w:hAnsi="黑体" w:eastAsia="黑体" w:cs="黑体"/>
          <w:sz w:val="24"/>
          <w:szCs w:val="24"/>
        </w:rPr>
      </w:pPr>
      <w:bookmarkStart w:id="357" w:name="bookmark583"/>
      <w:bookmarkEnd w:id="357"/>
      <w:bookmarkStart w:id="358" w:name="bookmark267"/>
      <w:bookmarkEnd w:id="358"/>
      <w:r>
        <w:rPr>
          <w:rFonts w:ascii="Times New Roman" w:hAnsi="Times New Roman" w:eastAsia="Times New Roman" w:cs="Times New Roman"/>
          <w:b/>
          <w:bCs/>
          <w:spacing w:val="-3"/>
          <w:sz w:val="24"/>
          <w:szCs w:val="24"/>
        </w:rPr>
        <w:t xml:space="preserve">18.4 </w:t>
      </w:r>
      <w:r>
        <w:rPr>
          <w:rFonts w:ascii="黑体" w:hAnsi="黑体" w:eastAsia="黑体" w:cs="黑体"/>
          <w:b/>
          <w:bCs/>
          <w:spacing w:val="-3"/>
          <w:sz w:val="24"/>
          <w:szCs w:val="24"/>
        </w:rPr>
        <w:t>持续保险</w:t>
      </w:r>
    </w:p>
    <w:p w14:paraId="145ED3F3">
      <w:pPr>
        <w:spacing w:before="123" w:line="340" w:lineRule="auto"/>
        <w:ind w:firstLine="420"/>
        <w:rPr>
          <w:rFonts w:ascii="宋体" w:hAnsi="宋体" w:eastAsia="宋体" w:cs="宋体"/>
          <w:sz w:val="21"/>
          <w:szCs w:val="21"/>
        </w:rPr>
      </w:pPr>
      <w:r>
        <w:rPr>
          <w:rFonts w:ascii="宋体" w:hAnsi="宋体" w:eastAsia="宋体" w:cs="宋体"/>
          <w:sz w:val="21"/>
          <w:szCs w:val="21"/>
        </w:rPr>
        <w:t>合同当事人应与保险人保持联系，使保险人能够随时了解工程实施中的变动，并确</w:t>
      </w:r>
      <w:r>
        <w:rPr>
          <w:rFonts w:ascii="宋体" w:hAnsi="宋体" w:eastAsia="宋体" w:cs="宋体"/>
          <w:spacing w:val="-1"/>
          <w:sz w:val="21"/>
          <w:szCs w:val="21"/>
        </w:rPr>
        <w:t>保按保险</w:t>
      </w:r>
      <w:r>
        <w:rPr>
          <w:rFonts w:ascii="宋体" w:hAnsi="宋体" w:eastAsia="宋体" w:cs="宋体"/>
          <w:spacing w:val="-2"/>
          <w:sz w:val="21"/>
          <w:szCs w:val="21"/>
        </w:rPr>
        <w:t>合同条款要求持续保险。</w:t>
      </w:r>
    </w:p>
    <w:p w14:paraId="1A95C400">
      <w:pPr>
        <w:spacing w:before="1" w:line="231" w:lineRule="auto"/>
        <w:ind w:left="7"/>
        <w:outlineLvl w:val="1"/>
        <w:rPr>
          <w:rFonts w:ascii="黑体" w:hAnsi="黑体" w:eastAsia="黑体" w:cs="黑体"/>
          <w:sz w:val="24"/>
          <w:szCs w:val="24"/>
        </w:rPr>
      </w:pPr>
      <w:bookmarkStart w:id="359" w:name="bookmark268"/>
      <w:bookmarkEnd w:id="359"/>
      <w:r>
        <w:rPr>
          <w:rFonts w:ascii="Times New Roman" w:hAnsi="Times New Roman" w:eastAsia="Times New Roman" w:cs="Times New Roman"/>
          <w:b/>
          <w:bCs/>
          <w:spacing w:val="-3"/>
          <w:sz w:val="24"/>
          <w:szCs w:val="24"/>
        </w:rPr>
        <w:t xml:space="preserve">18.5  </w:t>
      </w:r>
      <w:r>
        <w:rPr>
          <w:rFonts w:ascii="黑体" w:hAnsi="黑体" w:eastAsia="黑体" w:cs="黑体"/>
          <w:b/>
          <w:bCs/>
          <w:spacing w:val="-3"/>
          <w:sz w:val="24"/>
          <w:szCs w:val="24"/>
        </w:rPr>
        <w:t>保险凭证</w:t>
      </w:r>
    </w:p>
    <w:p w14:paraId="58B1931A">
      <w:pPr>
        <w:spacing w:before="123" w:line="221" w:lineRule="auto"/>
        <w:ind w:left="420"/>
        <w:rPr>
          <w:rFonts w:ascii="宋体" w:hAnsi="宋体" w:eastAsia="宋体" w:cs="宋体"/>
          <w:sz w:val="21"/>
          <w:szCs w:val="21"/>
        </w:rPr>
      </w:pPr>
      <w:r>
        <w:rPr>
          <w:rFonts w:ascii="宋体" w:hAnsi="宋体" w:eastAsia="宋体" w:cs="宋体"/>
          <w:sz w:val="21"/>
          <w:szCs w:val="21"/>
        </w:rPr>
        <w:t>合同当事人应及时向另一方当事人提交其已投保的各项保险的凭证和保险单复印</w:t>
      </w:r>
      <w:r>
        <w:rPr>
          <w:rFonts w:ascii="宋体" w:hAnsi="宋体" w:eastAsia="宋体" w:cs="宋体"/>
          <w:spacing w:val="-1"/>
          <w:sz w:val="21"/>
          <w:szCs w:val="21"/>
        </w:rPr>
        <w:t>件。</w:t>
      </w:r>
    </w:p>
    <w:p w14:paraId="4112D9E6">
      <w:pPr>
        <w:spacing w:before="123" w:line="233" w:lineRule="auto"/>
        <w:ind w:left="7"/>
        <w:outlineLvl w:val="1"/>
        <w:rPr>
          <w:rFonts w:ascii="黑体" w:hAnsi="黑体" w:eastAsia="黑体" w:cs="黑体"/>
          <w:sz w:val="24"/>
          <w:szCs w:val="24"/>
        </w:rPr>
      </w:pPr>
      <w:bookmarkStart w:id="360" w:name="bookmark269"/>
      <w:bookmarkEnd w:id="360"/>
      <w:r>
        <w:rPr>
          <w:rFonts w:ascii="Times New Roman" w:hAnsi="Times New Roman" w:eastAsia="Times New Roman" w:cs="Times New Roman"/>
          <w:b/>
          <w:bCs/>
          <w:spacing w:val="-2"/>
          <w:sz w:val="24"/>
          <w:szCs w:val="24"/>
        </w:rPr>
        <w:t xml:space="preserve">18.6  </w:t>
      </w:r>
      <w:r>
        <w:rPr>
          <w:rFonts w:ascii="黑体" w:hAnsi="黑体" w:eastAsia="黑体" w:cs="黑体"/>
          <w:b/>
          <w:bCs/>
          <w:spacing w:val="-2"/>
          <w:sz w:val="24"/>
          <w:szCs w:val="24"/>
        </w:rPr>
        <w:t>未按约定投保的补救</w:t>
      </w:r>
    </w:p>
    <w:p w14:paraId="3699C403">
      <w:pPr>
        <w:spacing w:before="122" w:line="308" w:lineRule="auto"/>
        <w:ind w:firstLine="436"/>
        <w:rPr>
          <w:rFonts w:ascii="宋体" w:hAnsi="宋体" w:eastAsia="宋体" w:cs="宋体"/>
          <w:sz w:val="21"/>
          <w:szCs w:val="21"/>
        </w:rPr>
      </w:pPr>
      <w:r>
        <w:rPr>
          <w:rFonts w:ascii="Times New Roman" w:hAnsi="Times New Roman" w:eastAsia="Times New Roman" w:cs="Times New Roman"/>
          <w:sz w:val="21"/>
          <w:szCs w:val="21"/>
        </w:rPr>
        <w:t xml:space="preserve">18.6.1  </w:t>
      </w:r>
      <w:r>
        <w:rPr>
          <w:rFonts w:ascii="宋体" w:hAnsi="宋体" w:eastAsia="宋体" w:cs="宋体"/>
          <w:sz w:val="21"/>
          <w:szCs w:val="21"/>
        </w:rPr>
        <w:t>发包人未按合同约定办理保险，或未能</w:t>
      </w:r>
      <w:r>
        <w:rPr>
          <w:rFonts w:ascii="宋体" w:hAnsi="宋体" w:eastAsia="宋体" w:cs="宋体"/>
          <w:spacing w:val="-1"/>
          <w:sz w:val="21"/>
          <w:szCs w:val="21"/>
        </w:rPr>
        <w:t>使保险持续有效的，则承包人可代为办理，所</w:t>
      </w:r>
      <w:r>
        <w:rPr>
          <w:rFonts w:ascii="宋体" w:hAnsi="宋体" w:eastAsia="宋体" w:cs="宋体"/>
          <w:sz w:val="21"/>
          <w:szCs w:val="21"/>
        </w:rPr>
        <w:t>需费用由发包人承担。发包人未按合同约定办理保险，导致未能得到足额赔偿的，由发包</w:t>
      </w:r>
      <w:r>
        <w:rPr>
          <w:rFonts w:ascii="宋体" w:hAnsi="宋体" w:eastAsia="宋体" w:cs="宋体"/>
          <w:spacing w:val="-1"/>
          <w:sz w:val="21"/>
          <w:szCs w:val="21"/>
        </w:rPr>
        <w:t>人负责</w:t>
      </w:r>
      <w:r>
        <w:rPr>
          <w:rFonts w:ascii="宋体" w:hAnsi="宋体" w:eastAsia="宋体" w:cs="宋体"/>
          <w:spacing w:val="-8"/>
          <w:sz w:val="21"/>
          <w:szCs w:val="21"/>
        </w:rPr>
        <w:t>补足。</w:t>
      </w:r>
    </w:p>
    <w:p w14:paraId="2ACA13C6">
      <w:pPr>
        <w:spacing w:before="149" w:line="308" w:lineRule="auto"/>
        <w:ind w:firstLine="436"/>
        <w:rPr>
          <w:rFonts w:ascii="宋体" w:hAnsi="宋体" w:eastAsia="宋体" w:cs="宋体"/>
          <w:sz w:val="21"/>
          <w:szCs w:val="21"/>
        </w:rPr>
      </w:pPr>
      <w:r>
        <w:rPr>
          <w:rFonts w:ascii="Times New Roman" w:hAnsi="Times New Roman" w:eastAsia="Times New Roman" w:cs="Times New Roman"/>
          <w:sz w:val="21"/>
          <w:szCs w:val="21"/>
        </w:rPr>
        <w:t xml:space="preserve">18.6.2  </w:t>
      </w:r>
      <w:r>
        <w:rPr>
          <w:rFonts w:ascii="宋体" w:hAnsi="宋体" w:eastAsia="宋体" w:cs="宋体"/>
          <w:sz w:val="21"/>
          <w:szCs w:val="21"/>
        </w:rPr>
        <w:t>承包人未按合同约定办理保险，或未能</w:t>
      </w:r>
      <w:r>
        <w:rPr>
          <w:rFonts w:ascii="宋体" w:hAnsi="宋体" w:eastAsia="宋体" w:cs="宋体"/>
          <w:spacing w:val="-1"/>
          <w:sz w:val="21"/>
          <w:szCs w:val="21"/>
        </w:rPr>
        <w:t>使保险持续有效的，则发包人可代为办理，所</w:t>
      </w:r>
      <w:r>
        <w:rPr>
          <w:rFonts w:ascii="宋体" w:hAnsi="宋体" w:eastAsia="宋体" w:cs="宋体"/>
          <w:sz w:val="21"/>
          <w:szCs w:val="21"/>
        </w:rPr>
        <w:t>需费用由承包人承担。承包人未按合同约定办理保险，导致未能得到足额赔偿的，由承包</w:t>
      </w:r>
      <w:r>
        <w:rPr>
          <w:rFonts w:ascii="宋体" w:hAnsi="宋体" w:eastAsia="宋体" w:cs="宋体"/>
          <w:spacing w:val="-1"/>
          <w:sz w:val="21"/>
          <w:szCs w:val="21"/>
        </w:rPr>
        <w:t>人负责</w:t>
      </w:r>
      <w:r>
        <w:rPr>
          <w:rFonts w:ascii="宋体" w:hAnsi="宋体" w:eastAsia="宋体" w:cs="宋体"/>
          <w:spacing w:val="-8"/>
          <w:sz w:val="21"/>
          <w:szCs w:val="21"/>
        </w:rPr>
        <w:t>补足。</w:t>
      </w:r>
    </w:p>
    <w:p w14:paraId="6D385061">
      <w:pPr>
        <w:spacing w:before="125" w:line="232" w:lineRule="auto"/>
        <w:ind w:left="7"/>
        <w:outlineLvl w:val="1"/>
        <w:rPr>
          <w:rFonts w:ascii="黑体" w:hAnsi="黑体" w:eastAsia="黑体" w:cs="黑体"/>
          <w:sz w:val="24"/>
          <w:szCs w:val="24"/>
        </w:rPr>
      </w:pPr>
      <w:bookmarkStart w:id="361" w:name="bookmark270"/>
      <w:bookmarkEnd w:id="361"/>
      <w:r>
        <w:rPr>
          <w:rFonts w:ascii="Times New Roman" w:hAnsi="Times New Roman" w:eastAsia="Times New Roman" w:cs="Times New Roman"/>
          <w:b/>
          <w:bCs/>
          <w:spacing w:val="-3"/>
          <w:sz w:val="24"/>
          <w:szCs w:val="24"/>
        </w:rPr>
        <w:t xml:space="preserve">18.7  </w:t>
      </w:r>
      <w:r>
        <w:rPr>
          <w:rFonts w:ascii="黑体" w:hAnsi="黑体" w:eastAsia="黑体" w:cs="黑体"/>
          <w:b/>
          <w:bCs/>
          <w:spacing w:val="-3"/>
          <w:sz w:val="24"/>
          <w:szCs w:val="24"/>
        </w:rPr>
        <w:t>通知义务</w:t>
      </w:r>
    </w:p>
    <w:p w14:paraId="26869DE0">
      <w:pPr>
        <w:spacing w:before="123" w:line="352" w:lineRule="auto"/>
        <w:ind w:left="4" w:firstLine="428"/>
        <w:jc w:val="both"/>
        <w:rPr>
          <w:rFonts w:ascii="宋体" w:hAnsi="宋体" w:eastAsia="宋体" w:cs="宋体"/>
          <w:sz w:val="21"/>
          <w:szCs w:val="21"/>
        </w:rPr>
      </w:pPr>
      <w:r>
        <w:rPr>
          <w:rFonts w:ascii="宋体" w:hAnsi="宋体" w:eastAsia="宋体" w:cs="宋体"/>
          <w:sz w:val="21"/>
          <w:szCs w:val="21"/>
        </w:rPr>
        <w:t>除专用合同条款另有约定外，发包人变更除工伤保险之</w:t>
      </w:r>
      <w:r>
        <w:rPr>
          <w:rFonts w:ascii="宋体" w:hAnsi="宋体" w:eastAsia="宋体" w:cs="宋体"/>
          <w:spacing w:val="-1"/>
          <w:sz w:val="21"/>
          <w:szCs w:val="21"/>
        </w:rPr>
        <w:t>外的保险合同时，应事先征得承包人</w:t>
      </w:r>
      <w:r>
        <w:rPr>
          <w:rFonts w:ascii="宋体" w:hAnsi="宋体" w:eastAsia="宋体" w:cs="宋体"/>
          <w:sz w:val="21"/>
          <w:szCs w:val="21"/>
        </w:rPr>
        <w:t>同意，并通知监理人；承包人变更除工伤保险之外的保险合同时，应事先征得</w:t>
      </w:r>
      <w:r>
        <w:rPr>
          <w:rFonts w:ascii="宋体" w:hAnsi="宋体" w:eastAsia="宋体" w:cs="宋体"/>
          <w:spacing w:val="-1"/>
          <w:sz w:val="21"/>
          <w:szCs w:val="21"/>
        </w:rPr>
        <w:t>发包人同意，并通</w:t>
      </w:r>
      <w:r>
        <w:rPr>
          <w:rFonts w:ascii="宋体" w:hAnsi="宋体" w:eastAsia="宋体" w:cs="宋体"/>
          <w:spacing w:val="-5"/>
          <w:sz w:val="21"/>
          <w:szCs w:val="21"/>
        </w:rPr>
        <w:t>知监理人。</w:t>
      </w:r>
    </w:p>
    <w:p w14:paraId="3C40A214">
      <w:pPr>
        <w:spacing w:before="1" w:line="352" w:lineRule="auto"/>
        <w:ind w:firstLine="420"/>
        <w:rPr>
          <w:rFonts w:ascii="宋体" w:hAnsi="宋体" w:eastAsia="宋体" w:cs="宋体"/>
          <w:sz w:val="21"/>
          <w:szCs w:val="21"/>
        </w:rPr>
      </w:pPr>
      <w:r>
        <w:rPr>
          <w:rFonts w:ascii="宋体" w:hAnsi="宋体" w:eastAsia="宋体" w:cs="宋体"/>
          <w:sz w:val="21"/>
          <w:szCs w:val="21"/>
        </w:rPr>
        <w:t>保险事故发生时，投保人应按照保险合同规定的条件和期限及时向保险人报告。发</w:t>
      </w:r>
      <w:r>
        <w:rPr>
          <w:rFonts w:ascii="宋体" w:hAnsi="宋体" w:eastAsia="宋体" w:cs="宋体"/>
          <w:spacing w:val="-1"/>
          <w:sz w:val="21"/>
          <w:szCs w:val="21"/>
        </w:rPr>
        <w:t>包人和承包人应当在知道保险事故发生后及时通知对方。</w:t>
      </w:r>
    </w:p>
    <w:p w14:paraId="2C2C5872">
      <w:pPr>
        <w:spacing w:before="36" w:line="233" w:lineRule="auto"/>
        <w:ind w:left="10"/>
        <w:outlineLvl w:val="0"/>
        <w:rPr>
          <w:rFonts w:ascii="黑体" w:hAnsi="黑体" w:eastAsia="黑体" w:cs="黑体"/>
          <w:sz w:val="28"/>
          <w:szCs w:val="28"/>
        </w:rPr>
      </w:pPr>
      <w:bookmarkStart w:id="362" w:name="bookmark271"/>
      <w:bookmarkEnd w:id="362"/>
      <w:r>
        <w:rPr>
          <w:rFonts w:ascii="Times New Roman" w:hAnsi="Times New Roman" w:eastAsia="Times New Roman" w:cs="Times New Roman"/>
          <w:b/>
          <w:bCs/>
          <w:spacing w:val="-6"/>
          <w:sz w:val="28"/>
          <w:szCs w:val="28"/>
        </w:rPr>
        <w:t>19.</w:t>
      </w:r>
      <w:r>
        <w:rPr>
          <w:rFonts w:ascii="Times New Roman" w:hAnsi="Times New Roman" w:eastAsia="Times New Roman" w:cs="Times New Roman"/>
          <w:b/>
          <w:bCs/>
          <w:spacing w:val="7"/>
          <w:sz w:val="28"/>
          <w:szCs w:val="28"/>
        </w:rPr>
        <w:t xml:space="preserve">  </w:t>
      </w:r>
      <w:r>
        <w:rPr>
          <w:rFonts w:ascii="黑体" w:hAnsi="黑体" w:eastAsia="黑体" w:cs="黑体"/>
          <w:b/>
          <w:bCs/>
          <w:spacing w:val="-6"/>
          <w:sz w:val="28"/>
          <w:szCs w:val="28"/>
        </w:rPr>
        <w:t>索赔</w:t>
      </w:r>
    </w:p>
    <w:p w14:paraId="1A29AD8F">
      <w:pPr>
        <w:spacing w:before="82" w:line="233" w:lineRule="auto"/>
        <w:ind w:left="7"/>
        <w:outlineLvl w:val="1"/>
        <w:rPr>
          <w:rFonts w:ascii="黑体" w:hAnsi="黑体" w:eastAsia="黑体" w:cs="黑体"/>
          <w:sz w:val="24"/>
          <w:szCs w:val="24"/>
        </w:rPr>
      </w:pPr>
      <w:bookmarkStart w:id="363" w:name="bookmark272"/>
      <w:bookmarkEnd w:id="363"/>
      <w:r>
        <w:rPr>
          <w:rFonts w:ascii="Times New Roman" w:hAnsi="Times New Roman" w:eastAsia="Times New Roman" w:cs="Times New Roman"/>
          <w:b/>
          <w:bCs/>
          <w:spacing w:val="-3"/>
          <w:sz w:val="24"/>
          <w:szCs w:val="24"/>
        </w:rPr>
        <w:t xml:space="preserve">19.1 </w:t>
      </w:r>
      <w:r>
        <w:rPr>
          <w:rFonts w:ascii="黑体" w:hAnsi="黑体" w:eastAsia="黑体" w:cs="黑体"/>
          <w:b/>
          <w:bCs/>
          <w:spacing w:val="-3"/>
          <w:sz w:val="24"/>
          <w:szCs w:val="24"/>
        </w:rPr>
        <w:t>承包人的索赔</w:t>
      </w:r>
    </w:p>
    <w:p w14:paraId="109CF9DA">
      <w:pPr>
        <w:spacing w:before="124" w:line="351" w:lineRule="auto"/>
        <w:ind w:firstLine="419"/>
        <w:rPr>
          <w:rFonts w:ascii="宋体" w:hAnsi="宋体" w:eastAsia="宋体" w:cs="宋体"/>
          <w:sz w:val="21"/>
          <w:szCs w:val="21"/>
        </w:rPr>
      </w:pPr>
      <w:r>
        <w:rPr>
          <w:rFonts w:ascii="宋体" w:hAnsi="宋体" w:eastAsia="宋体" w:cs="宋体"/>
          <w:sz w:val="21"/>
          <w:szCs w:val="21"/>
        </w:rPr>
        <w:t>根据合同约定，承包人认为有权得到追加付款和（或）延长工期的，应按以下程序向</w:t>
      </w:r>
      <w:r>
        <w:rPr>
          <w:rFonts w:ascii="宋体" w:hAnsi="宋体" w:eastAsia="宋体" w:cs="宋体"/>
          <w:spacing w:val="-1"/>
          <w:sz w:val="21"/>
          <w:szCs w:val="21"/>
        </w:rPr>
        <w:t>发包人</w:t>
      </w:r>
      <w:r>
        <w:rPr>
          <w:rFonts w:ascii="宋体" w:hAnsi="宋体" w:eastAsia="宋体" w:cs="宋体"/>
          <w:spacing w:val="-7"/>
          <w:sz w:val="21"/>
          <w:szCs w:val="21"/>
        </w:rPr>
        <w:t>提出索赔：</w:t>
      </w:r>
    </w:p>
    <w:p w14:paraId="73A3A84D">
      <w:pPr>
        <w:spacing w:before="2" w:line="308" w:lineRule="auto"/>
        <w:ind w:firstLine="425"/>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）承包人应在知道或应当知道索赔事件发生后</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28 </w:t>
      </w:r>
      <w:r>
        <w:rPr>
          <w:rFonts w:ascii="宋体" w:hAnsi="宋体" w:eastAsia="宋体" w:cs="宋体"/>
          <w:sz w:val="21"/>
          <w:szCs w:val="21"/>
        </w:rPr>
        <w:t>天内</w:t>
      </w:r>
      <w:r>
        <w:rPr>
          <w:rFonts w:ascii="宋体" w:hAnsi="宋体" w:eastAsia="宋体" w:cs="宋体"/>
          <w:spacing w:val="-1"/>
          <w:sz w:val="21"/>
          <w:szCs w:val="21"/>
        </w:rPr>
        <w:t>，向监理人递交索赔意向通知书，</w:t>
      </w:r>
      <w:r>
        <w:rPr>
          <w:rFonts w:ascii="宋体" w:hAnsi="宋体" w:eastAsia="宋体" w:cs="宋体"/>
          <w:sz w:val="21"/>
          <w:szCs w:val="21"/>
        </w:rPr>
        <w:t xml:space="preserve">并说明发生索赔事件的事由；承包人未在前述 </w:t>
      </w:r>
      <w:r>
        <w:rPr>
          <w:rFonts w:ascii="Times New Roman" w:hAnsi="Times New Roman" w:eastAsia="Times New Roman" w:cs="Times New Roman"/>
          <w:sz w:val="21"/>
          <w:szCs w:val="21"/>
        </w:rPr>
        <w:t xml:space="preserve">28  </w:t>
      </w:r>
      <w:r>
        <w:rPr>
          <w:rFonts w:ascii="宋体" w:hAnsi="宋体" w:eastAsia="宋体" w:cs="宋体"/>
          <w:sz w:val="21"/>
          <w:szCs w:val="21"/>
        </w:rPr>
        <w:t>天内发出索赔意向通知书的，丧失</w:t>
      </w:r>
      <w:r>
        <w:rPr>
          <w:rFonts w:ascii="宋体" w:hAnsi="宋体" w:eastAsia="宋体" w:cs="宋体"/>
          <w:spacing w:val="-1"/>
          <w:sz w:val="21"/>
          <w:szCs w:val="21"/>
        </w:rPr>
        <w:t>要求追加付</w:t>
      </w:r>
      <w:r>
        <w:rPr>
          <w:rFonts w:ascii="宋体" w:hAnsi="宋体" w:eastAsia="宋体" w:cs="宋体"/>
          <w:spacing w:val="-3"/>
          <w:sz w:val="21"/>
          <w:szCs w:val="21"/>
        </w:rPr>
        <w:t>款和（或）延长工期的权利；</w:t>
      </w:r>
    </w:p>
    <w:p w14:paraId="2109996E">
      <w:pPr>
        <w:spacing w:before="147" w:line="286" w:lineRule="auto"/>
        <w:ind w:left="2" w:firstLine="423"/>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）承包人应在发出索赔意向通知书后</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28 </w:t>
      </w:r>
      <w:r>
        <w:rPr>
          <w:rFonts w:ascii="宋体" w:hAnsi="宋体" w:eastAsia="宋体" w:cs="宋体"/>
          <w:sz w:val="21"/>
          <w:szCs w:val="21"/>
        </w:rPr>
        <w:t>天内，向监理</w:t>
      </w:r>
      <w:r>
        <w:rPr>
          <w:rFonts w:ascii="宋体" w:hAnsi="宋体" w:eastAsia="宋体" w:cs="宋体"/>
          <w:spacing w:val="-1"/>
          <w:sz w:val="21"/>
          <w:szCs w:val="21"/>
        </w:rPr>
        <w:t>人正式递交索赔报告；索赔报告应详细说明索赔理由以及要求追加的付款金额和（或）延长的工期</w:t>
      </w:r>
      <w:r>
        <w:rPr>
          <w:rFonts w:ascii="宋体" w:hAnsi="宋体" w:eastAsia="宋体" w:cs="宋体"/>
          <w:spacing w:val="-2"/>
          <w:sz w:val="21"/>
          <w:szCs w:val="21"/>
        </w:rPr>
        <w:t>，并附必要的记录和证明材料；</w:t>
      </w:r>
    </w:p>
    <w:p w14:paraId="24269C79">
      <w:pPr>
        <w:spacing w:before="152" w:line="285" w:lineRule="auto"/>
        <w:ind w:left="2" w:right="16" w:firstLine="423"/>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）索赔事件具有持续影响的，承包人应按合理时间间隔继续递交延续索赔通知，说明持</w:t>
      </w:r>
      <w:r>
        <w:rPr>
          <w:rFonts w:ascii="宋体" w:hAnsi="宋体" w:eastAsia="宋体" w:cs="宋体"/>
          <w:sz w:val="21"/>
          <w:szCs w:val="21"/>
        </w:rPr>
        <w:t>续影响的实际情况和记录，列出累计的追加付款金额和（或）工期</w:t>
      </w:r>
      <w:r>
        <w:rPr>
          <w:rFonts w:ascii="宋体" w:hAnsi="宋体" w:eastAsia="宋体" w:cs="宋体"/>
          <w:spacing w:val="-1"/>
          <w:sz w:val="21"/>
          <w:szCs w:val="21"/>
        </w:rPr>
        <w:t>延长天数；</w:t>
      </w:r>
    </w:p>
    <w:p w14:paraId="7625A535">
      <w:pPr>
        <w:spacing w:before="150" w:line="286" w:lineRule="auto"/>
        <w:ind w:left="4" w:firstLine="422"/>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）在索赔事件影响结束后</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28 </w:t>
      </w:r>
      <w:r>
        <w:rPr>
          <w:rFonts w:ascii="宋体" w:hAnsi="宋体" w:eastAsia="宋体" w:cs="宋体"/>
          <w:sz w:val="21"/>
          <w:szCs w:val="21"/>
        </w:rPr>
        <w:t>天内，承包人应向监理人</w:t>
      </w:r>
      <w:r>
        <w:rPr>
          <w:rFonts w:ascii="宋体" w:hAnsi="宋体" w:eastAsia="宋体" w:cs="宋体"/>
          <w:spacing w:val="-1"/>
          <w:sz w:val="21"/>
          <w:szCs w:val="21"/>
        </w:rPr>
        <w:t>递交最终索赔报告，说明最终要求</w:t>
      </w:r>
      <w:r>
        <w:rPr>
          <w:rFonts w:ascii="宋体" w:hAnsi="宋体" w:eastAsia="宋体" w:cs="宋体"/>
          <w:sz w:val="21"/>
          <w:szCs w:val="21"/>
        </w:rPr>
        <w:t>索赔的追加付款金额和（或）延长的工期，并附必要的记</w:t>
      </w:r>
      <w:r>
        <w:rPr>
          <w:rFonts w:ascii="宋体" w:hAnsi="宋体" w:eastAsia="宋体" w:cs="宋体"/>
          <w:spacing w:val="-1"/>
          <w:sz w:val="21"/>
          <w:szCs w:val="21"/>
        </w:rPr>
        <w:t>录和证明材料。</w:t>
      </w:r>
    </w:p>
    <w:p w14:paraId="146A2C83">
      <w:pPr>
        <w:spacing w:before="124" w:line="233" w:lineRule="auto"/>
        <w:ind w:left="7"/>
        <w:outlineLvl w:val="1"/>
        <w:rPr>
          <w:rFonts w:ascii="黑体" w:hAnsi="黑体" w:eastAsia="黑体" w:cs="黑体"/>
          <w:sz w:val="24"/>
          <w:szCs w:val="24"/>
        </w:rPr>
      </w:pPr>
      <w:bookmarkStart w:id="364" w:name="bookmark273"/>
      <w:bookmarkEnd w:id="364"/>
      <w:r>
        <w:rPr>
          <w:rFonts w:ascii="Times New Roman" w:hAnsi="Times New Roman" w:eastAsia="Times New Roman" w:cs="Times New Roman"/>
          <w:b/>
          <w:bCs/>
          <w:spacing w:val="-2"/>
          <w:sz w:val="24"/>
          <w:szCs w:val="24"/>
        </w:rPr>
        <w:t xml:space="preserve">19.2  </w:t>
      </w:r>
      <w:r>
        <w:rPr>
          <w:rFonts w:ascii="黑体" w:hAnsi="黑体" w:eastAsia="黑体" w:cs="黑体"/>
          <w:b/>
          <w:bCs/>
          <w:spacing w:val="-2"/>
          <w:sz w:val="24"/>
          <w:szCs w:val="24"/>
        </w:rPr>
        <w:t>对承包人索赔的处理</w:t>
      </w:r>
    </w:p>
    <w:p w14:paraId="57309DDE">
      <w:pPr>
        <w:spacing w:before="122" w:line="221" w:lineRule="auto"/>
        <w:ind w:left="419"/>
        <w:rPr>
          <w:rFonts w:ascii="宋体" w:hAnsi="宋体" w:eastAsia="宋体" w:cs="宋体"/>
          <w:sz w:val="21"/>
          <w:szCs w:val="21"/>
        </w:rPr>
      </w:pPr>
      <w:r>
        <w:rPr>
          <w:rFonts w:ascii="宋体" w:hAnsi="宋体" w:eastAsia="宋体" w:cs="宋体"/>
          <w:spacing w:val="-1"/>
          <w:sz w:val="21"/>
          <w:szCs w:val="21"/>
        </w:rPr>
        <w:t>对承包人索赔的处理如下：</w:t>
      </w:r>
    </w:p>
    <w:p w14:paraId="681CECC3">
      <w:pPr>
        <w:spacing w:line="221" w:lineRule="auto"/>
        <w:rPr>
          <w:rFonts w:ascii="宋体" w:hAnsi="宋体" w:eastAsia="宋体" w:cs="宋体"/>
          <w:sz w:val="21"/>
          <w:szCs w:val="21"/>
        </w:rPr>
        <w:sectPr>
          <w:footerReference r:id="rId127" w:type="default"/>
          <w:pgSz w:w="11905" w:h="16843"/>
          <w:pgMar w:top="969" w:right="1355" w:bottom="1026" w:left="1480" w:header="0" w:footer="754" w:gutter="0"/>
          <w:cols w:space="0" w:num="1"/>
          <w:rtlGutter w:val="0"/>
          <w:docGrid w:linePitch="0" w:charSpace="0"/>
        </w:sectPr>
      </w:pPr>
    </w:p>
    <w:p w14:paraId="598F3E0F">
      <w:pPr>
        <w:pStyle w:val="5"/>
        <w:spacing w:line="270" w:lineRule="auto"/>
      </w:pPr>
    </w:p>
    <w:p w14:paraId="5F60FAB6">
      <w:pPr>
        <w:pStyle w:val="5"/>
        <w:spacing w:line="270" w:lineRule="auto"/>
      </w:pPr>
    </w:p>
    <w:p w14:paraId="12719F8D">
      <w:pPr>
        <w:pStyle w:val="5"/>
        <w:spacing w:line="270" w:lineRule="auto"/>
      </w:pPr>
    </w:p>
    <w:p w14:paraId="122500E9">
      <w:pPr>
        <w:pStyle w:val="5"/>
        <w:spacing w:line="271" w:lineRule="auto"/>
      </w:pPr>
    </w:p>
    <w:p w14:paraId="67B0A43E">
      <w:pPr>
        <w:spacing w:before="69" w:line="286" w:lineRule="auto"/>
        <w:ind w:left="4" w:right="177" w:firstLine="424"/>
        <w:rPr>
          <w:rFonts w:ascii="宋体" w:hAnsi="宋体" w:eastAsia="宋体" w:cs="宋体"/>
          <w:sz w:val="21"/>
          <w:szCs w:val="21"/>
        </w:rPr>
      </w:pPr>
      <w:bookmarkStart w:id="365" w:name="bookmark584"/>
      <w:bookmarkEnd w:id="365"/>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）监理人应在收到索赔报告后</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 </w:t>
      </w:r>
      <w:r>
        <w:rPr>
          <w:rFonts w:ascii="宋体" w:hAnsi="宋体" w:eastAsia="宋体" w:cs="宋体"/>
          <w:spacing w:val="-1"/>
          <w:sz w:val="21"/>
          <w:szCs w:val="21"/>
        </w:rPr>
        <w:t>天内完成审查并报送发包人。监理人对索赔报告存在异议的，有权要求承包人提交全部原始记录副本；</w:t>
      </w:r>
    </w:p>
    <w:p w14:paraId="0704A8A7">
      <w:pPr>
        <w:spacing w:before="151" w:line="285" w:lineRule="auto"/>
        <w:ind w:left="24" w:right="18" w:firstLine="404"/>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）发包人应在监理人收到索赔报告或有关索赔的进一步证明材料后的</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天内，由监理人</w:t>
      </w:r>
      <w:r>
        <w:rPr>
          <w:rFonts w:ascii="宋体" w:hAnsi="宋体" w:eastAsia="宋体" w:cs="宋体"/>
          <w:spacing w:val="-2"/>
          <w:sz w:val="21"/>
          <w:szCs w:val="21"/>
        </w:rPr>
        <w:t>向承包人出具经发包人签认的索赔处理结果。发包人逾期答复的，则视为认可承包人的索赔要求；</w:t>
      </w:r>
    </w:p>
    <w:p w14:paraId="2E45EF38">
      <w:pPr>
        <w:spacing w:before="150" w:line="293" w:lineRule="auto"/>
        <w:ind w:left="6" w:right="194" w:firstLine="422"/>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）承包人接受索赔处理结果的，索赔款项在当期进度款中进行支付；承包人不接受</w:t>
      </w:r>
      <w:r>
        <w:rPr>
          <w:rFonts w:ascii="宋体" w:hAnsi="宋体" w:eastAsia="宋体" w:cs="宋体"/>
          <w:spacing w:val="1"/>
          <w:sz w:val="21"/>
          <w:szCs w:val="21"/>
        </w:rPr>
        <w:t>索赔</w:t>
      </w:r>
      <w:r>
        <w:rPr>
          <w:rFonts w:ascii="宋体" w:hAnsi="宋体" w:eastAsia="宋体" w:cs="宋体"/>
          <w:spacing w:val="-2"/>
          <w:sz w:val="21"/>
          <w:szCs w:val="21"/>
        </w:rPr>
        <w:t>处理结果的，按照第</w:t>
      </w:r>
      <w:r>
        <w:rPr>
          <w:rFonts w:ascii="宋体" w:hAnsi="宋体" w:eastAsia="宋体" w:cs="宋体"/>
          <w:spacing w:val="-30"/>
          <w:sz w:val="21"/>
          <w:szCs w:val="21"/>
        </w:rPr>
        <w:t xml:space="preserve"> </w:t>
      </w:r>
      <w:r>
        <w:rPr>
          <w:rFonts w:ascii="Times New Roman" w:hAnsi="Times New Roman" w:eastAsia="Times New Roman" w:cs="Times New Roman"/>
          <w:spacing w:val="-2"/>
          <w:sz w:val="21"/>
          <w:szCs w:val="21"/>
        </w:rPr>
        <w:t xml:space="preserve">20 </w:t>
      </w:r>
      <w:r>
        <w:rPr>
          <w:rFonts w:ascii="宋体" w:hAnsi="宋体" w:eastAsia="宋体" w:cs="宋体"/>
          <w:spacing w:val="-2"/>
          <w:sz w:val="21"/>
          <w:szCs w:val="21"/>
        </w:rPr>
        <w:t>条〔争议解决〕约定处理。</w:t>
      </w:r>
    </w:p>
    <w:p w14:paraId="6B090516">
      <w:pPr>
        <w:spacing w:before="106" w:line="232" w:lineRule="auto"/>
        <w:ind w:left="10"/>
        <w:outlineLvl w:val="1"/>
        <w:rPr>
          <w:rFonts w:ascii="黑体" w:hAnsi="黑体" w:eastAsia="黑体" w:cs="黑体"/>
          <w:sz w:val="24"/>
          <w:szCs w:val="24"/>
        </w:rPr>
      </w:pPr>
      <w:bookmarkStart w:id="366" w:name="bookmark274"/>
      <w:bookmarkEnd w:id="366"/>
      <w:r>
        <w:rPr>
          <w:rFonts w:ascii="Times New Roman" w:hAnsi="Times New Roman" w:eastAsia="Times New Roman" w:cs="Times New Roman"/>
          <w:b/>
          <w:bCs/>
          <w:spacing w:val="-3"/>
          <w:sz w:val="24"/>
          <w:szCs w:val="24"/>
        </w:rPr>
        <w:t xml:space="preserve">19.3 </w:t>
      </w:r>
      <w:r>
        <w:rPr>
          <w:rFonts w:ascii="黑体" w:hAnsi="黑体" w:eastAsia="黑体" w:cs="黑体"/>
          <w:b/>
          <w:bCs/>
          <w:spacing w:val="-3"/>
          <w:sz w:val="24"/>
          <w:szCs w:val="24"/>
        </w:rPr>
        <w:t>发包人的索赔</w:t>
      </w:r>
    </w:p>
    <w:p w14:paraId="0CDB1D7E">
      <w:pPr>
        <w:spacing w:before="123" w:line="352" w:lineRule="auto"/>
        <w:ind w:left="4" w:right="177" w:firstLine="418"/>
        <w:rPr>
          <w:rFonts w:ascii="宋体" w:hAnsi="宋体" w:eastAsia="宋体" w:cs="宋体"/>
          <w:sz w:val="21"/>
          <w:szCs w:val="21"/>
        </w:rPr>
      </w:pPr>
      <w:r>
        <w:rPr>
          <w:rFonts w:ascii="宋体" w:hAnsi="宋体" w:eastAsia="宋体" w:cs="宋体"/>
          <w:sz w:val="21"/>
          <w:szCs w:val="21"/>
        </w:rPr>
        <w:t>根据合同约定，发包人认为有权得到赔付金额和（或）延长缺陷责任期的，监理人</w:t>
      </w:r>
      <w:r>
        <w:rPr>
          <w:rFonts w:ascii="宋体" w:hAnsi="宋体" w:eastAsia="宋体" w:cs="宋体"/>
          <w:spacing w:val="-1"/>
          <w:sz w:val="21"/>
          <w:szCs w:val="21"/>
        </w:rPr>
        <w:t>应向承包</w:t>
      </w:r>
      <w:r>
        <w:rPr>
          <w:rFonts w:ascii="宋体" w:hAnsi="宋体" w:eastAsia="宋体" w:cs="宋体"/>
          <w:spacing w:val="-2"/>
          <w:sz w:val="21"/>
          <w:szCs w:val="21"/>
        </w:rPr>
        <w:t>人发出通知并附有详细的证明。</w:t>
      </w:r>
    </w:p>
    <w:p w14:paraId="159D54AC">
      <w:pPr>
        <w:spacing w:before="1" w:line="344" w:lineRule="auto"/>
        <w:ind w:left="5" w:firstLine="420"/>
        <w:jc w:val="both"/>
        <w:rPr>
          <w:rFonts w:ascii="宋体" w:hAnsi="宋体" w:eastAsia="宋体" w:cs="宋体"/>
          <w:sz w:val="21"/>
          <w:szCs w:val="21"/>
        </w:rPr>
      </w:pPr>
      <w:r>
        <w:rPr>
          <w:rFonts w:ascii="宋体" w:hAnsi="宋体" w:eastAsia="宋体" w:cs="宋体"/>
          <w:sz w:val="21"/>
          <w:szCs w:val="21"/>
        </w:rPr>
        <w:t xml:space="preserve">发包人应在知道或应当知道索赔事件发生后 </w:t>
      </w:r>
      <w:r>
        <w:rPr>
          <w:rFonts w:ascii="Times New Roman" w:hAnsi="Times New Roman" w:eastAsia="Times New Roman" w:cs="Times New Roman"/>
          <w:sz w:val="21"/>
          <w:szCs w:val="21"/>
        </w:rPr>
        <w:t xml:space="preserve">28  </w:t>
      </w:r>
      <w:r>
        <w:rPr>
          <w:rFonts w:ascii="宋体" w:hAnsi="宋体" w:eastAsia="宋体" w:cs="宋体"/>
          <w:sz w:val="21"/>
          <w:szCs w:val="21"/>
        </w:rPr>
        <w:t>天内通过监理人向承包人提</w:t>
      </w:r>
      <w:r>
        <w:rPr>
          <w:rFonts w:ascii="宋体" w:hAnsi="宋体" w:eastAsia="宋体" w:cs="宋体"/>
          <w:spacing w:val="-1"/>
          <w:sz w:val="21"/>
          <w:szCs w:val="21"/>
        </w:rPr>
        <w:t>出索赔意向通知</w:t>
      </w:r>
      <w:r>
        <w:rPr>
          <w:rFonts w:ascii="宋体" w:hAnsi="宋体" w:eastAsia="宋体" w:cs="宋体"/>
          <w:sz w:val="21"/>
          <w:szCs w:val="21"/>
        </w:rPr>
        <w:t xml:space="preserve">书，发包人未在前述 </w:t>
      </w:r>
      <w:r>
        <w:rPr>
          <w:rFonts w:ascii="Times New Roman" w:hAnsi="Times New Roman" w:eastAsia="Times New Roman" w:cs="Times New Roman"/>
          <w:sz w:val="21"/>
          <w:szCs w:val="21"/>
        </w:rPr>
        <w:t xml:space="preserve">28  </w:t>
      </w:r>
      <w:r>
        <w:rPr>
          <w:rFonts w:ascii="宋体" w:hAnsi="宋体" w:eastAsia="宋体" w:cs="宋体"/>
          <w:sz w:val="21"/>
          <w:szCs w:val="21"/>
        </w:rPr>
        <w:t>天内发出索赔意向通知书的，丧失要求赔付金额和（或）</w:t>
      </w:r>
      <w:r>
        <w:rPr>
          <w:rFonts w:ascii="宋体" w:hAnsi="宋体" w:eastAsia="宋体" w:cs="宋体"/>
          <w:spacing w:val="-1"/>
          <w:sz w:val="21"/>
          <w:szCs w:val="21"/>
        </w:rPr>
        <w:t xml:space="preserve">延长缺陷责任期的权利。发包人应在发出索赔意向通知书后 </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天内，通过监理人向承包人正式递交索赔报告。</w:t>
      </w:r>
    </w:p>
    <w:p w14:paraId="3E0561DB">
      <w:pPr>
        <w:spacing w:before="2" w:line="231" w:lineRule="auto"/>
        <w:ind w:left="10"/>
        <w:outlineLvl w:val="1"/>
        <w:rPr>
          <w:rFonts w:ascii="黑体" w:hAnsi="黑体" w:eastAsia="黑体" w:cs="黑体"/>
          <w:sz w:val="24"/>
          <w:szCs w:val="24"/>
        </w:rPr>
      </w:pPr>
      <w:bookmarkStart w:id="367" w:name="bookmark275"/>
      <w:bookmarkEnd w:id="367"/>
      <w:r>
        <w:rPr>
          <w:rFonts w:ascii="Times New Roman" w:hAnsi="Times New Roman" w:eastAsia="Times New Roman" w:cs="Times New Roman"/>
          <w:b/>
          <w:bCs/>
          <w:spacing w:val="-2"/>
          <w:sz w:val="24"/>
          <w:szCs w:val="24"/>
        </w:rPr>
        <w:t xml:space="preserve">19.4  </w:t>
      </w:r>
      <w:r>
        <w:rPr>
          <w:rFonts w:ascii="黑体" w:hAnsi="黑体" w:eastAsia="黑体" w:cs="黑体"/>
          <w:b/>
          <w:bCs/>
          <w:spacing w:val="-2"/>
          <w:sz w:val="24"/>
          <w:szCs w:val="24"/>
        </w:rPr>
        <w:t>对发包人索赔的处理</w:t>
      </w:r>
    </w:p>
    <w:p w14:paraId="0323356D">
      <w:pPr>
        <w:spacing w:before="123" w:line="221" w:lineRule="auto"/>
        <w:ind w:left="421"/>
        <w:rPr>
          <w:rFonts w:ascii="宋体" w:hAnsi="宋体" w:eastAsia="宋体" w:cs="宋体"/>
          <w:sz w:val="21"/>
          <w:szCs w:val="21"/>
        </w:rPr>
      </w:pPr>
      <w:r>
        <w:rPr>
          <w:rFonts w:ascii="宋体" w:hAnsi="宋体" w:eastAsia="宋体" w:cs="宋体"/>
          <w:spacing w:val="-1"/>
          <w:sz w:val="21"/>
          <w:szCs w:val="21"/>
        </w:rPr>
        <w:t>对发包人索赔的处理如下：</w:t>
      </w:r>
    </w:p>
    <w:p w14:paraId="02EAD730">
      <w:pPr>
        <w:spacing w:before="150" w:line="285" w:lineRule="auto"/>
        <w:ind w:left="2" w:right="208"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宋体" w:hAnsi="宋体" w:eastAsia="宋体" w:cs="宋体"/>
          <w:spacing w:val="2"/>
          <w:sz w:val="21"/>
          <w:szCs w:val="21"/>
        </w:rPr>
        <w:t>）承包人收到发包人提交的索赔报告后，应及时审</w:t>
      </w:r>
      <w:r>
        <w:rPr>
          <w:rFonts w:ascii="宋体" w:hAnsi="宋体" w:eastAsia="宋体" w:cs="宋体"/>
          <w:spacing w:val="1"/>
          <w:sz w:val="21"/>
          <w:szCs w:val="21"/>
        </w:rPr>
        <w:t>查索赔报告的内容、查验发包人证明</w:t>
      </w:r>
      <w:r>
        <w:rPr>
          <w:rFonts w:ascii="宋体" w:hAnsi="宋体" w:eastAsia="宋体" w:cs="宋体"/>
          <w:spacing w:val="-13"/>
          <w:sz w:val="21"/>
          <w:szCs w:val="21"/>
        </w:rPr>
        <w:t>材料；</w:t>
      </w:r>
    </w:p>
    <w:p w14:paraId="48EC8570">
      <w:pPr>
        <w:spacing w:before="152" w:line="286" w:lineRule="auto"/>
        <w:ind w:left="8" w:right="177" w:firstLine="420"/>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）承包人应在收到索赔报告或有关索赔的进一步证明材料后</w:t>
      </w:r>
      <w:r>
        <w:rPr>
          <w:rFonts w:ascii="Times New Roman" w:hAnsi="Times New Roman" w:eastAsia="Times New Roman" w:cs="Times New Roman"/>
          <w:spacing w:val="1"/>
          <w:sz w:val="21"/>
          <w:szCs w:val="21"/>
        </w:rPr>
        <w:t xml:space="preserve">28 </w:t>
      </w:r>
      <w:r>
        <w:rPr>
          <w:rFonts w:ascii="宋体" w:hAnsi="宋体" w:eastAsia="宋体" w:cs="宋体"/>
          <w:spacing w:val="1"/>
          <w:sz w:val="21"/>
          <w:szCs w:val="21"/>
        </w:rPr>
        <w:t>天内，将索赔处理结果答</w:t>
      </w:r>
      <w:r>
        <w:rPr>
          <w:rFonts w:ascii="宋体" w:hAnsi="宋体" w:eastAsia="宋体" w:cs="宋体"/>
          <w:spacing w:val="-1"/>
          <w:sz w:val="21"/>
          <w:szCs w:val="21"/>
        </w:rPr>
        <w:t>复发包人。如果承包人未在上述期限内作出答复的，则视为对发包人索赔要求的认可；</w:t>
      </w:r>
    </w:p>
    <w:p w14:paraId="0CB107FF">
      <w:pPr>
        <w:spacing w:before="149" w:line="293" w:lineRule="auto"/>
        <w:ind w:left="2" w:right="194" w:firstLine="426"/>
        <w:rPr>
          <w:rFonts w:ascii="宋体" w:hAnsi="宋体" w:eastAsia="宋体" w:cs="宋体"/>
          <w:sz w:val="21"/>
          <w:szCs w:val="21"/>
        </w:rPr>
      </w:pPr>
      <w:r>
        <w:rPr>
          <w:rFonts w:ascii="宋体" w:hAnsi="宋体" w:eastAsia="宋体" w:cs="宋体"/>
          <w:spacing w:val="2"/>
          <w:sz w:val="21"/>
          <w:szCs w:val="21"/>
        </w:rPr>
        <w:t>（</w:t>
      </w:r>
      <w:r>
        <w:rPr>
          <w:rFonts w:ascii="Times New Roman" w:hAnsi="Times New Roman" w:eastAsia="Times New Roman" w:cs="Times New Roman"/>
          <w:spacing w:val="2"/>
          <w:sz w:val="21"/>
          <w:szCs w:val="21"/>
        </w:rPr>
        <w:t>3</w:t>
      </w:r>
      <w:r>
        <w:rPr>
          <w:rFonts w:ascii="宋体" w:hAnsi="宋体" w:eastAsia="宋体" w:cs="宋体"/>
          <w:spacing w:val="2"/>
          <w:sz w:val="21"/>
          <w:szCs w:val="21"/>
        </w:rPr>
        <w:t>）承包人接受索赔处理结果的，发包人可从应支付给承包人的合同价款中扣除赔付</w:t>
      </w:r>
      <w:r>
        <w:rPr>
          <w:rFonts w:ascii="宋体" w:hAnsi="宋体" w:eastAsia="宋体" w:cs="宋体"/>
          <w:spacing w:val="1"/>
          <w:sz w:val="21"/>
          <w:szCs w:val="21"/>
        </w:rPr>
        <w:t>的金</w:t>
      </w:r>
      <w:r>
        <w:rPr>
          <w:rFonts w:ascii="宋体" w:hAnsi="宋体" w:eastAsia="宋体" w:cs="宋体"/>
          <w:sz w:val="21"/>
          <w:szCs w:val="21"/>
        </w:rPr>
        <w:t>额或延长缺陷责任期；发包人不接受索赔处理结果的，按第</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 xml:space="preserve">20 </w:t>
      </w:r>
      <w:r>
        <w:rPr>
          <w:rFonts w:ascii="宋体" w:hAnsi="宋体" w:eastAsia="宋体" w:cs="宋体"/>
          <w:sz w:val="21"/>
          <w:szCs w:val="21"/>
        </w:rPr>
        <w:t>条〔争议</w:t>
      </w:r>
      <w:r>
        <w:rPr>
          <w:rFonts w:ascii="宋体" w:hAnsi="宋体" w:eastAsia="宋体" w:cs="宋体"/>
          <w:spacing w:val="-1"/>
          <w:sz w:val="21"/>
          <w:szCs w:val="21"/>
        </w:rPr>
        <w:t>解决〕约定处理。</w:t>
      </w:r>
    </w:p>
    <w:p w14:paraId="3D14E493">
      <w:pPr>
        <w:spacing w:before="109" w:line="233" w:lineRule="auto"/>
        <w:ind w:left="10"/>
        <w:outlineLvl w:val="1"/>
        <w:rPr>
          <w:rFonts w:ascii="黑体" w:hAnsi="黑体" w:eastAsia="黑体" w:cs="黑体"/>
          <w:sz w:val="24"/>
          <w:szCs w:val="24"/>
        </w:rPr>
      </w:pPr>
      <w:bookmarkStart w:id="368" w:name="bookmark276"/>
      <w:bookmarkEnd w:id="368"/>
      <w:r>
        <w:rPr>
          <w:rFonts w:ascii="Times New Roman" w:hAnsi="Times New Roman" w:eastAsia="Times New Roman" w:cs="Times New Roman"/>
          <w:b/>
          <w:bCs/>
          <w:spacing w:val="-3"/>
          <w:sz w:val="24"/>
          <w:szCs w:val="24"/>
        </w:rPr>
        <w:t xml:space="preserve">19.5  </w:t>
      </w:r>
      <w:r>
        <w:rPr>
          <w:rFonts w:ascii="黑体" w:hAnsi="黑体" w:eastAsia="黑体" w:cs="黑体"/>
          <w:b/>
          <w:bCs/>
          <w:spacing w:val="-3"/>
          <w:sz w:val="24"/>
          <w:szCs w:val="24"/>
        </w:rPr>
        <w:t>提出索赔的期限</w:t>
      </w:r>
    </w:p>
    <w:p w14:paraId="55D26F44">
      <w:pPr>
        <w:spacing w:before="121" w:line="286" w:lineRule="auto"/>
        <w:ind w:left="20" w:right="177" w:firstLine="40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 xml:space="preserve">）承包人按第 </w:t>
      </w:r>
      <w:r>
        <w:rPr>
          <w:rFonts w:ascii="Times New Roman" w:hAnsi="Times New Roman" w:eastAsia="Times New Roman" w:cs="Times New Roman"/>
          <w:spacing w:val="-1"/>
          <w:sz w:val="21"/>
          <w:szCs w:val="21"/>
        </w:rPr>
        <w:t>14.2</w:t>
      </w:r>
      <w:r>
        <w:rPr>
          <w:rFonts w:ascii="Times New Roman" w:hAnsi="Times New Roman" w:eastAsia="Times New Roman" w:cs="Times New Roman"/>
          <w:spacing w:val="36"/>
          <w:w w:val="101"/>
          <w:sz w:val="21"/>
          <w:szCs w:val="21"/>
        </w:rPr>
        <w:t xml:space="preserve"> </w:t>
      </w:r>
      <w:r>
        <w:rPr>
          <w:rFonts w:ascii="宋体" w:hAnsi="宋体" w:eastAsia="宋体" w:cs="宋体"/>
          <w:spacing w:val="-1"/>
          <w:sz w:val="21"/>
          <w:szCs w:val="21"/>
        </w:rPr>
        <w:t>款〔竣工结算审核〕约定接收竣工付款证书后，应被视为已无</w:t>
      </w:r>
      <w:r>
        <w:rPr>
          <w:rFonts w:ascii="宋体" w:hAnsi="宋体" w:eastAsia="宋体" w:cs="宋体"/>
          <w:spacing w:val="-2"/>
          <w:sz w:val="21"/>
          <w:szCs w:val="21"/>
        </w:rPr>
        <w:t>权再提出在工程接收证书颁发前所发生的任何索赔。</w:t>
      </w:r>
    </w:p>
    <w:p w14:paraId="0EC97450">
      <w:pPr>
        <w:spacing w:before="151" w:line="285" w:lineRule="auto"/>
        <w:ind w:left="2" w:right="177" w:firstLine="426"/>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 xml:space="preserve">）承包人按第 </w:t>
      </w:r>
      <w:r>
        <w:rPr>
          <w:rFonts w:ascii="Times New Roman" w:hAnsi="Times New Roman" w:eastAsia="Times New Roman" w:cs="Times New Roman"/>
          <w:spacing w:val="-1"/>
          <w:sz w:val="21"/>
          <w:szCs w:val="21"/>
        </w:rPr>
        <w:t>14.4</w:t>
      </w:r>
      <w:r>
        <w:rPr>
          <w:rFonts w:ascii="Times New Roman" w:hAnsi="Times New Roman" w:eastAsia="Times New Roman" w:cs="Times New Roman"/>
          <w:spacing w:val="36"/>
          <w:w w:val="101"/>
          <w:sz w:val="21"/>
          <w:szCs w:val="21"/>
        </w:rPr>
        <w:t xml:space="preserve"> </w:t>
      </w:r>
      <w:r>
        <w:rPr>
          <w:rFonts w:ascii="宋体" w:hAnsi="宋体" w:eastAsia="宋体" w:cs="宋体"/>
          <w:spacing w:val="-1"/>
          <w:sz w:val="21"/>
          <w:szCs w:val="21"/>
        </w:rPr>
        <w:t>款〔最终结清〕提交的最终结清申请单中，只限于提出工程接</w:t>
      </w:r>
      <w:r>
        <w:rPr>
          <w:rFonts w:ascii="宋体" w:hAnsi="宋体" w:eastAsia="宋体" w:cs="宋体"/>
          <w:spacing w:val="-2"/>
          <w:sz w:val="21"/>
          <w:szCs w:val="21"/>
        </w:rPr>
        <w:t>收证书</w:t>
      </w:r>
      <w:r>
        <w:rPr>
          <w:rFonts w:ascii="宋体" w:hAnsi="宋体" w:eastAsia="宋体" w:cs="宋体"/>
          <w:spacing w:val="-1"/>
          <w:sz w:val="21"/>
          <w:szCs w:val="21"/>
        </w:rPr>
        <w:t>颁发后发生的索赔。提出索赔的期限自接受最终结清证书时终止。</w:t>
      </w:r>
    </w:p>
    <w:p w14:paraId="624E2D50">
      <w:pPr>
        <w:spacing w:before="190" w:line="233" w:lineRule="auto"/>
        <w:outlineLvl w:val="0"/>
        <w:rPr>
          <w:rFonts w:ascii="黑体" w:hAnsi="黑体" w:eastAsia="黑体" w:cs="黑体"/>
          <w:sz w:val="28"/>
          <w:szCs w:val="28"/>
        </w:rPr>
      </w:pPr>
      <w:bookmarkStart w:id="369" w:name="bookmark277"/>
      <w:bookmarkEnd w:id="369"/>
      <w:r>
        <w:rPr>
          <w:rFonts w:ascii="Times New Roman" w:hAnsi="Times New Roman" w:eastAsia="Times New Roman" w:cs="Times New Roman"/>
          <w:b/>
          <w:bCs/>
          <w:spacing w:val="-5"/>
          <w:sz w:val="28"/>
          <w:szCs w:val="28"/>
        </w:rPr>
        <w:t>20.</w:t>
      </w:r>
      <w:r>
        <w:rPr>
          <w:rFonts w:ascii="Times New Roman" w:hAnsi="Times New Roman" w:eastAsia="Times New Roman" w:cs="Times New Roman"/>
          <w:b/>
          <w:bCs/>
          <w:spacing w:val="12"/>
          <w:sz w:val="28"/>
          <w:szCs w:val="28"/>
        </w:rPr>
        <w:t xml:space="preserve">  </w:t>
      </w:r>
      <w:r>
        <w:rPr>
          <w:rFonts w:ascii="黑体" w:hAnsi="黑体" w:eastAsia="黑体" w:cs="黑体"/>
          <w:b/>
          <w:bCs/>
          <w:spacing w:val="-5"/>
          <w:sz w:val="28"/>
          <w:szCs w:val="28"/>
        </w:rPr>
        <w:t>争议解决</w:t>
      </w:r>
    </w:p>
    <w:p w14:paraId="728857DC">
      <w:pPr>
        <w:spacing w:before="82" w:line="233" w:lineRule="auto"/>
        <w:outlineLvl w:val="1"/>
        <w:rPr>
          <w:rFonts w:ascii="黑体" w:hAnsi="黑体" w:eastAsia="黑体" w:cs="黑体"/>
          <w:sz w:val="24"/>
          <w:szCs w:val="24"/>
        </w:rPr>
      </w:pPr>
      <w:bookmarkStart w:id="370" w:name="bookmark278"/>
      <w:bookmarkEnd w:id="370"/>
      <w:r>
        <w:rPr>
          <w:rFonts w:ascii="Times New Roman" w:hAnsi="Times New Roman" w:eastAsia="Times New Roman" w:cs="Times New Roman"/>
          <w:b/>
          <w:bCs/>
          <w:spacing w:val="-3"/>
          <w:sz w:val="24"/>
          <w:szCs w:val="24"/>
        </w:rPr>
        <w:t>20.1</w:t>
      </w:r>
      <w:r>
        <w:rPr>
          <w:rFonts w:ascii="Times New Roman" w:hAnsi="Times New Roman" w:eastAsia="Times New Roman" w:cs="Times New Roman"/>
          <w:b/>
          <w:bCs/>
          <w:spacing w:val="12"/>
          <w:sz w:val="24"/>
          <w:szCs w:val="24"/>
        </w:rPr>
        <w:t xml:space="preserve"> </w:t>
      </w:r>
      <w:r>
        <w:rPr>
          <w:rFonts w:ascii="黑体" w:hAnsi="黑体" w:eastAsia="黑体" w:cs="黑体"/>
          <w:b/>
          <w:bCs/>
          <w:spacing w:val="-3"/>
          <w:sz w:val="24"/>
          <w:szCs w:val="24"/>
        </w:rPr>
        <w:t>和解</w:t>
      </w:r>
    </w:p>
    <w:p w14:paraId="502CD1B7">
      <w:pPr>
        <w:spacing w:before="123" w:line="340" w:lineRule="auto"/>
        <w:ind w:left="1" w:right="177" w:firstLine="421"/>
        <w:rPr>
          <w:rFonts w:ascii="宋体" w:hAnsi="宋体" w:eastAsia="宋体" w:cs="宋体"/>
          <w:sz w:val="21"/>
          <w:szCs w:val="21"/>
        </w:rPr>
      </w:pPr>
      <w:r>
        <w:rPr>
          <w:rFonts w:ascii="宋体" w:hAnsi="宋体" w:eastAsia="宋体" w:cs="宋体"/>
          <w:sz w:val="21"/>
          <w:szCs w:val="21"/>
        </w:rPr>
        <w:t>合同当事人可以就争议自行和解，自行和解达成协议的经双方签字并盖章后作为合</w:t>
      </w:r>
      <w:r>
        <w:rPr>
          <w:rFonts w:ascii="宋体" w:hAnsi="宋体" w:eastAsia="宋体" w:cs="宋体"/>
          <w:spacing w:val="-1"/>
          <w:sz w:val="21"/>
          <w:szCs w:val="21"/>
        </w:rPr>
        <w:t>同补充文</w:t>
      </w:r>
      <w:r>
        <w:rPr>
          <w:rFonts w:ascii="宋体" w:hAnsi="宋体" w:eastAsia="宋体" w:cs="宋体"/>
          <w:spacing w:val="-2"/>
          <w:sz w:val="21"/>
          <w:szCs w:val="21"/>
        </w:rPr>
        <w:t>件，双方均应遵照执行。</w:t>
      </w:r>
    </w:p>
    <w:p w14:paraId="7A01841C">
      <w:pPr>
        <w:spacing w:before="1" w:line="233" w:lineRule="auto"/>
        <w:outlineLvl w:val="1"/>
        <w:rPr>
          <w:rFonts w:ascii="黑体" w:hAnsi="黑体" w:eastAsia="黑体" w:cs="黑体"/>
          <w:sz w:val="24"/>
          <w:szCs w:val="24"/>
        </w:rPr>
      </w:pPr>
      <w:bookmarkStart w:id="371" w:name="bookmark279"/>
      <w:bookmarkEnd w:id="371"/>
      <w:r>
        <w:rPr>
          <w:rFonts w:ascii="Times New Roman" w:hAnsi="Times New Roman" w:eastAsia="Times New Roman" w:cs="Times New Roman"/>
          <w:b/>
          <w:bCs/>
          <w:spacing w:val="-3"/>
          <w:sz w:val="24"/>
          <w:szCs w:val="24"/>
        </w:rPr>
        <w:t>20.2</w:t>
      </w:r>
      <w:r>
        <w:rPr>
          <w:rFonts w:ascii="Times New Roman" w:hAnsi="Times New Roman" w:eastAsia="Times New Roman" w:cs="Times New Roman"/>
          <w:b/>
          <w:bCs/>
          <w:spacing w:val="12"/>
          <w:sz w:val="24"/>
          <w:szCs w:val="24"/>
        </w:rPr>
        <w:t xml:space="preserve"> </w:t>
      </w:r>
      <w:r>
        <w:rPr>
          <w:rFonts w:ascii="黑体" w:hAnsi="黑体" w:eastAsia="黑体" w:cs="黑体"/>
          <w:b/>
          <w:bCs/>
          <w:spacing w:val="-3"/>
          <w:sz w:val="24"/>
          <w:szCs w:val="24"/>
        </w:rPr>
        <w:t>调解</w:t>
      </w:r>
    </w:p>
    <w:p w14:paraId="6E038ED5">
      <w:pPr>
        <w:spacing w:before="121" w:line="341" w:lineRule="auto"/>
        <w:ind w:left="3" w:right="177" w:firstLine="420"/>
        <w:rPr>
          <w:rFonts w:ascii="宋体" w:hAnsi="宋体" w:eastAsia="宋体" w:cs="宋体"/>
          <w:sz w:val="21"/>
          <w:szCs w:val="21"/>
        </w:rPr>
      </w:pPr>
      <w:r>
        <w:rPr>
          <w:rFonts w:ascii="宋体" w:hAnsi="宋体" w:eastAsia="宋体" w:cs="宋体"/>
          <w:sz w:val="21"/>
          <w:szCs w:val="21"/>
        </w:rPr>
        <w:t>合同当事人可以就争议请求建设行政主管部门、行业协会或其他第三方进行调解，</w:t>
      </w:r>
      <w:r>
        <w:rPr>
          <w:rFonts w:ascii="宋体" w:hAnsi="宋体" w:eastAsia="宋体" w:cs="宋体"/>
          <w:spacing w:val="-1"/>
          <w:sz w:val="21"/>
          <w:szCs w:val="21"/>
        </w:rPr>
        <w:t>调解达成协议的，经双方签字并盖章后作为合同补充文件，双方均应遵照执行。</w:t>
      </w:r>
    </w:p>
    <w:p w14:paraId="768C2B45">
      <w:pPr>
        <w:spacing w:before="1" w:line="232" w:lineRule="auto"/>
        <w:outlineLvl w:val="1"/>
        <w:rPr>
          <w:rFonts w:ascii="黑体" w:hAnsi="黑体" w:eastAsia="黑体" w:cs="黑体"/>
          <w:sz w:val="24"/>
          <w:szCs w:val="24"/>
        </w:rPr>
      </w:pPr>
      <w:bookmarkStart w:id="372" w:name="bookmark280"/>
      <w:bookmarkEnd w:id="372"/>
      <w:r>
        <w:rPr>
          <w:rFonts w:ascii="Times New Roman" w:hAnsi="Times New Roman" w:eastAsia="Times New Roman" w:cs="Times New Roman"/>
          <w:b/>
          <w:bCs/>
          <w:spacing w:val="-4"/>
          <w:sz w:val="24"/>
          <w:szCs w:val="24"/>
        </w:rPr>
        <w:t>20.3</w:t>
      </w:r>
      <w:r>
        <w:rPr>
          <w:rFonts w:ascii="Times New Roman" w:hAnsi="Times New Roman" w:eastAsia="Times New Roman" w:cs="Times New Roman"/>
          <w:b/>
          <w:bCs/>
          <w:spacing w:val="19"/>
          <w:sz w:val="24"/>
          <w:szCs w:val="24"/>
        </w:rPr>
        <w:t xml:space="preserve"> </w:t>
      </w:r>
      <w:r>
        <w:rPr>
          <w:rFonts w:ascii="黑体" w:hAnsi="黑体" w:eastAsia="黑体" w:cs="黑体"/>
          <w:b/>
          <w:bCs/>
          <w:spacing w:val="-4"/>
          <w:sz w:val="24"/>
          <w:szCs w:val="24"/>
        </w:rPr>
        <w:t>争议评审</w:t>
      </w:r>
    </w:p>
    <w:p w14:paraId="2444CB9A">
      <w:pPr>
        <w:spacing w:before="123" w:line="220" w:lineRule="auto"/>
        <w:ind w:left="423"/>
        <w:rPr>
          <w:rFonts w:ascii="宋体" w:hAnsi="宋体" w:eastAsia="宋体" w:cs="宋体"/>
          <w:sz w:val="21"/>
          <w:szCs w:val="21"/>
        </w:rPr>
      </w:pPr>
      <w:r>
        <w:rPr>
          <w:rFonts w:ascii="宋体" w:hAnsi="宋体" w:eastAsia="宋体" w:cs="宋体"/>
          <w:sz w:val="21"/>
          <w:szCs w:val="21"/>
        </w:rPr>
        <w:t>合同当事人在专用合同条款中约定采取争议评审方式解决争议以及评审规则，并按下</w:t>
      </w:r>
      <w:r>
        <w:rPr>
          <w:rFonts w:ascii="宋体" w:hAnsi="宋体" w:eastAsia="宋体" w:cs="宋体"/>
          <w:spacing w:val="-1"/>
          <w:sz w:val="21"/>
          <w:szCs w:val="21"/>
        </w:rPr>
        <w:t>列约定</w:t>
      </w:r>
    </w:p>
    <w:p w14:paraId="3DDFC96C">
      <w:pPr>
        <w:spacing w:line="220" w:lineRule="auto"/>
        <w:rPr>
          <w:rFonts w:ascii="宋体" w:hAnsi="宋体" w:eastAsia="宋体" w:cs="宋体"/>
          <w:sz w:val="21"/>
          <w:szCs w:val="21"/>
        </w:rPr>
        <w:sectPr>
          <w:footerReference r:id="rId128" w:type="default"/>
          <w:pgSz w:w="11905" w:h="16843"/>
          <w:pgMar w:top="969" w:right="1355" w:bottom="1026" w:left="1480" w:header="0" w:footer="754" w:gutter="0"/>
          <w:cols w:space="0" w:num="1"/>
          <w:rtlGutter w:val="0"/>
          <w:docGrid w:linePitch="0" w:charSpace="0"/>
        </w:sectPr>
      </w:pPr>
    </w:p>
    <w:p w14:paraId="12D19451">
      <w:pPr>
        <w:pStyle w:val="5"/>
        <w:spacing w:line="270" w:lineRule="auto"/>
      </w:pPr>
    </w:p>
    <w:p w14:paraId="64E2FD29">
      <w:pPr>
        <w:pStyle w:val="5"/>
        <w:spacing w:line="270" w:lineRule="auto"/>
      </w:pPr>
    </w:p>
    <w:p w14:paraId="7CEB3DB6">
      <w:pPr>
        <w:pStyle w:val="5"/>
        <w:spacing w:line="270" w:lineRule="auto"/>
      </w:pPr>
    </w:p>
    <w:p w14:paraId="6D153455">
      <w:pPr>
        <w:pStyle w:val="5"/>
        <w:spacing w:line="271" w:lineRule="auto"/>
      </w:pPr>
    </w:p>
    <w:p w14:paraId="6309F112">
      <w:pPr>
        <w:spacing w:before="68" w:line="221" w:lineRule="auto"/>
        <w:ind w:left="2"/>
        <w:rPr>
          <w:rFonts w:ascii="宋体" w:hAnsi="宋体" w:eastAsia="宋体" w:cs="宋体"/>
          <w:sz w:val="21"/>
          <w:szCs w:val="21"/>
        </w:rPr>
      </w:pPr>
      <w:bookmarkStart w:id="373" w:name="bookmark585"/>
      <w:bookmarkEnd w:id="373"/>
      <w:r>
        <w:rPr>
          <w:rFonts w:ascii="宋体" w:hAnsi="宋体" w:eastAsia="宋体" w:cs="宋体"/>
          <w:spacing w:val="-12"/>
          <w:sz w:val="21"/>
          <w:szCs w:val="21"/>
        </w:rPr>
        <w:t>执行：</w:t>
      </w:r>
    </w:p>
    <w:p w14:paraId="3E4648B5">
      <w:pPr>
        <w:spacing w:before="150" w:line="234" w:lineRule="auto"/>
        <w:ind w:left="418"/>
        <w:rPr>
          <w:rFonts w:ascii="宋体" w:hAnsi="宋体" w:eastAsia="宋体" w:cs="宋体"/>
          <w:sz w:val="21"/>
          <w:szCs w:val="21"/>
        </w:rPr>
      </w:pPr>
      <w:r>
        <w:rPr>
          <w:rFonts w:ascii="Times New Roman" w:hAnsi="Times New Roman" w:eastAsia="Times New Roman" w:cs="Times New Roman"/>
          <w:spacing w:val="-1"/>
          <w:sz w:val="21"/>
          <w:szCs w:val="21"/>
        </w:rPr>
        <w:t xml:space="preserve">20.3.1  </w:t>
      </w:r>
      <w:r>
        <w:rPr>
          <w:rFonts w:ascii="宋体" w:hAnsi="宋体" w:eastAsia="宋体" w:cs="宋体"/>
          <w:spacing w:val="-1"/>
          <w:sz w:val="21"/>
          <w:szCs w:val="21"/>
        </w:rPr>
        <w:t>争议评审小组的确定</w:t>
      </w:r>
    </w:p>
    <w:p w14:paraId="6E6F7C54">
      <w:pPr>
        <w:spacing w:before="134" w:line="351" w:lineRule="auto"/>
        <w:ind w:left="7" w:firstLine="415"/>
        <w:rPr>
          <w:rFonts w:ascii="宋体" w:hAnsi="宋体" w:eastAsia="宋体" w:cs="宋体"/>
          <w:sz w:val="21"/>
          <w:szCs w:val="21"/>
        </w:rPr>
      </w:pPr>
      <w:r>
        <w:rPr>
          <w:rFonts w:ascii="宋体" w:hAnsi="宋体" w:eastAsia="宋体" w:cs="宋体"/>
          <w:sz w:val="21"/>
          <w:szCs w:val="21"/>
        </w:rPr>
        <w:t>合同当事人可以共同选择一名或三名争议评审员，组成争议评审小组。除专用合同</w:t>
      </w:r>
      <w:r>
        <w:rPr>
          <w:rFonts w:ascii="宋体" w:hAnsi="宋体" w:eastAsia="宋体" w:cs="宋体"/>
          <w:spacing w:val="-1"/>
          <w:sz w:val="21"/>
          <w:szCs w:val="21"/>
        </w:rPr>
        <w:t>条款另有</w:t>
      </w:r>
      <w:r>
        <w:rPr>
          <w:rFonts w:ascii="宋体" w:hAnsi="宋体" w:eastAsia="宋体" w:cs="宋体"/>
          <w:spacing w:val="-2"/>
          <w:sz w:val="21"/>
          <w:szCs w:val="21"/>
        </w:rPr>
        <w:t>约定外，合同当事人应当自合同签订后</w:t>
      </w:r>
      <w:r>
        <w:rPr>
          <w:rFonts w:ascii="宋体" w:hAnsi="宋体" w:eastAsia="宋体" w:cs="宋体"/>
          <w:spacing w:val="-45"/>
          <w:sz w:val="21"/>
          <w:szCs w:val="21"/>
        </w:rPr>
        <w:t xml:space="preserve"> </w:t>
      </w:r>
      <w:r>
        <w:rPr>
          <w:rFonts w:ascii="Times New Roman" w:hAnsi="Times New Roman" w:eastAsia="Times New Roman" w:cs="Times New Roman"/>
          <w:spacing w:val="-2"/>
          <w:sz w:val="21"/>
          <w:szCs w:val="21"/>
        </w:rPr>
        <w:t>28</w:t>
      </w:r>
      <w:r>
        <w:rPr>
          <w:rFonts w:ascii="Times New Roman" w:hAnsi="Times New Roman" w:eastAsia="Times New Roman" w:cs="Times New Roman"/>
          <w:spacing w:val="13"/>
          <w:w w:val="101"/>
          <w:sz w:val="21"/>
          <w:szCs w:val="21"/>
        </w:rPr>
        <w:t xml:space="preserve"> </w:t>
      </w:r>
      <w:r>
        <w:rPr>
          <w:rFonts w:ascii="宋体" w:hAnsi="宋体" w:eastAsia="宋体" w:cs="宋体"/>
          <w:spacing w:val="-2"/>
          <w:sz w:val="21"/>
          <w:szCs w:val="21"/>
        </w:rPr>
        <w:t>天内，或者争议发生后</w:t>
      </w:r>
      <w:r>
        <w:rPr>
          <w:rFonts w:ascii="宋体" w:hAnsi="宋体" w:eastAsia="宋体" w:cs="宋体"/>
          <w:spacing w:val="-28"/>
          <w:sz w:val="21"/>
          <w:szCs w:val="21"/>
        </w:rPr>
        <w:t xml:space="preserve"> </w:t>
      </w:r>
      <w:r>
        <w:rPr>
          <w:rFonts w:ascii="Times New Roman" w:hAnsi="Times New Roman" w:eastAsia="Times New Roman" w:cs="Times New Roman"/>
          <w:spacing w:val="-2"/>
          <w:sz w:val="21"/>
          <w:szCs w:val="21"/>
        </w:rPr>
        <w:t>14</w:t>
      </w:r>
      <w:r>
        <w:rPr>
          <w:rFonts w:ascii="Times New Roman" w:hAnsi="Times New Roman" w:eastAsia="Times New Roman" w:cs="Times New Roman"/>
          <w:spacing w:val="13"/>
          <w:sz w:val="21"/>
          <w:szCs w:val="21"/>
        </w:rPr>
        <w:t xml:space="preserve"> </w:t>
      </w:r>
      <w:r>
        <w:rPr>
          <w:rFonts w:ascii="宋体" w:hAnsi="宋体" w:eastAsia="宋体" w:cs="宋体"/>
          <w:spacing w:val="-2"/>
          <w:sz w:val="21"/>
          <w:szCs w:val="21"/>
        </w:rPr>
        <w:t>天内，选定争议评审员。</w:t>
      </w:r>
    </w:p>
    <w:p w14:paraId="7CC064FE">
      <w:pPr>
        <w:spacing w:before="2" w:line="351" w:lineRule="auto"/>
        <w:ind w:left="1" w:firstLine="420"/>
        <w:jc w:val="both"/>
        <w:rPr>
          <w:rFonts w:ascii="宋体" w:hAnsi="宋体" w:eastAsia="宋体" w:cs="宋体"/>
          <w:sz w:val="21"/>
          <w:szCs w:val="21"/>
        </w:rPr>
      </w:pPr>
      <w:r>
        <w:rPr>
          <w:rFonts w:ascii="宋体" w:hAnsi="宋体" w:eastAsia="宋体" w:cs="宋体"/>
          <w:sz w:val="21"/>
          <w:szCs w:val="21"/>
        </w:rPr>
        <w:t>选择一名争议评审员的，由合同当事人共同确定；选择三名争议评审员的，各自选定</w:t>
      </w:r>
      <w:r>
        <w:rPr>
          <w:rFonts w:ascii="宋体" w:hAnsi="宋体" w:eastAsia="宋体" w:cs="宋体"/>
          <w:spacing w:val="-1"/>
          <w:sz w:val="21"/>
          <w:szCs w:val="21"/>
        </w:rPr>
        <w:t>一名，</w:t>
      </w:r>
      <w:r>
        <w:rPr>
          <w:rFonts w:ascii="宋体" w:hAnsi="宋体" w:eastAsia="宋体" w:cs="宋体"/>
          <w:sz w:val="21"/>
          <w:szCs w:val="21"/>
        </w:rPr>
        <w:t>第三名成员为首席争议评审员，由合同当事人共同确定或由合同当事人委托已选定的争议</w:t>
      </w:r>
      <w:r>
        <w:rPr>
          <w:rFonts w:ascii="宋体" w:hAnsi="宋体" w:eastAsia="宋体" w:cs="宋体"/>
          <w:spacing w:val="-1"/>
          <w:sz w:val="21"/>
          <w:szCs w:val="21"/>
        </w:rPr>
        <w:t>评审员共同确定，或由专用合同条款约定的评审机构指定第三名首席争议评审员。</w:t>
      </w:r>
    </w:p>
    <w:p w14:paraId="2EF92A87">
      <w:pPr>
        <w:spacing w:line="220" w:lineRule="auto"/>
        <w:ind w:left="434"/>
        <w:rPr>
          <w:rFonts w:ascii="宋体" w:hAnsi="宋体" w:eastAsia="宋体" w:cs="宋体"/>
          <w:sz w:val="21"/>
          <w:szCs w:val="21"/>
        </w:rPr>
      </w:pPr>
      <w:r>
        <w:rPr>
          <w:rFonts w:ascii="宋体" w:hAnsi="宋体" w:eastAsia="宋体" w:cs="宋体"/>
          <w:spacing w:val="-1"/>
          <w:sz w:val="21"/>
          <w:szCs w:val="21"/>
        </w:rPr>
        <w:t>除专用合同条款另有约定外，评审员报酬由发包人和承包人各承担一半。</w:t>
      </w:r>
    </w:p>
    <w:p w14:paraId="33558688">
      <w:pPr>
        <w:spacing w:before="151" w:line="234" w:lineRule="auto"/>
        <w:ind w:left="418"/>
        <w:rPr>
          <w:rFonts w:ascii="宋体" w:hAnsi="宋体" w:eastAsia="宋体" w:cs="宋体"/>
          <w:sz w:val="21"/>
          <w:szCs w:val="21"/>
        </w:rPr>
      </w:pPr>
      <w:r>
        <w:rPr>
          <w:rFonts w:ascii="Times New Roman" w:hAnsi="Times New Roman" w:eastAsia="Times New Roman" w:cs="Times New Roman"/>
          <w:spacing w:val="-1"/>
          <w:sz w:val="21"/>
          <w:szCs w:val="21"/>
        </w:rPr>
        <w:t xml:space="preserve">20.3.2  </w:t>
      </w:r>
      <w:r>
        <w:rPr>
          <w:rFonts w:ascii="宋体" w:hAnsi="宋体" w:eastAsia="宋体" w:cs="宋体"/>
          <w:spacing w:val="-1"/>
          <w:sz w:val="21"/>
          <w:szCs w:val="21"/>
        </w:rPr>
        <w:t>争议评审小组的决定</w:t>
      </w:r>
    </w:p>
    <w:p w14:paraId="5892BCB8">
      <w:pPr>
        <w:spacing w:before="134" w:line="350" w:lineRule="auto"/>
        <w:ind w:left="4" w:firstLine="419"/>
        <w:rPr>
          <w:rFonts w:ascii="宋体" w:hAnsi="宋体" w:eastAsia="宋体" w:cs="宋体"/>
          <w:sz w:val="21"/>
          <w:szCs w:val="21"/>
        </w:rPr>
      </w:pPr>
      <w:r>
        <w:rPr>
          <w:rFonts w:ascii="宋体" w:hAnsi="宋体" w:eastAsia="宋体" w:cs="宋体"/>
          <w:sz w:val="21"/>
          <w:szCs w:val="21"/>
        </w:rPr>
        <w:t>合同当事人可在任何时间将与合同有关的任何争议共同提请争议评审小组进行评审</w:t>
      </w:r>
      <w:r>
        <w:rPr>
          <w:rFonts w:ascii="宋体" w:hAnsi="宋体" w:eastAsia="宋体" w:cs="宋体"/>
          <w:spacing w:val="-1"/>
          <w:sz w:val="21"/>
          <w:szCs w:val="21"/>
        </w:rPr>
        <w:t>。争议评</w:t>
      </w:r>
      <w:r>
        <w:rPr>
          <w:rFonts w:ascii="宋体" w:hAnsi="宋体" w:eastAsia="宋体" w:cs="宋体"/>
          <w:sz w:val="21"/>
          <w:szCs w:val="21"/>
        </w:rPr>
        <w:t>审小组应秉持客观、公正原则，充分听取合同当事人的意见，依据相关法律、规范、</w:t>
      </w:r>
      <w:r>
        <w:rPr>
          <w:rFonts w:ascii="宋体" w:hAnsi="宋体" w:eastAsia="宋体" w:cs="宋体"/>
          <w:spacing w:val="-1"/>
          <w:sz w:val="21"/>
          <w:szCs w:val="21"/>
        </w:rPr>
        <w:t>标准、案例</w:t>
      </w:r>
      <w:r>
        <w:rPr>
          <w:rFonts w:ascii="宋体" w:hAnsi="宋体" w:eastAsia="宋体" w:cs="宋体"/>
          <w:sz w:val="21"/>
          <w:szCs w:val="21"/>
        </w:rPr>
        <w:t xml:space="preserve">经验及商业惯例等，自收到争议评审申请报告后 </w:t>
      </w:r>
      <w:r>
        <w:rPr>
          <w:rFonts w:ascii="Times New Roman" w:hAnsi="Times New Roman" w:eastAsia="Times New Roman" w:cs="Times New Roman"/>
          <w:sz w:val="21"/>
          <w:szCs w:val="21"/>
        </w:rPr>
        <w:t xml:space="preserve">14  </w:t>
      </w:r>
      <w:r>
        <w:rPr>
          <w:rFonts w:ascii="宋体" w:hAnsi="宋体" w:eastAsia="宋体" w:cs="宋体"/>
          <w:sz w:val="21"/>
          <w:szCs w:val="21"/>
        </w:rPr>
        <w:t>天内作出书面决定，并说明理由</w:t>
      </w:r>
      <w:r>
        <w:rPr>
          <w:rFonts w:ascii="宋体" w:hAnsi="宋体" w:eastAsia="宋体" w:cs="宋体"/>
          <w:spacing w:val="-1"/>
          <w:sz w:val="21"/>
          <w:szCs w:val="21"/>
        </w:rPr>
        <w:t>。合同当事人可以在专用合同条款中对本项事项另行约定。</w:t>
      </w:r>
    </w:p>
    <w:p w14:paraId="6EEB7708">
      <w:pPr>
        <w:spacing w:before="7" w:line="234" w:lineRule="auto"/>
        <w:ind w:left="418"/>
        <w:rPr>
          <w:rFonts w:ascii="宋体" w:hAnsi="宋体" w:eastAsia="宋体" w:cs="宋体"/>
          <w:sz w:val="21"/>
          <w:szCs w:val="21"/>
        </w:rPr>
      </w:pPr>
      <w:r>
        <w:rPr>
          <w:rFonts w:ascii="Times New Roman" w:hAnsi="Times New Roman" w:eastAsia="Times New Roman" w:cs="Times New Roman"/>
          <w:sz w:val="21"/>
          <w:szCs w:val="21"/>
        </w:rPr>
        <w:t xml:space="preserve">20.3.3  </w:t>
      </w:r>
      <w:r>
        <w:rPr>
          <w:rFonts w:ascii="宋体" w:hAnsi="宋体" w:eastAsia="宋体" w:cs="宋体"/>
          <w:sz w:val="21"/>
          <w:szCs w:val="21"/>
        </w:rPr>
        <w:t>争议评审小组决定的效力</w:t>
      </w:r>
    </w:p>
    <w:p w14:paraId="7B0CC1D2">
      <w:pPr>
        <w:spacing w:before="135" w:line="351" w:lineRule="auto"/>
        <w:ind w:left="5" w:firstLine="420"/>
        <w:rPr>
          <w:rFonts w:ascii="宋体" w:hAnsi="宋体" w:eastAsia="宋体" w:cs="宋体"/>
          <w:sz w:val="21"/>
          <w:szCs w:val="21"/>
        </w:rPr>
      </w:pPr>
      <w:r>
        <w:rPr>
          <w:rFonts w:ascii="宋体" w:hAnsi="宋体" w:eastAsia="宋体" w:cs="宋体"/>
          <w:sz w:val="21"/>
          <w:szCs w:val="21"/>
        </w:rPr>
        <w:t>争议评审小组作出的书面决定经合同当事人签字确认后，对双方具有约束</w:t>
      </w:r>
      <w:r>
        <w:rPr>
          <w:rFonts w:ascii="宋体" w:hAnsi="宋体" w:eastAsia="宋体" w:cs="宋体"/>
          <w:spacing w:val="-1"/>
          <w:sz w:val="21"/>
          <w:szCs w:val="21"/>
        </w:rPr>
        <w:t>力，双方应遵照执</w:t>
      </w:r>
      <w:r>
        <w:rPr>
          <w:rFonts w:ascii="宋体" w:hAnsi="宋体" w:eastAsia="宋体" w:cs="宋体"/>
          <w:spacing w:val="-11"/>
          <w:sz w:val="21"/>
          <w:szCs w:val="21"/>
        </w:rPr>
        <w:t>行。</w:t>
      </w:r>
    </w:p>
    <w:p w14:paraId="20CC029D">
      <w:pPr>
        <w:spacing w:before="1" w:line="340" w:lineRule="auto"/>
        <w:ind w:left="2" w:right="9" w:firstLine="419"/>
        <w:rPr>
          <w:rFonts w:ascii="宋体" w:hAnsi="宋体" w:eastAsia="宋体" w:cs="宋体"/>
          <w:sz w:val="21"/>
          <w:szCs w:val="21"/>
        </w:rPr>
      </w:pPr>
      <w:r>
        <w:rPr>
          <w:rFonts w:ascii="宋体" w:hAnsi="宋体" w:eastAsia="宋体" w:cs="宋体"/>
          <w:sz w:val="21"/>
          <w:szCs w:val="21"/>
        </w:rPr>
        <w:t>任何一方当事人不接受争议评审小组决定或不履行争议评审小组</w:t>
      </w:r>
      <w:r>
        <w:rPr>
          <w:rFonts w:ascii="宋体" w:hAnsi="宋体" w:eastAsia="宋体" w:cs="宋体"/>
          <w:spacing w:val="-1"/>
          <w:sz w:val="21"/>
          <w:szCs w:val="21"/>
        </w:rPr>
        <w:t>决定的，双方可选择采用其他争议解决方式。</w:t>
      </w:r>
    </w:p>
    <w:p w14:paraId="29589A77">
      <w:pPr>
        <w:spacing w:line="231" w:lineRule="auto"/>
        <w:outlineLvl w:val="1"/>
        <w:rPr>
          <w:rFonts w:ascii="黑体" w:hAnsi="黑体" w:eastAsia="黑体" w:cs="黑体"/>
          <w:sz w:val="24"/>
          <w:szCs w:val="24"/>
        </w:rPr>
      </w:pPr>
      <w:bookmarkStart w:id="374" w:name="bookmark281"/>
      <w:bookmarkEnd w:id="374"/>
      <w:r>
        <w:rPr>
          <w:rFonts w:ascii="Times New Roman" w:hAnsi="Times New Roman" w:eastAsia="Times New Roman" w:cs="Times New Roman"/>
          <w:b/>
          <w:bCs/>
          <w:spacing w:val="-2"/>
          <w:sz w:val="24"/>
          <w:szCs w:val="24"/>
        </w:rPr>
        <w:t xml:space="preserve">20.4 </w:t>
      </w:r>
      <w:r>
        <w:rPr>
          <w:rFonts w:ascii="黑体" w:hAnsi="黑体" w:eastAsia="黑体" w:cs="黑体"/>
          <w:b/>
          <w:bCs/>
          <w:spacing w:val="-2"/>
          <w:sz w:val="24"/>
          <w:szCs w:val="24"/>
        </w:rPr>
        <w:t>仲裁或诉讼</w:t>
      </w:r>
    </w:p>
    <w:p w14:paraId="2AE06D27">
      <w:pPr>
        <w:spacing w:before="126" w:line="351" w:lineRule="auto"/>
        <w:ind w:left="9" w:firstLine="429"/>
        <w:rPr>
          <w:rFonts w:ascii="宋体" w:hAnsi="宋体" w:eastAsia="宋体" w:cs="宋体"/>
          <w:sz w:val="21"/>
          <w:szCs w:val="21"/>
        </w:rPr>
      </w:pPr>
      <w:r>
        <w:rPr>
          <w:rFonts w:ascii="宋体" w:hAnsi="宋体" w:eastAsia="宋体" w:cs="宋体"/>
          <w:sz w:val="21"/>
          <w:szCs w:val="21"/>
        </w:rPr>
        <w:t>因合同及合同有关事项产生的争议，合同当事</w:t>
      </w:r>
      <w:r>
        <w:rPr>
          <w:rFonts w:ascii="宋体" w:hAnsi="宋体" w:eastAsia="宋体" w:cs="宋体"/>
          <w:spacing w:val="-1"/>
          <w:sz w:val="21"/>
          <w:szCs w:val="21"/>
        </w:rPr>
        <w:t>人可以在专用合同条款中约定以下一种方式解</w:t>
      </w:r>
      <w:r>
        <w:rPr>
          <w:rFonts w:ascii="宋体" w:hAnsi="宋体" w:eastAsia="宋体" w:cs="宋体"/>
          <w:spacing w:val="-3"/>
          <w:sz w:val="21"/>
          <w:szCs w:val="21"/>
        </w:rPr>
        <w:t>决争议：</w:t>
      </w:r>
    </w:p>
    <w:p w14:paraId="0451E9A5">
      <w:pPr>
        <w:spacing w:line="233" w:lineRule="auto"/>
        <w:ind w:left="428"/>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）向约定的仲裁委员会申请仲裁；</w:t>
      </w:r>
    </w:p>
    <w:p w14:paraId="5DED1E53">
      <w:pPr>
        <w:spacing w:before="135" w:line="234" w:lineRule="auto"/>
        <w:ind w:left="42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）向有管辖权的人民法院起诉。</w:t>
      </w:r>
    </w:p>
    <w:p w14:paraId="2919823D">
      <w:pPr>
        <w:spacing w:before="110" w:line="232" w:lineRule="auto"/>
        <w:outlineLvl w:val="1"/>
        <w:rPr>
          <w:rFonts w:ascii="黑体" w:hAnsi="黑体" w:eastAsia="黑体" w:cs="黑体"/>
          <w:sz w:val="24"/>
          <w:szCs w:val="24"/>
        </w:rPr>
      </w:pPr>
      <w:bookmarkStart w:id="375" w:name="bookmark282"/>
      <w:bookmarkEnd w:id="375"/>
      <w:r>
        <w:rPr>
          <w:rFonts w:ascii="Times New Roman" w:hAnsi="Times New Roman" w:eastAsia="Times New Roman" w:cs="Times New Roman"/>
          <w:b/>
          <w:bCs/>
          <w:spacing w:val="-4"/>
          <w:sz w:val="24"/>
          <w:szCs w:val="24"/>
        </w:rPr>
        <w:t>20.5</w:t>
      </w:r>
      <w:r>
        <w:rPr>
          <w:rFonts w:ascii="Times New Roman" w:hAnsi="Times New Roman" w:eastAsia="Times New Roman" w:cs="Times New Roman"/>
          <w:b/>
          <w:bCs/>
          <w:spacing w:val="27"/>
          <w:sz w:val="24"/>
          <w:szCs w:val="24"/>
        </w:rPr>
        <w:t xml:space="preserve"> </w:t>
      </w:r>
      <w:r>
        <w:rPr>
          <w:rFonts w:ascii="黑体" w:hAnsi="黑体" w:eastAsia="黑体" w:cs="黑体"/>
          <w:b/>
          <w:bCs/>
          <w:spacing w:val="-4"/>
          <w:sz w:val="24"/>
          <w:szCs w:val="24"/>
        </w:rPr>
        <w:t>争议解决条款效力</w:t>
      </w:r>
    </w:p>
    <w:p w14:paraId="78639DEC">
      <w:pPr>
        <w:spacing w:before="123" w:line="354" w:lineRule="auto"/>
        <w:ind w:left="7" w:firstLine="415"/>
        <w:rPr>
          <w:rFonts w:ascii="宋体" w:hAnsi="宋体" w:eastAsia="宋体" w:cs="宋体"/>
          <w:sz w:val="21"/>
          <w:szCs w:val="21"/>
        </w:rPr>
      </w:pPr>
      <w:r>
        <w:rPr>
          <w:rFonts w:ascii="宋体" w:hAnsi="宋体" w:eastAsia="宋体" w:cs="宋体"/>
          <w:sz w:val="21"/>
          <w:szCs w:val="21"/>
        </w:rPr>
        <w:t>合同有关争议解决的条款独立存在，合同的变更、解除、终止、无效或者被撤销均</w:t>
      </w:r>
      <w:r>
        <w:rPr>
          <w:rFonts w:ascii="宋体" w:hAnsi="宋体" w:eastAsia="宋体" w:cs="宋体"/>
          <w:spacing w:val="-1"/>
          <w:sz w:val="21"/>
          <w:szCs w:val="21"/>
        </w:rPr>
        <w:t>不影响其</w:t>
      </w:r>
      <w:r>
        <w:rPr>
          <w:rFonts w:ascii="宋体" w:hAnsi="宋体" w:eastAsia="宋体" w:cs="宋体"/>
          <w:spacing w:val="-10"/>
          <w:sz w:val="21"/>
          <w:szCs w:val="21"/>
        </w:rPr>
        <w:t>效力。</w:t>
      </w:r>
    </w:p>
    <w:p w14:paraId="301C734F">
      <w:pPr>
        <w:spacing w:line="354" w:lineRule="auto"/>
        <w:rPr>
          <w:rFonts w:ascii="宋体" w:hAnsi="宋体" w:eastAsia="宋体" w:cs="宋体"/>
          <w:sz w:val="21"/>
          <w:szCs w:val="21"/>
        </w:rPr>
        <w:sectPr>
          <w:footerReference r:id="rId129" w:type="default"/>
          <w:pgSz w:w="11905" w:h="16843"/>
          <w:pgMar w:top="969" w:right="1355" w:bottom="1026" w:left="1480" w:header="0" w:footer="754" w:gutter="0"/>
          <w:cols w:space="0" w:num="1"/>
          <w:rtlGutter w:val="0"/>
          <w:docGrid w:linePitch="0" w:charSpace="0"/>
        </w:sectPr>
      </w:pPr>
    </w:p>
    <w:p w14:paraId="59BAEEDC">
      <w:pPr>
        <w:pStyle w:val="5"/>
        <w:spacing w:line="241" w:lineRule="auto"/>
      </w:pPr>
    </w:p>
    <w:p w14:paraId="34098818">
      <w:pPr>
        <w:pStyle w:val="5"/>
        <w:spacing w:line="241" w:lineRule="auto"/>
      </w:pPr>
    </w:p>
    <w:p w14:paraId="2BD6BA5B">
      <w:pPr>
        <w:pStyle w:val="5"/>
        <w:spacing w:line="241" w:lineRule="auto"/>
      </w:pPr>
    </w:p>
    <w:p w14:paraId="58C42F62">
      <w:pPr>
        <w:pStyle w:val="5"/>
        <w:spacing w:line="241" w:lineRule="auto"/>
      </w:pPr>
    </w:p>
    <w:p w14:paraId="0A6FC754">
      <w:pPr>
        <w:pStyle w:val="5"/>
        <w:spacing w:line="241" w:lineRule="auto"/>
      </w:pPr>
    </w:p>
    <w:p w14:paraId="49E3C4F4">
      <w:pPr>
        <w:pStyle w:val="5"/>
        <w:spacing w:line="241" w:lineRule="auto"/>
      </w:pPr>
    </w:p>
    <w:p w14:paraId="5645BB16">
      <w:pPr>
        <w:pStyle w:val="5"/>
        <w:spacing w:line="241" w:lineRule="auto"/>
      </w:pPr>
    </w:p>
    <w:p w14:paraId="33218E2A">
      <w:pPr>
        <w:pStyle w:val="5"/>
        <w:spacing w:line="241" w:lineRule="auto"/>
      </w:pPr>
    </w:p>
    <w:p w14:paraId="3379A8AF">
      <w:pPr>
        <w:pStyle w:val="5"/>
        <w:spacing w:line="242" w:lineRule="auto"/>
      </w:pPr>
    </w:p>
    <w:p w14:paraId="0069BFAA">
      <w:pPr>
        <w:pStyle w:val="5"/>
        <w:spacing w:line="242" w:lineRule="auto"/>
      </w:pPr>
    </w:p>
    <w:p w14:paraId="5DB1987B">
      <w:pPr>
        <w:pStyle w:val="5"/>
        <w:spacing w:line="242" w:lineRule="auto"/>
      </w:pPr>
    </w:p>
    <w:p w14:paraId="5BACB5CC">
      <w:pPr>
        <w:pStyle w:val="5"/>
        <w:spacing w:line="242" w:lineRule="auto"/>
      </w:pPr>
    </w:p>
    <w:p w14:paraId="118A3A15">
      <w:pPr>
        <w:pStyle w:val="5"/>
        <w:spacing w:line="242" w:lineRule="auto"/>
      </w:pPr>
    </w:p>
    <w:p w14:paraId="4427C821">
      <w:pPr>
        <w:pStyle w:val="5"/>
        <w:spacing w:line="242" w:lineRule="auto"/>
      </w:pPr>
    </w:p>
    <w:p w14:paraId="094C1ED9">
      <w:pPr>
        <w:pStyle w:val="5"/>
        <w:spacing w:line="242" w:lineRule="auto"/>
      </w:pPr>
    </w:p>
    <w:p w14:paraId="2B1451F6">
      <w:pPr>
        <w:pStyle w:val="5"/>
        <w:spacing w:line="242" w:lineRule="auto"/>
      </w:pPr>
    </w:p>
    <w:p w14:paraId="67124912">
      <w:pPr>
        <w:pStyle w:val="5"/>
        <w:spacing w:line="242" w:lineRule="auto"/>
      </w:pPr>
    </w:p>
    <w:p w14:paraId="5673221A">
      <w:pPr>
        <w:pStyle w:val="5"/>
        <w:spacing w:line="242" w:lineRule="auto"/>
      </w:pPr>
    </w:p>
    <w:p w14:paraId="528850B4">
      <w:pPr>
        <w:pStyle w:val="5"/>
        <w:spacing w:line="242" w:lineRule="auto"/>
      </w:pPr>
    </w:p>
    <w:p w14:paraId="12E8FFA3">
      <w:pPr>
        <w:pStyle w:val="5"/>
        <w:spacing w:line="242" w:lineRule="auto"/>
      </w:pPr>
    </w:p>
    <w:p w14:paraId="48A371BA">
      <w:pPr>
        <w:pStyle w:val="5"/>
        <w:spacing w:line="242" w:lineRule="auto"/>
      </w:pPr>
    </w:p>
    <w:p w14:paraId="2ECEF6F9">
      <w:pPr>
        <w:spacing w:before="91" w:line="219" w:lineRule="auto"/>
        <w:ind w:left="2697"/>
        <w:outlineLvl w:val="0"/>
        <w:rPr>
          <w:rFonts w:ascii="黑体" w:hAnsi="黑体" w:eastAsia="黑体" w:cs="黑体"/>
          <w:sz w:val="28"/>
          <w:szCs w:val="28"/>
        </w:rPr>
      </w:pPr>
      <w:bookmarkStart w:id="376" w:name="bookmark586"/>
      <w:bookmarkEnd w:id="376"/>
      <w:bookmarkStart w:id="377" w:name="bookmark283"/>
      <w:bookmarkEnd w:id="377"/>
      <w:r>
        <w:rPr>
          <w:rFonts w:ascii="黑体" w:hAnsi="黑体" w:eastAsia="黑体" w:cs="黑体"/>
          <w:spacing w:val="-1"/>
          <w:sz w:val="28"/>
          <w:szCs w:val="28"/>
        </w:rPr>
        <w:t>第三部分 专用合同条款</w:t>
      </w:r>
    </w:p>
    <w:p w14:paraId="34DD241D">
      <w:pPr>
        <w:spacing w:line="219" w:lineRule="auto"/>
        <w:rPr>
          <w:rFonts w:ascii="黑体" w:hAnsi="黑体" w:eastAsia="黑体" w:cs="黑体"/>
          <w:sz w:val="28"/>
          <w:szCs w:val="28"/>
        </w:rPr>
        <w:sectPr>
          <w:footerReference r:id="rId130" w:type="default"/>
          <w:pgSz w:w="11905" w:h="16843"/>
          <w:pgMar w:top="969" w:right="1355" w:bottom="1026" w:left="1480" w:header="0" w:footer="754" w:gutter="0"/>
          <w:cols w:space="0" w:num="1"/>
          <w:rtlGutter w:val="0"/>
          <w:docGrid w:linePitch="0" w:charSpace="0"/>
        </w:sectPr>
      </w:pPr>
    </w:p>
    <w:p w14:paraId="5BBC38A8">
      <w:pPr>
        <w:pStyle w:val="5"/>
        <w:spacing w:line="249" w:lineRule="auto"/>
      </w:pPr>
    </w:p>
    <w:p w14:paraId="1CF78144">
      <w:pPr>
        <w:spacing w:line="400" w:lineRule="exact"/>
        <w:jc w:val="center"/>
        <w:rPr>
          <w:rFonts w:ascii="黑体" w:eastAsia="黑体"/>
          <w:color w:val="auto"/>
          <w:sz w:val="28"/>
          <w:szCs w:val="28"/>
          <w:highlight w:val="none"/>
        </w:rPr>
      </w:pPr>
      <w:bookmarkStart w:id="378" w:name="bookmark587"/>
      <w:bookmarkEnd w:id="378"/>
      <w:bookmarkStart w:id="379" w:name="bookmark284"/>
      <w:bookmarkEnd w:id="379"/>
      <w:r>
        <w:rPr>
          <w:rFonts w:hint="eastAsia" w:ascii="黑体" w:eastAsia="黑体"/>
          <w:color w:val="auto"/>
          <w:sz w:val="28"/>
          <w:szCs w:val="28"/>
          <w:highlight w:val="none"/>
        </w:rPr>
        <w:t>专用合同条款</w:t>
      </w:r>
    </w:p>
    <w:p w14:paraId="45774F2E">
      <w:pPr>
        <w:spacing w:line="400" w:lineRule="exact"/>
        <w:ind w:firstLine="420" w:firstLineChars="200"/>
        <w:rPr>
          <w:color w:val="auto"/>
          <w:highlight w:val="none"/>
        </w:rPr>
      </w:pPr>
    </w:p>
    <w:p w14:paraId="2D769279">
      <w:pPr>
        <w:pStyle w:val="12"/>
        <w:rPr>
          <w:b/>
          <w:color w:val="auto"/>
          <w:highlight w:val="none"/>
        </w:rPr>
      </w:pPr>
      <w:bookmarkStart w:id="380" w:name="_Toc15882"/>
      <w:bookmarkStart w:id="381" w:name="_Toc256000289"/>
      <w:bookmarkStart w:id="382" w:name="_Toc150947438"/>
      <w:bookmarkStart w:id="383" w:name="_Toc351203633"/>
      <w:r>
        <w:rPr>
          <w:b/>
          <w:color w:val="auto"/>
          <w:highlight w:val="none"/>
        </w:rPr>
        <w:t>1</w:t>
      </w:r>
      <w:bookmarkStart w:id="384" w:name="_Toc296347155"/>
      <w:bookmarkStart w:id="385" w:name="_Toc297120456"/>
      <w:bookmarkStart w:id="386" w:name="_Toc296890984"/>
      <w:bookmarkStart w:id="387" w:name="_Toc296891196"/>
      <w:bookmarkStart w:id="388" w:name="_Toc296944495"/>
      <w:bookmarkStart w:id="389" w:name="_Toc292559866"/>
      <w:bookmarkStart w:id="390" w:name="_Toc296503156"/>
      <w:bookmarkStart w:id="391" w:name="_Toc296346657"/>
      <w:bookmarkStart w:id="392" w:name="_Toc292559361"/>
      <w:bookmarkStart w:id="393" w:name="_Toc297048342"/>
      <w:r>
        <w:rPr>
          <w:b/>
          <w:color w:val="auto"/>
          <w:highlight w:val="none"/>
        </w:rPr>
        <w:t>. 一般约定</w:t>
      </w:r>
      <w:bookmarkEnd w:id="380"/>
      <w:bookmarkEnd w:id="381"/>
      <w:bookmarkEnd w:id="382"/>
      <w:bookmarkEnd w:id="383"/>
    </w:p>
    <w:bookmarkEnd w:id="384"/>
    <w:bookmarkEnd w:id="385"/>
    <w:bookmarkEnd w:id="386"/>
    <w:bookmarkEnd w:id="387"/>
    <w:bookmarkEnd w:id="388"/>
    <w:bookmarkEnd w:id="389"/>
    <w:bookmarkEnd w:id="390"/>
    <w:bookmarkEnd w:id="391"/>
    <w:bookmarkEnd w:id="392"/>
    <w:bookmarkEnd w:id="393"/>
    <w:p w14:paraId="0F8B9BE7">
      <w:pPr>
        <w:pStyle w:val="13"/>
        <w:rPr>
          <w:b/>
          <w:color w:val="auto"/>
          <w:highlight w:val="none"/>
        </w:rPr>
      </w:pPr>
      <w:bookmarkStart w:id="394" w:name="_Toc6737"/>
      <w:bookmarkStart w:id="395" w:name="_Toc10972"/>
      <w:bookmarkStart w:id="396" w:name="_Toc150947439"/>
      <w:bookmarkStart w:id="397" w:name="_Toc256000290"/>
      <w:r>
        <w:rPr>
          <w:b/>
          <w:color w:val="auto"/>
          <w:highlight w:val="none"/>
        </w:rPr>
        <w:t>1.1 词语定义</w:t>
      </w:r>
      <w:bookmarkEnd w:id="394"/>
      <w:bookmarkEnd w:id="395"/>
      <w:bookmarkEnd w:id="396"/>
      <w:bookmarkEnd w:id="397"/>
    </w:p>
    <w:p w14:paraId="305B9A93">
      <w:pPr>
        <w:spacing w:line="400" w:lineRule="exact"/>
        <w:ind w:firstLine="420" w:firstLineChars="200"/>
        <w:rPr>
          <w:color w:val="auto"/>
          <w:highlight w:val="none"/>
        </w:rPr>
      </w:pPr>
      <w:r>
        <w:rPr>
          <w:color w:val="auto"/>
          <w:highlight w:val="none"/>
        </w:rPr>
        <w:t>1.1.1合同</w:t>
      </w:r>
    </w:p>
    <w:p w14:paraId="73A49CD6">
      <w:pPr>
        <w:spacing w:line="400" w:lineRule="exact"/>
        <w:ind w:firstLine="420" w:firstLineChars="200"/>
        <w:rPr>
          <w:color w:val="auto"/>
          <w:highlight w:val="none"/>
        </w:rPr>
      </w:pPr>
      <w:r>
        <w:rPr>
          <w:color w:val="auto"/>
          <w:highlight w:val="none"/>
        </w:rPr>
        <w:t>1.1.1.10其他合同文件包括：</w:t>
      </w:r>
      <w:r>
        <w:rPr>
          <w:rFonts w:hint="eastAsia"/>
          <w:color w:val="auto"/>
          <w:highlight w:val="none"/>
          <w:u w:val="single"/>
        </w:rPr>
        <w:t xml:space="preserve"> 包括但不限于工程变更文件、会议纪要、往来函件、补充协议等</w:t>
      </w:r>
      <w:r>
        <w:rPr>
          <w:color w:val="auto"/>
          <w:highlight w:val="none"/>
        </w:rPr>
        <w:t>。</w:t>
      </w:r>
    </w:p>
    <w:p w14:paraId="79364613">
      <w:pPr>
        <w:spacing w:line="400" w:lineRule="exact"/>
        <w:ind w:firstLine="420" w:firstLineChars="200"/>
        <w:rPr>
          <w:color w:val="auto"/>
          <w:highlight w:val="none"/>
        </w:rPr>
      </w:pPr>
      <w:r>
        <w:rPr>
          <w:color w:val="auto"/>
          <w:highlight w:val="none"/>
        </w:rPr>
        <w:t>1.1.2 合同当事人及其他相关方</w:t>
      </w:r>
    </w:p>
    <w:p w14:paraId="3CEA88FF">
      <w:pPr>
        <w:spacing w:line="400" w:lineRule="exact"/>
        <w:ind w:firstLine="420" w:firstLineChars="200"/>
        <w:rPr>
          <w:color w:val="auto"/>
          <w:highlight w:val="none"/>
        </w:rPr>
      </w:pPr>
      <w:r>
        <w:rPr>
          <w:color w:val="auto"/>
          <w:highlight w:val="none"/>
        </w:rPr>
        <w:t>1.1.2.4监理人：</w:t>
      </w:r>
    </w:p>
    <w:p w14:paraId="2991B55D">
      <w:pPr>
        <w:spacing w:line="400" w:lineRule="exact"/>
        <w:ind w:firstLine="420" w:firstLineChars="200"/>
        <w:rPr>
          <w:color w:val="auto"/>
          <w:highlight w:val="none"/>
        </w:rPr>
      </w:pPr>
      <w:r>
        <w:rPr>
          <w:color w:val="auto"/>
          <w:highlight w:val="none"/>
        </w:rPr>
        <w:t>名    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76EE4A64">
      <w:pPr>
        <w:spacing w:line="400" w:lineRule="exact"/>
        <w:ind w:firstLine="420" w:firstLineChars="200"/>
        <w:rPr>
          <w:color w:val="auto"/>
          <w:highlight w:val="none"/>
        </w:rPr>
      </w:pPr>
      <w:r>
        <w:rPr>
          <w:color w:val="auto"/>
          <w:highlight w:val="none"/>
        </w:rPr>
        <w:t>资质类别和等级：</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7D5E0FA1">
      <w:pPr>
        <w:spacing w:line="400" w:lineRule="exact"/>
        <w:ind w:firstLine="420" w:firstLineChars="200"/>
        <w:rPr>
          <w:color w:val="auto"/>
          <w:highlight w:val="none"/>
        </w:rPr>
      </w:pPr>
      <w:r>
        <w:rPr>
          <w:color w:val="auto"/>
          <w:highlight w:val="none"/>
        </w:rPr>
        <w:t>联系电话：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6EA7CC94">
      <w:pPr>
        <w:spacing w:line="40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C54B7F2">
      <w:pPr>
        <w:spacing w:line="400" w:lineRule="exact"/>
        <w:ind w:firstLine="420" w:firstLineChars="200"/>
        <w:rPr>
          <w:color w:val="auto"/>
          <w:highlight w:val="none"/>
        </w:rPr>
      </w:pPr>
      <w:r>
        <w:rPr>
          <w:color w:val="auto"/>
          <w:highlight w:val="none"/>
        </w:rPr>
        <w:t>通信地址：</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7E6D30B5">
      <w:pPr>
        <w:spacing w:line="400" w:lineRule="exact"/>
        <w:ind w:firstLine="420" w:firstLineChars="200"/>
        <w:rPr>
          <w:color w:val="auto"/>
          <w:highlight w:val="none"/>
        </w:rPr>
      </w:pPr>
      <w:r>
        <w:rPr>
          <w:color w:val="auto"/>
          <w:highlight w:val="none"/>
        </w:rPr>
        <w:t>1.1.2.5 设计人：</w:t>
      </w:r>
    </w:p>
    <w:p w14:paraId="76275291">
      <w:pPr>
        <w:spacing w:line="400" w:lineRule="exact"/>
        <w:ind w:firstLine="420" w:firstLineChars="200"/>
        <w:rPr>
          <w:color w:val="auto"/>
          <w:highlight w:val="none"/>
        </w:rPr>
      </w:pPr>
      <w:r>
        <w:rPr>
          <w:color w:val="auto"/>
          <w:highlight w:val="none"/>
        </w:rPr>
        <w:t>名    称：</w:t>
      </w:r>
      <w:r>
        <w:rPr>
          <w:rFonts w:hint="eastAsia" w:eastAsia="宋体"/>
          <w:color w:val="auto"/>
          <w:highlight w:val="none"/>
          <w:u w:val="single"/>
          <w:lang w:val="en-US" w:eastAsia="zh-CN"/>
        </w:rPr>
        <w:t xml:space="preserve">               </w:t>
      </w:r>
      <w:r>
        <w:rPr>
          <w:color w:val="auto"/>
          <w:highlight w:val="none"/>
        </w:rPr>
        <w:t>；</w:t>
      </w:r>
    </w:p>
    <w:p w14:paraId="20306C0A">
      <w:pPr>
        <w:spacing w:line="400" w:lineRule="exact"/>
        <w:ind w:firstLine="420" w:firstLineChars="200"/>
        <w:rPr>
          <w:color w:val="auto"/>
          <w:highlight w:val="none"/>
        </w:rPr>
      </w:pPr>
      <w:r>
        <w:rPr>
          <w:color w:val="auto"/>
          <w:highlight w:val="none"/>
        </w:rPr>
        <w:t>资质类别和等级：</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7CABADEA">
      <w:pPr>
        <w:spacing w:line="400" w:lineRule="exact"/>
        <w:ind w:firstLine="420" w:firstLineChars="200"/>
        <w:rPr>
          <w:color w:val="auto"/>
          <w:highlight w:val="none"/>
        </w:rPr>
      </w:pPr>
      <w:r>
        <w:rPr>
          <w:color w:val="auto"/>
          <w:highlight w:val="none"/>
        </w:rPr>
        <w:t>联系电话：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6925638D">
      <w:pPr>
        <w:spacing w:line="40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D712C90">
      <w:pPr>
        <w:spacing w:line="400" w:lineRule="exact"/>
        <w:ind w:firstLine="420" w:firstLineChars="200"/>
        <w:rPr>
          <w:color w:val="auto"/>
          <w:highlight w:val="none"/>
        </w:rPr>
      </w:pPr>
      <w:r>
        <w:rPr>
          <w:color w:val="auto"/>
          <w:highlight w:val="none"/>
        </w:rPr>
        <w:t>通信地址：</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6EE9E095">
      <w:pPr>
        <w:spacing w:line="400" w:lineRule="exact"/>
        <w:ind w:firstLine="420" w:firstLineChars="200"/>
        <w:rPr>
          <w:color w:val="auto"/>
          <w:highlight w:val="none"/>
        </w:rPr>
      </w:pPr>
      <w:r>
        <w:rPr>
          <w:color w:val="auto"/>
          <w:highlight w:val="none"/>
        </w:rPr>
        <w:t>1.1.3 工程和设备</w:t>
      </w:r>
    </w:p>
    <w:p w14:paraId="7267FA8D">
      <w:pPr>
        <w:spacing w:line="400" w:lineRule="exact"/>
        <w:ind w:firstLine="420" w:firstLineChars="200"/>
        <w:rPr>
          <w:color w:val="auto"/>
          <w:highlight w:val="none"/>
        </w:rPr>
      </w:pPr>
      <w:r>
        <w:rPr>
          <w:color w:val="auto"/>
          <w:highlight w:val="none"/>
        </w:rPr>
        <w:t>1.1.3.7 作为施工现场组成部分的其他场所包括：</w:t>
      </w:r>
      <w:r>
        <w:rPr>
          <w:rFonts w:hint="eastAsia"/>
          <w:color w:val="auto"/>
          <w:highlight w:val="none"/>
          <w:u w:val="single"/>
        </w:rPr>
        <w:t xml:space="preserve">包括但不限于材料堆放场所、机械设备停放场所、临时办公场所、工人生活场所、施工试验场所、废弃物处理场所、安全教育培训场所等   </w:t>
      </w:r>
      <w:r>
        <w:rPr>
          <w:color w:val="auto"/>
          <w:highlight w:val="none"/>
        </w:rPr>
        <w:t>。</w:t>
      </w:r>
    </w:p>
    <w:p w14:paraId="704B41BF">
      <w:pPr>
        <w:spacing w:line="400" w:lineRule="exact"/>
        <w:ind w:firstLine="420" w:firstLineChars="200"/>
        <w:rPr>
          <w:color w:val="auto"/>
          <w:highlight w:val="none"/>
        </w:rPr>
      </w:pPr>
      <w:r>
        <w:rPr>
          <w:color w:val="auto"/>
          <w:highlight w:val="none"/>
        </w:rPr>
        <w:t>1.1.3.9 永久占地包括：</w:t>
      </w:r>
      <w:r>
        <w:rPr>
          <w:rFonts w:hint="eastAsia"/>
          <w:color w:val="auto"/>
          <w:highlight w:val="none"/>
          <w:u w:val="single"/>
        </w:rPr>
        <w:t>包括但不限于基础设施用地</w:t>
      </w:r>
      <w:r>
        <w:rPr>
          <w:rFonts w:hint="eastAsia" w:eastAsia="宋体"/>
          <w:color w:val="auto"/>
          <w:highlight w:val="none"/>
          <w:u w:val="single"/>
          <w:lang w:eastAsia="zh-CN"/>
        </w:rPr>
        <w:t>、</w:t>
      </w:r>
      <w:r>
        <w:rPr>
          <w:rFonts w:hint="eastAsia"/>
          <w:color w:val="auto"/>
          <w:highlight w:val="none"/>
          <w:u w:val="single"/>
        </w:rPr>
        <w:t>生产配套设施占地</w:t>
      </w:r>
      <w:r>
        <w:rPr>
          <w:rFonts w:hint="eastAsia" w:eastAsia="宋体"/>
          <w:color w:val="auto"/>
          <w:highlight w:val="none"/>
          <w:u w:val="single"/>
          <w:lang w:eastAsia="zh-CN"/>
        </w:rPr>
        <w:t>、</w:t>
      </w:r>
      <w:r>
        <w:rPr>
          <w:rFonts w:hint="eastAsia"/>
          <w:color w:val="auto"/>
          <w:highlight w:val="none"/>
          <w:u w:val="single"/>
        </w:rPr>
        <w:t>生态环境保持设施占地以等</w:t>
      </w:r>
      <w:r>
        <w:rPr>
          <w:color w:val="auto"/>
          <w:highlight w:val="none"/>
        </w:rPr>
        <w:t>。</w:t>
      </w:r>
    </w:p>
    <w:p w14:paraId="28CDA419">
      <w:pPr>
        <w:spacing w:line="400" w:lineRule="exact"/>
        <w:ind w:firstLine="420" w:firstLineChars="200"/>
        <w:rPr>
          <w:color w:val="auto"/>
          <w:highlight w:val="none"/>
        </w:rPr>
      </w:pPr>
      <w:r>
        <w:rPr>
          <w:color w:val="auto"/>
          <w:highlight w:val="none"/>
        </w:rPr>
        <w:t>1.1.3.10 临时占地包括：</w:t>
      </w:r>
      <w:r>
        <w:rPr>
          <w:rFonts w:hint="eastAsia"/>
          <w:color w:val="auto"/>
          <w:highlight w:val="none"/>
          <w:u w:val="single"/>
        </w:rPr>
        <w:t>包括但不限于施工临时用地（如施工便道、营地、材料堆放场地、机械设备停放场地）、其他临时用地（如临时取土场、弃土弃渣场、水电设施用地）以及生态环境保护与恢复用地（如生态监测站、生态恢复区用地）、紧急避险场所和临时科研实验用地等</w:t>
      </w:r>
      <w:r>
        <w:rPr>
          <w:color w:val="auto"/>
          <w:highlight w:val="none"/>
        </w:rPr>
        <w:t>。</w:t>
      </w:r>
    </w:p>
    <w:p w14:paraId="5D30098C">
      <w:pPr>
        <w:pStyle w:val="13"/>
        <w:rPr>
          <w:b/>
          <w:color w:val="auto"/>
          <w:highlight w:val="none"/>
        </w:rPr>
      </w:pPr>
      <w:bookmarkStart w:id="398" w:name="_Toc28856"/>
      <w:bookmarkStart w:id="399" w:name="_Toc256000291"/>
      <w:bookmarkStart w:id="400" w:name="_Toc150947440"/>
      <w:bookmarkStart w:id="401" w:name="_Toc29418"/>
      <w:r>
        <w:rPr>
          <w:b/>
          <w:color w:val="auto"/>
          <w:highlight w:val="none"/>
        </w:rPr>
        <w:t>1.3法律</w:t>
      </w:r>
      <w:bookmarkEnd w:id="398"/>
      <w:bookmarkEnd w:id="399"/>
      <w:bookmarkEnd w:id="400"/>
      <w:bookmarkEnd w:id="401"/>
      <w:r>
        <w:rPr>
          <w:b/>
          <w:color w:val="auto"/>
          <w:highlight w:val="none"/>
        </w:rPr>
        <w:t xml:space="preserve"> </w:t>
      </w:r>
    </w:p>
    <w:p w14:paraId="4021389F">
      <w:pPr>
        <w:spacing w:line="400" w:lineRule="exact"/>
        <w:ind w:firstLine="420" w:firstLineChars="200"/>
        <w:rPr>
          <w:color w:val="auto"/>
          <w:highlight w:val="none"/>
        </w:rPr>
      </w:pPr>
      <w:r>
        <w:rPr>
          <w:color w:val="auto"/>
          <w:highlight w:val="none"/>
        </w:rPr>
        <w:t>适用于合同的其他规范性文件：</w:t>
      </w:r>
      <w:r>
        <w:rPr>
          <w:rFonts w:hint="eastAsia"/>
          <w:color w:val="auto"/>
          <w:highlight w:val="none"/>
          <w:u w:val="single"/>
        </w:rPr>
        <w:t xml:space="preserve">包括但不限于《中华人民共和国土地管理法》、《中华人民共和国农村土地承包法》、《中华人民共和国招标投标法》及《中华人民共和国招标投标法实施条例》、《中华人民共和国环境保护法》、《中华人民共和国水土保持法》、《中华人民共和国节约能源法》、《安全生产法》、《建设工程质量管理条例》等国家、省、市现行的相关法律、法规、规章    </w:t>
      </w:r>
      <w:r>
        <w:rPr>
          <w:color w:val="auto"/>
          <w:highlight w:val="none"/>
        </w:rPr>
        <w:t>。</w:t>
      </w:r>
    </w:p>
    <w:p w14:paraId="541228D7">
      <w:pPr>
        <w:pStyle w:val="13"/>
        <w:rPr>
          <w:b/>
          <w:color w:val="auto"/>
          <w:highlight w:val="none"/>
        </w:rPr>
      </w:pPr>
      <w:bookmarkStart w:id="402" w:name="_Toc2692"/>
      <w:bookmarkStart w:id="403" w:name="_Toc150947441"/>
      <w:bookmarkStart w:id="404" w:name="_Toc256000292"/>
      <w:bookmarkStart w:id="405" w:name="_Toc17056"/>
      <w:r>
        <w:rPr>
          <w:b/>
          <w:color w:val="auto"/>
          <w:highlight w:val="none"/>
        </w:rPr>
        <w:t>1.4 标准和规范</w:t>
      </w:r>
      <w:bookmarkEnd w:id="402"/>
      <w:bookmarkEnd w:id="403"/>
      <w:bookmarkEnd w:id="404"/>
      <w:bookmarkEnd w:id="405"/>
    </w:p>
    <w:p w14:paraId="154501AC">
      <w:pPr>
        <w:spacing w:line="400" w:lineRule="exact"/>
        <w:ind w:firstLine="420" w:firstLineChars="200"/>
        <w:rPr>
          <w:color w:val="auto"/>
          <w:highlight w:val="none"/>
        </w:rPr>
      </w:pPr>
      <w:r>
        <w:rPr>
          <w:color w:val="auto"/>
          <w:highlight w:val="none"/>
        </w:rPr>
        <w:t>1.4.1适用于工程的标准规范包括：</w:t>
      </w:r>
      <w:r>
        <w:rPr>
          <w:rFonts w:hint="eastAsia"/>
          <w:color w:val="auto"/>
          <w:highlight w:val="none"/>
          <w:u w:val="single"/>
        </w:rPr>
        <w:t xml:space="preserve">与本项目有关的现行的相关标准、规范  </w:t>
      </w:r>
      <w:r>
        <w:rPr>
          <w:color w:val="auto"/>
          <w:highlight w:val="none"/>
        </w:rPr>
        <w:t>。</w:t>
      </w:r>
    </w:p>
    <w:p w14:paraId="496EC333">
      <w:pPr>
        <w:spacing w:line="400" w:lineRule="exact"/>
        <w:ind w:firstLine="420" w:firstLineChars="200"/>
        <w:rPr>
          <w:color w:val="auto"/>
          <w:highlight w:val="none"/>
        </w:rPr>
      </w:pPr>
      <w:r>
        <w:rPr>
          <w:color w:val="auto"/>
          <w:highlight w:val="none"/>
        </w:rPr>
        <w:t>1.4.2 发包人提供国外标准、规范的名称：</w:t>
      </w:r>
      <w:r>
        <w:rPr>
          <w:rFonts w:hint="eastAsia"/>
          <w:color w:val="auto"/>
          <w:highlight w:val="none"/>
          <w:u w:val="single"/>
        </w:rPr>
        <w:t xml:space="preserve">   /   </w:t>
      </w:r>
      <w:r>
        <w:rPr>
          <w:color w:val="auto"/>
          <w:highlight w:val="none"/>
        </w:rPr>
        <w:t>。</w:t>
      </w:r>
    </w:p>
    <w:p w14:paraId="78D1C2F8">
      <w:pPr>
        <w:spacing w:line="400" w:lineRule="exact"/>
        <w:ind w:firstLine="420" w:firstLineChars="200"/>
        <w:rPr>
          <w:color w:val="auto"/>
          <w:highlight w:val="none"/>
        </w:rPr>
      </w:pPr>
      <w:r>
        <w:rPr>
          <w:color w:val="auto"/>
          <w:highlight w:val="none"/>
        </w:rPr>
        <w:t>发包人提供国外标准、规范的份数：</w:t>
      </w:r>
      <w:r>
        <w:rPr>
          <w:rFonts w:hint="eastAsia"/>
          <w:color w:val="auto"/>
          <w:highlight w:val="none"/>
          <w:u w:val="single"/>
        </w:rPr>
        <w:t xml:space="preserve">   /   </w:t>
      </w:r>
      <w:r>
        <w:rPr>
          <w:color w:val="auto"/>
          <w:highlight w:val="none"/>
        </w:rPr>
        <w:t xml:space="preserve"> ；</w:t>
      </w:r>
    </w:p>
    <w:p w14:paraId="347E3515">
      <w:pPr>
        <w:spacing w:line="400" w:lineRule="exact"/>
        <w:ind w:firstLine="420" w:firstLineChars="200"/>
        <w:rPr>
          <w:color w:val="auto"/>
          <w:highlight w:val="none"/>
        </w:rPr>
      </w:pPr>
      <w:r>
        <w:rPr>
          <w:color w:val="auto"/>
          <w:highlight w:val="none"/>
        </w:rPr>
        <w:t>发包人提供国外标准、规范的名称：</w:t>
      </w:r>
      <w:r>
        <w:rPr>
          <w:rFonts w:hint="eastAsia"/>
          <w:color w:val="auto"/>
          <w:highlight w:val="none"/>
          <w:u w:val="single"/>
        </w:rPr>
        <w:t xml:space="preserve">   /   </w:t>
      </w:r>
      <w:r>
        <w:rPr>
          <w:color w:val="auto"/>
          <w:highlight w:val="none"/>
        </w:rPr>
        <w:t xml:space="preserve"> 。</w:t>
      </w:r>
    </w:p>
    <w:p w14:paraId="4E0E2E0A">
      <w:pPr>
        <w:spacing w:line="400" w:lineRule="exact"/>
        <w:ind w:firstLine="420" w:firstLineChars="200"/>
        <w:rPr>
          <w:color w:val="auto"/>
          <w:highlight w:val="none"/>
        </w:rPr>
      </w:pPr>
      <w:r>
        <w:rPr>
          <w:color w:val="auto"/>
          <w:highlight w:val="none"/>
        </w:rPr>
        <w:t>1.4.3发包人对工程的技术标准和功能要求的特殊要求</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0699EF6B">
      <w:pPr>
        <w:spacing w:line="400" w:lineRule="exact"/>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72F20B24">
      <w:pPr>
        <w:pStyle w:val="13"/>
        <w:rPr>
          <w:b/>
          <w:color w:val="auto"/>
          <w:highlight w:val="none"/>
        </w:rPr>
      </w:pPr>
      <w:bookmarkStart w:id="406" w:name="_Toc9761"/>
      <w:bookmarkStart w:id="407" w:name="_Toc256000293"/>
      <w:bookmarkStart w:id="408" w:name="_Toc25210"/>
      <w:bookmarkStart w:id="409" w:name="_Toc150947442"/>
      <w:r>
        <w:rPr>
          <w:b/>
          <w:color w:val="auto"/>
          <w:highlight w:val="none"/>
        </w:rPr>
        <w:t>1.5 合同文件的优先顺序</w:t>
      </w:r>
      <w:bookmarkEnd w:id="406"/>
      <w:bookmarkEnd w:id="407"/>
      <w:bookmarkEnd w:id="408"/>
      <w:bookmarkEnd w:id="409"/>
    </w:p>
    <w:p w14:paraId="65E74A60">
      <w:pPr>
        <w:spacing w:line="400" w:lineRule="exact"/>
        <w:ind w:firstLine="420" w:firstLineChars="200"/>
        <w:rPr>
          <w:color w:val="auto"/>
          <w:highlight w:val="none"/>
        </w:rPr>
      </w:pPr>
      <w:r>
        <w:rPr>
          <w:color w:val="auto"/>
          <w:highlight w:val="none"/>
        </w:rPr>
        <w:t>合同文件组成及优先顺序为：</w:t>
      </w:r>
      <w:r>
        <w:rPr>
          <w:rFonts w:hint="eastAsia"/>
          <w:color w:val="auto"/>
          <w:highlight w:val="none"/>
          <w:u w:val="single"/>
        </w:rPr>
        <w:t>执行通用合同条款</w:t>
      </w:r>
      <w:r>
        <w:rPr>
          <w:rFonts w:hint="eastAsia"/>
          <w:color w:val="auto"/>
          <w:highlight w:val="none"/>
        </w:rPr>
        <w:t>。</w:t>
      </w:r>
    </w:p>
    <w:p w14:paraId="1D3A676B">
      <w:pPr>
        <w:pStyle w:val="13"/>
        <w:rPr>
          <w:b/>
          <w:color w:val="auto"/>
          <w:highlight w:val="none"/>
        </w:rPr>
      </w:pPr>
      <w:bookmarkStart w:id="410" w:name="_Toc150947443"/>
      <w:bookmarkStart w:id="411" w:name="_Toc25827"/>
      <w:bookmarkStart w:id="412" w:name="_Toc13691"/>
      <w:bookmarkStart w:id="413" w:name="_Toc256000294"/>
      <w:r>
        <w:rPr>
          <w:b/>
          <w:color w:val="auto"/>
          <w:highlight w:val="none"/>
        </w:rPr>
        <w:t>1.6 图纸和承包人文件</w:t>
      </w:r>
      <w:bookmarkEnd w:id="410"/>
      <w:bookmarkEnd w:id="411"/>
      <w:bookmarkEnd w:id="412"/>
      <w:bookmarkEnd w:id="413"/>
      <w:r>
        <w:rPr>
          <w:b/>
          <w:color w:val="auto"/>
          <w:highlight w:val="none"/>
        </w:rPr>
        <w:tab/>
      </w:r>
    </w:p>
    <w:p w14:paraId="379F5371">
      <w:pPr>
        <w:spacing w:line="400" w:lineRule="exact"/>
        <w:ind w:firstLine="420" w:firstLineChars="200"/>
        <w:rPr>
          <w:color w:val="auto"/>
          <w:highlight w:val="none"/>
        </w:rPr>
      </w:pPr>
      <w:r>
        <w:rPr>
          <w:color w:val="auto"/>
          <w:highlight w:val="none"/>
        </w:rPr>
        <w:t>1.6.1 图纸的提供</w:t>
      </w:r>
    </w:p>
    <w:p w14:paraId="40BC6C28">
      <w:pPr>
        <w:spacing w:line="400" w:lineRule="exact"/>
        <w:ind w:firstLine="420" w:firstLineChars="200"/>
        <w:rPr>
          <w:color w:val="auto"/>
          <w:highlight w:val="none"/>
        </w:rPr>
      </w:pPr>
      <w:r>
        <w:rPr>
          <w:color w:val="auto"/>
          <w:highlight w:val="none"/>
        </w:rPr>
        <w:t>发包人向承包人提供图纸的期限：</w:t>
      </w:r>
      <w:r>
        <w:rPr>
          <w:rFonts w:hint="eastAsia"/>
          <w:color w:val="auto"/>
          <w:highlight w:val="none"/>
          <w:u w:val="single"/>
        </w:rPr>
        <w:t>开工通知载明的开工日期前14天前</w:t>
      </w:r>
      <w:r>
        <w:rPr>
          <w:color w:val="auto"/>
          <w:highlight w:val="none"/>
        </w:rPr>
        <w:t>；</w:t>
      </w:r>
    </w:p>
    <w:p w14:paraId="6724511C">
      <w:pPr>
        <w:spacing w:line="400" w:lineRule="exact"/>
        <w:ind w:firstLine="420" w:firstLineChars="200"/>
        <w:rPr>
          <w:color w:val="auto"/>
          <w:highlight w:val="none"/>
        </w:rPr>
      </w:pPr>
      <w:r>
        <w:rPr>
          <w:color w:val="auto"/>
          <w:highlight w:val="none"/>
        </w:rPr>
        <w:t>发包人向承包人提供图纸的数量：</w:t>
      </w:r>
      <w:r>
        <w:rPr>
          <w:rFonts w:hint="eastAsia"/>
          <w:color w:val="auto"/>
          <w:highlight w:val="none"/>
          <w:u w:val="single"/>
        </w:rPr>
        <w:t xml:space="preserve">      1份       </w:t>
      </w:r>
      <w:r>
        <w:rPr>
          <w:color w:val="auto"/>
          <w:highlight w:val="none"/>
        </w:rPr>
        <w:t>；</w:t>
      </w:r>
    </w:p>
    <w:p w14:paraId="592C3A6A">
      <w:pPr>
        <w:spacing w:line="400" w:lineRule="exact"/>
        <w:ind w:firstLine="420" w:firstLineChars="200"/>
        <w:rPr>
          <w:color w:val="auto"/>
          <w:highlight w:val="none"/>
        </w:rPr>
      </w:pPr>
      <w:r>
        <w:rPr>
          <w:color w:val="auto"/>
          <w:highlight w:val="none"/>
        </w:rPr>
        <w:t>发包人向承包人提供图纸的内容：</w:t>
      </w:r>
      <w:r>
        <w:rPr>
          <w:rFonts w:hint="eastAsia"/>
          <w:color w:val="auto"/>
          <w:highlight w:val="none"/>
          <w:u w:val="single"/>
        </w:rPr>
        <w:t xml:space="preserve">总体设计图纸、电力设施图纸、其他专项图纸等 </w:t>
      </w:r>
      <w:r>
        <w:rPr>
          <w:color w:val="auto"/>
          <w:highlight w:val="none"/>
        </w:rPr>
        <w:t>。</w:t>
      </w:r>
    </w:p>
    <w:p w14:paraId="7BBAEF74">
      <w:pPr>
        <w:spacing w:line="400" w:lineRule="exact"/>
        <w:ind w:firstLine="420" w:firstLineChars="200"/>
        <w:rPr>
          <w:color w:val="auto"/>
          <w:highlight w:val="none"/>
        </w:rPr>
      </w:pPr>
      <w:r>
        <w:rPr>
          <w:color w:val="auto"/>
          <w:highlight w:val="none"/>
        </w:rPr>
        <w:t>1.6.4 承包人文件</w:t>
      </w:r>
    </w:p>
    <w:p w14:paraId="6AEA81FC">
      <w:pPr>
        <w:spacing w:line="400" w:lineRule="exact"/>
        <w:ind w:firstLine="420" w:firstLineChars="200"/>
        <w:rPr>
          <w:color w:val="auto"/>
          <w:highlight w:val="none"/>
        </w:rPr>
      </w:pPr>
      <w:r>
        <w:rPr>
          <w:color w:val="auto"/>
          <w:highlight w:val="none"/>
        </w:rPr>
        <w:t>需要由承包人提供的文件，包括：</w:t>
      </w:r>
      <w:r>
        <w:rPr>
          <w:rFonts w:hint="eastAsia"/>
          <w:color w:val="auto"/>
          <w:highlight w:val="none"/>
          <w:u w:val="single"/>
        </w:rPr>
        <w:t>包括但不限于施工组织设计、质量保证文件、安全施工文件、环境保护措施文件、材料和设备清单、施工进度计划、计量与支付申请文件、设备与材料合格证明及招标人、监理人要求承包提供的文件</w:t>
      </w:r>
      <w:r>
        <w:rPr>
          <w:color w:val="auto"/>
          <w:highlight w:val="none"/>
        </w:rPr>
        <w:t>；</w:t>
      </w:r>
    </w:p>
    <w:p w14:paraId="471DCEA3">
      <w:pPr>
        <w:spacing w:line="400" w:lineRule="exact"/>
        <w:ind w:firstLine="420" w:firstLineChars="200"/>
        <w:rPr>
          <w:color w:val="auto"/>
          <w:highlight w:val="none"/>
        </w:rPr>
      </w:pPr>
      <w:r>
        <w:rPr>
          <w:color w:val="auto"/>
          <w:highlight w:val="none"/>
        </w:rPr>
        <w:t>承包人提供的文件的期限为：</w:t>
      </w:r>
      <w:r>
        <w:rPr>
          <w:rFonts w:hint="eastAsia"/>
          <w:color w:val="auto"/>
          <w:highlight w:val="none"/>
          <w:u w:val="single"/>
        </w:rPr>
        <w:t xml:space="preserve">按监理人要求 </w:t>
      </w:r>
      <w:r>
        <w:rPr>
          <w:color w:val="auto"/>
          <w:highlight w:val="none"/>
        </w:rPr>
        <w:t>；</w:t>
      </w:r>
    </w:p>
    <w:p w14:paraId="37D91FA9">
      <w:pPr>
        <w:spacing w:line="400" w:lineRule="exact"/>
        <w:ind w:firstLine="420" w:firstLineChars="200"/>
        <w:rPr>
          <w:color w:val="auto"/>
          <w:highlight w:val="none"/>
        </w:rPr>
      </w:pPr>
      <w:r>
        <w:rPr>
          <w:color w:val="auto"/>
          <w:highlight w:val="none"/>
        </w:rPr>
        <w:t>承包人提供的文件的数量为：</w:t>
      </w:r>
      <w:r>
        <w:rPr>
          <w:rFonts w:hint="eastAsia"/>
          <w:color w:val="auto"/>
          <w:highlight w:val="none"/>
          <w:u w:val="single"/>
        </w:rPr>
        <w:t xml:space="preserve">按监理人要求 </w:t>
      </w:r>
      <w:r>
        <w:rPr>
          <w:color w:val="auto"/>
          <w:highlight w:val="none"/>
        </w:rPr>
        <w:t>；</w:t>
      </w:r>
    </w:p>
    <w:p w14:paraId="254E8197">
      <w:pPr>
        <w:spacing w:line="400" w:lineRule="exact"/>
        <w:ind w:firstLine="420" w:firstLineChars="200"/>
        <w:rPr>
          <w:color w:val="auto"/>
          <w:highlight w:val="none"/>
        </w:rPr>
      </w:pPr>
      <w:r>
        <w:rPr>
          <w:color w:val="auto"/>
          <w:highlight w:val="none"/>
        </w:rPr>
        <w:t>承包人提供的文件的形式为：</w:t>
      </w:r>
      <w:r>
        <w:rPr>
          <w:rFonts w:hint="eastAsia"/>
          <w:color w:val="auto"/>
          <w:highlight w:val="none"/>
          <w:u w:val="single"/>
        </w:rPr>
        <w:t xml:space="preserve">按监理人要求 </w:t>
      </w:r>
      <w:r>
        <w:rPr>
          <w:color w:val="auto"/>
          <w:highlight w:val="none"/>
        </w:rPr>
        <w:t>；</w:t>
      </w:r>
    </w:p>
    <w:p w14:paraId="6CDF9595">
      <w:pPr>
        <w:spacing w:line="400" w:lineRule="exact"/>
        <w:ind w:firstLine="420" w:firstLineChars="200"/>
        <w:rPr>
          <w:color w:val="auto"/>
          <w:highlight w:val="none"/>
        </w:rPr>
      </w:pPr>
      <w:r>
        <w:rPr>
          <w:color w:val="auto"/>
          <w:highlight w:val="none"/>
        </w:rPr>
        <w:t>发包人</w:t>
      </w:r>
      <w:r>
        <w:rPr>
          <w:rFonts w:hint="eastAsia"/>
          <w:color w:val="auto"/>
          <w:highlight w:val="none"/>
        </w:rPr>
        <w:t>审批</w:t>
      </w:r>
      <w:r>
        <w:rPr>
          <w:color w:val="auto"/>
          <w:highlight w:val="none"/>
        </w:rPr>
        <w:t>承包人文件的期限：</w:t>
      </w:r>
      <w:r>
        <w:rPr>
          <w:rFonts w:hint="eastAsia"/>
          <w:color w:val="auto"/>
          <w:highlight w:val="none"/>
          <w:u w:val="single"/>
        </w:rPr>
        <w:t>执行通用合同条款</w:t>
      </w:r>
      <w:r>
        <w:rPr>
          <w:color w:val="auto"/>
          <w:highlight w:val="none"/>
        </w:rPr>
        <w:t>。</w:t>
      </w:r>
    </w:p>
    <w:p w14:paraId="4413A5E3">
      <w:pPr>
        <w:spacing w:line="400" w:lineRule="exact"/>
        <w:ind w:firstLine="420" w:firstLineChars="200"/>
        <w:rPr>
          <w:color w:val="auto"/>
          <w:highlight w:val="none"/>
        </w:rPr>
      </w:pPr>
      <w:r>
        <w:rPr>
          <w:color w:val="auto"/>
          <w:highlight w:val="none"/>
        </w:rPr>
        <w:t>1.6.5 现场图纸准备</w:t>
      </w:r>
    </w:p>
    <w:p w14:paraId="1133080D">
      <w:pPr>
        <w:spacing w:line="400" w:lineRule="exact"/>
        <w:ind w:firstLine="420" w:firstLineChars="200"/>
        <w:rPr>
          <w:color w:val="auto"/>
          <w:highlight w:val="none"/>
        </w:rPr>
      </w:pPr>
      <w:r>
        <w:rPr>
          <w:color w:val="auto"/>
          <w:highlight w:val="none"/>
        </w:rPr>
        <w:t>关于现场图纸准备的约定：</w:t>
      </w:r>
      <w:r>
        <w:rPr>
          <w:rFonts w:hint="eastAsia"/>
          <w:color w:val="auto"/>
          <w:highlight w:val="none"/>
          <w:u w:val="single"/>
        </w:rPr>
        <w:t>执行通用合同条款</w:t>
      </w:r>
      <w:r>
        <w:rPr>
          <w:color w:val="auto"/>
          <w:highlight w:val="none"/>
        </w:rPr>
        <w:t>。</w:t>
      </w:r>
    </w:p>
    <w:p w14:paraId="241E1CBA">
      <w:pPr>
        <w:pStyle w:val="13"/>
        <w:rPr>
          <w:b/>
          <w:color w:val="auto"/>
          <w:highlight w:val="none"/>
        </w:rPr>
      </w:pPr>
      <w:bookmarkStart w:id="414" w:name="_Toc17981"/>
      <w:bookmarkStart w:id="415" w:name="_Toc150947444"/>
      <w:bookmarkStart w:id="416" w:name="_Toc256000295"/>
      <w:bookmarkStart w:id="417" w:name="_Toc19962"/>
      <w:r>
        <w:rPr>
          <w:b/>
          <w:color w:val="auto"/>
          <w:highlight w:val="none"/>
        </w:rPr>
        <w:t>1.7 联络</w:t>
      </w:r>
      <w:bookmarkEnd w:id="414"/>
      <w:bookmarkEnd w:id="415"/>
      <w:bookmarkEnd w:id="416"/>
      <w:bookmarkEnd w:id="417"/>
    </w:p>
    <w:p w14:paraId="32438A49">
      <w:pPr>
        <w:spacing w:line="400" w:lineRule="exact"/>
        <w:ind w:firstLine="420" w:firstLineChars="200"/>
        <w:rPr>
          <w:color w:val="auto"/>
          <w:highlight w:val="none"/>
        </w:rPr>
      </w:pPr>
      <w:r>
        <w:rPr>
          <w:color w:val="auto"/>
          <w:highlight w:val="none"/>
        </w:rPr>
        <w:t>1.7.1发包人和承包人应当在</w:t>
      </w:r>
      <w:r>
        <w:rPr>
          <w:rFonts w:hint="eastAsia"/>
          <w:color w:val="auto"/>
          <w:highlight w:val="none"/>
          <w:u w:val="single"/>
        </w:rPr>
        <w:t xml:space="preserve"> 7</w:t>
      </w:r>
      <w:r>
        <w:rPr>
          <w:color w:val="auto"/>
          <w:highlight w:val="none"/>
          <w:u w:val="single"/>
        </w:rPr>
        <w:t xml:space="preserve"> </w:t>
      </w:r>
      <w:r>
        <w:rPr>
          <w:color w:val="auto"/>
          <w:highlight w:val="none"/>
        </w:rPr>
        <w:t>天内将与合同有关的通知、批准、证明、证书、指示、指令、要求、请求、同意、意见、确定和决定等书面函件送达对方当事人</w:t>
      </w:r>
      <w:r>
        <w:rPr>
          <w:rFonts w:hint="eastAsia"/>
          <w:color w:val="auto"/>
          <w:highlight w:val="none"/>
        </w:rPr>
        <w:t>。</w:t>
      </w:r>
    </w:p>
    <w:p w14:paraId="4644C837">
      <w:pPr>
        <w:spacing w:line="400" w:lineRule="exact"/>
        <w:ind w:firstLine="420" w:firstLineChars="200"/>
        <w:rPr>
          <w:color w:val="auto"/>
          <w:highlight w:val="none"/>
        </w:rPr>
      </w:pPr>
      <w:r>
        <w:rPr>
          <w:color w:val="auto"/>
          <w:highlight w:val="none"/>
        </w:rPr>
        <w:t>1.7.2 发包人接收文件的地点：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0826421E">
      <w:pPr>
        <w:spacing w:line="400" w:lineRule="exact"/>
        <w:ind w:firstLine="420" w:firstLineChars="200"/>
        <w:rPr>
          <w:color w:val="auto"/>
          <w:highlight w:val="none"/>
        </w:rPr>
      </w:pPr>
      <w:r>
        <w:rPr>
          <w:color w:val="auto"/>
          <w:highlight w:val="none"/>
        </w:rPr>
        <w:t>发包人指定的接收人为：</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FD85C8D">
      <w:pPr>
        <w:spacing w:line="400" w:lineRule="exact"/>
        <w:ind w:firstLine="420" w:firstLineChars="200"/>
        <w:rPr>
          <w:color w:val="auto"/>
          <w:highlight w:val="none"/>
        </w:rPr>
      </w:pPr>
      <w:r>
        <w:rPr>
          <w:color w:val="auto"/>
          <w:highlight w:val="none"/>
        </w:rPr>
        <w:t>承包人接收文件的地点：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C62081D">
      <w:pPr>
        <w:spacing w:line="400" w:lineRule="exact"/>
        <w:ind w:firstLine="420" w:firstLineChars="200"/>
        <w:rPr>
          <w:color w:val="auto"/>
          <w:highlight w:val="none"/>
        </w:rPr>
      </w:pPr>
      <w:r>
        <w:rPr>
          <w:color w:val="auto"/>
          <w:highlight w:val="none"/>
        </w:rPr>
        <w:t>承包人指定的接收人为：</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34A7312A">
      <w:pPr>
        <w:spacing w:line="400" w:lineRule="exact"/>
        <w:ind w:firstLine="420" w:firstLineChars="200"/>
        <w:rPr>
          <w:color w:val="auto"/>
          <w:highlight w:val="none"/>
        </w:rPr>
      </w:pPr>
      <w:r>
        <w:rPr>
          <w:color w:val="auto"/>
          <w:highlight w:val="none"/>
        </w:rPr>
        <w:t>监理人接收文件的地点：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1DB64C77">
      <w:pPr>
        <w:spacing w:line="400" w:lineRule="exact"/>
        <w:ind w:firstLine="420" w:firstLineChars="200"/>
        <w:rPr>
          <w:color w:val="auto"/>
          <w:highlight w:val="none"/>
        </w:rPr>
      </w:pPr>
      <w:r>
        <w:rPr>
          <w:color w:val="auto"/>
          <w:highlight w:val="none"/>
        </w:rPr>
        <w:t>监理人指定的接收人为：</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6A71DC32">
      <w:pPr>
        <w:pStyle w:val="13"/>
        <w:rPr>
          <w:b/>
          <w:color w:val="auto"/>
          <w:highlight w:val="none"/>
        </w:rPr>
      </w:pPr>
      <w:bookmarkStart w:id="418" w:name="_Toc256000296"/>
      <w:bookmarkStart w:id="419" w:name="_Toc26458"/>
      <w:bookmarkStart w:id="420" w:name="_Toc16143"/>
      <w:bookmarkStart w:id="421" w:name="_Toc150947445"/>
      <w:r>
        <w:rPr>
          <w:b/>
          <w:color w:val="auto"/>
          <w:highlight w:val="none"/>
        </w:rPr>
        <w:t>1.10 交通运输</w:t>
      </w:r>
      <w:bookmarkEnd w:id="418"/>
      <w:bookmarkEnd w:id="419"/>
      <w:bookmarkEnd w:id="420"/>
      <w:bookmarkEnd w:id="421"/>
    </w:p>
    <w:p w14:paraId="3592A793">
      <w:pPr>
        <w:spacing w:line="400" w:lineRule="exact"/>
        <w:ind w:firstLine="420" w:firstLineChars="200"/>
        <w:rPr>
          <w:color w:val="auto"/>
          <w:highlight w:val="none"/>
        </w:rPr>
      </w:pPr>
      <w:r>
        <w:rPr>
          <w:color w:val="auto"/>
          <w:highlight w:val="none"/>
        </w:rPr>
        <w:t>1</w:t>
      </w:r>
      <w:bookmarkStart w:id="422" w:name="_Toc304295521"/>
      <w:bookmarkStart w:id="423" w:name="_Toc312677986"/>
      <w:bookmarkStart w:id="424" w:name="_Toc318581155"/>
      <w:bookmarkStart w:id="425" w:name="_Toc300934943"/>
      <w:bookmarkStart w:id="426" w:name="_Toc303539100"/>
      <w:r>
        <w:rPr>
          <w:color w:val="auto"/>
          <w:highlight w:val="none"/>
        </w:rPr>
        <w:t>.10.1 出入现场的权利</w:t>
      </w:r>
    </w:p>
    <w:p w14:paraId="7F539F07">
      <w:pPr>
        <w:spacing w:line="400" w:lineRule="exact"/>
        <w:ind w:firstLine="420" w:firstLineChars="200"/>
        <w:rPr>
          <w:color w:val="auto"/>
          <w:highlight w:val="none"/>
        </w:rPr>
      </w:pPr>
      <w:r>
        <w:rPr>
          <w:color w:val="auto"/>
          <w:highlight w:val="none"/>
        </w:rPr>
        <w:t>关于出入现场的权利的约定：</w:t>
      </w:r>
      <w:r>
        <w:rPr>
          <w:rFonts w:hint="eastAsia"/>
          <w:color w:val="auto"/>
          <w:highlight w:val="none"/>
          <w:u w:val="single"/>
        </w:rPr>
        <w:t>承</w:t>
      </w:r>
      <w:r>
        <w:rPr>
          <w:color w:val="auto"/>
          <w:highlight w:val="none"/>
          <w:u w:val="single"/>
        </w:rPr>
        <w:t>包人应根据施工需要，负责取得出入施工现场所需的</w:t>
      </w:r>
      <w:r>
        <w:rPr>
          <w:rFonts w:hint="eastAsia"/>
          <w:color w:val="auto"/>
          <w:highlight w:val="none"/>
          <w:u w:val="single"/>
        </w:rPr>
        <w:t>批准手续和</w:t>
      </w:r>
      <w:r>
        <w:rPr>
          <w:color w:val="auto"/>
          <w:highlight w:val="none"/>
          <w:u w:val="single"/>
        </w:rPr>
        <w:t>全部权利，以及取得因施工所需修建道路、桥梁以及其他基础设施的权利，并承担相关手续费用和建设费用。承包人应办理修建场内外道路、桥梁以及其他基础设施的手续</w:t>
      </w:r>
      <w:r>
        <w:rPr>
          <w:rFonts w:hint="eastAsia"/>
          <w:color w:val="auto"/>
          <w:highlight w:val="none"/>
          <w:u w:val="single"/>
        </w:rPr>
        <w:t>。</w:t>
      </w:r>
      <w:r>
        <w:rPr>
          <w:color w:val="auto"/>
          <w:highlight w:val="none"/>
          <w:u w:val="single"/>
        </w:rPr>
        <w:t>因承包人未合理预见所增加的费用和（或）延误的工期由承包人承担</w:t>
      </w:r>
      <w:r>
        <w:rPr>
          <w:color w:val="auto"/>
          <w:highlight w:val="none"/>
        </w:rPr>
        <w:t>。</w:t>
      </w:r>
    </w:p>
    <w:bookmarkEnd w:id="422"/>
    <w:bookmarkEnd w:id="423"/>
    <w:bookmarkEnd w:id="424"/>
    <w:bookmarkEnd w:id="425"/>
    <w:bookmarkEnd w:id="426"/>
    <w:p w14:paraId="7A611C25">
      <w:pPr>
        <w:spacing w:line="400" w:lineRule="exact"/>
        <w:ind w:firstLine="420" w:firstLineChars="200"/>
        <w:rPr>
          <w:color w:val="auto"/>
          <w:highlight w:val="none"/>
        </w:rPr>
      </w:pPr>
      <w:r>
        <w:rPr>
          <w:color w:val="auto"/>
          <w:highlight w:val="none"/>
        </w:rPr>
        <w:t>1</w:t>
      </w:r>
      <w:bookmarkStart w:id="427" w:name="_Toc312677987"/>
      <w:bookmarkStart w:id="428" w:name="_Toc303539101"/>
      <w:bookmarkStart w:id="429" w:name="_Toc318581156"/>
      <w:bookmarkStart w:id="430" w:name="_Toc300934944"/>
      <w:bookmarkStart w:id="431" w:name="_Toc304295522"/>
      <w:r>
        <w:rPr>
          <w:color w:val="auto"/>
          <w:highlight w:val="none"/>
        </w:rPr>
        <w:t>.10.3 场内交通</w:t>
      </w:r>
    </w:p>
    <w:p w14:paraId="0E902ADD">
      <w:pPr>
        <w:spacing w:line="400" w:lineRule="exact"/>
        <w:ind w:firstLine="420" w:firstLineChars="200"/>
        <w:rPr>
          <w:color w:val="auto"/>
          <w:highlight w:val="none"/>
        </w:rPr>
      </w:pPr>
      <w:r>
        <w:rPr>
          <w:color w:val="auto"/>
          <w:highlight w:val="none"/>
        </w:rPr>
        <w:t>关于场外交通和场内交通的边界的约定：</w:t>
      </w:r>
      <w:r>
        <w:rPr>
          <w:color w:val="auto"/>
          <w:highlight w:val="none"/>
          <w:u w:val="single"/>
        </w:rPr>
        <w:t>场外交通的边界以项目区与外部道路的实际连接点为界。连接点以外的道路维护、管理和建设由当地政府或相关部门负责，连接点以内的道路接入和衔接由</w:t>
      </w:r>
      <w:r>
        <w:rPr>
          <w:rFonts w:hint="eastAsia"/>
          <w:color w:val="auto"/>
          <w:highlight w:val="none"/>
          <w:u w:val="single"/>
        </w:rPr>
        <w:t>承包人</w:t>
      </w:r>
      <w:r>
        <w:rPr>
          <w:color w:val="auto"/>
          <w:highlight w:val="none"/>
          <w:u w:val="single"/>
        </w:rPr>
        <w:t>负责，确保与场外交通顺畅连接</w:t>
      </w:r>
      <w:r>
        <w:rPr>
          <w:color w:val="auto"/>
          <w:highlight w:val="none"/>
        </w:rPr>
        <w:t>。</w:t>
      </w:r>
      <w:r>
        <w:rPr>
          <w:color w:val="auto"/>
          <w:highlight w:val="none"/>
          <w:u w:val="single"/>
        </w:rPr>
        <w:t>场内交通的边界应以项目区的实际边界为界。项目区内所有道路的规划、设计、建设、维护和管理均由</w:t>
      </w:r>
      <w:r>
        <w:rPr>
          <w:rFonts w:hint="eastAsia"/>
          <w:color w:val="auto"/>
          <w:highlight w:val="none"/>
          <w:u w:val="single"/>
        </w:rPr>
        <w:t>承包人</w:t>
      </w:r>
      <w:r>
        <w:rPr>
          <w:color w:val="auto"/>
          <w:highlight w:val="none"/>
          <w:u w:val="single"/>
        </w:rPr>
        <w:t>负责，确保场内交通系统完善，满足农业生产需求</w:t>
      </w:r>
      <w:r>
        <w:rPr>
          <w:rFonts w:hint="eastAsia"/>
          <w:color w:val="auto"/>
          <w:highlight w:val="none"/>
        </w:rPr>
        <w:t>。</w:t>
      </w:r>
    </w:p>
    <w:p w14:paraId="4F34FE03">
      <w:pPr>
        <w:spacing w:line="400" w:lineRule="exact"/>
        <w:ind w:firstLine="420" w:firstLineChars="200"/>
        <w:rPr>
          <w:color w:val="auto"/>
          <w:highlight w:val="none"/>
        </w:rPr>
      </w:pPr>
      <w:r>
        <w:rPr>
          <w:color w:val="auto"/>
          <w:highlight w:val="none"/>
        </w:rPr>
        <w:t>关于发包人向承包人免费提供满足工程施工需要的场内道路和交通设施的约定：</w:t>
      </w:r>
      <w:r>
        <w:rPr>
          <w:rFonts w:hint="eastAsia"/>
          <w:color w:val="auto"/>
          <w:highlight w:val="none"/>
          <w:u w:val="single"/>
        </w:rPr>
        <w:t>由承包人负责协调当地政府、居民，发包人给予协助。承包人</w:t>
      </w:r>
      <w:r>
        <w:rPr>
          <w:color w:val="auto"/>
          <w:highlight w:val="none"/>
          <w:u w:val="single"/>
        </w:rPr>
        <w:t>应保证路面平整、坚实，无明显坑洼、积水等影响通行的情况</w:t>
      </w:r>
      <w:r>
        <w:rPr>
          <w:rFonts w:hint="eastAsia"/>
          <w:color w:val="auto"/>
          <w:highlight w:val="none"/>
          <w:u w:val="single"/>
        </w:rPr>
        <w:t>，且</w:t>
      </w:r>
      <w:r>
        <w:rPr>
          <w:color w:val="auto"/>
          <w:highlight w:val="none"/>
          <w:u w:val="single"/>
        </w:rPr>
        <w:t>按照相关安全规范要求，设置必要的警示标志</w:t>
      </w:r>
      <w:r>
        <w:rPr>
          <w:rFonts w:hint="eastAsia"/>
          <w:color w:val="auto"/>
          <w:highlight w:val="none"/>
          <w:u w:val="single"/>
        </w:rPr>
        <w:t>，</w:t>
      </w:r>
      <w:r>
        <w:rPr>
          <w:color w:val="auto"/>
          <w:highlight w:val="none"/>
          <w:u w:val="single"/>
        </w:rPr>
        <w:t>场内道路和交通设施</w:t>
      </w:r>
      <w:r>
        <w:rPr>
          <w:rFonts w:hint="eastAsia"/>
          <w:color w:val="auto"/>
          <w:highlight w:val="none"/>
          <w:u w:val="single"/>
        </w:rPr>
        <w:t>的使用、</w:t>
      </w:r>
      <w:r>
        <w:rPr>
          <w:color w:val="auto"/>
          <w:highlight w:val="none"/>
          <w:u w:val="single"/>
        </w:rPr>
        <w:t>建设、维护</w:t>
      </w:r>
      <w:r>
        <w:rPr>
          <w:rFonts w:hint="eastAsia"/>
          <w:color w:val="auto"/>
          <w:highlight w:val="none"/>
          <w:u w:val="single"/>
        </w:rPr>
        <w:t>等</w:t>
      </w:r>
      <w:r>
        <w:rPr>
          <w:color w:val="auto"/>
          <w:highlight w:val="none"/>
          <w:u w:val="single"/>
        </w:rPr>
        <w:t>相关费用</w:t>
      </w:r>
      <w:r>
        <w:rPr>
          <w:rFonts w:hint="eastAsia"/>
          <w:color w:val="auto"/>
          <w:highlight w:val="none"/>
          <w:u w:val="single"/>
        </w:rPr>
        <w:t>由承包人</w:t>
      </w:r>
      <w:r>
        <w:rPr>
          <w:color w:val="auto"/>
          <w:highlight w:val="none"/>
          <w:u w:val="single"/>
        </w:rPr>
        <w:t>承担</w:t>
      </w:r>
      <w:r>
        <w:rPr>
          <w:color w:val="auto"/>
          <w:highlight w:val="none"/>
        </w:rPr>
        <w:t xml:space="preserve">。 </w:t>
      </w:r>
      <w:bookmarkEnd w:id="427"/>
      <w:bookmarkEnd w:id="428"/>
      <w:bookmarkEnd w:id="429"/>
      <w:bookmarkEnd w:id="430"/>
      <w:bookmarkEnd w:id="431"/>
      <w:bookmarkStart w:id="432" w:name="_Toc318581157"/>
    </w:p>
    <w:p w14:paraId="7C643D41">
      <w:pPr>
        <w:spacing w:line="400" w:lineRule="exact"/>
        <w:ind w:firstLine="420" w:firstLineChars="200"/>
        <w:rPr>
          <w:color w:val="auto"/>
          <w:highlight w:val="none"/>
        </w:rPr>
      </w:pPr>
      <w:r>
        <w:rPr>
          <w:color w:val="auto"/>
          <w:highlight w:val="none"/>
        </w:rPr>
        <w:t>1.10.4超大件和超重件的运输</w:t>
      </w:r>
    </w:p>
    <w:p w14:paraId="364E75D7">
      <w:pPr>
        <w:spacing w:line="400" w:lineRule="exact"/>
        <w:ind w:firstLine="420" w:firstLineChars="200"/>
        <w:rPr>
          <w:color w:val="auto"/>
          <w:highlight w:val="none"/>
        </w:rPr>
      </w:pPr>
      <w:r>
        <w:rPr>
          <w:color w:val="auto"/>
          <w:highlight w:val="none"/>
        </w:rPr>
        <w:t>运输超大件或超重件所需的道路和桥梁临时加固改造费用和其他有关费用由</w:t>
      </w:r>
      <w:r>
        <w:rPr>
          <w:rFonts w:hint="eastAsia"/>
          <w:color w:val="auto"/>
          <w:highlight w:val="none"/>
          <w:u w:val="single"/>
        </w:rPr>
        <w:t xml:space="preserve"> 承包人</w:t>
      </w:r>
      <w:r>
        <w:rPr>
          <w:color w:val="auto"/>
          <w:highlight w:val="none"/>
        </w:rPr>
        <w:t>承担。</w:t>
      </w:r>
    </w:p>
    <w:bookmarkEnd w:id="432"/>
    <w:p w14:paraId="19EEED5A">
      <w:pPr>
        <w:pStyle w:val="13"/>
        <w:rPr>
          <w:color w:val="auto"/>
          <w:highlight w:val="none"/>
        </w:rPr>
      </w:pPr>
      <w:bookmarkStart w:id="433" w:name="_Toc30665"/>
      <w:bookmarkStart w:id="434" w:name="_Toc256000297"/>
      <w:bookmarkStart w:id="435" w:name="_Toc150947446"/>
      <w:bookmarkStart w:id="436" w:name="_Toc20850"/>
      <w:r>
        <w:rPr>
          <w:b/>
          <w:color w:val="auto"/>
          <w:highlight w:val="none"/>
        </w:rPr>
        <w:t>1.11 知识产权</w:t>
      </w:r>
      <w:bookmarkEnd w:id="433"/>
      <w:bookmarkEnd w:id="434"/>
      <w:bookmarkEnd w:id="435"/>
      <w:bookmarkEnd w:id="436"/>
    </w:p>
    <w:p w14:paraId="4878D1B4">
      <w:pPr>
        <w:spacing w:line="400" w:lineRule="exact"/>
        <w:ind w:left="420" w:leftChars="200"/>
        <w:rPr>
          <w:color w:val="auto"/>
          <w:highlight w:val="none"/>
        </w:rPr>
      </w:pPr>
      <w:r>
        <w:rPr>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color w:val="auto"/>
          <w:highlight w:val="none"/>
          <w:u w:val="single"/>
        </w:rPr>
        <w:t xml:space="preserve">执行通用合同条款 </w:t>
      </w:r>
      <w:r>
        <w:rPr>
          <w:color w:val="auto"/>
          <w:highlight w:val="none"/>
        </w:rPr>
        <w:t>。</w:t>
      </w:r>
    </w:p>
    <w:p w14:paraId="70DD0597">
      <w:pPr>
        <w:spacing w:line="400" w:lineRule="exact"/>
        <w:ind w:firstLine="420"/>
        <w:rPr>
          <w:color w:val="auto"/>
          <w:highlight w:val="none"/>
        </w:rPr>
      </w:pPr>
      <w:r>
        <w:rPr>
          <w:color w:val="auto"/>
          <w:highlight w:val="none"/>
        </w:rPr>
        <w:t>关于发包人提供的上述文件的使用限制的要求：</w:t>
      </w:r>
      <w:r>
        <w:rPr>
          <w:rFonts w:hint="eastAsia"/>
          <w:color w:val="auto"/>
          <w:highlight w:val="none"/>
          <w:u w:val="single"/>
        </w:rPr>
        <w:t xml:space="preserve">承包人需对发包人提供的图纸等文件保密，未经发包人书面同意，不得向第三方披露、复制或转让；未经发包人书面许可，承包人不得擅自修改图纸或复制文件。任何必要的修改需经发包人确认并形成书面记录；工程竣工后，承包人应按发包人要求归还所有图纸和文件，确保信息安全；发包人保留图纸等文件的知识产权 </w:t>
      </w:r>
      <w:r>
        <w:rPr>
          <w:color w:val="auto"/>
          <w:highlight w:val="none"/>
        </w:rPr>
        <w:t xml:space="preserve">。 </w:t>
      </w:r>
    </w:p>
    <w:p w14:paraId="0D947005">
      <w:pPr>
        <w:spacing w:line="400" w:lineRule="exact"/>
        <w:ind w:left="420" w:leftChars="200"/>
        <w:rPr>
          <w:color w:val="auto"/>
          <w:highlight w:val="none"/>
        </w:rPr>
      </w:pPr>
      <w:r>
        <w:rPr>
          <w:color w:val="auto"/>
          <w:highlight w:val="none"/>
        </w:rPr>
        <w:t>1.11.2 关于承包人为实施工程所编制文件的著作权的归属：</w:t>
      </w:r>
      <w:r>
        <w:rPr>
          <w:rFonts w:hint="eastAsia"/>
          <w:color w:val="auto"/>
          <w:highlight w:val="none"/>
          <w:u w:val="single"/>
        </w:rPr>
        <w:t xml:space="preserve">执行通用合同条款 </w:t>
      </w:r>
      <w:r>
        <w:rPr>
          <w:color w:val="auto"/>
          <w:highlight w:val="none"/>
        </w:rPr>
        <w:t>。</w:t>
      </w:r>
    </w:p>
    <w:p w14:paraId="7DE05654">
      <w:pPr>
        <w:spacing w:line="400" w:lineRule="exact"/>
        <w:ind w:firstLine="420"/>
        <w:rPr>
          <w:color w:val="auto"/>
          <w:highlight w:val="none"/>
        </w:rPr>
      </w:pPr>
      <w:r>
        <w:rPr>
          <w:color w:val="auto"/>
          <w:highlight w:val="none"/>
        </w:rPr>
        <w:t>关于承包人提供的上述文件的使用限制的要求：</w:t>
      </w:r>
      <w:r>
        <w:rPr>
          <w:rFonts w:hint="eastAsia"/>
          <w:color w:val="auto"/>
          <w:highlight w:val="none"/>
          <w:u w:val="single"/>
        </w:rPr>
        <w:t>仅用于本项目，不得用于其他项目或目的。承包人不得将文件泄露给第三方；承包人需要对文件中涉及的技术秘密、商业秘密等信息承担保密义务，不得泄露给任何无关人员；未经发包人书面同意，承包人不得擅自修改或转让这些文件。如果需要修改，必须经过发包人的审核和批准</w:t>
      </w:r>
      <w:r>
        <w:rPr>
          <w:color w:val="auto"/>
          <w:highlight w:val="none"/>
        </w:rPr>
        <w:t xml:space="preserve">。 </w:t>
      </w:r>
    </w:p>
    <w:p w14:paraId="10FBAE18">
      <w:pPr>
        <w:spacing w:line="400" w:lineRule="exact"/>
        <w:ind w:firstLine="420"/>
        <w:rPr>
          <w:color w:val="auto"/>
          <w:highlight w:val="none"/>
        </w:rPr>
      </w:pPr>
      <w:r>
        <w:rPr>
          <w:color w:val="auto"/>
          <w:highlight w:val="none"/>
        </w:rPr>
        <w:t>1.11.4 承包人在施工过程中所采用的专利、专有技术、技术秘密的使用费的承担方</w:t>
      </w:r>
      <w:r>
        <w:rPr>
          <w:rFonts w:hint="eastAsia"/>
          <w:color w:val="auto"/>
          <w:highlight w:val="none"/>
          <w:u w:val="single"/>
        </w:rPr>
        <w:t xml:space="preserve">由承包人承担 </w:t>
      </w:r>
      <w:r>
        <w:rPr>
          <w:color w:val="auto"/>
          <w:highlight w:val="none"/>
        </w:rPr>
        <w:t>。</w:t>
      </w:r>
    </w:p>
    <w:p w14:paraId="7CE3BE82">
      <w:pPr>
        <w:pStyle w:val="13"/>
        <w:rPr>
          <w:b/>
          <w:color w:val="auto"/>
          <w:highlight w:val="none"/>
        </w:rPr>
      </w:pPr>
      <w:bookmarkStart w:id="437" w:name="_Toc24918"/>
      <w:bookmarkStart w:id="438" w:name="_Toc26971"/>
      <w:bookmarkStart w:id="439" w:name="_Toc256000298"/>
      <w:bookmarkStart w:id="440" w:name="_Toc150947447"/>
      <w:r>
        <w:rPr>
          <w:b/>
          <w:color w:val="auto"/>
          <w:highlight w:val="none"/>
        </w:rPr>
        <w:t>1.13工程量清单错误的修正</w:t>
      </w:r>
      <w:bookmarkEnd w:id="437"/>
      <w:bookmarkEnd w:id="438"/>
      <w:bookmarkEnd w:id="439"/>
      <w:bookmarkEnd w:id="440"/>
    </w:p>
    <w:p w14:paraId="7359B1A7">
      <w:pPr>
        <w:spacing w:line="400" w:lineRule="exact"/>
        <w:ind w:firstLine="420" w:firstLineChars="200"/>
        <w:rPr>
          <w:color w:val="auto"/>
          <w:highlight w:val="none"/>
        </w:rPr>
      </w:pPr>
      <w:r>
        <w:rPr>
          <w:rFonts w:hint="eastAsia"/>
          <w:color w:val="auto"/>
          <w:highlight w:val="none"/>
        </w:rPr>
        <w:t>出现工程量清单错误时，是否调整合同价格：</w:t>
      </w:r>
      <w:r>
        <w:rPr>
          <w:rFonts w:hint="eastAsia" w:eastAsia="宋体"/>
          <w:color w:val="auto"/>
          <w:highlight w:val="none"/>
          <w:u w:val="single"/>
          <w:lang w:val="en-US" w:eastAsia="zh-CN"/>
        </w:rPr>
        <w:t>不执行</w:t>
      </w:r>
      <w:r>
        <w:rPr>
          <w:color w:val="auto"/>
          <w:highlight w:val="none"/>
        </w:rPr>
        <w:t>。</w:t>
      </w:r>
    </w:p>
    <w:p w14:paraId="14A17944">
      <w:pPr>
        <w:spacing w:line="400" w:lineRule="exact"/>
        <w:ind w:firstLine="420" w:firstLineChars="200"/>
        <w:rPr>
          <w:color w:val="auto"/>
          <w:highlight w:val="none"/>
        </w:rPr>
      </w:pPr>
      <w:r>
        <w:rPr>
          <w:color w:val="auto"/>
          <w:highlight w:val="none"/>
        </w:rPr>
        <w:t>允许调整合同价格的工程量偏差范围：</w:t>
      </w:r>
      <w:r>
        <w:rPr>
          <w:rFonts w:hint="eastAsia" w:eastAsia="宋体"/>
          <w:color w:val="auto"/>
          <w:highlight w:val="none"/>
          <w:u w:val="single"/>
          <w:lang w:val="en-US" w:eastAsia="zh-CN"/>
        </w:rPr>
        <w:t>不执行</w:t>
      </w:r>
      <w:r>
        <w:rPr>
          <w:color w:val="auto"/>
          <w:highlight w:val="none"/>
        </w:rPr>
        <w:t>。</w:t>
      </w:r>
    </w:p>
    <w:p w14:paraId="5445AFBB">
      <w:pPr>
        <w:pStyle w:val="12"/>
        <w:rPr>
          <w:b/>
          <w:color w:val="auto"/>
          <w:highlight w:val="none"/>
        </w:rPr>
      </w:pPr>
      <w:bookmarkStart w:id="441" w:name="_Toc12691"/>
      <w:bookmarkStart w:id="442" w:name="_Toc150947448"/>
      <w:bookmarkStart w:id="443" w:name="_Toc351203634"/>
      <w:bookmarkStart w:id="444" w:name="_Toc256000299"/>
      <w:r>
        <w:rPr>
          <w:b/>
          <w:color w:val="auto"/>
          <w:highlight w:val="none"/>
        </w:rPr>
        <w:t>2</w:t>
      </w:r>
      <w:bookmarkStart w:id="445" w:name="_Toc296503157"/>
      <w:bookmarkStart w:id="446" w:name="_Toc296890985"/>
      <w:bookmarkStart w:id="447" w:name="_Toc296891197"/>
      <w:bookmarkStart w:id="448" w:name="_Toc296944496"/>
      <w:bookmarkStart w:id="449" w:name="_Toc297048343"/>
      <w:bookmarkStart w:id="450" w:name="_Toc296346658"/>
      <w:bookmarkStart w:id="451" w:name="_Toc297120457"/>
      <w:bookmarkStart w:id="452" w:name="_Toc292559867"/>
      <w:bookmarkStart w:id="453" w:name="_Toc296347156"/>
      <w:bookmarkStart w:id="454" w:name="_Toc292559362"/>
      <w:r>
        <w:rPr>
          <w:b/>
          <w:color w:val="auto"/>
          <w:highlight w:val="none"/>
        </w:rPr>
        <w:t>. 发包人</w:t>
      </w:r>
      <w:bookmarkEnd w:id="441"/>
      <w:bookmarkEnd w:id="442"/>
      <w:bookmarkEnd w:id="443"/>
      <w:bookmarkEnd w:id="444"/>
    </w:p>
    <w:bookmarkEnd w:id="445"/>
    <w:bookmarkEnd w:id="446"/>
    <w:bookmarkEnd w:id="447"/>
    <w:bookmarkEnd w:id="448"/>
    <w:bookmarkEnd w:id="449"/>
    <w:bookmarkEnd w:id="450"/>
    <w:bookmarkEnd w:id="451"/>
    <w:bookmarkEnd w:id="452"/>
    <w:bookmarkEnd w:id="453"/>
    <w:bookmarkEnd w:id="454"/>
    <w:p w14:paraId="7219084F">
      <w:pPr>
        <w:pStyle w:val="13"/>
        <w:rPr>
          <w:b/>
          <w:color w:val="auto"/>
          <w:highlight w:val="none"/>
        </w:rPr>
      </w:pPr>
      <w:bookmarkStart w:id="455" w:name="_Toc16858"/>
      <w:bookmarkStart w:id="456" w:name="_Toc22882"/>
      <w:bookmarkStart w:id="457" w:name="_Toc256000300"/>
      <w:bookmarkStart w:id="458" w:name="_Toc150947449"/>
      <w:r>
        <w:rPr>
          <w:b/>
          <w:color w:val="auto"/>
          <w:highlight w:val="none"/>
        </w:rPr>
        <w:t>2.2 发包人代表</w:t>
      </w:r>
      <w:bookmarkEnd w:id="455"/>
      <w:bookmarkEnd w:id="456"/>
      <w:bookmarkEnd w:id="457"/>
      <w:bookmarkEnd w:id="458"/>
    </w:p>
    <w:p w14:paraId="1ED259C9">
      <w:pPr>
        <w:spacing w:line="400" w:lineRule="exact"/>
        <w:ind w:firstLine="420" w:firstLineChars="200"/>
        <w:rPr>
          <w:color w:val="auto"/>
          <w:highlight w:val="none"/>
        </w:rPr>
      </w:pPr>
      <w:r>
        <w:rPr>
          <w:color w:val="auto"/>
          <w:highlight w:val="none"/>
        </w:rPr>
        <w:t>发包人代表：</w:t>
      </w:r>
    </w:p>
    <w:p w14:paraId="23620F57">
      <w:pPr>
        <w:spacing w:line="400" w:lineRule="exact"/>
        <w:ind w:firstLine="420" w:firstLineChars="200"/>
        <w:rPr>
          <w:color w:val="auto"/>
          <w:highlight w:val="none"/>
        </w:rPr>
      </w:pPr>
      <w:r>
        <w:rPr>
          <w:color w:val="auto"/>
          <w:highlight w:val="none"/>
        </w:rPr>
        <w:t>姓    名：</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458323F5">
      <w:pPr>
        <w:spacing w:line="400" w:lineRule="exact"/>
        <w:ind w:firstLine="420" w:firstLineChars="200"/>
        <w:rPr>
          <w:color w:val="auto"/>
          <w:highlight w:val="none"/>
        </w:rPr>
      </w:pPr>
      <w:r>
        <w:rPr>
          <w:color w:val="auto"/>
          <w:highlight w:val="none"/>
        </w:rPr>
        <w:t>身份证号：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11084D4C">
      <w:pPr>
        <w:spacing w:line="400" w:lineRule="exact"/>
        <w:ind w:firstLine="420" w:firstLineChars="200"/>
        <w:rPr>
          <w:color w:val="auto"/>
          <w:highlight w:val="none"/>
        </w:rPr>
      </w:pPr>
      <w:r>
        <w:rPr>
          <w:color w:val="auto"/>
          <w:highlight w:val="none"/>
        </w:rPr>
        <w:t>职    务：</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9B7F831">
      <w:pPr>
        <w:spacing w:line="400" w:lineRule="exact"/>
        <w:ind w:firstLine="420" w:firstLineChars="200"/>
        <w:rPr>
          <w:color w:val="auto"/>
          <w:highlight w:val="none"/>
        </w:rPr>
      </w:pPr>
      <w:r>
        <w:rPr>
          <w:color w:val="auto"/>
          <w:highlight w:val="none"/>
        </w:rPr>
        <w:t>联系电话：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6A2560FF">
      <w:pPr>
        <w:spacing w:line="40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F99200F">
      <w:pPr>
        <w:spacing w:line="400" w:lineRule="exact"/>
        <w:ind w:firstLine="420" w:firstLineChars="200"/>
        <w:rPr>
          <w:color w:val="auto"/>
          <w:highlight w:val="none"/>
        </w:rPr>
      </w:pPr>
      <w:r>
        <w:rPr>
          <w:color w:val="auto"/>
          <w:highlight w:val="none"/>
        </w:rPr>
        <w:t>通信地址：</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7ACD6682">
      <w:pPr>
        <w:spacing w:line="400" w:lineRule="exact"/>
        <w:ind w:firstLine="420" w:firstLineChars="200"/>
        <w:rPr>
          <w:color w:val="auto"/>
          <w:highlight w:val="none"/>
          <w:u w:val="single"/>
        </w:rPr>
      </w:pPr>
      <w:r>
        <w:rPr>
          <w:color w:val="auto"/>
          <w:highlight w:val="none"/>
        </w:rPr>
        <w:t>发包人对发包人代表的授权范围如下：</w:t>
      </w:r>
      <w:r>
        <w:rPr>
          <w:rFonts w:hint="eastAsia"/>
          <w:color w:val="auto"/>
          <w:highlight w:val="none"/>
          <w:u w:val="single"/>
        </w:rPr>
        <w:t>项目管理与监督权、质量验收与评定权、变更与签证管理权、合同解释与争议解决权、与项目执行相关的其他权力等</w:t>
      </w:r>
      <w:r>
        <w:rPr>
          <w:color w:val="auto"/>
          <w:highlight w:val="none"/>
        </w:rPr>
        <w:t>。</w:t>
      </w:r>
    </w:p>
    <w:p w14:paraId="3BFA7DC7">
      <w:pPr>
        <w:pStyle w:val="13"/>
        <w:rPr>
          <w:b/>
          <w:color w:val="auto"/>
          <w:highlight w:val="none"/>
        </w:rPr>
      </w:pPr>
      <w:bookmarkStart w:id="459" w:name="_Toc22826"/>
      <w:bookmarkStart w:id="460" w:name="_Toc256000301"/>
      <w:bookmarkStart w:id="461" w:name="_Toc150947450"/>
      <w:bookmarkStart w:id="462" w:name="_Toc22268"/>
      <w:r>
        <w:rPr>
          <w:b/>
          <w:color w:val="auto"/>
          <w:highlight w:val="none"/>
        </w:rPr>
        <w:t>2.4 施工现场、施工条件和基础资料的提供</w:t>
      </w:r>
      <w:bookmarkEnd w:id="459"/>
      <w:bookmarkEnd w:id="460"/>
      <w:bookmarkEnd w:id="461"/>
      <w:bookmarkEnd w:id="462"/>
    </w:p>
    <w:p w14:paraId="4E368191">
      <w:pPr>
        <w:spacing w:line="400" w:lineRule="exact"/>
        <w:ind w:firstLine="420" w:firstLineChars="200"/>
        <w:rPr>
          <w:color w:val="auto"/>
          <w:highlight w:val="none"/>
        </w:rPr>
      </w:pPr>
      <w:r>
        <w:rPr>
          <w:color w:val="auto"/>
          <w:highlight w:val="none"/>
        </w:rPr>
        <w:t>2.4.1 提供施工现场</w:t>
      </w:r>
    </w:p>
    <w:p w14:paraId="130B37CD">
      <w:pPr>
        <w:spacing w:line="400" w:lineRule="exact"/>
        <w:ind w:firstLine="420" w:firstLineChars="200"/>
        <w:rPr>
          <w:color w:val="auto"/>
          <w:highlight w:val="none"/>
          <w:u w:val="single"/>
        </w:rPr>
      </w:pPr>
      <w:r>
        <w:rPr>
          <w:color w:val="auto"/>
          <w:highlight w:val="none"/>
        </w:rPr>
        <w:t>关于发包人移交施工现场的期限要求：</w:t>
      </w:r>
      <w:r>
        <w:rPr>
          <w:rFonts w:hint="eastAsia"/>
          <w:color w:val="auto"/>
          <w:highlight w:val="none"/>
          <w:u w:val="single"/>
        </w:rPr>
        <w:t>执行通用合同条款</w:t>
      </w:r>
      <w:r>
        <w:rPr>
          <w:color w:val="auto"/>
          <w:highlight w:val="none"/>
        </w:rPr>
        <w:t>。</w:t>
      </w:r>
    </w:p>
    <w:p w14:paraId="49D6069A">
      <w:pPr>
        <w:spacing w:line="400" w:lineRule="exact"/>
        <w:ind w:firstLine="420" w:firstLineChars="200"/>
        <w:rPr>
          <w:color w:val="auto"/>
          <w:highlight w:val="none"/>
        </w:rPr>
      </w:pPr>
      <w:r>
        <w:rPr>
          <w:color w:val="auto"/>
          <w:highlight w:val="none"/>
        </w:rPr>
        <w:t>2.4.2 提供施工条件</w:t>
      </w:r>
    </w:p>
    <w:p w14:paraId="4C42C469">
      <w:pPr>
        <w:spacing w:line="400" w:lineRule="exact"/>
        <w:ind w:firstLine="420" w:firstLineChars="200"/>
        <w:rPr>
          <w:color w:val="auto"/>
          <w:highlight w:val="none"/>
        </w:rPr>
      </w:pPr>
      <w:r>
        <w:rPr>
          <w:color w:val="auto"/>
          <w:highlight w:val="none"/>
        </w:rPr>
        <w:t>关于发包人应负责提供施工</w:t>
      </w:r>
      <w:r>
        <w:rPr>
          <w:rFonts w:hint="eastAsia"/>
          <w:color w:val="auto"/>
          <w:highlight w:val="none"/>
        </w:rPr>
        <w:t>所需要的条件，</w:t>
      </w:r>
      <w:r>
        <w:rPr>
          <w:color w:val="auto"/>
          <w:highlight w:val="none"/>
        </w:rPr>
        <w:t>包括：</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7833A07E">
      <w:pPr>
        <w:spacing w:line="400" w:lineRule="exact"/>
        <w:rPr>
          <w:color w:val="auto"/>
          <w:highlight w:val="none"/>
          <w:u w:val="singl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7965513B">
      <w:pPr>
        <w:pStyle w:val="13"/>
        <w:rPr>
          <w:b/>
          <w:color w:val="auto"/>
          <w:highlight w:val="none"/>
        </w:rPr>
      </w:pPr>
      <w:bookmarkStart w:id="463" w:name="_Toc19037"/>
      <w:bookmarkStart w:id="464" w:name="_Toc10975"/>
      <w:bookmarkStart w:id="465" w:name="_Toc150947451"/>
      <w:bookmarkStart w:id="466" w:name="_Toc256000302"/>
      <w:r>
        <w:rPr>
          <w:b/>
          <w:color w:val="auto"/>
          <w:highlight w:val="none"/>
        </w:rPr>
        <w:t>2.5 资金来源证明及支付担保</w:t>
      </w:r>
      <w:bookmarkEnd w:id="463"/>
      <w:bookmarkEnd w:id="464"/>
      <w:bookmarkEnd w:id="465"/>
      <w:bookmarkEnd w:id="466"/>
    </w:p>
    <w:p w14:paraId="5E9045AF">
      <w:pPr>
        <w:spacing w:line="400" w:lineRule="exact"/>
        <w:ind w:firstLine="420" w:firstLineChars="200"/>
        <w:rPr>
          <w:color w:val="auto"/>
          <w:highlight w:val="none"/>
        </w:rPr>
      </w:pPr>
      <w:r>
        <w:rPr>
          <w:color w:val="auto"/>
          <w:highlight w:val="none"/>
        </w:rPr>
        <w:t>发包人提供资金来源证明的期限要求：</w:t>
      </w:r>
      <w:r>
        <w:rPr>
          <w:rFonts w:hint="eastAsia"/>
          <w:color w:val="auto"/>
          <w:highlight w:val="none"/>
          <w:u w:val="single"/>
        </w:rPr>
        <w:t>执行通用合同条款</w:t>
      </w:r>
      <w:r>
        <w:rPr>
          <w:color w:val="auto"/>
          <w:highlight w:val="none"/>
        </w:rPr>
        <w:t>。</w:t>
      </w:r>
    </w:p>
    <w:p w14:paraId="3397A523">
      <w:pPr>
        <w:spacing w:line="400" w:lineRule="exact"/>
        <w:ind w:firstLine="420" w:firstLineChars="200"/>
        <w:rPr>
          <w:color w:val="auto"/>
          <w:highlight w:val="none"/>
        </w:rPr>
      </w:pPr>
      <w:r>
        <w:rPr>
          <w:color w:val="auto"/>
          <w:highlight w:val="none"/>
        </w:rPr>
        <w:t>发包人是否提供支付担保：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color w:val="auto"/>
          <w:highlight w:val="none"/>
        </w:rPr>
        <w:t>。</w:t>
      </w:r>
    </w:p>
    <w:p w14:paraId="7915CF55">
      <w:pPr>
        <w:spacing w:line="400" w:lineRule="exact"/>
        <w:ind w:firstLine="420" w:firstLineChars="200"/>
        <w:rPr>
          <w:color w:val="auto"/>
          <w:highlight w:val="none"/>
        </w:rPr>
      </w:pPr>
      <w:r>
        <w:rPr>
          <w:color w:val="auto"/>
          <w:highlight w:val="none"/>
        </w:rPr>
        <w:t>发包人提供支付担保的形式：</w:t>
      </w:r>
      <w:r>
        <w:rPr>
          <w:color w:val="auto"/>
          <w:highlight w:val="none"/>
          <w:u w:val="single"/>
        </w:rPr>
        <w:t>采用银行保函或担保公司担保等形式</w:t>
      </w:r>
      <w:r>
        <w:rPr>
          <w:color w:val="auto"/>
          <w:highlight w:val="none"/>
        </w:rPr>
        <w:t>。</w:t>
      </w:r>
    </w:p>
    <w:p w14:paraId="2AB22FCB">
      <w:pPr>
        <w:pStyle w:val="12"/>
        <w:rPr>
          <w:b/>
          <w:color w:val="auto"/>
          <w:highlight w:val="none"/>
        </w:rPr>
      </w:pPr>
      <w:bookmarkStart w:id="467" w:name="_Toc256000303"/>
      <w:bookmarkStart w:id="468" w:name="_Toc351203635"/>
      <w:bookmarkStart w:id="469" w:name="_Toc150947452"/>
      <w:bookmarkStart w:id="470" w:name="_Toc1483"/>
      <w:r>
        <w:rPr>
          <w:b/>
          <w:color w:val="auto"/>
          <w:highlight w:val="none"/>
        </w:rPr>
        <w:t>3</w:t>
      </w:r>
      <w:bookmarkStart w:id="471" w:name="_Toc292559363"/>
      <w:bookmarkStart w:id="472" w:name="_Toc296944497"/>
      <w:bookmarkStart w:id="473" w:name="_Toc292559868"/>
      <w:bookmarkStart w:id="474" w:name="_Toc296891198"/>
      <w:bookmarkStart w:id="475" w:name="_Toc296503158"/>
      <w:bookmarkStart w:id="476" w:name="_Toc296346659"/>
      <w:bookmarkStart w:id="477" w:name="_Toc297048344"/>
      <w:bookmarkStart w:id="478" w:name="_Toc296890986"/>
      <w:bookmarkStart w:id="479" w:name="_Toc296347157"/>
      <w:bookmarkStart w:id="480" w:name="_Toc297120458"/>
      <w:r>
        <w:rPr>
          <w:b/>
          <w:color w:val="auto"/>
          <w:highlight w:val="none"/>
        </w:rPr>
        <w:t>. 承包人</w:t>
      </w:r>
      <w:bookmarkEnd w:id="467"/>
      <w:bookmarkEnd w:id="468"/>
      <w:bookmarkEnd w:id="469"/>
      <w:bookmarkEnd w:id="470"/>
    </w:p>
    <w:bookmarkEnd w:id="471"/>
    <w:bookmarkEnd w:id="472"/>
    <w:bookmarkEnd w:id="473"/>
    <w:bookmarkEnd w:id="474"/>
    <w:bookmarkEnd w:id="475"/>
    <w:bookmarkEnd w:id="476"/>
    <w:bookmarkEnd w:id="477"/>
    <w:bookmarkEnd w:id="478"/>
    <w:bookmarkEnd w:id="479"/>
    <w:bookmarkEnd w:id="480"/>
    <w:p w14:paraId="59DA3BE8">
      <w:pPr>
        <w:pStyle w:val="13"/>
        <w:rPr>
          <w:b/>
          <w:color w:val="auto"/>
          <w:highlight w:val="none"/>
        </w:rPr>
      </w:pPr>
      <w:bookmarkStart w:id="481" w:name="_Toc256000304"/>
      <w:bookmarkStart w:id="482" w:name="_Toc32765"/>
      <w:bookmarkStart w:id="483" w:name="_Toc20518"/>
      <w:bookmarkStart w:id="484" w:name="_Toc150947453"/>
      <w:r>
        <w:rPr>
          <w:b/>
          <w:color w:val="auto"/>
          <w:highlight w:val="none"/>
        </w:rPr>
        <w:t>3.1 承包人的一般义务</w:t>
      </w:r>
      <w:bookmarkEnd w:id="481"/>
      <w:bookmarkEnd w:id="482"/>
      <w:bookmarkEnd w:id="483"/>
      <w:bookmarkEnd w:id="484"/>
    </w:p>
    <w:p w14:paraId="3EC1DB33">
      <w:pPr>
        <w:spacing w:line="400" w:lineRule="exact"/>
        <w:ind w:firstLine="420" w:firstLineChars="200"/>
        <w:rPr>
          <w:color w:val="auto"/>
          <w:highlight w:val="none"/>
        </w:rPr>
      </w:pPr>
      <w:r>
        <w:rPr>
          <w:color w:val="auto"/>
          <w:highlight w:val="none"/>
        </w:rPr>
        <w:t>（</w:t>
      </w:r>
      <w:r>
        <w:rPr>
          <w:rFonts w:hint="eastAsia"/>
          <w:color w:val="auto"/>
          <w:highlight w:val="none"/>
        </w:rPr>
        <w:t>9</w:t>
      </w:r>
      <w:r>
        <w:rPr>
          <w:color w:val="auto"/>
          <w:highlight w:val="none"/>
        </w:rPr>
        <w:t>）承包人提交的竣工资料的内容：</w:t>
      </w:r>
      <w:r>
        <w:rPr>
          <w:rFonts w:hint="eastAsia"/>
          <w:color w:val="auto"/>
          <w:highlight w:val="none"/>
          <w:u w:val="single"/>
        </w:rPr>
        <w:t>包括但不限于施工管理资料（施工许可证、施工组织设计、施工技术交底记录、施工日志）；工程质量控制资料（工程原材料、构配件、设备的质量证明文件及检验报告、施工试验报告、土壤试验报告、混凝土、砂浆试块抗压强度试验报告、压实度检测报告、隐蔽工程验收记录、分项、分部工程质量检验评定记录）；工程安全及功能检验资料（安全和功能检验项目核查及主要功能抽查记录、沉降观测记录）；竣工图（总体布局竣工图、灌溉与排水工程竣工图、田间道路工程竣工图、农田防护与生态环境保持工程竣工图）；其他资料（工程竣工报告、工程质量保修书）；工程变更与洽商资料（工程变更申请及批准文件、工程洽商记录）；工程结算资料（工程竣工结算书、工程量计算底稿及依据）；验收与移交资料（工程竣工验收报告、工程移交证书、工程质量监督报告）；档案管理资料（工程档案目录及卷内目录、档案移交清单）</w:t>
      </w:r>
      <w:r>
        <w:rPr>
          <w:rFonts w:hint="eastAsia"/>
          <w:color w:val="auto"/>
          <w:highlight w:val="none"/>
        </w:rPr>
        <w:t>。</w:t>
      </w:r>
    </w:p>
    <w:p w14:paraId="6DCC6F27">
      <w:pPr>
        <w:spacing w:line="400" w:lineRule="exact"/>
        <w:ind w:firstLine="420" w:firstLineChars="200"/>
        <w:rPr>
          <w:color w:val="auto"/>
          <w:highlight w:val="none"/>
        </w:rPr>
      </w:pPr>
      <w:r>
        <w:rPr>
          <w:color w:val="auto"/>
          <w:highlight w:val="none"/>
        </w:rPr>
        <w:t>承包人需要提交的竣工资料套数：</w:t>
      </w:r>
      <w:r>
        <w:rPr>
          <w:color w:val="auto"/>
          <w:highlight w:val="none"/>
          <w:u w:val="single"/>
        </w:rPr>
        <w:t xml:space="preserve">    </w:t>
      </w:r>
      <w:r>
        <w:rPr>
          <w:rFonts w:hint="eastAsia"/>
          <w:color w:val="auto"/>
          <w:highlight w:val="none"/>
          <w:u w:val="single"/>
        </w:rPr>
        <w:t>4套</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p>
    <w:p w14:paraId="44742E67">
      <w:pPr>
        <w:spacing w:line="400" w:lineRule="exact"/>
        <w:ind w:firstLine="420" w:firstLineChars="200"/>
        <w:rPr>
          <w:color w:val="auto"/>
          <w:highlight w:val="none"/>
        </w:rPr>
      </w:pPr>
      <w:r>
        <w:rPr>
          <w:color w:val="auto"/>
          <w:highlight w:val="none"/>
        </w:rPr>
        <w:t>承包人提交的竣工资料的费用承担：</w:t>
      </w:r>
      <w:r>
        <w:rPr>
          <w:color w:val="auto"/>
          <w:highlight w:val="none"/>
          <w:u w:val="single"/>
        </w:rPr>
        <w:t xml:space="preserve"> </w:t>
      </w:r>
      <w:r>
        <w:rPr>
          <w:rFonts w:hint="eastAsia"/>
          <w:color w:val="auto"/>
          <w:highlight w:val="none"/>
          <w:u w:val="single"/>
        </w:rPr>
        <w:t xml:space="preserve">承包人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23FFF4B7">
      <w:pPr>
        <w:spacing w:line="400" w:lineRule="exact"/>
        <w:ind w:firstLine="420" w:firstLineChars="200"/>
        <w:rPr>
          <w:color w:val="auto"/>
          <w:highlight w:val="none"/>
        </w:rPr>
      </w:pPr>
      <w:r>
        <w:rPr>
          <w:color w:val="auto"/>
          <w:highlight w:val="none"/>
        </w:rPr>
        <w:t>承包人提交的竣工资料移交时间：</w:t>
      </w:r>
      <w:r>
        <w:rPr>
          <w:rFonts w:hint="eastAsia"/>
          <w:color w:val="auto"/>
          <w:highlight w:val="none"/>
          <w:u w:val="single"/>
        </w:rPr>
        <w:t xml:space="preserve">工程竣工验收合格后的28天内 </w:t>
      </w:r>
      <w:r>
        <w:rPr>
          <w:color w:val="auto"/>
          <w:highlight w:val="none"/>
        </w:rPr>
        <w:t>。</w:t>
      </w:r>
    </w:p>
    <w:p w14:paraId="09B67791">
      <w:pPr>
        <w:spacing w:line="400" w:lineRule="exact"/>
        <w:ind w:firstLine="420" w:firstLineChars="200"/>
        <w:rPr>
          <w:color w:val="auto"/>
          <w:highlight w:val="none"/>
        </w:rPr>
      </w:pPr>
      <w:r>
        <w:rPr>
          <w:color w:val="auto"/>
          <w:highlight w:val="none"/>
        </w:rPr>
        <w:t>承包人提交的竣工资料形式要求：</w:t>
      </w:r>
      <w:r>
        <w:rPr>
          <w:rFonts w:hint="eastAsia"/>
          <w:color w:val="auto"/>
          <w:highlight w:val="none"/>
          <w:u w:val="single"/>
        </w:rPr>
        <w:t>符合国家和地方的档案管理规定</w:t>
      </w:r>
      <w:r>
        <w:rPr>
          <w:color w:val="auto"/>
          <w:highlight w:val="none"/>
        </w:rPr>
        <w:t>。</w:t>
      </w:r>
    </w:p>
    <w:p w14:paraId="6725521D">
      <w:pPr>
        <w:spacing w:line="400" w:lineRule="exact"/>
        <w:ind w:firstLine="420" w:firstLineChars="200"/>
        <w:rPr>
          <w:color w:val="auto"/>
          <w:highlight w:val="none"/>
        </w:rPr>
      </w:pPr>
      <w:r>
        <w:rPr>
          <w:color w:val="auto"/>
          <w:highlight w:val="none"/>
        </w:rPr>
        <w:t>（</w:t>
      </w:r>
      <w:r>
        <w:rPr>
          <w:rFonts w:hint="eastAsia"/>
          <w:color w:val="auto"/>
          <w:highlight w:val="none"/>
        </w:rPr>
        <w:t>10</w:t>
      </w:r>
      <w:r>
        <w:rPr>
          <w:color w:val="auto"/>
          <w:highlight w:val="none"/>
        </w:rPr>
        <w:t>）承包人应履行的其他义务：</w:t>
      </w:r>
    </w:p>
    <w:p w14:paraId="2B524DF0">
      <w:pPr>
        <w:spacing w:line="400" w:lineRule="exact"/>
        <w:ind w:firstLine="420" w:firstLineChars="200"/>
        <w:rPr>
          <w:color w:val="auto"/>
          <w:highlight w:val="none"/>
        </w:rPr>
      </w:pPr>
      <w:r>
        <w:rPr>
          <w:rFonts w:hint="eastAsia"/>
          <w:color w:val="auto"/>
          <w:highlight w:val="none"/>
        </w:rPr>
        <w:t xml:space="preserve">①根据发包人委托，承包人在其资质等级和业务允许的范围内，于开工前7日完成准备工作。 </w:t>
      </w:r>
    </w:p>
    <w:p w14:paraId="48DC2131">
      <w:pPr>
        <w:spacing w:line="400" w:lineRule="exact"/>
        <w:ind w:firstLine="420" w:firstLineChars="200"/>
        <w:rPr>
          <w:color w:val="auto"/>
          <w:highlight w:val="none"/>
        </w:rPr>
      </w:pPr>
      <w:r>
        <w:rPr>
          <w:rFonts w:hint="eastAsia"/>
          <w:color w:val="auto"/>
          <w:highlight w:val="none"/>
        </w:rPr>
        <w:t xml:space="preserve">②于开工7日前办完施工期间的临时用房、用水、用电等各项准备工作。并承担相应的费用。 </w:t>
      </w:r>
    </w:p>
    <w:p w14:paraId="0A713E46">
      <w:pPr>
        <w:spacing w:line="400" w:lineRule="exact"/>
        <w:ind w:firstLine="420" w:firstLineChars="200"/>
        <w:rPr>
          <w:color w:val="auto"/>
          <w:highlight w:val="none"/>
        </w:rPr>
      </w:pPr>
      <w:r>
        <w:rPr>
          <w:rFonts w:hint="eastAsia"/>
          <w:color w:val="auto"/>
          <w:highlight w:val="none"/>
        </w:rPr>
        <w:t xml:space="preserve">③采取有效地防护措施，保护项目区原有的地上、地下管线和设施、树木不受损坏。造成损坏的，应恢复原状或给予经济赔偿。 </w:t>
      </w:r>
    </w:p>
    <w:p w14:paraId="3469F39C">
      <w:pPr>
        <w:spacing w:line="400" w:lineRule="exact"/>
        <w:ind w:firstLine="420" w:firstLineChars="200"/>
        <w:rPr>
          <w:color w:val="auto"/>
          <w:highlight w:val="none"/>
        </w:rPr>
      </w:pPr>
      <w:r>
        <w:rPr>
          <w:rFonts w:hint="eastAsia"/>
          <w:color w:val="auto"/>
          <w:highlight w:val="none"/>
        </w:rPr>
        <w:t xml:space="preserve">④向监理工程师报告工程进度计划： </w:t>
      </w:r>
    </w:p>
    <w:p w14:paraId="4D057172">
      <w:pPr>
        <w:spacing w:line="400" w:lineRule="exact"/>
        <w:ind w:firstLine="420" w:firstLineChars="200"/>
        <w:rPr>
          <w:color w:val="auto"/>
          <w:highlight w:val="none"/>
        </w:rPr>
      </w:pPr>
      <w:r>
        <w:rPr>
          <w:rFonts w:hint="eastAsia"/>
          <w:color w:val="auto"/>
          <w:highlight w:val="none"/>
        </w:rPr>
        <w:t xml:space="preserve">⑤施工安全与保卫工作 </w:t>
      </w:r>
    </w:p>
    <w:p w14:paraId="36C00DA5">
      <w:pPr>
        <w:spacing w:line="400" w:lineRule="exact"/>
        <w:ind w:firstLine="420" w:firstLineChars="200"/>
        <w:rPr>
          <w:color w:val="auto"/>
          <w:highlight w:val="none"/>
        </w:rPr>
      </w:pPr>
      <w:r>
        <w:rPr>
          <w:rFonts w:hint="eastAsia"/>
          <w:color w:val="auto"/>
          <w:highlight w:val="none"/>
        </w:rPr>
        <w:t>a.负责项目区内人员及财产安全保卫工作。应遵守工程建设生产安全有关规定，按安全标准组织施工，建立项目区安全保卫制度，安全生产责任制落实到人。采取有效安全防护措施，消除事故隐患。</w:t>
      </w:r>
    </w:p>
    <w:p w14:paraId="11B0F643">
      <w:pPr>
        <w:spacing w:line="400" w:lineRule="exact"/>
        <w:ind w:firstLine="420" w:firstLineChars="200"/>
        <w:rPr>
          <w:color w:val="auto"/>
          <w:highlight w:val="none"/>
        </w:rPr>
      </w:pPr>
      <w:r>
        <w:rPr>
          <w:rFonts w:hint="eastAsia"/>
          <w:color w:val="auto"/>
          <w:highlight w:val="none"/>
        </w:rPr>
        <w:t>b.在动力设备、输电线路、地下管道，易燃易爆地段和道路附近施工，施工前应设立</w:t>
      </w:r>
      <w:r>
        <w:rPr>
          <w:rFonts w:hint="eastAsia" w:eastAsia="宋体"/>
          <w:color w:val="auto"/>
          <w:highlight w:val="none"/>
          <w:lang w:eastAsia="zh-CN"/>
        </w:rPr>
        <w:t>护栏</w:t>
      </w:r>
      <w:r>
        <w:rPr>
          <w:rFonts w:hint="eastAsia"/>
          <w:color w:val="auto"/>
          <w:highlight w:val="none"/>
        </w:rPr>
        <w:t xml:space="preserve">网和明显的警示标志，经监理工程师实地查验认可后方可施工。 </w:t>
      </w:r>
    </w:p>
    <w:p w14:paraId="4E6A156E">
      <w:pPr>
        <w:spacing w:line="400" w:lineRule="exact"/>
        <w:ind w:firstLine="420" w:firstLineChars="200"/>
        <w:rPr>
          <w:color w:val="auto"/>
          <w:highlight w:val="none"/>
        </w:rPr>
      </w:pPr>
      <w:r>
        <w:rPr>
          <w:rFonts w:hint="eastAsia"/>
          <w:color w:val="auto"/>
          <w:highlight w:val="none"/>
        </w:rPr>
        <w:t xml:space="preserve">c.加强对施工人员安全生产教育和培训，教育施工人员严守操作规程，提高施工人员安全防范意识。不准无证人员操作机械和危险作业，防止人员伤亡事故发生。 </w:t>
      </w:r>
    </w:p>
    <w:p w14:paraId="7558281A">
      <w:pPr>
        <w:spacing w:line="400" w:lineRule="exact"/>
        <w:ind w:firstLine="420" w:firstLineChars="200"/>
        <w:rPr>
          <w:color w:val="auto"/>
          <w:highlight w:val="none"/>
        </w:rPr>
      </w:pPr>
      <w:r>
        <w:rPr>
          <w:rFonts w:hint="eastAsia"/>
          <w:color w:val="auto"/>
          <w:highlight w:val="none"/>
        </w:rPr>
        <w:t xml:space="preserve">d.防止无关人员和牲畜进入工作区，发生人、畜伤亡事故发生。 </w:t>
      </w:r>
    </w:p>
    <w:p w14:paraId="2FBB7E7A">
      <w:pPr>
        <w:spacing w:line="400" w:lineRule="exact"/>
        <w:ind w:firstLine="420" w:firstLineChars="200"/>
        <w:rPr>
          <w:color w:val="auto"/>
          <w:highlight w:val="none"/>
        </w:rPr>
      </w:pPr>
      <w:r>
        <w:rPr>
          <w:rFonts w:hint="eastAsia"/>
          <w:color w:val="auto"/>
          <w:highlight w:val="none"/>
        </w:rPr>
        <w:t xml:space="preserve">e.不得在低洼等危险地带设立生活区或存放设备和物资。 </w:t>
      </w:r>
    </w:p>
    <w:p w14:paraId="50187B7E">
      <w:pPr>
        <w:spacing w:line="400" w:lineRule="exact"/>
        <w:ind w:firstLine="420" w:firstLineChars="200"/>
        <w:rPr>
          <w:color w:val="auto"/>
          <w:highlight w:val="none"/>
        </w:rPr>
      </w:pPr>
      <w:r>
        <w:rPr>
          <w:rFonts w:hint="eastAsia"/>
          <w:color w:val="auto"/>
          <w:highlight w:val="none"/>
        </w:rPr>
        <w:t xml:space="preserve">f.发现险情应及时排除，不能排除的应立即向有关部门报告。 </w:t>
      </w:r>
    </w:p>
    <w:p w14:paraId="20D3694E">
      <w:pPr>
        <w:spacing w:line="400" w:lineRule="exact"/>
        <w:ind w:firstLine="420" w:firstLineChars="200"/>
        <w:rPr>
          <w:color w:val="auto"/>
          <w:highlight w:val="none"/>
        </w:rPr>
      </w:pPr>
      <w:r>
        <w:rPr>
          <w:rFonts w:hint="eastAsia"/>
          <w:color w:val="auto"/>
          <w:highlight w:val="none"/>
        </w:rPr>
        <w:t xml:space="preserve">g.发生人员伤亡事故、财产损失，承包人应承担赔偿责任。 </w:t>
      </w:r>
    </w:p>
    <w:p w14:paraId="0616B748">
      <w:pPr>
        <w:spacing w:line="400" w:lineRule="exact"/>
        <w:ind w:firstLine="420" w:firstLineChars="200"/>
        <w:rPr>
          <w:color w:val="auto"/>
          <w:highlight w:val="none"/>
        </w:rPr>
      </w:pPr>
      <w:r>
        <w:rPr>
          <w:rFonts w:hint="eastAsia"/>
          <w:color w:val="auto"/>
          <w:highlight w:val="none"/>
        </w:rPr>
        <w:t xml:space="preserve">⑥工程竣工验收合格后，对施工造成原有的道路、土地等损坏，应恢复原状。不能恢复的，承包人应承担相应的赔偿责任。 </w:t>
      </w:r>
    </w:p>
    <w:p w14:paraId="7A09BEDE">
      <w:pPr>
        <w:spacing w:line="400" w:lineRule="exact"/>
        <w:ind w:firstLine="420" w:firstLineChars="200"/>
        <w:rPr>
          <w:color w:val="auto"/>
          <w:highlight w:val="none"/>
        </w:rPr>
      </w:pPr>
      <w:r>
        <w:rPr>
          <w:rFonts w:hint="eastAsia"/>
          <w:color w:val="auto"/>
          <w:highlight w:val="none"/>
        </w:rPr>
        <w:t xml:space="preserve">⑦负责保护已竣工尚未交付发包人的工程，并承担由此发生的费用。 </w:t>
      </w:r>
    </w:p>
    <w:p w14:paraId="22A75725">
      <w:pPr>
        <w:spacing w:line="400" w:lineRule="exact"/>
        <w:ind w:firstLine="420" w:firstLineChars="200"/>
        <w:rPr>
          <w:color w:val="auto"/>
          <w:highlight w:val="none"/>
        </w:rPr>
      </w:pPr>
      <w:r>
        <w:rPr>
          <w:rFonts w:hint="eastAsia"/>
          <w:color w:val="auto"/>
          <w:highlight w:val="none"/>
        </w:rPr>
        <w:t xml:space="preserve">⑧施工与设计变更 </w:t>
      </w:r>
    </w:p>
    <w:p w14:paraId="1EF5AC1E">
      <w:pPr>
        <w:spacing w:line="400" w:lineRule="exact"/>
        <w:ind w:firstLine="420" w:firstLineChars="200"/>
        <w:rPr>
          <w:color w:val="auto"/>
          <w:highlight w:val="none"/>
        </w:rPr>
      </w:pPr>
      <w:r>
        <w:rPr>
          <w:rFonts w:hint="eastAsia"/>
          <w:color w:val="auto"/>
          <w:highlight w:val="none"/>
        </w:rPr>
        <w:t xml:space="preserve">⑨施工安全保障 </w:t>
      </w:r>
    </w:p>
    <w:p w14:paraId="47E8C28C">
      <w:pPr>
        <w:spacing w:line="400" w:lineRule="exact"/>
        <w:ind w:firstLine="420" w:firstLineChars="200"/>
        <w:rPr>
          <w:color w:val="auto"/>
          <w:highlight w:val="none"/>
        </w:rPr>
      </w:pPr>
      <w:r>
        <w:rPr>
          <w:rFonts w:hint="eastAsia"/>
          <w:color w:val="auto"/>
          <w:highlight w:val="none"/>
        </w:rPr>
        <w:t xml:space="preserve">⑩检查和竣工验收 </w:t>
      </w:r>
    </w:p>
    <w:p w14:paraId="6641EFFB">
      <w:pPr>
        <w:spacing w:line="400" w:lineRule="exact"/>
        <w:ind w:firstLine="420" w:firstLineChars="200"/>
        <w:rPr>
          <w:color w:val="auto"/>
          <w:highlight w:val="none"/>
        </w:rPr>
      </w:pPr>
      <w:r>
        <w:rPr>
          <w:color w:val="auto"/>
          <w:highlight w:val="none"/>
        </w:rPr>
        <w:t>⑪</w:t>
      </w:r>
      <w:r>
        <w:rPr>
          <w:rFonts w:hint="eastAsia"/>
          <w:color w:val="auto"/>
          <w:highlight w:val="none"/>
        </w:rPr>
        <w:t>本项目内输变电工程须按照项目所在地电力行业主管部门要求执行。</w:t>
      </w:r>
    </w:p>
    <w:p w14:paraId="0DB13359">
      <w:pPr>
        <w:pStyle w:val="13"/>
        <w:rPr>
          <w:b/>
          <w:color w:val="auto"/>
          <w:highlight w:val="none"/>
        </w:rPr>
      </w:pPr>
      <w:bookmarkStart w:id="485" w:name="_Toc1146"/>
      <w:bookmarkStart w:id="486" w:name="_Toc256000305"/>
      <w:bookmarkStart w:id="487" w:name="_Toc150947454"/>
      <w:bookmarkStart w:id="488" w:name="_Toc30772"/>
      <w:r>
        <w:rPr>
          <w:b/>
          <w:color w:val="auto"/>
          <w:highlight w:val="none"/>
        </w:rPr>
        <w:t>3.2 项目经理</w:t>
      </w:r>
      <w:bookmarkEnd w:id="485"/>
      <w:bookmarkEnd w:id="486"/>
      <w:bookmarkEnd w:id="487"/>
      <w:bookmarkEnd w:id="488"/>
    </w:p>
    <w:p w14:paraId="23C7011D">
      <w:pPr>
        <w:spacing w:line="400" w:lineRule="exact"/>
        <w:ind w:firstLine="420" w:firstLineChars="200"/>
        <w:rPr>
          <w:color w:val="auto"/>
          <w:highlight w:val="none"/>
        </w:rPr>
      </w:pPr>
      <w:r>
        <w:rPr>
          <w:color w:val="auto"/>
          <w:highlight w:val="none"/>
        </w:rPr>
        <w:t>3.2.1 项目经理：</w:t>
      </w:r>
    </w:p>
    <w:p w14:paraId="5ACA5C4E">
      <w:pPr>
        <w:spacing w:line="400" w:lineRule="exact"/>
        <w:ind w:firstLine="420" w:firstLineChars="200"/>
        <w:rPr>
          <w:color w:val="auto"/>
          <w:highlight w:val="none"/>
        </w:rPr>
      </w:pPr>
      <w:r>
        <w:rPr>
          <w:color w:val="auto"/>
          <w:highlight w:val="none"/>
        </w:rPr>
        <w:t>姓    名：</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32FAE67C">
      <w:pPr>
        <w:spacing w:line="400" w:lineRule="exact"/>
        <w:ind w:firstLine="420" w:firstLineChars="200"/>
        <w:rPr>
          <w:color w:val="auto"/>
          <w:highlight w:val="none"/>
        </w:rPr>
      </w:pPr>
      <w:r>
        <w:rPr>
          <w:color w:val="auto"/>
          <w:highlight w:val="none"/>
        </w:rPr>
        <w:t>身份证号：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3071EB2A">
      <w:pPr>
        <w:spacing w:line="400" w:lineRule="exact"/>
        <w:ind w:firstLine="420" w:firstLineChars="200"/>
        <w:rPr>
          <w:color w:val="auto"/>
          <w:highlight w:val="none"/>
        </w:rPr>
      </w:pPr>
      <w:r>
        <w:rPr>
          <w:color w:val="auto"/>
          <w:highlight w:val="none"/>
        </w:rPr>
        <w:t>建造师执业资格等级：</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45597CC9">
      <w:pPr>
        <w:spacing w:line="400" w:lineRule="exact"/>
        <w:ind w:firstLine="420" w:firstLineChars="200"/>
        <w:rPr>
          <w:color w:val="auto"/>
          <w:highlight w:val="none"/>
        </w:rPr>
      </w:pPr>
      <w:r>
        <w:rPr>
          <w:color w:val="auto"/>
          <w:highlight w:val="none"/>
        </w:rPr>
        <w:t>建造师注册证书号：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5AF24291">
      <w:pPr>
        <w:spacing w:line="400" w:lineRule="exact"/>
        <w:ind w:firstLine="420" w:firstLineChars="200"/>
        <w:rPr>
          <w:color w:val="auto"/>
          <w:highlight w:val="none"/>
        </w:rPr>
      </w:pPr>
      <w:r>
        <w:rPr>
          <w:color w:val="auto"/>
          <w:highlight w:val="none"/>
        </w:rPr>
        <w:t>建造师执业印章号：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7F230125">
      <w:pPr>
        <w:spacing w:line="400" w:lineRule="exact"/>
        <w:ind w:firstLine="420" w:firstLineChars="200"/>
        <w:rPr>
          <w:color w:val="auto"/>
          <w:highlight w:val="none"/>
        </w:rPr>
      </w:pPr>
      <w:r>
        <w:rPr>
          <w:color w:val="auto"/>
          <w:highlight w:val="none"/>
        </w:rPr>
        <w:t>安全生产考核合格证书号：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601035D">
      <w:pPr>
        <w:spacing w:line="400" w:lineRule="exact"/>
        <w:ind w:firstLine="420" w:firstLineChars="200"/>
        <w:rPr>
          <w:color w:val="auto"/>
          <w:highlight w:val="none"/>
        </w:rPr>
      </w:pPr>
      <w:r>
        <w:rPr>
          <w:color w:val="auto"/>
          <w:highlight w:val="none"/>
        </w:rPr>
        <w:t>联系电话：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169A6718">
      <w:pPr>
        <w:spacing w:line="40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3555EA1E">
      <w:pPr>
        <w:spacing w:line="400" w:lineRule="exact"/>
        <w:ind w:firstLine="420" w:firstLineChars="200"/>
        <w:rPr>
          <w:color w:val="auto"/>
          <w:highlight w:val="none"/>
        </w:rPr>
      </w:pPr>
      <w:r>
        <w:rPr>
          <w:color w:val="auto"/>
          <w:highlight w:val="none"/>
        </w:rPr>
        <w:t>通信地址：</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166F4EDB">
      <w:pPr>
        <w:spacing w:line="400" w:lineRule="exact"/>
        <w:ind w:firstLine="420" w:firstLineChars="200"/>
        <w:rPr>
          <w:color w:val="auto"/>
          <w:highlight w:val="none"/>
        </w:rPr>
      </w:pPr>
      <w:r>
        <w:rPr>
          <w:color w:val="auto"/>
          <w:highlight w:val="none"/>
        </w:rPr>
        <w:t>承包人对项目经理的授权范围如下：</w:t>
      </w:r>
      <w:r>
        <w:rPr>
          <w:rFonts w:hint="eastAsia"/>
          <w:color w:val="auto"/>
          <w:highlight w:val="none"/>
          <w:u w:val="single"/>
        </w:rPr>
        <w:t xml:space="preserve">包括但不限于项目施工管理决策、质量验收与评定权、变更与签证管理权、合同解释与争议解决权、沟通与协调职责、文档管理与报告职责、成本控制与预算管理职责、安全与环保监督职责、培训与指导职责、与项目执行相关的其他权力等 </w:t>
      </w:r>
      <w:r>
        <w:rPr>
          <w:color w:val="auto"/>
          <w:highlight w:val="none"/>
        </w:rPr>
        <w:t>。</w:t>
      </w:r>
    </w:p>
    <w:p w14:paraId="076907E8">
      <w:pPr>
        <w:spacing w:line="400" w:lineRule="exact"/>
        <w:ind w:firstLine="420" w:firstLineChars="200"/>
        <w:rPr>
          <w:color w:val="auto"/>
          <w:highlight w:val="none"/>
        </w:rPr>
      </w:pPr>
      <w:r>
        <w:rPr>
          <w:color w:val="auto"/>
          <w:highlight w:val="none"/>
        </w:rPr>
        <w:t>关于项目经理每月在施工现场的时间要求：</w:t>
      </w:r>
      <w:r>
        <w:rPr>
          <w:rFonts w:hint="eastAsia"/>
          <w:color w:val="auto"/>
          <w:highlight w:val="none"/>
          <w:u w:val="single"/>
        </w:rPr>
        <w:t xml:space="preserve">每月在施工现场的有效出勤时间应不少于22天，未经发包人同意，每少一天向发包人支付 5000 元/天的违约金 </w:t>
      </w:r>
      <w:r>
        <w:rPr>
          <w:color w:val="auto"/>
          <w:highlight w:val="none"/>
        </w:rPr>
        <w:t>。</w:t>
      </w:r>
    </w:p>
    <w:p w14:paraId="4CCA1481">
      <w:pPr>
        <w:spacing w:line="400" w:lineRule="exact"/>
        <w:ind w:firstLine="420" w:firstLineChars="200"/>
        <w:rPr>
          <w:color w:val="auto"/>
          <w:highlight w:val="none"/>
        </w:rPr>
      </w:pPr>
      <w:r>
        <w:rPr>
          <w:color w:val="auto"/>
          <w:highlight w:val="none"/>
        </w:rPr>
        <w:t>承包人未提交劳动合同，以及没有为项目经理缴纳社会保险证明的违约责任：</w:t>
      </w:r>
      <w:r>
        <w:rPr>
          <w:rFonts w:hint="eastAsia"/>
          <w:color w:val="auto"/>
          <w:highlight w:val="none"/>
          <w:u w:val="single"/>
        </w:rPr>
        <w:t>承包人在30日内整改，补交劳动合同并为项目经理缴纳社会保险证明，若违约行为严重，发包人有权解除合同，并追究承包人的法律责任，赔偿因违约给发包人带来的经济损失</w:t>
      </w:r>
      <w:r>
        <w:rPr>
          <w:color w:val="auto"/>
          <w:highlight w:val="none"/>
        </w:rPr>
        <w:t>。</w:t>
      </w:r>
    </w:p>
    <w:p w14:paraId="7CB008E9">
      <w:pPr>
        <w:spacing w:line="400" w:lineRule="exact"/>
        <w:ind w:firstLine="420" w:firstLineChars="200"/>
        <w:rPr>
          <w:color w:val="auto"/>
          <w:highlight w:val="none"/>
        </w:rPr>
      </w:pPr>
      <w:r>
        <w:rPr>
          <w:color w:val="auto"/>
          <w:highlight w:val="none"/>
        </w:rPr>
        <w:t>项目经理未经批准，擅自离开施工现场的违约责任：</w:t>
      </w:r>
      <w:r>
        <w:rPr>
          <w:rFonts w:hint="eastAsia"/>
          <w:color w:val="auto"/>
          <w:highlight w:val="none"/>
          <w:u w:val="single"/>
        </w:rPr>
        <w:t>每次擅自离开施工现场，项目经理或承包人向发包人支付每次5000元违约金；擅自离岗可能导致项目管理不到位，影响工程进度和质量，承包人需承担由此产生的损失；若违约行为严重，发包人有权解除合同，并追究承包人的法律责任</w:t>
      </w:r>
      <w:r>
        <w:rPr>
          <w:color w:val="auto"/>
          <w:highlight w:val="none"/>
        </w:rPr>
        <w:t>。</w:t>
      </w:r>
    </w:p>
    <w:p w14:paraId="2234766E">
      <w:pPr>
        <w:spacing w:line="400" w:lineRule="exact"/>
        <w:ind w:firstLine="420" w:firstLineChars="200"/>
        <w:rPr>
          <w:color w:val="auto"/>
          <w:highlight w:val="none"/>
        </w:rPr>
      </w:pPr>
      <w:r>
        <w:rPr>
          <w:color w:val="auto"/>
          <w:highlight w:val="none"/>
        </w:rPr>
        <w:t>3.2.3 承包人擅自更换项目经理的违约责任：</w:t>
      </w:r>
      <w:r>
        <w:rPr>
          <w:rFonts w:hint="eastAsia"/>
          <w:color w:val="auto"/>
          <w:highlight w:val="none"/>
          <w:u w:val="single"/>
        </w:rPr>
        <w:t xml:space="preserve">承包人需向发包人支付10万元/次的违约金；发包人有权解除合同，并要求承包人承担由此产生的损失；承包人需赔偿因擅自更换项目经理给发包人造成的全部经济损失 </w:t>
      </w:r>
      <w:r>
        <w:rPr>
          <w:color w:val="auto"/>
          <w:highlight w:val="none"/>
        </w:rPr>
        <w:t>。</w:t>
      </w:r>
    </w:p>
    <w:p w14:paraId="70CEC2A5">
      <w:pPr>
        <w:spacing w:line="400" w:lineRule="exact"/>
        <w:ind w:firstLine="420" w:firstLineChars="200"/>
        <w:rPr>
          <w:color w:val="auto"/>
          <w:highlight w:val="none"/>
        </w:rPr>
      </w:pPr>
      <w:r>
        <w:rPr>
          <w:color w:val="auto"/>
          <w:highlight w:val="none"/>
        </w:rPr>
        <w:t>3.2.4 承包人无正当理由拒绝更换项目经理的违约责任：</w:t>
      </w:r>
      <w:r>
        <w:rPr>
          <w:rFonts w:hint="eastAsia"/>
          <w:color w:val="auto"/>
          <w:highlight w:val="none"/>
          <w:u w:val="single"/>
        </w:rPr>
        <w:t>承包人需向发包人支付10万元/次的违约金，承包人需在规定期限内撤换项目经理，并确保项目经理常驻工地；发包人有权解除合同，并要求承包人承担由此产生的损失；承包人需赔偿因拒绝撤换项目经理给发包人造成的全部经济损失</w:t>
      </w:r>
      <w:r>
        <w:rPr>
          <w:color w:val="auto"/>
          <w:highlight w:val="none"/>
        </w:rPr>
        <w:t>。</w:t>
      </w:r>
    </w:p>
    <w:p w14:paraId="262C6FFC">
      <w:pPr>
        <w:pStyle w:val="13"/>
        <w:rPr>
          <w:b/>
          <w:color w:val="auto"/>
          <w:highlight w:val="none"/>
        </w:rPr>
      </w:pPr>
      <w:bookmarkStart w:id="489" w:name="_Toc8698"/>
      <w:bookmarkStart w:id="490" w:name="_Toc150947455"/>
      <w:bookmarkStart w:id="491" w:name="_Toc13177"/>
      <w:bookmarkStart w:id="492" w:name="_Toc256000306"/>
      <w:r>
        <w:rPr>
          <w:b/>
          <w:color w:val="auto"/>
          <w:highlight w:val="none"/>
        </w:rPr>
        <w:t>3.3 承包人人员</w:t>
      </w:r>
      <w:bookmarkEnd w:id="489"/>
      <w:bookmarkEnd w:id="490"/>
      <w:bookmarkEnd w:id="491"/>
      <w:bookmarkEnd w:id="492"/>
    </w:p>
    <w:p w14:paraId="61DCB1B3">
      <w:pPr>
        <w:spacing w:line="400" w:lineRule="exact"/>
        <w:ind w:firstLine="420" w:firstLineChars="200"/>
        <w:rPr>
          <w:color w:val="auto"/>
          <w:highlight w:val="none"/>
        </w:rPr>
      </w:pPr>
      <w:r>
        <w:rPr>
          <w:color w:val="auto"/>
          <w:highlight w:val="none"/>
        </w:rPr>
        <w:t>3.3.1 承包人提交项目管理机构及施工现场管理人员安排报告的期限：</w:t>
      </w:r>
      <w:r>
        <w:rPr>
          <w:rFonts w:hint="eastAsia"/>
          <w:color w:val="auto"/>
          <w:highlight w:val="none"/>
          <w:u w:val="single"/>
        </w:rPr>
        <w:t>执行通用合同条款</w:t>
      </w:r>
      <w:r>
        <w:rPr>
          <w:color w:val="auto"/>
          <w:highlight w:val="none"/>
        </w:rPr>
        <w:t>。</w:t>
      </w:r>
    </w:p>
    <w:p w14:paraId="221EA0F4">
      <w:pPr>
        <w:spacing w:line="400" w:lineRule="exact"/>
        <w:ind w:firstLine="420" w:firstLineChars="200"/>
        <w:rPr>
          <w:color w:val="auto"/>
          <w:highlight w:val="none"/>
        </w:rPr>
      </w:pPr>
      <w:r>
        <w:rPr>
          <w:color w:val="auto"/>
          <w:highlight w:val="none"/>
        </w:rPr>
        <w:t>3.3.3 承包人无正当理由拒绝撤换主要施工管理人员的违约责任：</w:t>
      </w:r>
    </w:p>
    <w:p w14:paraId="736512E0">
      <w:pPr>
        <w:spacing w:line="400" w:lineRule="exact"/>
        <w:ind w:firstLine="420" w:firstLineChars="200"/>
        <w:rPr>
          <w:color w:val="auto"/>
          <w:highlight w:val="none"/>
        </w:rPr>
      </w:pPr>
      <w:r>
        <w:rPr>
          <w:rFonts w:hint="eastAsia"/>
          <w:color w:val="auto"/>
          <w:highlight w:val="none"/>
          <w:u w:val="single"/>
        </w:rPr>
        <w:t>承包人需向发包人支付10万元/人/次的违约金，承包人需在规定期限内撤换相关人员，并确保相关人员常驻工地；发包人有权解除合同，并要求承包人承担由此产生的损失；承包人需赔偿因拒绝撤换相关人员给发包人造成的全部经济损失</w:t>
      </w:r>
      <w:r>
        <w:rPr>
          <w:color w:val="auto"/>
          <w:highlight w:val="none"/>
        </w:rPr>
        <w:t>。</w:t>
      </w:r>
    </w:p>
    <w:p w14:paraId="46383FB5">
      <w:pPr>
        <w:spacing w:line="400" w:lineRule="exact"/>
        <w:ind w:firstLine="420" w:firstLineChars="200"/>
        <w:rPr>
          <w:color w:val="auto"/>
          <w:highlight w:val="none"/>
        </w:rPr>
      </w:pPr>
      <w:r>
        <w:rPr>
          <w:color w:val="auto"/>
          <w:highlight w:val="none"/>
        </w:rPr>
        <w:t>3.3.4 承包人主要施工管理人员离开施工现场的批准要求：</w:t>
      </w:r>
      <w:r>
        <w:rPr>
          <w:rFonts w:hint="eastAsia"/>
          <w:color w:val="auto"/>
          <w:highlight w:val="none"/>
          <w:u w:val="single"/>
        </w:rPr>
        <w:t>执行通用合同条款</w:t>
      </w:r>
      <w:r>
        <w:rPr>
          <w:color w:val="auto"/>
          <w:highlight w:val="none"/>
        </w:rPr>
        <w:t>。</w:t>
      </w:r>
    </w:p>
    <w:p w14:paraId="385D4686">
      <w:pPr>
        <w:spacing w:line="400" w:lineRule="exact"/>
        <w:ind w:firstLine="420" w:firstLineChars="200"/>
        <w:rPr>
          <w:color w:val="auto"/>
          <w:highlight w:val="none"/>
        </w:rPr>
      </w:pPr>
      <w:r>
        <w:rPr>
          <w:color w:val="auto"/>
          <w:highlight w:val="none"/>
        </w:rPr>
        <w:t>3.3.5承包人擅自更换主要施工管理人员的违约责任：</w:t>
      </w:r>
      <w:r>
        <w:rPr>
          <w:rFonts w:hint="eastAsia"/>
          <w:color w:val="auto"/>
          <w:highlight w:val="none"/>
          <w:u w:val="single"/>
        </w:rPr>
        <w:t xml:space="preserve">承包人需向发包人支付10万元/人/次的违约金；发包人有权解除合同，并要求承包人承担由此产生的损失；承包人需赔偿因擅自更换相关人员给发包人造成的全部经济损失 </w:t>
      </w:r>
      <w:r>
        <w:rPr>
          <w:color w:val="auto"/>
          <w:highlight w:val="none"/>
        </w:rPr>
        <w:t xml:space="preserve"> 。</w:t>
      </w:r>
    </w:p>
    <w:p w14:paraId="70C6C054">
      <w:pPr>
        <w:spacing w:line="400" w:lineRule="exact"/>
        <w:ind w:firstLine="420" w:firstLineChars="200"/>
        <w:rPr>
          <w:color w:val="auto"/>
          <w:highlight w:val="none"/>
        </w:rPr>
      </w:pPr>
      <w:r>
        <w:rPr>
          <w:color w:val="auto"/>
          <w:highlight w:val="none"/>
        </w:rPr>
        <w:t>承包人主要施工管理人员擅自离开施工现场的违约责任：</w:t>
      </w:r>
      <w:r>
        <w:rPr>
          <w:rFonts w:hint="eastAsia"/>
          <w:color w:val="auto"/>
          <w:highlight w:val="none"/>
          <w:u w:val="single"/>
        </w:rPr>
        <w:t>擅自离开施工现场，相关人员或承包人向发包人支付5000元/人/次的违约金；擅自离岗可能导致项目管理不到位，影响工程进度和质量，承包人需承担由此产生的损失；若违约行为严重，发包人有权解除合同，并追究承包人的法律责任</w:t>
      </w:r>
      <w:r>
        <w:rPr>
          <w:color w:val="auto"/>
          <w:highlight w:val="none"/>
          <w:u w:val="single"/>
        </w:rPr>
        <w:t xml:space="preserve"> </w:t>
      </w:r>
      <w:r>
        <w:rPr>
          <w:color w:val="auto"/>
          <w:highlight w:val="none"/>
        </w:rPr>
        <w:t>。</w:t>
      </w:r>
    </w:p>
    <w:p w14:paraId="0BC70E57">
      <w:pPr>
        <w:pStyle w:val="13"/>
        <w:rPr>
          <w:b/>
          <w:color w:val="auto"/>
          <w:highlight w:val="none"/>
        </w:rPr>
      </w:pPr>
      <w:bookmarkStart w:id="493" w:name="_Toc256000307"/>
      <w:bookmarkStart w:id="494" w:name="_Toc31751"/>
      <w:bookmarkStart w:id="495" w:name="_Toc150947456"/>
      <w:bookmarkStart w:id="496" w:name="_Toc30096"/>
      <w:r>
        <w:rPr>
          <w:b/>
          <w:color w:val="auto"/>
          <w:highlight w:val="none"/>
        </w:rPr>
        <w:t>3</w:t>
      </w:r>
      <w:bookmarkStart w:id="497" w:name="_Toc296347158"/>
      <w:bookmarkStart w:id="498" w:name="_Toc297048345"/>
      <w:bookmarkStart w:id="499" w:name="_Toc296503159"/>
      <w:bookmarkStart w:id="500" w:name="_Toc297216151"/>
      <w:bookmarkStart w:id="501" w:name="_Toc303539102"/>
      <w:bookmarkStart w:id="502" w:name="_Toc296346660"/>
      <w:bookmarkStart w:id="503" w:name="_Toc312677988"/>
      <w:bookmarkStart w:id="504" w:name="_Toc296890987"/>
      <w:bookmarkStart w:id="505" w:name="_Toc300934945"/>
      <w:bookmarkStart w:id="506" w:name="_Toc297120459"/>
      <w:bookmarkStart w:id="507" w:name="_Toc292559869"/>
      <w:bookmarkStart w:id="508" w:name="_Toc304295523"/>
      <w:bookmarkStart w:id="509" w:name="_Toc292559364"/>
      <w:bookmarkStart w:id="510" w:name="_Toc296944498"/>
      <w:bookmarkStart w:id="511" w:name="_Toc296891199"/>
      <w:bookmarkStart w:id="512" w:name="_Toc297123492"/>
      <w:r>
        <w:rPr>
          <w:b/>
          <w:color w:val="auto"/>
          <w:highlight w:val="none"/>
        </w:rPr>
        <w:t>.5 分包</w:t>
      </w:r>
      <w:bookmarkEnd w:id="493"/>
      <w:bookmarkEnd w:id="494"/>
      <w:bookmarkEnd w:id="495"/>
      <w:bookmarkEnd w:id="496"/>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054AA066">
      <w:pPr>
        <w:spacing w:line="400" w:lineRule="exact"/>
        <w:ind w:firstLine="420" w:firstLineChars="200"/>
        <w:rPr>
          <w:rFonts w:hint="default" w:eastAsia="宋体"/>
          <w:color w:val="auto"/>
          <w:highlight w:val="none"/>
          <w:lang w:val="en-US" w:eastAsia="zh-CN"/>
        </w:rPr>
      </w:pPr>
      <w:r>
        <w:rPr>
          <w:color w:val="auto"/>
          <w:highlight w:val="none"/>
        </w:rPr>
        <w:t>3</w:t>
      </w:r>
      <w:bookmarkStart w:id="513" w:name="_Toc304295524"/>
      <w:bookmarkStart w:id="514" w:name="_Toc296891200"/>
      <w:bookmarkStart w:id="515" w:name="_Toc292559365"/>
      <w:bookmarkStart w:id="516" w:name="_Toc312677989"/>
      <w:bookmarkStart w:id="517" w:name="_Toc297123493"/>
      <w:bookmarkStart w:id="518" w:name="_Toc297120460"/>
      <w:bookmarkStart w:id="519" w:name="_Toc300934946"/>
      <w:bookmarkStart w:id="520" w:name="_Toc296503160"/>
      <w:bookmarkStart w:id="521" w:name="_Toc318581158"/>
      <w:bookmarkStart w:id="522" w:name="_Toc297216152"/>
      <w:bookmarkStart w:id="523" w:name="_Toc296890988"/>
      <w:bookmarkStart w:id="524" w:name="_Toc292559870"/>
      <w:bookmarkStart w:id="525" w:name="_Toc296347159"/>
      <w:bookmarkStart w:id="526" w:name="_Toc296346661"/>
      <w:bookmarkStart w:id="527" w:name="_Toc297048346"/>
      <w:bookmarkStart w:id="528" w:name="_Toc303539103"/>
      <w:bookmarkStart w:id="529" w:name="_Toc296944499"/>
      <w:r>
        <w:rPr>
          <w:color w:val="auto"/>
          <w:highlight w:val="none"/>
        </w:rPr>
        <w:t>.5.1 分包的一般约定</w:t>
      </w:r>
      <w:r>
        <w:rPr>
          <w:rFonts w:hint="eastAsia" w:eastAsia="宋体"/>
          <w:color w:val="auto"/>
          <w:highlight w:val="none"/>
          <w:lang w:eastAsia="zh-CN"/>
        </w:rPr>
        <w:t>：</w:t>
      </w:r>
      <w:r>
        <w:rPr>
          <w:rFonts w:hint="eastAsia" w:eastAsia="宋体"/>
          <w:color w:val="auto"/>
          <w:highlight w:val="none"/>
          <w:lang w:val="en-US" w:eastAsia="zh-CN"/>
        </w:rPr>
        <w:t>本项目不允许分包。</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44C01D3A">
      <w:pPr>
        <w:pStyle w:val="13"/>
        <w:rPr>
          <w:b/>
          <w:color w:val="auto"/>
          <w:highlight w:val="none"/>
        </w:rPr>
      </w:pPr>
      <w:bookmarkStart w:id="530" w:name="_Toc31718"/>
      <w:bookmarkStart w:id="531" w:name="_Toc26887"/>
      <w:bookmarkStart w:id="532" w:name="_Toc150947457"/>
      <w:bookmarkStart w:id="533" w:name="_Toc256000308"/>
      <w:r>
        <w:rPr>
          <w:b/>
          <w:color w:val="auto"/>
          <w:highlight w:val="none"/>
        </w:rPr>
        <w:t>3.6 工程照管与成品、半成品保护</w:t>
      </w:r>
      <w:bookmarkEnd w:id="530"/>
      <w:bookmarkEnd w:id="531"/>
      <w:bookmarkEnd w:id="532"/>
      <w:bookmarkEnd w:id="533"/>
    </w:p>
    <w:p w14:paraId="20C0DFAF">
      <w:pPr>
        <w:spacing w:line="400" w:lineRule="exact"/>
        <w:ind w:firstLine="420" w:firstLineChars="200"/>
        <w:rPr>
          <w:color w:val="auto"/>
          <w:highlight w:val="none"/>
        </w:rPr>
      </w:pPr>
      <w:r>
        <w:rPr>
          <w:color w:val="auto"/>
          <w:highlight w:val="none"/>
        </w:rPr>
        <w:t>承包人负责照管工程及工程相关的材料、工程设备的起始时间：</w:t>
      </w:r>
      <w:r>
        <w:rPr>
          <w:rFonts w:hint="eastAsia"/>
          <w:color w:val="auto"/>
          <w:highlight w:val="none"/>
          <w:u w:val="single"/>
        </w:rPr>
        <w:t>执行通用合同条款</w:t>
      </w:r>
      <w:r>
        <w:rPr>
          <w:color w:val="auto"/>
          <w:highlight w:val="none"/>
        </w:rPr>
        <w:t>。</w:t>
      </w:r>
    </w:p>
    <w:p w14:paraId="603F10B2">
      <w:pPr>
        <w:pStyle w:val="13"/>
        <w:rPr>
          <w:b/>
          <w:color w:val="auto"/>
          <w:highlight w:val="none"/>
        </w:rPr>
      </w:pPr>
      <w:bookmarkStart w:id="534" w:name="_Toc8485"/>
      <w:bookmarkStart w:id="535" w:name="_Toc256000309"/>
      <w:bookmarkStart w:id="536" w:name="_Toc24861"/>
      <w:bookmarkStart w:id="537" w:name="_Toc150947458"/>
      <w:r>
        <w:rPr>
          <w:b/>
          <w:color w:val="auto"/>
          <w:highlight w:val="none"/>
        </w:rPr>
        <w:t>3.7 履约担保</w:t>
      </w:r>
      <w:bookmarkEnd w:id="534"/>
      <w:bookmarkEnd w:id="535"/>
      <w:bookmarkEnd w:id="536"/>
      <w:bookmarkEnd w:id="537"/>
    </w:p>
    <w:p w14:paraId="73699FF7">
      <w:pPr>
        <w:spacing w:line="400" w:lineRule="exact"/>
        <w:ind w:firstLine="420" w:firstLineChars="200"/>
        <w:rPr>
          <w:color w:val="auto"/>
          <w:highlight w:val="none"/>
        </w:rPr>
      </w:pPr>
      <w:r>
        <w:rPr>
          <w:rFonts w:hint="eastAsia"/>
          <w:color w:val="auto"/>
          <w:highlight w:val="none"/>
        </w:rPr>
        <w:t>承包人是否提供履约担保：</w:t>
      </w:r>
      <w:r>
        <w:rPr>
          <w:rFonts w:hint="eastAsia"/>
          <w:color w:val="auto"/>
          <w:highlight w:val="none"/>
          <w:u w:val="single"/>
        </w:rPr>
        <w:t xml:space="preserve">    </w:t>
      </w:r>
      <w:r>
        <w:rPr>
          <w:rFonts w:hint="eastAsia" w:eastAsia="宋体"/>
          <w:color w:val="auto"/>
          <w:highlight w:val="none"/>
          <w:u w:val="single"/>
          <w:lang w:val="en-US" w:eastAsia="zh-CN"/>
        </w:rPr>
        <w:t>否</w:t>
      </w:r>
      <w:r>
        <w:rPr>
          <w:rFonts w:hint="eastAsia"/>
          <w:color w:val="auto"/>
          <w:highlight w:val="none"/>
          <w:u w:val="single"/>
        </w:rPr>
        <w:t xml:space="preserve">     </w:t>
      </w:r>
      <w:r>
        <w:rPr>
          <w:color w:val="auto"/>
          <w:highlight w:val="none"/>
        </w:rPr>
        <w:t>。</w:t>
      </w:r>
    </w:p>
    <w:p w14:paraId="4EF23ED7">
      <w:pPr>
        <w:pStyle w:val="12"/>
        <w:rPr>
          <w:b/>
          <w:color w:val="auto"/>
          <w:highlight w:val="none"/>
        </w:rPr>
      </w:pPr>
      <w:bookmarkStart w:id="538" w:name="_Toc5637"/>
      <w:bookmarkStart w:id="539" w:name="_Toc256000310"/>
      <w:bookmarkStart w:id="540" w:name="_Toc150947459"/>
      <w:bookmarkStart w:id="541" w:name="_Toc351203636"/>
      <w:r>
        <w:rPr>
          <w:b/>
          <w:color w:val="auto"/>
          <w:highlight w:val="none"/>
        </w:rPr>
        <w:t>4</w:t>
      </w:r>
      <w:bookmarkStart w:id="542" w:name="_Toc297048348"/>
      <w:bookmarkStart w:id="543" w:name="_Toc296503162"/>
      <w:bookmarkStart w:id="544" w:name="_Toc292559871"/>
      <w:bookmarkStart w:id="545" w:name="_Toc292559366"/>
      <w:bookmarkStart w:id="546" w:name="_Toc296891202"/>
      <w:bookmarkStart w:id="547" w:name="_Toc297120462"/>
      <w:bookmarkStart w:id="548" w:name="_Toc267251413"/>
      <w:bookmarkStart w:id="549" w:name="_Toc296347161"/>
      <w:bookmarkStart w:id="550" w:name="_Toc296944501"/>
      <w:bookmarkStart w:id="551" w:name="_Toc296890990"/>
      <w:bookmarkStart w:id="552" w:name="_Toc296346663"/>
      <w:r>
        <w:rPr>
          <w:b/>
          <w:color w:val="auto"/>
          <w:highlight w:val="none"/>
        </w:rPr>
        <w:t>. 监</w:t>
      </w:r>
      <w:bookmarkEnd w:id="542"/>
      <w:bookmarkEnd w:id="543"/>
      <w:bookmarkEnd w:id="544"/>
      <w:bookmarkEnd w:id="545"/>
      <w:bookmarkEnd w:id="546"/>
      <w:bookmarkEnd w:id="547"/>
      <w:bookmarkEnd w:id="548"/>
      <w:bookmarkEnd w:id="549"/>
      <w:bookmarkEnd w:id="550"/>
      <w:bookmarkEnd w:id="551"/>
      <w:bookmarkEnd w:id="552"/>
      <w:r>
        <w:rPr>
          <w:b/>
          <w:color w:val="auto"/>
          <w:highlight w:val="none"/>
        </w:rPr>
        <w:t>理人</w:t>
      </w:r>
      <w:bookmarkEnd w:id="538"/>
      <w:bookmarkEnd w:id="539"/>
      <w:bookmarkEnd w:id="540"/>
      <w:bookmarkEnd w:id="541"/>
    </w:p>
    <w:p w14:paraId="1D75E41F">
      <w:pPr>
        <w:pStyle w:val="13"/>
        <w:rPr>
          <w:b/>
          <w:color w:val="auto"/>
          <w:highlight w:val="none"/>
        </w:rPr>
      </w:pPr>
      <w:bookmarkStart w:id="553" w:name="_Toc256000311"/>
      <w:bookmarkStart w:id="554" w:name="_Toc16223"/>
      <w:bookmarkStart w:id="555" w:name="_Toc20472"/>
      <w:bookmarkStart w:id="556" w:name="_Toc150947460"/>
      <w:r>
        <w:rPr>
          <w:b/>
          <w:color w:val="auto"/>
          <w:highlight w:val="none"/>
        </w:rPr>
        <w:t>4.1监理人的一般规定</w:t>
      </w:r>
      <w:bookmarkEnd w:id="553"/>
      <w:bookmarkEnd w:id="554"/>
      <w:bookmarkEnd w:id="555"/>
      <w:bookmarkEnd w:id="556"/>
    </w:p>
    <w:p w14:paraId="0239009B">
      <w:pPr>
        <w:spacing w:line="400" w:lineRule="exact"/>
        <w:ind w:firstLine="420" w:firstLineChars="200"/>
        <w:rPr>
          <w:color w:val="auto"/>
          <w:highlight w:val="none"/>
        </w:rPr>
      </w:pPr>
      <w:r>
        <w:rPr>
          <w:rFonts w:hint="eastAsia"/>
          <w:color w:val="auto"/>
          <w:highlight w:val="none"/>
        </w:rPr>
        <w:t>关于监理人的监理内容：</w:t>
      </w:r>
      <w:r>
        <w:rPr>
          <w:rFonts w:hint="eastAsia"/>
          <w:color w:val="auto"/>
          <w:highlight w:val="none"/>
          <w:u w:val="single"/>
        </w:rPr>
        <w:t>包括但不限于工程质量控制（施工准备阶段质量控制、施工过程质量控制、工程竣工验收阶段质量控制）、工程进度控制（进度计划审核、进度计划实施监督、进度计划调整）、工程投资控制（工程计量审核、工程价款支付审核、投资控制分析）、合同管理（合同签订协助、合同执行监督、合同变更与索赔管理）、信息管理（信息收集与整理、信息传递与沟通、信息存储与利用）、组织协调（参建单位间协调、与政府部门及周边关系协调）、安全管理与环境保护、竣工验收与后期服务等</w:t>
      </w:r>
      <w:r>
        <w:rPr>
          <w:rFonts w:hint="eastAsia"/>
          <w:color w:val="auto"/>
          <w:highlight w:val="none"/>
        </w:rPr>
        <w:t>。</w:t>
      </w:r>
    </w:p>
    <w:p w14:paraId="084CD4CC">
      <w:pPr>
        <w:spacing w:line="400" w:lineRule="exact"/>
        <w:ind w:firstLine="420" w:firstLineChars="200"/>
        <w:rPr>
          <w:color w:val="auto"/>
          <w:highlight w:val="none"/>
        </w:rPr>
      </w:pPr>
      <w:r>
        <w:rPr>
          <w:color w:val="auto"/>
          <w:highlight w:val="none"/>
        </w:rPr>
        <w:t>关于监理人的监理权限：</w:t>
      </w:r>
      <w:r>
        <w:rPr>
          <w:rFonts w:hint="eastAsia"/>
          <w:color w:val="auto"/>
          <w:highlight w:val="none"/>
          <w:u w:val="single"/>
        </w:rPr>
        <w:t>发布改变承包人施工作业时间和顺序的指令；对工程的质量、工期、费用实施监督控制</w:t>
      </w:r>
      <w:r>
        <w:rPr>
          <w:color w:val="auto"/>
          <w:highlight w:val="none"/>
        </w:rPr>
        <w:t>。</w:t>
      </w:r>
    </w:p>
    <w:p w14:paraId="1CCE31CC">
      <w:pPr>
        <w:spacing w:line="400" w:lineRule="exact"/>
        <w:ind w:firstLine="420" w:firstLineChars="200"/>
        <w:rPr>
          <w:color w:val="auto"/>
          <w:highlight w:val="none"/>
        </w:rPr>
      </w:pPr>
      <w:r>
        <w:rPr>
          <w:color w:val="auto"/>
          <w:highlight w:val="none"/>
        </w:rPr>
        <w:t>关于监理人在施工现场的办公场所、生活场所的提供和费用承担的约定：</w:t>
      </w:r>
      <w:r>
        <w:rPr>
          <w:rFonts w:hint="eastAsia"/>
          <w:color w:val="auto"/>
          <w:highlight w:val="none"/>
          <w:u w:val="single"/>
        </w:rPr>
        <w:t>执行通用合同条款</w:t>
      </w:r>
      <w:r>
        <w:rPr>
          <w:color w:val="auto"/>
          <w:highlight w:val="none"/>
        </w:rPr>
        <w:t>。</w:t>
      </w:r>
    </w:p>
    <w:p w14:paraId="0DD26CE0">
      <w:pPr>
        <w:pStyle w:val="13"/>
        <w:rPr>
          <w:b/>
          <w:color w:val="auto"/>
          <w:highlight w:val="none"/>
        </w:rPr>
      </w:pPr>
      <w:bookmarkStart w:id="557" w:name="_Toc256000312"/>
      <w:bookmarkStart w:id="558" w:name="_Toc17686"/>
      <w:bookmarkStart w:id="559" w:name="_Toc11923"/>
      <w:bookmarkStart w:id="560" w:name="_Toc150947461"/>
      <w:r>
        <w:rPr>
          <w:b/>
          <w:color w:val="auto"/>
          <w:highlight w:val="none"/>
        </w:rPr>
        <w:t>4.2 监理人员</w:t>
      </w:r>
      <w:bookmarkEnd w:id="557"/>
      <w:bookmarkEnd w:id="558"/>
      <w:bookmarkEnd w:id="559"/>
      <w:bookmarkEnd w:id="560"/>
    </w:p>
    <w:p w14:paraId="152F4BF7">
      <w:pPr>
        <w:spacing w:line="400" w:lineRule="exact"/>
        <w:ind w:firstLine="420" w:firstLineChars="200"/>
        <w:rPr>
          <w:color w:val="auto"/>
          <w:highlight w:val="none"/>
        </w:rPr>
      </w:pPr>
      <w:r>
        <w:rPr>
          <w:color w:val="auto"/>
          <w:highlight w:val="none"/>
        </w:rPr>
        <w:t>总监理工程师：</w:t>
      </w:r>
    </w:p>
    <w:p w14:paraId="73FCD4EE">
      <w:pPr>
        <w:spacing w:line="400" w:lineRule="exact"/>
        <w:ind w:firstLine="420" w:firstLineChars="200"/>
        <w:rPr>
          <w:color w:val="auto"/>
          <w:highlight w:val="none"/>
        </w:rPr>
      </w:pPr>
      <w:r>
        <w:rPr>
          <w:color w:val="auto"/>
          <w:highlight w:val="none"/>
        </w:rPr>
        <w:t>姓    名：</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29ED9429">
      <w:pPr>
        <w:spacing w:line="400" w:lineRule="exact"/>
        <w:ind w:firstLine="420" w:firstLineChars="200"/>
        <w:rPr>
          <w:color w:val="auto"/>
          <w:highlight w:val="none"/>
        </w:rPr>
      </w:pPr>
      <w:r>
        <w:rPr>
          <w:color w:val="auto"/>
          <w:highlight w:val="none"/>
        </w:rPr>
        <w:t>职    务：</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3739764B">
      <w:pPr>
        <w:spacing w:line="400" w:lineRule="exact"/>
        <w:ind w:firstLine="420" w:firstLineChars="200"/>
        <w:rPr>
          <w:color w:val="auto"/>
          <w:highlight w:val="none"/>
        </w:rPr>
      </w:pPr>
      <w:r>
        <w:rPr>
          <w:color w:val="auto"/>
          <w:highlight w:val="none"/>
        </w:rPr>
        <w:t>监理工程师执业资格证书号：</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06199C80">
      <w:pPr>
        <w:spacing w:line="400" w:lineRule="exact"/>
        <w:ind w:firstLine="420" w:firstLineChars="200"/>
        <w:rPr>
          <w:color w:val="auto"/>
          <w:highlight w:val="none"/>
        </w:rPr>
      </w:pPr>
      <w:r>
        <w:rPr>
          <w:color w:val="auto"/>
          <w:highlight w:val="none"/>
        </w:rPr>
        <w:t>联系电话：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121FE693">
      <w:pPr>
        <w:spacing w:line="400" w:lineRule="exact"/>
        <w:ind w:firstLine="420" w:firstLineChars="200"/>
        <w:rPr>
          <w:color w:val="auto"/>
          <w:highlight w:val="none"/>
        </w:rPr>
      </w:pPr>
      <w:r>
        <w:rPr>
          <w:color w:val="auto"/>
          <w:highlight w:val="none"/>
        </w:rPr>
        <w:t>电子信箱：</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50B0CCFD">
      <w:pPr>
        <w:spacing w:line="400" w:lineRule="exact"/>
        <w:ind w:firstLine="420" w:firstLineChars="200"/>
        <w:rPr>
          <w:color w:val="auto"/>
          <w:highlight w:val="none"/>
        </w:rPr>
      </w:pPr>
      <w:r>
        <w:rPr>
          <w:color w:val="auto"/>
          <w:highlight w:val="none"/>
        </w:rPr>
        <w:t>通信地址：</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w:t>
      </w:r>
    </w:p>
    <w:p w14:paraId="4FC48425">
      <w:pPr>
        <w:spacing w:line="400" w:lineRule="exact"/>
        <w:ind w:firstLine="420" w:firstLineChars="200"/>
        <w:rPr>
          <w:color w:val="auto"/>
          <w:highlight w:val="none"/>
        </w:rPr>
      </w:pPr>
      <w:r>
        <w:rPr>
          <w:color w:val="auto"/>
          <w:highlight w:val="none"/>
        </w:rPr>
        <w:t>关于监理人的其他约定：</w:t>
      </w:r>
      <w:r>
        <w:rPr>
          <w:rFonts w:hint="eastAsia"/>
          <w:color w:val="auto"/>
          <w:highlight w:val="none"/>
          <w:u w:val="single"/>
        </w:rPr>
        <w:t>发包人委托授权：监理单位和监理工程师依据监理合同，按照设计图纸和招、投标文件及该项目所涉及的相关行业标准、规范，在施工阶段及所限责任期（保修期）实施监理职权</w:t>
      </w:r>
      <w:r>
        <w:rPr>
          <w:rFonts w:hint="eastAsia"/>
          <w:color w:val="auto"/>
          <w:highlight w:val="none"/>
        </w:rPr>
        <w:t>。</w:t>
      </w:r>
    </w:p>
    <w:p w14:paraId="799E5AF1">
      <w:pPr>
        <w:pStyle w:val="13"/>
        <w:rPr>
          <w:b/>
          <w:color w:val="auto"/>
          <w:highlight w:val="none"/>
        </w:rPr>
      </w:pPr>
      <w:bookmarkStart w:id="561" w:name="_Toc30410"/>
      <w:bookmarkStart w:id="562" w:name="_Toc5322"/>
      <w:bookmarkStart w:id="563" w:name="_Toc150947462"/>
      <w:bookmarkStart w:id="564" w:name="_Toc256000313"/>
      <w:r>
        <w:rPr>
          <w:b/>
          <w:color w:val="auto"/>
          <w:highlight w:val="none"/>
        </w:rPr>
        <w:t>4.4 商定或确定</w:t>
      </w:r>
      <w:bookmarkEnd w:id="561"/>
      <w:bookmarkEnd w:id="562"/>
      <w:bookmarkEnd w:id="563"/>
      <w:bookmarkEnd w:id="564"/>
    </w:p>
    <w:p w14:paraId="1EFB1DC8">
      <w:pPr>
        <w:spacing w:line="400" w:lineRule="exact"/>
        <w:ind w:firstLine="420" w:firstLineChars="200"/>
        <w:rPr>
          <w:color w:val="auto"/>
          <w:highlight w:val="none"/>
        </w:rPr>
      </w:pPr>
      <w:bookmarkStart w:id="565" w:name="OLE_LINK5"/>
      <w:bookmarkStart w:id="566" w:name="_Toc267251418"/>
      <w:r>
        <w:rPr>
          <w:color w:val="auto"/>
          <w:highlight w:val="none"/>
        </w:rPr>
        <w:t>在发包人和承包人不能通过协商达成一致意见时，发包人授权监理人对以下事项进行确定</w:t>
      </w:r>
      <w:bookmarkEnd w:id="565"/>
      <w:r>
        <w:rPr>
          <w:color w:val="auto"/>
          <w:highlight w:val="none"/>
        </w:rPr>
        <w:t>：</w:t>
      </w:r>
    </w:p>
    <w:p w14:paraId="23E390CB">
      <w:pPr>
        <w:spacing w:line="400" w:lineRule="exact"/>
        <w:ind w:firstLine="420" w:firstLineChars="200"/>
        <w:rPr>
          <w:color w:val="auto"/>
          <w:highlight w:val="none"/>
        </w:rPr>
      </w:pPr>
      <w:r>
        <w:rPr>
          <w:color w:val="auto"/>
          <w:highlight w:val="none"/>
        </w:rPr>
        <w:t>（1）</w:t>
      </w:r>
      <w:r>
        <w:rPr>
          <w:color w:val="auto"/>
          <w:highlight w:val="none"/>
          <w:u w:val="single"/>
        </w:rPr>
        <w:t>工程变更：包括设计变更、施工方案变更等</w:t>
      </w:r>
      <w:r>
        <w:rPr>
          <w:color w:val="auto"/>
          <w:highlight w:val="none"/>
        </w:rPr>
        <w:t>；</w:t>
      </w:r>
    </w:p>
    <w:p w14:paraId="2F61A048">
      <w:pPr>
        <w:spacing w:line="400" w:lineRule="exact"/>
        <w:ind w:firstLine="420" w:firstLineChars="200"/>
        <w:rPr>
          <w:color w:val="auto"/>
          <w:highlight w:val="none"/>
        </w:rPr>
      </w:pPr>
      <w:r>
        <w:rPr>
          <w:color w:val="auto"/>
          <w:highlight w:val="none"/>
        </w:rPr>
        <w:t>（2）</w:t>
      </w:r>
      <w:r>
        <w:rPr>
          <w:color w:val="auto"/>
          <w:highlight w:val="none"/>
          <w:u w:val="single"/>
        </w:rPr>
        <w:t>工程量确认：对已完成工程量的确认</w:t>
      </w:r>
      <w:r>
        <w:rPr>
          <w:color w:val="auto"/>
          <w:highlight w:val="none"/>
        </w:rPr>
        <w:t>；</w:t>
      </w:r>
    </w:p>
    <w:p w14:paraId="751EDAE6">
      <w:pPr>
        <w:spacing w:line="400" w:lineRule="exact"/>
        <w:ind w:firstLine="420" w:firstLineChars="200"/>
        <w:rPr>
          <w:color w:val="auto"/>
          <w:highlight w:val="none"/>
        </w:rPr>
      </w:pPr>
      <w:r>
        <w:rPr>
          <w:color w:val="auto"/>
          <w:highlight w:val="none"/>
        </w:rPr>
        <w:t>（3）</w:t>
      </w:r>
      <w:r>
        <w:rPr>
          <w:color w:val="auto"/>
          <w:highlight w:val="none"/>
          <w:u w:val="single"/>
        </w:rPr>
        <w:t>工程价款：对工程价款的确定</w:t>
      </w:r>
      <w:r>
        <w:rPr>
          <w:rFonts w:hint="eastAsia"/>
          <w:color w:val="auto"/>
          <w:highlight w:val="none"/>
        </w:rPr>
        <w:t>；</w:t>
      </w:r>
    </w:p>
    <w:p w14:paraId="4F7AB958">
      <w:pPr>
        <w:spacing w:line="400" w:lineRule="exact"/>
        <w:ind w:firstLine="420" w:firstLineChars="200"/>
        <w:rPr>
          <w:color w:val="auto"/>
          <w:highlight w:val="none"/>
        </w:rPr>
      </w:pPr>
      <w:r>
        <w:rPr>
          <w:rFonts w:hint="eastAsia"/>
          <w:color w:val="auto"/>
          <w:highlight w:val="none"/>
        </w:rPr>
        <w:t>（4）</w:t>
      </w:r>
      <w:r>
        <w:rPr>
          <w:color w:val="auto"/>
          <w:highlight w:val="none"/>
          <w:u w:val="single"/>
        </w:rPr>
        <w:t>工期调整：对工期的调整</w:t>
      </w:r>
      <w:r>
        <w:rPr>
          <w:rFonts w:hint="eastAsia"/>
          <w:color w:val="auto"/>
          <w:highlight w:val="none"/>
        </w:rPr>
        <w:t>；</w:t>
      </w:r>
    </w:p>
    <w:p w14:paraId="4D94C120">
      <w:pPr>
        <w:spacing w:line="400" w:lineRule="exact"/>
        <w:ind w:firstLine="420" w:firstLineChars="200"/>
        <w:rPr>
          <w:color w:val="auto"/>
          <w:highlight w:val="none"/>
        </w:rPr>
      </w:pPr>
      <w:r>
        <w:rPr>
          <w:rFonts w:hint="eastAsia"/>
          <w:color w:val="auto"/>
          <w:highlight w:val="none"/>
        </w:rPr>
        <w:t>（5）</w:t>
      </w:r>
      <w:r>
        <w:rPr>
          <w:color w:val="auto"/>
          <w:highlight w:val="none"/>
          <w:u w:val="single"/>
        </w:rPr>
        <w:t>质量争议：对工程质量的争议</w:t>
      </w:r>
      <w:r>
        <w:rPr>
          <w:rFonts w:hint="eastAsia"/>
          <w:color w:val="auto"/>
          <w:highlight w:val="none"/>
        </w:rPr>
        <w:t>；</w:t>
      </w:r>
    </w:p>
    <w:p w14:paraId="4F5AFACB">
      <w:pPr>
        <w:spacing w:line="400" w:lineRule="exact"/>
        <w:ind w:firstLine="420" w:firstLineChars="200"/>
        <w:rPr>
          <w:color w:val="auto"/>
          <w:highlight w:val="none"/>
        </w:rPr>
      </w:pPr>
      <w:r>
        <w:rPr>
          <w:rFonts w:hint="eastAsia"/>
          <w:color w:val="auto"/>
          <w:highlight w:val="none"/>
        </w:rPr>
        <w:t>（6）</w:t>
      </w:r>
      <w:r>
        <w:rPr>
          <w:color w:val="auto"/>
          <w:highlight w:val="none"/>
          <w:u w:val="single"/>
        </w:rPr>
        <w:t>索赔处理：对承包人提出的索赔进行处理</w:t>
      </w:r>
      <w:r>
        <w:rPr>
          <w:rFonts w:hint="eastAsia"/>
          <w:color w:val="auto"/>
          <w:highlight w:val="none"/>
        </w:rPr>
        <w:t>；</w:t>
      </w:r>
    </w:p>
    <w:p w14:paraId="3C5DC144">
      <w:pPr>
        <w:spacing w:line="400" w:lineRule="exact"/>
        <w:ind w:firstLine="420" w:firstLineChars="200"/>
        <w:rPr>
          <w:color w:val="auto"/>
          <w:highlight w:val="none"/>
        </w:rPr>
      </w:pPr>
      <w:r>
        <w:rPr>
          <w:rFonts w:hint="eastAsia"/>
          <w:color w:val="auto"/>
          <w:highlight w:val="none"/>
        </w:rPr>
        <w:t>（7）</w:t>
      </w:r>
      <w:r>
        <w:rPr>
          <w:color w:val="auto"/>
          <w:highlight w:val="none"/>
          <w:u w:val="single"/>
        </w:rPr>
        <w:t>其他争议：其他可能影响工程进展的争议事项</w:t>
      </w:r>
      <w:r>
        <w:rPr>
          <w:rFonts w:hint="eastAsia"/>
          <w:color w:val="auto"/>
          <w:highlight w:val="none"/>
        </w:rPr>
        <w:t>。</w:t>
      </w:r>
    </w:p>
    <w:p w14:paraId="5886B9FC">
      <w:pPr>
        <w:pStyle w:val="12"/>
        <w:rPr>
          <w:b/>
          <w:color w:val="auto"/>
          <w:highlight w:val="none"/>
        </w:rPr>
      </w:pPr>
      <w:bookmarkStart w:id="567" w:name="_Toc179"/>
      <w:bookmarkStart w:id="568" w:name="_Toc351203637"/>
      <w:bookmarkStart w:id="569" w:name="_Toc150947463"/>
      <w:bookmarkStart w:id="570" w:name="_Toc256000314"/>
      <w:r>
        <w:rPr>
          <w:b/>
          <w:color w:val="auto"/>
          <w:highlight w:val="none"/>
        </w:rPr>
        <w:t>5</w:t>
      </w:r>
      <w:bookmarkEnd w:id="566"/>
      <w:bookmarkStart w:id="571" w:name="_Toc296503163"/>
      <w:bookmarkStart w:id="572" w:name="_Toc292559367"/>
      <w:bookmarkStart w:id="573" w:name="_Toc292559872"/>
      <w:bookmarkStart w:id="574" w:name="_Toc296890991"/>
      <w:bookmarkStart w:id="575" w:name="_Toc296891203"/>
      <w:bookmarkStart w:id="576" w:name="_Toc296346664"/>
      <w:bookmarkStart w:id="577" w:name="_Toc296347162"/>
      <w:bookmarkStart w:id="578" w:name="_Toc297120463"/>
      <w:bookmarkStart w:id="579" w:name="_Toc296944502"/>
      <w:bookmarkStart w:id="580" w:name="_Toc297048349"/>
      <w:r>
        <w:rPr>
          <w:b/>
          <w:color w:val="auto"/>
          <w:highlight w:val="none"/>
        </w:rPr>
        <w:t>. 工程质量</w:t>
      </w:r>
      <w:bookmarkEnd w:id="567"/>
      <w:bookmarkEnd w:id="568"/>
      <w:bookmarkEnd w:id="569"/>
      <w:bookmarkEnd w:id="570"/>
    </w:p>
    <w:p w14:paraId="662D6C11">
      <w:pPr>
        <w:pStyle w:val="13"/>
        <w:rPr>
          <w:b/>
          <w:color w:val="auto"/>
          <w:highlight w:val="none"/>
        </w:rPr>
      </w:pPr>
      <w:bookmarkStart w:id="581" w:name="_Toc20316"/>
      <w:bookmarkStart w:id="582" w:name="_Toc150947464"/>
      <w:bookmarkStart w:id="583" w:name="_Toc256000315"/>
      <w:bookmarkStart w:id="584" w:name="_Toc25569"/>
      <w:r>
        <w:rPr>
          <w:b/>
          <w:color w:val="auto"/>
          <w:highlight w:val="none"/>
        </w:rPr>
        <w:t>5.1 质量要求</w:t>
      </w:r>
      <w:bookmarkEnd w:id="581"/>
      <w:bookmarkEnd w:id="582"/>
      <w:bookmarkEnd w:id="583"/>
      <w:bookmarkEnd w:id="584"/>
    </w:p>
    <w:p w14:paraId="5A4EA523">
      <w:pPr>
        <w:spacing w:line="400" w:lineRule="exact"/>
        <w:ind w:firstLine="420" w:firstLineChars="200"/>
        <w:rPr>
          <w:color w:val="auto"/>
          <w:highlight w:val="none"/>
        </w:rPr>
      </w:pPr>
      <w:r>
        <w:rPr>
          <w:color w:val="auto"/>
          <w:highlight w:val="none"/>
        </w:rPr>
        <w:t>5</w:t>
      </w:r>
      <w:bookmarkStart w:id="585" w:name="_Toc303539106"/>
      <w:bookmarkStart w:id="586" w:name="_Toc297123496"/>
      <w:bookmarkStart w:id="587" w:name="_Toc297216155"/>
      <w:bookmarkStart w:id="588" w:name="_Toc300934949"/>
      <w:bookmarkStart w:id="589" w:name="_Toc304295527"/>
      <w:bookmarkStart w:id="590" w:name="_Toc318581164"/>
      <w:bookmarkStart w:id="591" w:name="_Toc312677997"/>
      <w:r>
        <w:rPr>
          <w:color w:val="auto"/>
          <w:highlight w:val="none"/>
        </w:rPr>
        <w:t>.1.1 特殊质量标准和要求：</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577D21AE">
      <w:pPr>
        <w:spacing w:line="400" w:lineRule="exact"/>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783669F5">
      <w:pPr>
        <w:spacing w:line="400" w:lineRule="exact"/>
        <w:ind w:firstLine="420" w:firstLineChars="200"/>
        <w:rPr>
          <w:color w:val="auto"/>
          <w:highlight w:val="none"/>
        </w:rPr>
      </w:pPr>
      <w:r>
        <w:rPr>
          <w:color w:val="auto"/>
          <w:highlight w:val="none"/>
        </w:rPr>
        <w:t>关于工程奖项的约定：</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7C2D854E">
      <w:pPr>
        <w:spacing w:line="400" w:lineRule="exact"/>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369F9FFF">
      <w:pPr>
        <w:pStyle w:val="13"/>
        <w:rPr>
          <w:b/>
          <w:color w:val="auto"/>
          <w:highlight w:val="none"/>
        </w:rPr>
      </w:pPr>
      <w:bookmarkStart w:id="592" w:name="_Toc150947465"/>
      <w:bookmarkStart w:id="593" w:name="_Toc15169"/>
      <w:bookmarkStart w:id="594" w:name="_Toc483"/>
      <w:bookmarkStart w:id="595" w:name="_Toc256000316"/>
      <w:r>
        <w:rPr>
          <w:b/>
          <w:color w:val="auto"/>
          <w:highlight w:val="none"/>
        </w:rPr>
        <w:t>5.3 隐蔽工程检查</w:t>
      </w:r>
      <w:bookmarkEnd w:id="592"/>
      <w:bookmarkEnd w:id="593"/>
      <w:bookmarkEnd w:id="594"/>
      <w:bookmarkEnd w:id="595"/>
    </w:p>
    <w:p w14:paraId="5B0D65F1">
      <w:pPr>
        <w:spacing w:line="400" w:lineRule="exact"/>
        <w:rPr>
          <w:color w:val="auto"/>
          <w:highlight w:val="none"/>
        </w:rPr>
      </w:pPr>
      <w:r>
        <w:rPr>
          <w:color w:val="auto"/>
          <w:highlight w:val="none"/>
        </w:rPr>
        <w:t>5.3.2</w:t>
      </w:r>
      <w:bookmarkStart w:id="596" w:name="OLE_LINK6"/>
      <w:r>
        <w:rPr>
          <w:color w:val="auto"/>
          <w:highlight w:val="none"/>
        </w:rPr>
        <w:t>承包人提前通知监理人隐蔽工程检查的期限的约定</w:t>
      </w:r>
      <w:bookmarkEnd w:id="596"/>
      <w:r>
        <w:rPr>
          <w:color w:val="auto"/>
          <w:highlight w:val="none"/>
        </w:rPr>
        <w:t>：</w:t>
      </w:r>
      <w:r>
        <w:rPr>
          <w:rFonts w:hint="eastAsia"/>
          <w:color w:val="auto"/>
          <w:highlight w:val="none"/>
          <w:u w:val="single"/>
        </w:rPr>
        <w:t>执行通用合同条款</w:t>
      </w:r>
      <w:r>
        <w:rPr>
          <w:color w:val="auto"/>
          <w:highlight w:val="none"/>
        </w:rPr>
        <w:t>。</w:t>
      </w:r>
    </w:p>
    <w:p w14:paraId="3B4810BA">
      <w:pPr>
        <w:spacing w:line="400" w:lineRule="exact"/>
        <w:ind w:firstLine="420" w:firstLineChars="200"/>
        <w:rPr>
          <w:color w:val="auto"/>
          <w:highlight w:val="none"/>
        </w:rPr>
      </w:pPr>
      <w:r>
        <w:rPr>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color w:val="auto"/>
          <w:highlight w:val="none"/>
        </w:rPr>
        <w:t>小时提交书面延期要求。</w:t>
      </w:r>
    </w:p>
    <w:p w14:paraId="4E4B41FD">
      <w:pPr>
        <w:spacing w:line="400" w:lineRule="exact"/>
        <w:ind w:firstLine="420" w:firstLineChars="200"/>
        <w:rPr>
          <w:color w:val="auto"/>
          <w:highlight w:val="none"/>
        </w:rPr>
      </w:pPr>
      <w:r>
        <w:rPr>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color w:val="auto"/>
          <w:highlight w:val="none"/>
        </w:rPr>
        <w:t>小时。</w:t>
      </w:r>
    </w:p>
    <w:p w14:paraId="01F09652">
      <w:pPr>
        <w:pStyle w:val="12"/>
        <w:rPr>
          <w:b/>
          <w:color w:val="auto"/>
          <w:highlight w:val="none"/>
        </w:rPr>
      </w:pPr>
      <w:bookmarkStart w:id="597" w:name="_Toc9147"/>
      <w:bookmarkStart w:id="598" w:name="_Toc150947466"/>
      <w:bookmarkStart w:id="599" w:name="_Toc256000317"/>
      <w:bookmarkStart w:id="600" w:name="_Toc351203638"/>
      <w:r>
        <w:rPr>
          <w:b/>
          <w:color w:val="auto"/>
          <w:highlight w:val="none"/>
        </w:rPr>
        <w:t>6. 安全文明施工与环境保护</w:t>
      </w:r>
      <w:bookmarkEnd w:id="597"/>
      <w:bookmarkEnd w:id="598"/>
      <w:bookmarkEnd w:id="599"/>
      <w:bookmarkEnd w:id="600"/>
    </w:p>
    <w:p w14:paraId="0E2B5EC1">
      <w:pPr>
        <w:pStyle w:val="13"/>
        <w:rPr>
          <w:b/>
          <w:color w:val="auto"/>
          <w:highlight w:val="none"/>
        </w:rPr>
      </w:pPr>
      <w:bookmarkStart w:id="601" w:name="_Toc256000318"/>
      <w:bookmarkStart w:id="602" w:name="_Toc16664"/>
      <w:bookmarkStart w:id="603" w:name="_Toc150947467"/>
      <w:bookmarkStart w:id="604" w:name="_Toc4888"/>
      <w:r>
        <w:rPr>
          <w:b/>
          <w:color w:val="auto"/>
          <w:highlight w:val="none"/>
        </w:rPr>
        <w:t>6.1安全文明施工</w:t>
      </w:r>
      <w:bookmarkEnd w:id="601"/>
      <w:bookmarkEnd w:id="602"/>
      <w:bookmarkEnd w:id="603"/>
      <w:bookmarkEnd w:id="604"/>
    </w:p>
    <w:p w14:paraId="413D9A61">
      <w:pPr>
        <w:spacing w:line="400" w:lineRule="exact"/>
        <w:ind w:firstLine="420" w:firstLineChars="200"/>
        <w:rPr>
          <w:color w:val="auto"/>
          <w:highlight w:val="none"/>
        </w:rPr>
      </w:pPr>
      <w:r>
        <w:rPr>
          <w:color w:val="auto"/>
          <w:highlight w:val="none"/>
        </w:rPr>
        <w:t>6.1.1 项目安全生产的达标目标及相应事项的约定：</w:t>
      </w:r>
      <w:r>
        <w:rPr>
          <w:rFonts w:hint="eastAsia"/>
          <w:color w:val="auto"/>
          <w:highlight w:val="none"/>
          <w:u w:val="single"/>
        </w:rPr>
        <w:t>确保施工过程中不发生人员伤亡、设备损坏等安全事故</w:t>
      </w:r>
      <w:r>
        <w:rPr>
          <w:color w:val="auto"/>
          <w:highlight w:val="none"/>
        </w:rPr>
        <w:t>。</w:t>
      </w:r>
    </w:p>
    <w:p w14:paraId="630B2732">
      <w:pPr>
        <w:spacing w:line="400" w:lineRule="exact"/>
        <w:ind w:firstLine="420" w:firstLineChars="200"/>
        <w:rPr>
          <w:color w:val="auto"/>
          <w:highlight w:val="none"/>
        </w:rPr>
      </w:pPr>
      <w:r>
        <w:rPr>
          <w:color w:val="auto"/>
          <w:highlight w:val="none"/>
        </w:rPr>
        <w:t>6.1.4 关于治安保卫的特别约定：</w:t>
      </w:r>
      <w:r>
        <w:rPr>
          <w:rFonts w:hint="eastAsia"/>
          <w:color w:val="auto"/>
          <w:highlight w:val="none"/>
          <w:u w:val="single"/>
        </w:rPr>
        <w:t>执行通用合同条款</w:t>
      </w:r>
      <w:r>
        <w:rPr>
          <w:color w:val="auto"/>
          <w:highlight w:val="none"/>
        </w:rPr>
        <w:t>。</w:t>
      </w:r>
    </w:p>
    <w:p w14:paraId="46D6EDCF">
      <w:pPr>
        <w:spacing w:line="400" w:lineRule="exact"/>
        <w:ind w:firstLine="420" w:firstLineChars="200"/>
        <w:rPr>
          <w:color w:val="auto"/>
          <w:highlight w:val="none"/>
        </w:rPr>
      </w:pPr>
      <w:r>
        <w:rPr>
          <w:color w:val="auto"/>
          <w:highlight w:val="none"/>
        </w:rPr>
        <w:t>关于编制施工场地治安管理计划的约定：</w:t>
      </w:r>
      <w:r>
        <w:rPr>
          <w:rFonts w:hint="eastAsia"/>
          <w:color w:val="auto"/>
          <w:highlight w:val="none"/>
          <w:u w:val="single"/>
        </w:rPr>
        <w:t>执行通用合同条款</w:t>
      </w:r>
      <w:r>
        <w:rPr>
          <w:color w:val="auto"/>
          <w:highlight w:val="none"/>
          <w:u w:val="single"/>
        </w:rPr>
        <w:t xml:space="preserve"> </w:t>
      </w:r>
      <w:r>
        <w:rPr>
          <w:color w:val="auto"/>
          <w:highlight w:val="none"/>
        </w:rPr>
        <w:t>。</w:t>
      </w:r>
    </w:p>
    <w:p w14:paraId="429A99D0">
      <w:pPr>
        <w:spacing w:line="400" w:lineRule="exact"/>
        <w:ind w:firstLine="420" w:firstLineChars="200"/>
        <w:rPr>
          <w:color w:val="auto"/>
          <w:highlight w:val="none"/>
        </w:rPr>
      </w:pPr>
      <w:r>
        <w:rPr>
          <w:rFonts w:hint="eastAsia"/>
          <w:color w:val="auto"/>
          <w:highlight w:val="none"/>
        </w:rPr>
        <w:t>6.1.5 文明施工</w:t>
      </w:r>
    </w:p>
    <w:p w14:paraId="24B6EA54">
      <w:pPr>
        <w:spacing w:line="400" w:lineRule="exact"/>
        <w:ind w:firstLine="420" w:firstLineChars="200"/>
        <w:rPr>
          <w:color w:val="auto"/>
          <w:highlight w:val="none"/>
        </w:rPr>
      </w:pPr>
      <w:r>
        <w:rPr>
          <w:rFonts w:hint="eastAsia"/>
          <w:color w:val="auto"/>
          <w:highlight w:val="none"/>
        </w:rPr>
        <w:t>合同当事人对文明施工的要求：</w:t>
      </w:r>
      <w:r>
        <w:rPr>
          <w:rFonts w:hint="eastAsia"/>
          <w:color w:val="auto"/>
          <w:highlight w:val="none"/>
          <w:u w:val="single"/>
        </w:rPr>
        <w:t>施工噪音控制，</w:t>
      </w:r>
      <w:r>
        <w:rPr>
          <w:color w:val="auto"/>
          <w:highlight w:val="none"/>
          <w:u w:val="single"/>
        </w:rPr>
        <w:t>严格遵守当地环保部门关于施工噪音的管理规定，合理安排施工时间，避免夜间施工扰民</w:t>
      </w:r>
      <w:r>
        <w:rPr>
          <w:rFonts w:hint="eastAsia"/>
          <w:color w:val="auto"/>
          <w:highlight w:val="none"/>
          <w:u w:val="single"/>
        </w:rPr>
        <w:t>；扬尘污染防治，</w:t>
      </w:r>
      <w:r>
        <w:rPr>
          <w:color w:val="auto"/>
          <w:highlight w:val="none"/>
          <w:u w:val="single"/>
        </w:rPr>
        <w:t>施工现场应采取洒水、覆盖等措施，减少扬尘污染</w:t>
      </w:r>
      <w:r>
        <w:rPr>
          <w:rFonts w:hint="eastAsia"/>
          <w:color w:val="auto"/>
          <w:highlight w:val="none"/>
          <w:u w:val="single"/>
        </w:rPr>
        <w:t>；污水排放管理，</w:t>
      </w:r>
      <w:r>
        <w:rPr>
          <w:color w:val="auto"/>
          <w:highlight w:val="none"/>
          <w:u w:val="single"/>
        </w:rPr>
        <w:t>施工现场应设置排水系统，确保雨水、污水分流排放</w:t>
      </w:r>
      <w:r>
        <w:rPr>
          <w:rFonts w:hint="eastAsia"/>
          <w:color w:val="auto"/>
          <w:highlight w:val="none"/>
          <w:u w:val="single"/>
        </w:rPr>
        <w:t>，</w:t>
      </w:r>
      <w:r>
        <w:rPr>
          <w:color w:val="auto"/>
          <w:highlight w:val="none"/>
          <w:u w:val="single"/>
        </w:rPr>
        <w:t>污水排放应符合环保要求，禁止直接排入农田或水体</w:t>
      </w:r>
      <w:r>
        <w:rPr>
          <w:rFonts w:hint="eastAsia"/>
          <w:color w:val="auto"/>
          <w:highlight w:val="none"/>
          <w:u w:val="single"/>
        </w:rPr>
        <w:t>；文明施工教育，</w:t>
      </w:r>
      <w:r>
        <w:rPr>
          <w:color w:val="auto"/>
          <w:highlight w:val="none"/>
          <w:u w:val="single"/>
        </w:rPr>
        <w:t>定期组织施工人员进行文明施工教育培训，提高文明施工意识</w:t>
      </w:r>
      <w:r>
        <w:rPr>
          <w:rFonts w:hint="eastAsia"/>
          <w:color w:val="auto"/>
          <w:highlight w:val="none"/>
          <w:u w:val="single"/>
        </w:rPr>
        <w:t>，</w:t>
      </w:r>
      <w:r>
        <w:rPr>
          <w:color w:val="auto"/>
          <w:highlight w:val="none"/>
          <w:u w:val="single"/>
        </w:rPr>
        <w:t>建立文明施工奖惩制度，对表现突出的个人和班组给予奖励</w:t>
      </w:r>
      <w:r>
        <w:rPr>
          <w:rFonts w:hint="eastAsia"/>
          <w:color w:val="auto"/>
          <w:highlight w:val="none"/>
          <w:u w:val="single"/>
        </w:rPr>
        <w:t>；社区协调与沟通，</w:t>
      </w:r>
      <w:r>
        <w:rPr>
          <w:color w:val="auto"/>
          <w:highlight w:val="none"/>
          <w:u w:val="single"/>
        </w:rPr>
        <w:t>加强与周边居民的沟通，及时处理居民反映的施工扰民问题</w:t>
      </w:r>
      <w:r>
        <w:rPr>
          <w:rFonts w:hint="eastAsia"/>
          <w:color w:val="auto"/>
          <w:highlight w:val="none"/>
          <w:u w:val="single"/>
        </w:rPr>
        <w:t>，</w:t>
      </w:r>
      <w:r>
        <w:rPr>
          <w:color w:val="auto"/>
          <w:highlight w:val="none"/>
          <w:u w:val="single"/>
        </w:rPr>
        <w:t>积极配合地方政府和相关部门的监督检查，落实整改意见</w:t>
      </w:r>
      <w:r>
        <w:rPr>
          <w:rFonts w:hint="eastAsia"/>
          <w:color w:val="auto"/>
          <w:highlight w:val="none"/>
          <w:u w:val="single"/>
        </w:rPr>
        <w:t>等</w:t>
      </w:r>
      <w:r>
        <w:rPr>
          <w:color w:val="auto"/>
          <w:highlight w:val="none"/>
        </w:rPr>
        <w:t>。</w:t>
      </w:r>
    </w:p>
    <w:p w14:paraId="5C051FBA">
      <w:pPr>
        <w:spacing w:line="400" w:lineRule="exact"/>
        <w:ind w:firstLine="420" w:firstLineChars="200"/>
        <w:rPr>
          <w:color w:val="auto"/>
          <w:highlight w:val="none"/>
        </w:rPr>
      </w:pPr>
      <w:r>
        <w:rPr>
          <w:color w:val="auto"/>
          <w:highlight w:val="none"/>
        </w:rPr>
        <w:t>6.1.6 关于安全文明施工费支付比例和支付期限的约定：</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762A594F">
      <w:pPr>
        <w:spacing w:line="400" w:lineRule="exact"/>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bookmarkEnd w:id="585"/>
    <w:bookmarkEnd w:id="586"/>
    <w:bookmarkEnd w:id="587"/>
    <w:bookmarkEnd w:id="588"/>
    <w:bookmarkEnd w:id="589"/>
    <w:bookmarkEnd w:id="590"/>
    <w:bookmarkEnd w:id="591"/>
    <w:p w14:paraId="280242DC">
      <w:pPr>
        <w:pStyle w:val="12"/>
        <w:rPr>
          <w:b/>
          <w:color w:val="auto"/>
          <w:highlight w:val="none"/>
        </w:rPr>
      </w:pPr>
      <w:bookmarkStart w:id="605" w:name="_Toc708"/>
      <w:bookmarkStart w:id="606" w:name="_Toc351203639"/>
      <w:bookmarkStart w:id="607" w:name="_Toc150947468"/>
      <w:bookmarkStart w:id="608" w:name="_Toc256000319"/>
      <w:r>
        <w:rPr>
          <w:b/>
          <w:color w:val="auto"/>
          <w:highlight w:val="none"/>
        </w:rPr>
        <w:t>7. 工期和进度</w:t>
      </w:r>
      <w:bookmarkEnd w:id="605"/>
      <w:bookmarkEnd w:id="606"/>
      <w:bookmarkEnd w:id="607"/>
      <w:bookmarkEnd w:id="608"/>
    </w:p>
    <w:p w14:paraId="1912C99D">
      <w:pPr>
        <w:pStyle w:val="13"/>
        <w:rPr>
          <w:b/>
          <w:color w:val="auto"/>
          <w:highlight w:val="none"/>
        </w:rPr>
      </w:pPr>
      <w:bookmarkStart w:id="609" w:name="_Toc256000320"/>
      <w:bookmarkStart w:id="610" w:name="_Toc13746"/>
      <w:bookmarkStart w:id="611" w:name="_Toc1318"/>
      <w:bookmarkStart w:id="612" w:name="_Toc150947469"/>
      <w:r>
        <w:rPr>
          <w:b/>
          <w:color w:val="auto"/>
          <w:highlight w:val="none"/>
        </w:rPr>
        <w:t>7.1 施工组织设计</w:t>
      </w:r>
      <w:bookmarkEnd w:id="609"/>
      <w:bookmarkEnd w:id="610"/>
      <w:bookmarkEnd w:id="611"/>
      <w:bookmarkEnd w:id="612"/>
    </w:p>
    <w:p w14:paraId="1F6B6487">
      <w:pPr>
        <w:spacing w:line="400" w:lineRule="exact"/>
        <w:ind w:firstLine="420" w:firstLineChars="200"/>
        <w:rPr>
          <w:color w:val="auto"/>
          <w:highlight w:val="none"/>
        </w:rPr>
      </w:pPr>
      <w:r>
        <w:rPr>
          <w:color w:val="auto"/>
          <w:highlight w:val="none"/>
        </w:rPr>
        <w:t>7.1.</w:t>
      </w:r>
      <w:r>
        <w:rPr>
          <w:rFonts w:hint="eastAsia"/>
          <w:color w:val="auto"/>
          <w:highlight w:val="none"/>
        </w:rPr>
        <w:t>1 合同当事人约定的</w:t>
      </w:r>
      <w:r>
        <w:rPr>
          <w:color w:val="auto"/>
          <w:highlight w:val="none"/>
        </w:rPr>
        <w:t>施工组织设计</w:t>
      </w:r>
      <w:r>
        <w:rPr>
          <w:rFonts w:hint="eastAsia"/>
          <w:color w:val="auto"/>
          <w:highlight w:val="none"/>
        </w:rPr>
        <w:t>应包括的其他内容</w:t>
      </w:r>
      <w:r>
        <w:rPr>
          <w:color w:val="auto"/>
          <w:highlight w:val="non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72990BD3">
      <w:pPr>
        <w:spacing w:line="400" w:lineRule="exact"/>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4B418338">
      <w:pPr>
        <w:spacing w:line="400" w:lineRule="exact"/>
        <w:ind w:firstLine="420" w:firstLineChars="200"/>
        <w:rPr>
          <w:color w:val="auto"/>
          <w:highlight w:val="none"/>
        </w:rPr>
      </w:pPr>
      <w:r>
        <w:rPr>
          <w:color w:val="auto"/>
          <w:highlight w:val="none"/>
        </w:rPr>
        <w:t>7.1.2 施工组织设计的提交和修改</w:t>
      </w:r>
    </w:p>
    <w:p w14:paraId="1E0C0BDD">
      <w:pPr>
        <w:spacing w:line="400" w:lineRule="exact"/>
        <w:ind w:firstLine="420" w:firstLineChars="200"/>
        <w:rPr>
          <w:color w:val="auto"/>
          <w:highlight w:val="none"/>
        </w:rPr>
      </w:pPr>
      <w:r>
        <w:rPr>
          <w:color w:val="auto"/>
          <w:highlight w:val="none"/>
        </w:rPr>
        <w:t>承包人提交详细施工组织设计的期限的约定：</w:t>
      </w:r>
      <w:r>
        <w:rPr>
          <w:rFonts w:hint="eastAsia"/>
          <w:color w:val="auto"/>
          <w:highlight w:val="none"/>
          <w:u w:val="single"/>
        </w:rPr>
        <w:t>执行通用合同条款</w:t>
      </w:r>
      <w:r>
        <w:rPr>
          <w:color w:val="auto"/>
          <w:highlight w:val="none"/>
          <w:u w:val="single"/>
        </w:rPr>
        <w:t xml:space="preserve"> </w:t>
      </w:r>
      <w:r>
        <w:rPr>
          <w:color w:val="auto"/>
          <w:highlight w:val="none"/>
        </w:rPr>
        <w:t>。</w:t>
      </w:r>
    </w:p>
    <w:p w14:paraId="09ECB720">
      <w:pPr>
        <w:spacing w:line="400" w:lineRule="exact"/>
        <w:ind w:firstLine="420" w:firstLineChars="200"/>
        <w:rPr>
          <w:color w:val="auto"/>
          <w:highlight w:val="none"/>
        </w:rPr>
      </w:pPr>
      <w:r>
        <w:rPr>
          <w:color w:val="auto"/>
          <w:highlight w:val="none"/>
        </w:rPr>
        <w:t>发包人和监理人在收到</w:t>
      </w:r>
      <w:r>
        <w:rPr>
          <w:rFonts w:hint="eastAsia"/>
          <w:color w:val="auto"/>
          <w:highlight w:val="none"/>
        </w:rPr>
        <w:t>详细的施工组织设计</w:t>
      </w:r>
      <w:r>
        <w:rPr>
          <w:color w:val="auto"/>
          <w:highlight w:val="none"/>
        </w:rPr>
        <w:t>后确认或提出修改意见的期限：</w:t>
      </w:r>
      <w:r>
        <w:rPr>
          <w:rFonts w:hint="eastAsia"/>
          <w:color w:val="auto"/>
          <w:highlight w:val="none"/>
          <w:u w:val="single"/>
        </w:rPr>
        <w:t>执行通用合同条</w:t>
      </w:r>
      <w:r>
        <w:rPr>
          <w:color w:val="auto"/>
          <w:highlight w:val="none"/>
        </w:rPr>
        <w:t>。</w:t>
      </w:r>
    </w:p>
    <w:p w14:paraId="294F994F">
      <w:pPr>
        <w:pStyle w:val="13"/>
        <w:rPr>
          <w:b/>
          <w:color w:val="auto"/>
          <w:highlight w:val="none"/>
        </w:rPr>
      </w:pPr>
      <w:bookmarkStart w:id="613" w:name="_Toc10682"/>
      <w:bookmarkStart w:id="614" w:name="_Toc28063"/>
      <w:bookmarkStart w:id="615" w:name="_Toc150947470"/>
      <w:bookmarkStart w:id="616" w:name="_Toc256000321"/>
      <w:r>
        <w:rPr>
          <w:b/>
          <w:color w:val="auto"/>
          <w:highlight w:val="none"/>
        </w:rPr>
        <w:t>7</w:t>
      </w:r>
      <w:bookmarkStart w:id="617" w:name="_Toc312678005"/>
      <w:bookmarkStart w:id="618" w:name="_Toc300934966"/>
      <w:bookmarkStart w:id="619" w:name="_Toc297123514"/>
      <w:bookmarkStart w:id="620" w:name="_Toc304295541"/>
      <w:bookmarkStart w:id="621" w:name="_Toc303539123"/>
      <w:bookmarkStart w:id="622" w:name="_Toc312677479"/>
      <w:bookmarkStart w:id="623" w:name="_Toc297216173"/>
      <w:r>
        <w:rPr>
          <w:b/>
          <w:color w:val="auto"/>
          <w:highlight w:val="none"/>
        </w:rPr>
        <w:t>.2 施工进度计划</w:t>
      </w:r>
      <w:bookmarkEnd w:id="613"/>
      <w:bookmarkEnd w:id="614"/>
      <w:bookmarkEnd w:id="615"/>
      <w:bookmarkEnd w:id="616"/>
    </w:p>
    <w:p w14:paraId="6E0F1580">
      <w:pPr>
        <w:spacing w:line="400" w:lineRule="exact"/>
        <w:ind w:firstLine="420" w:firstLineChars="200"/>
        <w:rPr>
          <w:color w:val="auto"/>
          <w:highlight w:val="none"/>
        </w:rPr>
      </w:pPr>
      <w:r>
        <w:rPr>
          <w:color w:val="auto"/>
          <w:highlight w:val="none"/>
        </w:rPr>
        <w:t>7.2.2 施工进度计划的修订</w:t>
      </w:r>
    </w:p>
    <w:p w14:paraId="523A5543">
      <w:pPr>
        <w:spacing w:line="400" w:lineRule="exact"/>
        <w:ind w:firstLine="420" w:firstLineChars="200"/>
        <w:rPr>
          <w:color w:val="auto"/>
          <w:highlight w:val="none"/>
        </w:rPr>
      </w:pPr>
      <w:r>
        <w:rPr>
          <w:color w:val="auto"/>
          <w:highlight w:val="none"/>
        </w:rPr>
        <w:t>发包人和监理人在收到修订的施工进度计划后确认或提出修改意见的期限：</w:t>
      </w:r>
      <w:r>
        <w:rPr>
          <w:rFonts w:hint="eastAsia"/>
          <w:color w:val="auto"/>
          <w:highlight w:val="none"/>
          <w:u w:val="single"/>
        </w:rPr>
        <w:t>执行通用合同条</w:t>
      </w:r>
      <w:r>
        <w:rPr>
          <w:color w:val="auto"/>
          <w:highlight w:val="none"/>
        </w:rPr>
        <w:t>。</w:t>
      </w:r>
    </w:p>
    <w:p w14:paraId="3498C14F">
      <w:pPr>
        <w:pStyle w:val="13"/>
        <w:rPr>
          <w:b/>
          <w:color w:val="auto"/>
          <w:highlight w:val="none"/>
        </w:rPr>
      </w:pPr>
      <w:bookmarkStart w:id="624" w:name="_Toc27149"/>
      <w:bookmarkStart w:id="625" w:name="_Toc6400"/>
      <w:bookmarkStart w:id="626" w:name="_Toc256000322"/>
      <w:bookmarkStart w:id="627" w:name="_Toc150947471"/>
      <w:r>
        <w:rPr>
          <w:b/>
          <w:color w:val="auto"/>
          <w:highlight w:val="none"/>
        </w:rPr>
        <w:t>7.3 开工</w:t>
      </w:r>
      <w:bookmarkEnd w:id="624"/>
      <w:bookmarkEnd w:id="625"/>
      <w:bookmarkEnd w:id="626"/>
      <w:bookmarkEnd w:id="627"/>
    </w:p>
    <w:p w14:paraId="586564ED">
      <w:pPr>
        <w:spacing w:line="400" w:lineRule="exact"/>
        <w:ind w:firstLine="420" w:firstLineChars="200"/>
        <w:rPr>
          <w:color w:val="auto"/>
          <w:highlight w:val="none"/>
        </w:rPr>
      </w:pPr>
      <w:r>
        <w:rPr>
          <w:color w:val="auto"/>
          <w:highlight w:val="none"/>
        </w:rPr>
        <w:t>7.3.1 开工准备</w:t>
      </w:r>
    </w:p>
    <w:p w14:paraId="2DBF0E30">
      <w:pPr>
        <w:spacing w:line="400" w:lineRule="exact"/>
        <w:ind w:firstLine="420" w:firstLineChars="200"/>
        <w:rPr>
          <w:color w:val="auto"/>
          <w:highlight w:val="none"/>
        </w:rPr>
      </w:pPr>
      <w:r>
        <w:rPr>
          <w:color w:val="auto"/>
          <w:highlight w:val="none"/>
        </w:rPr>
        <w:t>关于承包人提交工程开工报审表的期限：</w:t>
      </w:r>
      <w:r>
        <w:rPr>
          <w:rFonts w:hint="eastAsia"/>
          <w:color w:val="auto"/>
          <w:highlight w:val="none"/>
          <w:u w:val="single"/>
        </w:rPr>
        <w:t>执行通用合同条款</w:t>
      </w:r>
      <w:r>
        <w:rPr>
          <w:color w:val="auto"/>
          <w:highlight w:val="none"/>
          <w:u w:val="single"/>
        </w:rPr>
        <w:t xml:space="preserve"> </w:t>
      </w:r>
      <w:r>
        <w:rPr>
          <w:color w:val="auto"/>
          <w:highlight w:val="none"/>
        </w:rPr>
        <w:t>。</w:t>
      </w:r>
    </w:p>
    <w:p w14:paraId="57ECAAA9">
      <w:pPr>
        <w:spacing w:line="400" w:lineRule="exact"/>
        <w:ind w:firstLine="420" w:firstLineChars="200"/>
        <w:rPr>
          <w:color w:val="auto"/>
          <w:highlight w:val="none"/>
        </w:rPr>
      </w:pPr>
      <w:r>
        <w:rPr>
          <w:color w:val="auto"/>
          <w:highlight w:val="none"/>
        </w:rPr>
        <w:t>关于发包人应完成的其他开工准备工作及期限：</w:t>
      </w:r>
    </w:p>
    <w:p w14:paraId="72F27F98">
      <w:pPr>
        <w:spacing w:line="400" w:lineRule="exact"/>
        <w:ind w:firstLine="420" w:firstLineChars="200"/>
        <w:rPr>
          <w:color w:val="auto"/>
          <w:highlight w:val="none"/>
        </w:rPr>
      </w:pPr>
      <w:r>
        <w:rPr>
          <w:rFonts w:hint="eastAsia"/>
          <w:color w:val="auto"/>
          <w:highlight w:val="none"/>
        </w:rPr>
        <w:t>（1）</w:t>
      </w:r>
      <w:r>
        <w:rPr>
          <w:rFonts w:hint="eastAsia"/>
          <w:color w:val="auto"/>
          <w:highlight w:val="none"/>
          <w:u w:val="single"/>
        </w:rPr>
        <w:t>协助承包人于开工7 日前，完成项目区应具备的施工条件</w:t>
      </w:r>
      <w:r>
        <w:rPr>
          <w:rFonts w:hint="eastAsia"/>
          <w:color w:val="auto"/>
          <w:highlight w:val="none"/>
        </w:rPr>
        <w:t xml:space="preserve">。 </w:t>
      </w:r>
    </w:p>
    <w:p w14:paraId="3B8E61F7">
      <w:pPr>
        <w:spacing w:line="400" w:lineRule="exact"/>
        <w:ind w:firstLine="420" w:firstLineChars="200"/>
        <w:rPr>
          <w:color w:val="auto"/>
          <w:highlight w:val="none"/>
        </w:rPr>
      </w:pPr>
      <w:r>
        <w:rPr>
          <w:rFonts w:hint="eastAsia"/>
          <w:color w:val="auto"/>
          <w:highlight w:val="none"/>
        </w:rPr>
        <w:t>（2）</w:t>
      </w:r>
      <w:r>
        <w:rPr>
          <w:rFonts w:hint="eastAsia"/>
          <w:color w:val="auto"/>
          <w:highlight w:val="none"/>
          <w:u w:val="single"/>
        </w:rPr>
        <w:t>根据规划设计坐标控制点，协助承包人于开工7天前确定项目区四至界线</w:t>
      </w:r>
      <w:r>
        <w:rPr>
          <w:rFonts w:hint="eastAsia"/>
          <w:color w:val="auto"/>
          <w:highlight w:val="none"/>
        </w:rPr>
        <w:t xml:space="preserve">。 </w:t>
      </w:r>
    </w:p>
    <w:p w14:paraId="6CABF9E2">
      <w:pPr>
        <w:spacing w:line="400" w:lineRule="exact"/>
        <w:ind w:firstLine="420" w:firstLineChars="200"/>
        <w:rPr>
          <w:color w:val="auto"/>
          <w:highlight w:val="none"/>
        </w:rPr>
      </w:pPr>
      <w:r>
        <w:rPr>
          <w:rFonts w:hint="eastAsia"/>
          <w:color w:val="auto"/>
          <w:highlight w:val="none"/>
        </w:rPr>
        <w:t>（3）</w:t>
      </w:r>
      <w:r>
        <w:rPr>
          <w:rFonts w:hint="eastAsia"/>
          <w:color w:val="auto"/>
          <w:highlight w:val="none"/>
          <w:u w:val="single"/>
        </w:rPr>
        <w:t>发包人于开工7 日前，组织图纸会审和设计技术交底</w:t>
      </w:r>
      <w:r>
        <w:rPr>
          <w:rFonts w:hint="eastAsia"/>
          <w:color w:val="auto"/>
          <w:highlight w:val="none"/>
        </w:rPr>
        <w:t xml:space="preserve">。 </w:t>
      </w:r>
    </w:p>
    <w:p w14:paraId="7DD834D5">
      <w:pPr>
        <w:spacing w:line="400" w:lineRule="exact"/>
        <w:ind w:firstLine="420" w:firstLineChars="200"/>
        <w:rPr>
          <w:color w:val="auto"/>
          <w:highlight w:val="none"/>
        </w:rPr>
      </w:pPr>
      <w:r>
        <w:rPr>
          <w:rFonts w:hint="eastAsia"/>
          <w:color w:val="auto"/>
          <w:highlight w:val="none"/>
        </w:rPr>
        <w:t>（4）</w:t>
      </w:r>
      <w:r>
        <w:rPr>
          <w:rFonts w:hint="eastAsia"/>
          <w:color w:val="auto"/>
          <w:highlight w:val="none"/>
          <w:u w:val="single"/>
        </w:rPr>
        <w:t>发包人于开工7 日前，办理开工报告，协助承包人办理其他相关的施工手续</w:t>
      </w:r>
      <w:r>
        <w:rPr>
          <w:color w:val="auto"/>
          <w:highlight w:val="none"/>
        </w:rPr>
        <w:t>。</w:t>
      </w:r>
    </w:p>
    <w:p w14:paraId="2756AD7F">
      <w:pPr>
        <w:spacing w:line="400" w:lineRule="exact"/>
        <w:ind w:firstLine="420" w:firstLineChars="200"/>
        <w:rPr>
          <w:color w:val="auto"/>
          <w:highlight w:val="none"/>
        </w:rPr>
      </w:pPr>
      <w:r>
        <w:rPr>
          <w:color w:val="auto"/>
          <w:highlight w:val="none"/>
        </w:rPr>
        <w:t>关于承包人应完成的其他开工准备工作及期限：</w:t>
      </w:r>
    </w:p>
    <w:p w14:paraId="125260B2">
      <w:pPr>
        <w:spacing w:line="400" w:lineRule="exact"/>
        <w:ind w:firstLine="420" w:firstLineChars="200"/>
        <w:rPr>
          <w:color w:val="auto"/>
          <w:highlight w:val="none"/>
        </w:rPr>
      </w:pPr>
      <w:r>
        <w:rPr>
          <w:rFonts w:hint="eastAsia"/>
          <w:color w:val="auto"/>
          <w:highlight w:val="none"/>
        </w:rPr>
        <w:t>（1）</w:t>
      </w:r>
      <w:r>
        <w:rPr>
          <w:rFonts w:hint="eastAsia"/>
          <w:color w:val="auto"/>
          <w:highlight w:val="none"/>
          <w:u w:val="single"/>
        </w:rPr>
        <w:t>根据发包人委托，承包人在其资质等级和业务允许的范围内，于开工前日完成工作</w:t>
      </w:r>
      <w:r>
        <w:rPr>
          <w:rFonts w:hint="eastAsia"/>
          <w:color w:val="auto"/>
          <w:highlight w:val="none"/>
        </w:rPr>
        <w:t xml:space="preserve">。 </w:t>
      </w:r>
    </w:p>
    <w:p w14:paraId="4C6D06FD">
      <w:pPr>
        <w:spacing w:line="400" w:lineRule="exact"/>
        <w:ind w:firstLine="420" w:firstLineChars="200"/>
        <w:rPr>
          <w:color w:val="auto"/>
          <w:highlight w:val="none"/>
        </w:rPr>
      </w:pPr>
      <w:r>
        <w:rPr>
          <w:rFonts w:hint="eastAsia"/>
          <w:color w:val="auto"/>
          <w:highlight w:val="none"/>
        </w:rPr>
        <w:t>（2）</w:t>
      </w:r>
      <w:r>
        <w:rPr>
          <w:rFonts w:hint="eastAsia"/>
          <w:color w:val="auto"/>
          <w:highlight w:val="none"/>
          <w:u w:val="single"/>
        </w:rPr>
        <w:t>于开工7 日前办完施工期间的临时用房、用水、用电等各项准备工作。并承担相应的费用</w:t>
      </w:r>
      <w:r>
        <w:rPr>
          <w:rFonts w:hint="eastAsia"/>
          <w:color w:val="auto"/>
          <w:highlight w:val="none"/>
        </w:rPr>
        <w:t xml:space="preserve">。 </w:t>
      </w:r>
    </w:p>
    <w:p w14:paraId="2526B3ED">
      <w:pPr>
        <w:spacing w:line="400" w:lineRule="exact"/>
        <w:ind w:firstLine="420" w:firstLineChars="200"/>
        <w:rPr>
          <w:color w:val="auto"/>
          <w:highlight w:val="none"/>
        </w:rPr>
      </w:pPr>
      <w:r>
        <w:rPr>
          <w:rFonts w:hint="eastAsia"/>
          <w:color w:val="auto"/>
          <w:highlight w:val="none"/>
        </w:rPr>
        <w:t>（3）</w:t>
      </w:r>
      <w:r>
        <w:rPr>
          <w:rFonts w:hint="eastAsia"/>
          <w:color w:val="auto"/>
          <w:highlight w:val="none"/>
          <w:u w:val="single"/>
        </w:rPr>
        <w:t>采取有效地防护措施，保护项目区原有的地上、地下管线和设施、树木不受损坏。造成损坏的，应恢复原状或给予经济赔偿</w:t>
      </w:r>
      <w:r>
        <w:rPr>
          <w:rFonts w:hint="eastAsia"/>
          <w:color w:val="auto"/>
          <w:highlight w:val="none"/>
        </w:rPr>
        <w:t>。</w:t>
      </w:r>
      <w:r>
        <w:rPr>
          <w:rFonts w:hint="eastAsia" w:ascii="宋体" w:hAnsi="宋体" w:cs="宋体"/>
          <w:color w:val="auto"/>
          <w:kern w:val="0"/>
          <w:szCs w:val="21"/>
          <w:highlight w:val="none"/>
          <w:lang w:bidi="ar"/>
        </w:rPr>
        <w:t xml:space="preserve"> </w:t>
      </w:r>
    </w:p>
    <w:p w14:paraId="56BCE831">
      <w:pPr>
        <w:spacing w:line="400" w:lineRule="exact"/>
        <w:ind w:firstLine="420" w:firstLineChars="200"/>
        <w:rPr>
          <w:color w:val="auto"/>
          <w:highlight w:val="none"/>
        </w:rPr>
      </w:pPr>
      <w:r>
        <w:rPr>
          <w:color w:val="auto"/>
          <w:highlight w:val="none"/>
        </w:rPr>
        <w:t>7.3.2开工通知</w:t>
      </w:r>
    </w:p>
    <w:p w14:paraId="4627B717">
      <w:pPr>
        <w:spacing w:line="400" w:lineRule="exact"/>
        <w:ind w:firstLine="420" w:firstLineChars="200"/>
        <w:rPr>
          <w:color w:val="auto"/>
          <w:highlight w:val="none"/>
        </w:rPr>
      </w:pPr>
      <w:r>
        <w:rPr>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rPr>
        <w:t>90</w:t>
      </w:r>
      <w:r>
        <w:rPr>
          <w:color w:val="auto"/>
          <w:highlight w:val="none"/>
          <w:u w:val="single"/>
        </w:rPr>
        <w:t xml:space="preserve"> </w:t>
      </w:r>
      <w:r>
        <w:rPr>
          <w:color w:val="auto"/>
          <w:highlight w:val="none"/>
        </w:rPr>
        <w:t>天内发出开工通知的，承包人有权提出价格调整要求，或者解除合同。</w:t>
      </w:r>
    </w:p>
    <w:bookmarkEnd w:id="617"/>
    <w:bookmarkEnd w:id="618"/>
    <w:bookmarkEnd w:id="619"/>
    <w:bookmarkEnd w:id="620"/>
    <w:bookmarkEnd w:id="621"/>
    <w:bookmarkEnd w:id="622"/>
    <w:bookmarkEnd w:id="623"/>
    <w:p w14:paraId="390244CA">
      <w:pPr>
        <w:pStyle w:val="13"/>
        <w:rPr>
          <w:b/>
          <w:color w:val="auto"/>
          <w:highlight w:val="none"/>
        </w:rPr>
      </w:pPr>
      <w:bookmarkStart w:id="628" w:name="_Toc21403"/>
      <w:bookmarkStart w:id="629" w:name="_Toc150947472"/>
      <w:bookmarkStart w:id="630" w:name="_Toc256000323"/>
      <w:bookmarkStart w:id="631" w:name="_Toc29269"/>
      <w:r>
        <w:rPr>
          <w:b/>
          <w:color w:val="auto"/>
          <w:highlight w:val="none"/>
        </w:rPr>
        <w:t>7.4 测量放线</w:t>
      </w:r>
      <w:bookmarkEnd w:id="628"/>
      <w:bookmarkEnd w:id="629"/>
      <w:bookmarkEnd w:id="630"/>
      <w:bookmarkEnd w:id="631"/>
    </w:p>
    <w:p w14:paraId="100213CC">
      <w:pPr>
        <w:spacing w:line="400" w:lineRule="exact"/>
        <w:ind w:firstLine="420" w:firstLineChars="200"/>
        <w:rPr>
          <w:color w:val="auto"/>
          <w:highlight w:val="none"/>
        </w:rPr>
      </w:pPr>
      <w:r>
        <w:rPr>
          <w:color w:val="auto"/>
          <w:highlight w:val="none"/>
        </w:rPr>
        <w:t>7.4.1发包人通过监理人向承包人提供测量基准点、基准线和水准点及其书面资料的期限：</w:t>
      </w:r>
      <w:r>
        <w:rPr>
          <w:rFonts w:hint="eastAsia"/>
          <w:color w:val="auto"/>
          <w:highlight w:val="none"/>
          <w:u w:val="single"/>
        </w:rPr>
        <w:t>执行通用合同条款</w:t>
      </w:r>
      <w:r>
        <w:rPr>
          <w:color w:val="auto"/>
          <w:highlight w:val="none"/>
        </w:rPr>
        <w:t xml:space="preserve"> 。</w:t>
      </w:r>
    </w:p>
    <w:p w14:paraId="185C7489">
      <w:pPr>
        <w:pStyle w:val="13"/>
        <w:rPr>
          <w:b/>
          <w:color w:val="auto"/>
          <w:highlight w:val="none"/>
        </w:rPr>
      </w:pPr>
      <w:bookmarkStart w:id="632" w:name="_Toc256000324"/>
      <w:bookmarkStart w:id="633" w:name="_Toc27701"/>
      <w:bookmarkStart w:id="634" w:name="_Toc25142"/>
      <w:bookmarkStart w:id="635" w:name="_Toc150947473"/>
      <w:r>
        <w:rPr>
          <w:b/>
          <w:color w:val="auto"/>
          <w:highlight w:val="none"/>
        </w:rPr>
        <w:t>7</w:t>
      </w:r>
      <w:bookmarkStart w:id="636" w:name="_Toc303539125"/>
      <w:bookmarkStart w:id="637" w:name="_Toc297123516"/>
      <w:bookmarkStart w:id="638" w:name="_Toc297216175"/>
      <w:bookmarkStart w:id="639" w:name="_Toc300934968"/>
      <w:bookmarkStart w:id="640" w:name="_Toc312678010"/>
      <w:bookmarkStart w:id="641" w:name="_Toc312677484"/>
      <w:bookmarkStart w:id="642" w:name="_Toc304295546"/>
      <w:r>
        <w:rPr>
          <w:b/>
          <w:color w:val="auto"/>
          <w:highlight w:val="none"/>
        </w:rPr>
        <w:t>.5 工期延误</w:t>
      </w:r>
      <w:bookmarkEnd w:id="632"/>
      <w:bookmarkEnd w:id="633"/>
      <w:bookmarkEnd w:id="634"/>
      <w:bookmarkEnd w:id="635"/>
      <w:r>
        <w:rPr>
          <w:rFonts w:hint="eastAsia"/>
          <w:b/>
          <w:color w:val="auto"/>
          <w:highlight w:val="none"/>
        </w:rPr>
        <w:t xml:space="preserve">              </w:t>
      </w:r>
    </w:p>
    <w:bookmarkEnd w:id="636"/>
    <w:bookmarkEnd w:id="637"/>
    <w:bookmarkEnd w:id="638"/>
    <w:bookmarkEnd w:id="639"/>
    <w:bookmarkEnd w:id="640"/>
    <w:bookmarkEnd w:id="641"/>
    <w:bookmarkEnd w:id="642"/>
    <w:p w14:paraId="771D359F">
      <w:pPr>
        <w:spacing w:line="400" w:lineRule="exact"/>
        <w:ind w:firstLine="420" w:firstLineChars="200"/>
        <w:rPr>
          <w:color w:val="auto"/>
          <w:highlight w:val="none"/>
        </w:rPr>
      </w:pPr>
      <w:r>
        <w:rPr>
          <w:color w:val="auto"/>
          <w:highlight w:val="none"/>
        </w:rPr>
        <w:t>7.5.1 因发包人原因导致工期延误</w:t>
      </w:r>
    </w:p>
    <w:p w14:paraId="67EB6429">
      <w:pPr>
        <w:spacing w:line="400" w:lineRule="exact"/>
        <w:rPr>
          <w:color w:val="auto"/>
          <w:highlight w:val="none"/>
        </w:rPr>
      </w:pPr>
      <w:r>
        <w:rPr>
          <w:color w:val="auto"/>
          <w:highlight w:val="none"/>
        </w:rPr>
        <w:t>（7）因发包人原因导致工期延误的其他情形：</w:t>
      </w:r>
      <w:r>
        <w:rPr>
          <w:rFonts w:hint="eastAsia"/>
          <w:color w:val="auto"/>
          <w:highlight w:val="none"/>
          <w:u w:val="single"/>
        </w:rPr>
        <w:t xml:space="preserve">   / </w:t>
      </w:r>
      <w:r>
        <w:rPr>
          <w:color w:val="auto"/>
          <w:highlight w:val="none"/>
          <w:u w:val="single"/>
        </w:rPr>
        <w:t xml:space="preserve">   </w:t>
      </w:r>
      <w:r>
        <w:rPr>
          <w:color w:val="auto"/>
          <w:highlight w:val="none"/>
        </w:rPr>
        <w:t>。</w:t>
      </w:r>
    </w:p>
    <w:p w14:paraId="12A31E30">
      <w:pPr>
        <w:spacing w:line="400" w:lineRule="exact"/>
        <w:ind w:firstLine="420" w:firstLineChars="200"/>
        <w:rPr>
          <w:color w:val="auto"/>
          <w:highlight w:val="none"/>
        </w:rPr>
      </w:pPr>
      <w:r>
        <w:rPr>
          <w:color w:val="auto"/>
          <w:highlight w:val="none"/>
        </w:rPr>
        <w:t>7</w:t>
      </w:r>
      <w:bookmarkStart w:id="643" w:name="_Toc318581169"/>
      <w:bookmarkStart w:id="644" w:name="_Toc312678012"/>
      <w:bookmarkStart w:id="645" w:name="_Toc312677486"/>
      <w:bookmarkStart w:id="646" w:name="_Toc304295548"/>
      <w:bookmarkStart w:id="647" w:name="_Toc297216177"/>
      <w:bookmarkStart w:id="648" w:name="_Toc300934970"/>
      <w:bookmarkStart w:id="649" w:name="_Toc303539127"/>
      <w:bookmarkStart w:id="650" w:name="_Toc297123518"/>
      <w:r>
        <w:rPr>
          <w:color w:val="auto"/>
          <w:highlight w:val="none"/>
        </w:rPr>
        <w:t>.5.2 因承包人原因导致工期延误</w:t>
      </w:r>
    </w:p>
    <w:bookmarkEnd w:id="643"/>
    <w:bookmarkEnd w:id="644"/>
    <w:bookmarkEnd w:id="645"/>
    <w:p w14:paraId="3B046FD8">
      <w:pPr>
        <w:spacing w:line="400" w:lineRule="exact"/>
        <w:ind w:firstLine="420" w:firstLineChars="200"/>
        <w:rPr>
          <w:color w:val="auto"/>
          <w:highlight w:val="none"/>
        </w:rPr>
      </w:pPr>
      <w:r>
        <w:rPr>
          <w:color w:val="auto"/>
          <w:highlight w:val="none"/>
        </w:rPr>
        <w:t>因</w:t>
      </w:r>
      <w:bookmarkStart w:id="651" w:name="_Toc312678013"/>
      <w:bookmarkStart w:id="652" w:name="_Toc312677487"/>
      <w:bookmarkStart w:id="653" w:name="_Toc318581170"/>
      <w:r>
        <w:rPr>
          <w:color w:val="auto"/>
          <w:highlight w:val="none"/>
        </w:rPr>
        <w:t>承包人原因造成工期延误，逾期竣工违约金的计算方法为：</w:t>
      </w:r>
      <w:bookmarkEnd w:id="646"/>
      <w:bookmarkEnd w:id="647"/>
      <w:bookmarkEnd w:id="648"/>
      <w:bookmarkEnd w:id="649"/>
      <w:bookmarkEnd w:id="650"/>
      <w:bookmarkEnd w:id="651"/>
      <w:bookmarkEnd w:id="652"/>
      <w:bookmarkEnd w:id="653"/>
      <w:r>
        <w:rPr>
          <w:color w:val="auto"/>
          <w:highlight w:val="none"/>
          <w:u w:val="single"/>
        </w:rPr>
        <w:t>按签约合同价的万分之五每日计算</w:t>
      </w:r>
      <w:r>
        <w:rPr>
          <w:color w:val="auto"/>
          <w:highlight w:val="none"/>
        </w:rPr>
        <w:t>。</w:t>
      </w:r>
    </w:p>
    <w:p w14:paraId="3A070D04">
      <w:pPr>
        <w:spacing w:line="400" w:lineRule="exact"/>
        <w:ind w:firstLine="420" w:firstLineChars="200"/>
        <w:rPr>
          <w:color w:val="auto"/>
          <w:highlight w:val="none"/>
        </w:rPr>
      </w:pPr>
      <w:r>
        <w:rPr>
          <w:color w:val="auto"/>
          <w:highlight w:val="none"/>
        </w:rPr>
        <w:t>因承包人原因造成工期延误，逾</w:t>
      </w:r>
      <w:bookmarkStart w:id="654" w:name="_Toc318581171"/>
      <w:bookmarkStart w:id="655" w:name="_Toc312678014"/>
      <w:r>
        <w:rPr>
          <w:color w:val="auto"/>
          <w:highlight w:val="none"/>
        </w:rPr>
        <w:t>期竣工违约金的上限：</w:t>
      </w:r>
      <w:r>
        <w:rPr>
          <w:color w:val="auto"/>
          <w:highlight w:val="none"/>
          <w:u w:val="single"/>
        </w:rPr>
        <w:t>签约合同价的</w:t>
      </w:r>
      <w:r>
        <w:rPr>
          <w:rFonts w:hint="eastAsia"/>
          <w:color w:val="auto"/>
          <w:highlight w:val="none"/>
          <w:u w:val="single"/>
        </w:rPr>
        <w:t>5</w:t>
      </w:r>
      <w:r>
        <w:rPr>
          <w:color w:val="auto"/>
          <w:highlight w:val="none"/>
          <w:u w:val="single"/>
        </w:rPr>
        <w:t>%</w:t>
      </w:r>
      <w:r>
        <w:rPr>
          <w:color w:val="auto"/>
          <w:highlight w:val="none"/>
        </w:rPr>
        <w:t>。</w:t>
      </w:r>
    </w:p>
    <w:bookmarkEnd w:id="654"/>
    <w:bookmarkEnd w:id="655"/>
    <w:p w14:paraId="6E9CE451">
      <w:pPr>
        <w:pStyle w:val="13"/>
        <w:rPr>
          <w:b/>
          <w:color w:val="auto"/>
          <w:highlight w:val="none"/>
        </w:rPr>
      </w:pPr>
      <w:bookmarkStart w:id="656" w:name="_Toc13330"/>
      <w:bookmarkStart w:id="657" w:name="_Toc150947474"/>
      <w:bookmarkStart w:id="658" w:name="_Toc25625"/>
      <w:bookmarkStart w:id="659" w:name="_Toc256000325"/>
      <w:r>
        <w:rPr>
          <w:b/>
          <w:color w:val="auto"/>
          <w:highlight w:val="none"/>
        </w:rPr>
        <w:t>7</w:t>
      </w:r>
      <w:bookmarkStart w:id="660" w:name="_Toc304295549"/>
      <w:bookmarkStart w:id="661" w:name="_Toc300934971"/>
      <w:bookmarkStart w:id="662" w:name="_Toc312678015"/>
      <w:bookmarkStart w:id="663" w:name="_Toc303539128"/>
      <w:bookmarkStart w:id="664" w:name="_Toc297123519"/>
      <w:bookmarkStart w:id="665" w:name="_Toc297216178"/>
      <w:r>
        <w:rPr>
          <w:b/>
          <w:color w:val="auto"/>
          <w:highlight w:val="none"/>
        </w:rPr>
        <w:t>.6 不</w:t>
      </w:r>
      <w:bookmarkEnd w:id="660"/>
      <w:bookmarkEnd w:id="661"/>
      <w:bookmarkEnd w:id="662"/>
      <w:bookmarkEnd w:id="663"/>
      <w:bookmarkEnd w:id="664"/>
      <w:bookmarkEnd w:id="665"/>
      <w:r>
        <w:rPr>
          <w:b/>
          <w:color w:val="auto"/>
          <w:highlight w:val="none"/>
        </w:rPr>
        <w:t>利物质条件</w:t>
      </w:r>
      <w:bookmarkEnd w:id="656"/>
      <w:bookmarkEnd w:id="657"/>
      <w:bookmarkEnd w:id="658"/>
      <w:bookmarkEnd w:id="659"/>
    </w:p>
    <w:p w14:paraId="1AE2D43F">
      <w:pPr>
        <w:spacing w:line="400" w:lineRule="exact"/>
        <w:ind w:firstLine="420" w:firstLineChars="200"/>
        <w:rPr>
          <w:color w:val="auto"/>
          <w:highlight w:val="none"/>
        </w:rPr>
      </w:pPr>
      <w:bookmarkStart w:id="666" w:name="_Toc318581172"/>
      <w:bookmarkStart w:id="667" w:name="_Toc297123520"/>
      <w:bookmarkStart w:id="668" w:name="_Toc303539129"/>
      <w:bookmarkStart w:id="669" w:name="_Toc297216179"/>
      <w:bookmarkStart w:id="670" w:name="_Toc304295550"/>
      <w:bookmarkStart w:id="671" w:name="_Toc300934972"/>
      <w:bookmarkStart w:id="672" w:name="_Toc312678016"/>
      <w:r>
        <w:rPr>
          <w:color w:val="auto"/>
          <w:highlight w:val="none"/>
        </w:rPr>
        <w:t>不利物质条件的其他情形和有关约定：</w:t>
      </w:r>
    </w:p>
    <w:p w14:paraId="21A20F21">
      <w:pPr>
        <w:spacing w:line="400" w:lineRule="exact"/>
        <w:ind w:firstLine="420" w:firstLineChars="200"/>
        <w:rPr>
          <w:color w:val="auto"/>
          <w:highlight w:val="none"/>
        </w:rPr>
      </w:pPr>
      <w:r>
        <w:rPr>
          <w:rFonts w:hint="eastAsia"/>
          <w:color w:val="auto"/>
          <w:highlight w:val="none"/>
        </w:rPr>
        <w:t>（1）</w:t>
      </w:r>
      <w:r>
        <w:rPr>
          <w:color w:val="auto"/>
          <w:highlight w:val="none"/>
          <w:u w:val="single"/>
        </w:rPr>
        <w:t>特殊土壤条件：在农田建设区域内，若出现盐碱化程度超出正常耕种标准且严重影响农作物生长的土壤</w:t>
      </w:r>
      <w:r>
        <w:rPr>
          <w:rFonts w:hint="eastAsia"/>
          <w:color w:val="auto"/>
          <w:highlight w:val="none"/>
        </w:rPr>
        <w:t>；</w:t>
      </w:r>
    </w:p>
    <w:p w14:paraId="7377B458">
      <w:pPr>
        <w:spacing w:line="400" w:lineRule="exact"/>
        <w:ind w:firstLine="420" w:firstLineChars="200"/>
        <w:rPr>
          <w:color w:val="auto"/>
          <w:highlight w:val="none"/>
        </w:rPr>
      </w:pPr>
      <w:r>
        <w:rPr>
          <w:rFonts w:hint="eastAsia"/>
          <w:color w:val="auto"/>
          <w:highlight w:val="none"/>
        </w:rPr>
        <w:t>（2）</w:t>
      </w:r>
      <w:r>
        <w:rPr>
          <w:color w:val="auto"/>
          <w:highlight w:val="none"/>
          <w:u w:val="single"/>
        </w:rPr>
        <w:t>地下不明障碍物：施工过程中遇到地下埋藏的各类不明障碍物</w:t>
      </w:r>
      <w:r>
        <w:rPr>
          <w:rFonts w:hint="eastAsia"/>
          <w:color w:val="auto"/>
          <w:highlight w:val="none"/>
        </w:rPr>
        <w:t>；</w:t>
      </w:r>
    </w:p>
    <w:p w14:paraId="78B051DD">
      <w:pPr>
        <w:spacing w:line="400" w:lineRule="exact"/>
        <w:ind w:firstLine="420" w:firstLineChars="200"/>
        <w:rPr>
          <w:color w:val="auto"/>
          <w:highlight w:val="none"/>
        </w:rPr>
      </w:pPr>
      <w:r>
        <w:rPr>
          <w:rFonts w:hint="eastAsia"/>
          <w:color w:val="auto"/>
          <w:highlight w:val="none"/>
        </w:rPr>
        <w:t>（3）</w:t>
      </w:r>
      <w:r>
        <w:rPr>
          <w:color w:val="auto"/>
          <w:highlight w:val="none"/>
          <w:u w:val="single"/>
        </w:rPr>
        <w:t>突发有害生物源：施工过程中发现农田区域内存在突发的、对农作物具有严重危害性的生物源</w:t>
      </w:r>
      <w:r>
        <w:rPr>
          <w:rFonts w:hint="eastAsia"/>
          <w:color w:val="auto"/>
          <w:highlight w:val="none"/>
        </w:rPr>
        <w:t>；</w:t>
      </w:r>
    </w:p>
    <w:p w14:paraId="6F77CB4B">
      <w:pPr>
        <w:spacing w:line="400" w:lineRule="exact"/>
        <w:ind w:firstLine="420" w:firstLineChars="200"/>
        <w:rPr>
          <w:color w:val="auto"/>
          <w:highlight w:val="none"/>
        </w:rPr>
      </w:pPr>
      <w:r>
        <w:rPr>
          <w:rFonts w:hint="eastAsia"/>
          <w:color w:val="auto"/>
          <w:highlight w:val="none"/>
        </w:rPr>
        <w:t>（4）</w:t>
      </w:r>
      <w:r>
        <w:rPr>
          <w:rFonts w:hint="eastAsia"/>
          <w:color w:val="auto"/>
          <w:highlight w:val="none"/>
          <w:u w:val="single"/>
        </w:rPr>
        <w:t>其他</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bookmarkEnd w:id="666"/>
    <w:bookmarkEnd w:id="667"/>
    <w:bookmarkEnd w:id="668"/>
    <w:bookmarkEnd w:id="669"/>
    <w:bookmarkEnd w:id="670"/>
    <w:bookmarkEnd w:id="671"/>
    <w:bookmarkEnd w:id="672"/>
    <w:p w14:paraId="049BB20F">
      <w:pPr>
        <w:pStyle w:val="13"/>
        <w:rPr>
          <w:b/>
          <w:color w:val="auto"/>
          <w:highlight w:val="none"/>
        </w:rPr>
      </w:pPr>
      <w:bookmarkStart w:id="673" w:name="_Toc9861"/>
      <w:bookmarkStart w:id="674" w:name="_Toc256000326"/>
      <w:bookmarkStart w:id="675" w:name="_Toc150947475"/>
      <w:bookmarkStart w:id="676" w:name="_Toc26356"/>
      <w:r>
        <w:rPr>
          <w:b/>
          <w:color w:val="auto"/>
          <w:highlight w:val="none"/>
        </w:rPr>
        <w:t>7</w:t>
      </w:r>
      <w:bookmarkStart w:id="677" w:name="_Toc297216180"/>
      <w:bookmarkStart w:id="678" w:name="_Toc304295551"/>
      <w:bookmarkStart w:id="679" w:name="_Toc312678017"/>
      <w:bookmarkStart w:id="680" w:name="_Toc300934973"/>
      <w:bookmarkStart w:id="681" w:name="_Toc303539130"/>
      <w:bookmarkStart w:id="682" w:name="_Toc297123521"/>
      <w:r>
        <w:rPr>
          <w:b/>
          <w:color w:val="auto"/>
          <w:highlight w:val="none"/>
        </w:rPr>
        <w:t>.7异常恶劣的气候条件</w:t>
      </w:r>
      <w:bookmarkEnd w:id="673"/>
      <w:bookmarkEnd w:id="674"/>
      <w:bookmarkEnd w:id="675"/>
      <w:bookmarkEnd w:id="676"/>
    </w:p>
    <w:bookmarkEnd w:id="677"/>
    <w:bookmarkEnd w:id="678"/>
    <w:bookmarkEnd w:id="679"/>
    <w:bookmarkEnd w:id="680"/>
    <w:bookmarkEnd w:id="681"/>
    <w:bookmarkEnd w:id="682"/>
    <w:p w14:paraId="01E65FA1">
      <w:pPr>
        <w:spacing w:line="400" w:lineRule="exact"/>
        <w:ind w:firstLine="420" w:firstLineChars="200"/>
        <w:rPr>
          <w:color w:val="auto"/>
          <w:highlight w:val="none"/>
        </w:rPr>
      </w:pPr>
      <w:r>
        <w:rPr>
          <w:color w:val="auto"/>
          <w:highlight w:val="none"/>
        </w:rPr>
        <w:t>发包人和承包人同意以下情形视为异常恶劣的气候条件：</w:t>
      </w:r>
    </w:p>
    <w:p w14:paraId="4E9AB698">
      <w:pPr>
        <w:spacing w:line="400" w:lineRule="exact"/>
        <w:ind w:firstLine="420" w:firstLineChars="200"/>
        <w:rPr>
          <w:color w:val="auto"/>
          <w:highlight w:val="none"/>
        </w:rPr>
      </w:pPr>
      <w:r>
        <w:rPr>
          <w:rFonts w:hint="eastAsia"/>
          <w:color w:val="auto"/>
          <w:highlight w:val="none"/>
        </w:rPr>
        <w:t>（1）</w:t>
      </w:r>
      <w:r>
        <w:rPr>
          <w:rFonts w:hint="eastAsia"/>
          <w:color w:val="auto"/>
          <w:highlight w:val="none"/>
          <w:u w:val="single"/>
        </w:rPr>
        <w:t>暴雨洪涝类：连续三日及以上日降雨量达到100毫米及以上，且造成项目区内农田严重积水，积水深度超过30厘米，持续时间达48小时以上</w:t>
      </w:r>
      <w:r>
        <w:rPr>
          <w:rFonts w:hint="eastAsia"/>
          <w:color w:val="auto"/>
          <w:highlight w:val="none"/>
        </w:rPr>
        <w:t>；</w:t>
      </w:r>
    </w:p>
    <w:p w14:paraId="49BCC0E0">
      <w:pPr>
        <w:spacing w:line="400" w:lineRule="exact"/>
        <w:ind w:firstLine="420" w:firstLineChars="200"/>
        <w:rPr>
          <w:color w:val="auto"/>
          <w:highlight w:val="none"/>
        </w:rPr>
      </w:pPr>
      <w:r>
        <w:rPr>
          <w:rFonts w:hint="eastAsia"/>
          <w:color w:val="auto"/>
          <w:highlight w:val="none"/>
        </w:rPr>
        <w:t>（2）</w:t>
      </w:r>
      <w:r>
        <w:rPr>
          <w:rFonts w:hint="eastAsia"/>
          <w:color w:val="auto"/>
          <w:highlight w:val="none"/>
          <w:u w:val="single"/>
        </w:rPr>
        <w:t>暴雪冰冻类：连续五日及以上日降雪量达到15毫米及以上，且积雪深度超过30厘米，伴随平均气温持续低于 - 15℃</w:t>
      </w:r>
      <w:r>
        <w:rPr>
          <w:rFonts w:hint="eastAsia"/>
          <w:color w:val="auto"/>
          <w:highlight w:val="none"/>
        </w:rPr>
        <w:t>；</w:t>
      </w:r>
    </w:p>
    <w:p w14:paraId="49E8570B">
      <w:pPr>
        <w:spacing w:line="400" w:lineRule="exact"/>
        <w:ind w:firstLine="420" w:firstLineChars="200"/>
        <w:rPr>
          <w:color w:val="auto"/>
          <w:highlight w:val="none"/>
        </w:rPr>
      </w:pPr>
      <w:r>
        <w:rPr>
          <w:rFonts w:hint="eastAsia"/>
          <w:color w:val="auto"/>
          <w:highlight w:val="none"/>
        </w:rPr>
        <w:t>（3）</w:t>
      </w:r>
      <w:r>
        <w:rPr>
          <w:rFonts w:hint="eastAsia"/>
          <w:color w:val="auto"/>
          <w:highlight w:val="none"/>
          <w:u w:val="single"/>
        </w:rPr>
        <w:t>大风类：风力达到10级及以上的大风天气，持续时间超过12小时</w:t>
      </w:r>
      <w:r>
        <w:rPr>
          <w:rFonts w:hint="eastAsia"/>
          <w:color w:val="auto"/>
          <w:highlight w:val="none"/>
        </w:rPr>
        <w:t>；</w:t>
      </w:r>
    </w:p>
    <w:p w14:paraId="72514FA7">
      <w:pPr>
        <w:spacing w:line="400" w:lineRule="exact"/>
        <w:ind w:firstLine="420" w:firstLineChars="200"/>
        <w:rPr>
          <w:color w:val="auto"/>
          <w:highlight w:val="none"/>
        </w:rPr>
      </w:pPr>
      <w:r>
        <w:rPr>
          <w:rFonts w:hint="eastAsia"/>
          <w:color w:val="auto"/>
          <w:highlight w:val="none"/>
        </w:rPr>
        <w:t>（4）</w:t>
      </w:r>
      <w:r>
        <w:rPr>
          <w:rFonts w:hint="eastAsia"/>
          <w:color w:val="auto"/>
          <w:highlight w:val="none"/>
          <w:u w:val="single"/>
        </w:rPr>
        <w:t>极端干旱类：连续90日及以上无有效降雨（日降雨量小于0.1毫米），且项目区内土壤相对湿度低于30%</w:t>
      </w:r>
      <w:r>
        <w:rPr>
          <w:rFonts w:hint="eastAsia"/>
          <w:color w:val="auto"/>
          <w:highlight w:val="none"/>
        </w:rPr>
        <w:t>；</w:t>
      </w:r>
    </w:p>
    <w:p w14:paraId="73184FD2">
      <w:pPr>
        <w:spacing w:line="400" w:lineRule="exact"/>
        <w:ind w:firstLine="420" w:firstLineChars="200"/>
        <w:rPr>
          <w:color w:val="auto"/>
          <w:highlight w:val="none"/>
        </w:rPr>
      </w:pPr>
      <w:r>
        <w:rPr>
          <w:rFonts w:hint="eastAsia"/>
          <w:color w:val="auto"/>
          <w:highlight w:val="none"/>
        </w:rPr>
        <w:t>（5）</w:t>
      </w:r>
      <w:r>
        <w:rPr>
          <w:rFonts w:hint="eastAsia"/>
          <w:color w:val="auto"/>
          <w:highlight w:val="none"/>
          <w:u w:val="single"/>
        </w:rPr>
        <w:t>高温热浪类：连续 15 天及以上日最高气温达到 38℃及以上，且夜间最低气温持续高于 28℃，形成高温热浪天气</w:t>
      </w:r>
      <w:r>
        <w:rPr>
          <w:rFonts w:hint="eastAsia"/>
          <w:color w:val="auto"/>
          <w:highlight w:val="none"/>
        </w:rPr>
        <w:t>；</w:t>
      </w:r>
    </w:p>
    <w:p w14:paraId="6D6F6F43">
      <w:pPr>
        <w:spacing w:line="400" w:lineRule="exact"/>
        <w:ind w:firstLine="420" w:firstLineChars="200"/>
        <w:rPr>
          <w:color w:val="auto"/>
          <w:highlight w:val="none"/>
        </w:rPr>
      </w:pPr>
      <w:r>
        <w:rPr>
          <w:rFonts w:hint="eastAsia"/>
          <w:color w:val="auto"/>
          <w:highlight w:val="none"/>
        </w:rPr>
        <w:t>（6）</w:t>
      </w:r>
      <w:r>
        <w:rPr>
          <w:rFonts w:hint="eastAsia"/>
          <w:color w:val="auto"/>
          <w:highlight w:val="none"/>
          <w:u w:val="single"/>
        </w:rPr>
        <w:t>其他</w:t>
      </w:r>
      <w:r>
        <w:rPr>
          <w:rFonts w:hint="eastAsia"/>
          <w:color w:val="auto"/>
          <w:highlight w:val="non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3EA559AB">
      <w:pPr>
        <w:pStyle w:val="13"/>
        <w:rPr>
          <w:b/>
          <w:color w:val="auto"/>
          <w:highlight w:val="none"/>
        </w:rPr>
      </w:pPr>
      <w:bookmarkStart w:id="683" w:name="_Toc28193"/>
      <w:bookmarkStart w:id="684" w:name="_Toc256000327"/>
      <w:bookmarkStart w:id="685" w:name="_Toc150947476"/>
      <w:bookmarkStart w:id="686" w:name="_Toc21348"/>
      <w:r>
        <w:rPr>
          <w:b/>
          <w:color w:val="auto"/>
          <w:highlight w:val="none"/>
        </w:rPr>
        <w:t>7.9 提前竣工的奖励</w:t>
      </w:r>
      <w:bookmarkEnd w:id="683"/>
      <w:bookmarkEnd w:id="684"/>
      <w:bookmarkEnd w:id="685"/>
      <w:bookmarkEnd w:id="686"/>
    </w:p>
    <w:p w14:paraId="41848C15">
      <w:pPr>
        <w:spacing w:line="400" w:lineRule="exact"/>
        <w:ind w:firstLine="420" w:firstLineChars="200"/>
        <w:rPr>
          <w:color w:val="auto"/>
          <w:highlight w:val="none"/>
        </w:rPr>
      </w:pPr>
      <w:r>
        <w:rPr>
          <w:color w:val="auto"/>
          <w:highlight w:val="none"/>
        </w:rPr>
        <w:t>7.9.2提前竣工的奖励：</w:t>
      </w:r>
      <w:r>
        <w:rPr>
          <w:rFonts w:hint="eastAsia"/>
          <w:color w:val="auto"/>
          <w:highlight w:val="none"/>
          <w:u w:val="single"/>
        </w:rPr>
        <w:t xml:space="preserve">   无</w:t>
      </w:r>
      <w:r>
        <w:rPr>
          <w:color w:val="auto"/>
          <w:highlight w:val="none"/>
          <w:u w:val="single"/>
        </w:rPr>
        <w:t xml:space="preserve">   </w:t>
      </w:r>
      <w:r>
        <w:rPr>
          <w:color w:val="auto"/>
          <w:highlight w:val="none"/>
        </w:rPr>
        <w:t>。</w:t>
      </w:r>
    </w:p>
    <w:p w14:paraId="29B1AC4E">
      <w:pPr>
        <w:pStyle w:val="12"/>
        <w:rPr>
          <w:b/>
          <w:color w:val="auto"/>
          <w:highlight w:val="none"/>
        </w:rPr>
      </w:pPr>
      <w:bookmarkStart w:id="687" w:name="_Toc351203640"/>
      <w:bookmarkStart w:id="688" w:name="_Toc22801"/>
      <w:bookmarkStart w:id="689" w:name="_Toc150947477"/>
      <w:bookmarkStart w:id="690" w:name="_Toc256000328"/>
      <w:r>
        <w:rPr>
          <w:b/>
          <w:color w:val="auto"/>
          <w:highlight w:val="none"/>
        </w:rPr>
        <w:t>8. 材料与设备</w:t>
      </w:r>
      <w:bookmarkEnd w:id="687"/>
      <w:bookmarkEnd w:id="688"/>
      <w:bookmarkEnd w:id="689"/>
      <w:bookmarkEnd w:id="690"/>
    </w:p>
    <w:bookmarkEnd w:id="571"/>
    <w:bookmarkEnd w:id="572"/>
    <w:bookmarkEnd w:id="573"/>
    <w:bookmarkEnd w:id="574"/>
    <w:bookmarkEnd w:id="575"/>
    <w:bookmarkEnd w:id="576"/>
    <w:bookmarkEnd w:id="577"/>
    <w:bookmarkEnd w:id="578"/>
    <w:bookmarkEnd w:id="579"/>
    <w:bookmarkEnd w:id="580"/>
    <w:p w14:paraId="74BEFF9F">
      <w:pPr>
        <w:pStyle w:val="13"/>
        <w:rPr>
          <w:b/>
          <w:color w:val="auto"/>
          <w:highlight w:val="none"/>
        </w:rPr>
      </w:pPr>
      <w:bookmarkStart w:id="691" w:name="_Toc256000329"/>
      <w:bookmarkStart w:id="692" w:name="_Toc4867"/>
      <w:bookmarkStart w:id="693" w:name="_Toc10528"/>
      <w:bookmarkStart w:id="694" w:name="_Toc150947478"/>
      <w:r>
        <w:rPr>
          <w:b/>
          <w:color w:val="auto"/>
          <w:highlight w:val="none"/>
        </w:rPr>
        <w:t>8</w:t>
      </w:r>
      <w:bookmarkStart w:id="695" w:name="_Toc297123527"/>
      <w:bookmarkStart w:id="696" w:name="_Toc296890995"/>
      <w:bookmarkStart w:id="697" w:name="_Toc296347166"/>
      <w:bookmarkStart w:id="698" w:name="_Toc296944506"/>
      <w:bookmarkStart w:id="699" w:name="_Toc296891207"/>
      <w:bookmarkStart w:id="700" w:name="_Toc292559877"/>
      <w:bookmarkStart w:id="701" w:name="_Toc280868654"/>
      <w:bookmarkStart w:id="702" w:name="_Toc297216186"/>
      <w:bookmarkStart w:id="703" w:name="_Toc296346668"/>
      <w:bookmarkStart w:id="704" w:name="_Toc304295556"/>
      <w:bookmarkStart w:id="705" w:name="_Toc297120467"/>
      <w:bookmarkStart w:id="706" w:name="_Toc312678019"/>
      <w:bookmarkStart w:id="707" w:name="_Toc296503167"/>
      <w:bookmarkStart w:id="708" w:name="_Toc297048353"/>
      <w:bookmarkStart w:id="709" w:name="_Toc292559372"/>
      <w:bookmarkStart w:id="710" w:name="_Toc312677493"/>
      <w:bookmarkStart w:id="711" w:name="_Toc300934979"/>
      <w:bookmarkStart w:id="712" w:name="_Toc303539136"/>
      <w:bookmarkStart w:id="713" w:name="_Toc280868656"/>
      <w:bookmarkStart w:id="714" w:name="_Toc280868655"/>
      <w:bookmarkStart w:id="715" w:name="_Toc267251424"/>
      <w:r>
        <w:rPr>
          <w:b/>
          <w:color w:val="auto"/>
          <w:highlight w:val="none"/>
        </w:rPr>
        <w:t>.4材料与工程设备的保管与使用</w:t>
      </w:r>
      <w:bookmarkEnd w:id="691"/>
      <w:bookmarkEnd w:id="692"/>
      <w:bookmarkEnd w:id="693"/>
      <w:bookmarkEnd w:id="694"/>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3BF25451">
      <w:pPr>
        <w:spacing w:line="400" w:lineRule="exact"/>
        <w:ind w:firstLine="420" w:firstLineChars="200"/>
        <w:rPr>
          <w:color w:val="auto"/>
          <w:highlight w:val="none"/>
        </w:rPr>
      </w:pPr>
      <w:r>
        <w:rPr>
          <w:color w:val="auto"/>
          <w:highlight w:val="none"/>
        </w:rPr>
        <w:t>8</w:t>
      </w:r>
      <w:bookmarkStart w:id="716" w:name="_Toc292559878"/>
      <w:bookmarkStart w:id="717" w:name="_Toc292559373"/>
      <w:bookmarkStart w:id="718" w:name="_Toc304295557"/>
      <w:bookmarkStart w:id="719" w:name="_Toc296944507"/>
      <w:bookmarkStart w:id="720" w:name="_Toc300934980"/>
      <w:bookmarkStart w:id="721" w:name="_Toc303539137"/>
      <w:bookmarkStart w:id="722" w:name="_Toc296503168"/>
      <w:bookmarkStart w:id="723" w:name="_Toc297216187"/>
      <w:bookmarkStart w:id="724" w:name="_Toc297120468"/>
      <w:bookmarkStart w:id="725" w:name="_Toc297123528"/>
      <w:bookmarkStart w:id="726" w:name="_Toc312678020"/>
      <w:bookmarkStart w:id="727" w:name="_Toc296347167"/>
      <w:bookmarkStart w:id="728" w:name="_Toc297048354"/>
      <w:bookmarkStart w:id="729" w:name="_Toc312677494"/>
      <w:bookmarkStart w:id="730" w:name="_Toc296890996"/>
      <w:bookmarkStart w:id="731" w:name="_Toc296346669"/>
      <w:bookmarkStart w:id="732" w:name="_Toc296891208"/>
      <w:bookmarkStart w:id="733" w:name="_Toc318581173"/>
      <w:r>
        <w:rPr>
          <w:color w:val="auto"/>
          <w:highlight w:val="none"/>
        </w:rPr>
        <w:t>.4.1发包人供应的材料设备的保管费用的承担：</w:t>
      </w:r>
      <w:bookmarkEnd w:id="716"/>
      <w:bookmarkEnd w:id="717"/>
      <w:r>
        <w:rPr>
          <w:rFonts w:hint="eastAsia"/>
          <w:color w:val="auto"/>
          <w:highlight w:val="none"/>
          <w:u w:val="single"/>
        </w:rPr>
        <w:t>执行通用合同条款</w:t>
      </w:r>
      <w:r>
        <w:rPr>
          <w:color w:val="auto"/>
          <w:highlight w:val="none"/>
        </w:rPr>
        <w:t>。</w:t>
      </w:r>
    </w:p>
    <w:p w14:paraId="5A23238C">
      <w:pPr>
        <w:pStyle w:val="13"/>
        <w:rPr>
          <w:b/>
          <w:color w:val="auto"/>
          <w:highlight w:val="none"/>
        </w:rPr>
      </w:pPr>
      <w:bookmarkStart w:id="734" w:name="_Toc20304"/>
      <w:bookmarkStart w:id="735" w:name="_Toc150947479"/>
      <w:bookmarkStart w:id="736" w:name="_Toc256000330"/>
      <w:bookmarkStart w:id="737" w:name="_Toc17377"/>
      <w:r>
        <w:rPr>
          <w:b/>
          <w:color w:val="auto"/>
          <w:highlight w:val="none"/>
        </w:rPr>
        <w:t>8.6 样品</w:t>
      </w:r>
      <w:bookmarkEnd w:id="734"/>
      <w:bookmarkEnd w:id="735"/>
      <w:bookmarkEnd w:id="736"/>
      <w:bookmarkEnd w:id="737"/>
    </w:p>
    <w:p w14:paraId="0D5E2558">
      <w:pPr>
        <w:spacing w:line="400" w:lineRule="exact"/>
        <w:ind w:firstLine="420" w:firstLineChars="200"/>
        <w:rPr>
          <w:color w:val="auto"/>
          <w:highlight w:val="none"/>
        </w:rPr>
      </w:pPr>
      <w:r>
        <w:rPr>
          <w:color w:val="auto"/>
          <w:highlight w:val="none"/>
        </w:rPr>
        <w:t>8.6.1样品的报送</w:t>
      </w:r>
      <w:r>
        <w:rPr>
          <w:rFonts w:hint="eastAsia"/>
          <w:color w:val="auto"/>
          <w:highlight w:val="none"/>
        </w:rPr>
        <w:t>与封存</w:t>
      </w:r>
    </w:p>
    <w:p w14:paraId="4A90EB37">
      <w:pPr>
        <w:spacing w:line="400" w:lineRule="exact"/>
        <w:ind w:firstLine="420" w:firstLineChars="200"/>
        <w:rPr>
          <w:color w:val="auto"/>
          <w:highlight w:val="none"/>
          <w:u w:val="single"/>
        </w:rPr>
      </w:pPr>
      <w:bookmarkStart w:id="738" w:name="OLE_LINK7"/>
      <w:r>
        <w:rPr>
          <w:color w:val="auto"/>
          <w:highlight w:val="none"/>
        </w:rPr>
        <w:t>需要承包人报送样品的材料或工程设备，样品的种类、名称、规格、数量要求</w:t>
      </w:r>
      <w:bookmarkEnd w:id="738"/>
      <w:r>
        <w:rPr>
          <w:color w:val="auto"/>
          <w:highlight w:val="none"/>
        </w:rPr>
        <w:t>：</w:t>
      </w:r>
      <w:r>
        <w:rPr>
          <w:rFonts w:hint="eastAsia"/>
          <w:color w:val="auto"/>
          <w:highlight w:val="none"/>
          <w:u w:val="single"/>
        </w:rPr>
        <w:t>按管理部门要求及发包人、监理人需求确定</w:t>
      </w:r>
      <w:r>
        <w:rPr>
          <w:rFonts w:hint="eastAsia"/>
          <w:color w:val="auto"/>
          <w:highlight w:val="none"/>
        </w:rPr>
        <w:t>。</w:t>
      </w:r>
    </w:p>
    <w:p w14:paraId="1F775A29">
      <w:pPr>
        <w:pStyle w:val="13"/>
        <w:rPr>
          <w:color w:val="auto"/>
          <w:highlight w:val="none"/>
        </w:rPr>
      </w:pPr>
      <w:bookmarkStart w:id="739" w:name="_Toc2115"/>
      <w:bookmarkStart w:id="740" w:name="_Toc3257"/>
      <w:bookmarkStart w:id="741" w:name="_Toc256000331"/>
      <w:bookmarkStart w:id="742" w:name="_Toc150947480"/>
      <w:r>
        <w:rPr>
          <w:b/>
          <w:color w:val="auto"/>
          <w:highlight w:val="none"/>
        </w:rPr>
        <w:t>8.8 施工设备和临时设施</w:t>
      </w:r>
      <w:bookmarkEnd w:id="739"/>
      <w:bookmarkEnd w:id="740"/>
      <w:bookmarkEnd w:id="741"/>
      <w:bookmarkEnd w:id="742"/>
    </w:p>
    <w:p w14:paraId="3AEFD904">
      <w:pPr>
        <w:spacing w:line="400" w:lineRule="exact"/>
        <w:ind w:firstLine="420" w:firstLineChars="200"/>
        <w:rPr>
          <w:color w:val="auto"/>
          <w:highlight w:val="none"/>
        </w:rPr>
      </w:pPr>
      <w:r>
        <w:rPr>
          <w:color w:val="auto"/>
          <w:highlight w:val="none"/>
        </w:rPr>
        <w:t>8.8.1 承包人提供的施工设备和临时设施</w:t>
      </w:r>
    </w:p>
    <w:p w14:paraId="450F496C">
      <w:pPr>
        <w:spacing w:line="400" w:lineRule="exact"/>
        <w:ind w:firstLine="420" w:firstLineChars="200"/>
        <w:rPr>
          <w:color w:val="auto"/>
          <w:highlight w:val="none"/>
        </w:rPr>
      </w:pPr>
      <w:r>
        <w:rPr>
          <w:color w:val="auto"/>
          <w:highlight w:val="none"/>
        </w:rPr>
        <w:t>关于修建临时设施费用承担的约定：</w:t>
      </w:r>
      <w:r>
        <w:rPr>
          <w:color w:val="auto"/>
          <w:highlight w:val="none"/>
          <w:u w:val="single"/>
        </w:rPr>
        <w:t>发包人</w:t>
      </w:r>
      <w:r>
        <w:rPr>
          <w:rFonts w:hint="eastAsia"/>
          <w:color w:val="auto"/>
          <w:highlight w:val="none"/>
          <w:u w:val="single"/>
        </w:rPr>
        <w:t>不</w:t>
      </w:r>
      <w:r>
        <w:rPr>
          <w:color w:val="auto"/>
          <w:highlight w:val="none"/>
          <w:u w:val="single"/>
        </w:rPr>
        <w:t>提供施工设备或临时设施</w:t>
      </w:r>
      <w:r>
        <w:rPr>
          <w:rFonts w:hint="eastAsia"/>
          <w:color w:val="auto"/>
          <w:highlight w:val="none"/>
          <w:u w:val="single"/>
        </w:rPr>
        <w:t>，承</w:t>
      </w:r>
      <w:r>
        <w:rPr>
          <w:color w:val="auto"/>
          <w:highlight w:val="none"/>
          <w:u w:val="single"/>
        </w:rPr>
        <w:t>包人应自行承担修建临时设施的费用</w:t>
      </w:r>
      <w:r>
        <w:rPr>
          <w:color w:val="auto"/>
          <w:highlight w:val="none"/>
        </w:rPr>
        <w:t>。</w:t>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14:paraId="2D208D78">
      <w:pPr>
        <w:pStyle w:val="12"/>
        <w:rPr>
          <w:b/>
          <w:color w:val="auto"/>
          <w:highlight w:val="none"/>
        </w:rPr>
      </w:pPr>
      <w:bookmarkStart w:id="743" w:name="_Toc351203641"/>
      <w:bookmarkStart w:id="744" w:name="_Toc150947481"/>
      <w:bookmarkStart w:id="745" w:name="_Toc7392"/>
      <w:bookmarkStart w:id="746" w:name="_Toc256000332"/>
      <w:r>
        <w:rPr>
          <w:b/>
          <w:color w:val="auto"/>
          <w:highlight w:val="none"/>
        </w:rPr>
        <w:t>9</w:t>
      </w:r>
      <w:bookmarkEnd w:id="713"/>
      <w:bookmarkEnd w:id="714"/>
      <w:bookmarkEnd w:id="715"/>
      <w:bookmarkStart w:id="747" w:name="_Toc312677495"/>
      <w:bookmarkStart w:id="748" w:name="_Toc297216192"/>
      <w:bookmarkStart w:id="749" w:name="_Toc297123533"/>
      <w:bookmarkStart w:id="750" w:name="_Toc300934982"/>
      <w:bookmarkStart w:id="751" w:name="_Toc304295559"/>
      <w:bookmarkStart w:id="752" w:name="_Toc303539139"/>
      <w:bookmarkStart w:id="753" w:name="_Toc312678021"/>
      <w:bookmarkStart w:id="754" w:name="_Toc296891213"/>
      <w:bookmarkStart w:id="755" w:name="_Toc296891001"/>
      <w:bookmarkStart w:id="756" w:name="_Toc292559883"/>
      <w:bookmarkStart w:id="757" w:name="_Toc296944512"/>
      <w:bookmarkStart w:id="758" w:name="_Toc297120473"/>
      <w:bookmarkStart w:id="759" w:name="_Toc292559378"/>
      <w:bookmarkStart w:id="760" w:name="_Toc296347172"/>
      <w:bookmarkStart w:id="761" w:name="_Toc297048359"/>
      <w:bookmarkStart w:id="762" w:name="_Toc296503173"/>
      <w:bookmarkStart w:id="763" w:name="_Toc296346674"/>
      <w:bookmarkStart w:id="764" w:name="_Toc267251428"/>
      <w:bookmarkStart w:id="765" w:name="_Toc267251427"/>
      <w:r>
        <w:rPr>
          <w:b/>
          <w:color w:val="auto"/>
          <w:highlight w:val="none"/>
        </w:rPr>
        <w:t>. 试验与检验</w:t>
      </w:r>
      <w:bookmarkEnd w:id="743"/>
      <w:bookmarkEnd w:id="744"/>
      <w:bookmarkEnd w:id="745"/>
      <w:bookmarkEnd w:id="746"/>
    </w:p>
    <w:bookmarkEnd w:id="747"/>
    <w:bookmarkEnd w:id="748"/>
    <w:bookmarkEnd w:id="749"/>
    <w:bookmarkEnd w:id="750"/>
    <w:bookmarkEnd w:id="751"/>
    <w:bookmarkEnd w:id="752"/>
    <w:bookmarkEnd w:id="753"/>
    <w:p w14:paraId="3AF23614">
      <w:pPr>
        <w:pStyle w:val="13"/>
        <w:rPr>
          <w:b/>
          <w:color w:val="auto"/>
          <w:highlight w:val="none"/>
        </w:rPr>
      </w:pPr>
      <w:bookmarkStart w:id="766" w:name="_Toc150947482"/>
      <w:bookmarkStart w:id="767" w:name="_Toc13394"/>
      <w:bookmarkStart w:id="768" w:name="_Toc256000333"/>
      <w:bookmarkStart w:id="769" w:name="_Toc6831"/>
      <w:r>
        <w:rPr>
          <w:b/>
          <w:color w:val="auto"/>
          <w:highlight w:val="none"/>
        </w:rPr>
        <w:t>9</w:t>
      </w:r>
      <w:bookmarkStart w:id="770" w:name="_Toc297216193"/>
      <w:bookmarkStart w:id="771" w:name="_Toc312678022"/>
      <w:bookmarkStart w:id="772" w:name="_Toc303539140"/>
      <w:bookmarkStart w:id="773" w:name="_Toc304295560"/>
      <w:bookmarkStart w:id="774" w:name="_Toc297123534"/>
      <w:bookmarkStart w:id="775" w:name="_Toc300934983"/>
      <w:bookmarkStart w:id="776" w:name="_Toc312677496"/>
      <w:r>
        <w:rPr>
          <w:b/>
          <w:color w:val="auto"/>
          <w:highlight w:val="none"/>
        </w:rPr>
        <w:t>.1试验设备与试验人员</w:t>
      </w:r>
      <w:bookmarkEnd w:id="766"/>
      <w:bookmarkEnd w:id="767"/>
      <w:bookmarkEnd w:id="768"/>
      <w:bookmarkEnd w:id="769"/>
    </w:p>
    <w:bookmarkEnd w:id="770"/>
    <w:bookmarkEnd w:id="771"/>
    <w:bookmarkEnd w:id="772"/>
    <w:bookmarkEnd w:id="773"/>
    <w:bookmarkEnd w:id="774"/>
    <w:bookmarkEnd w:id="775"/>
    <w:bookmarkEnd w:id="776"/>
    <w:p w14:paraId="75BCDE79">
      <w:pPr>
        <w:spacing w:line="400" w:lineRule="exact"/>
        <w:ind w:firstLine="420" w:firstLineChars="200"/>
        <w:rPr>
          <w:color w:val="auto"/>
          <w:highlight w:val="none"/>
        </w:rPr>
      </w:pPr>
      <w:r>
        <w:rPr>
          <w:color w:val="auto"/>
          <w:highlight w:val="none"/>
        </w:rPr>
        <w:t>9</w:t>
      </w:r>
      <w:bookmarkStart w:id="777" w:name="_Toc297216194"/>
      <w:bookmarkStart w:id="778" w:name="_Toc304295561"/>
      <w:bookmarkStart w:id="779" w:name="_Toc300934984"/>
      <w:bookmarkStart w:id="780" w:name="_Toc312678023"/>
      <w:bookmarkStart w:id="781" w:name="_Toc297123535"/>
      <w:bookmarkStart w:id="782" w:name="_Toc312677497"/>
      <w:bookmarkStart w:id="783" w:name="_Toc303539141"/>
      <w:bookmarkStart w:id="784" w:name="_Toc318581174"/>
      <w:r>
        <w:rPr>
          <w:color w:val="auto"/>
          <w:highlight w:val="none"/>
        </w:rPr>
        <w:t>.1.2 试验设备</w:t>
      </w:r>
    </w:p>
    <w:p w14:paraId="3A046BF7">
      <w:pPr>
        <w:spacing w:line="400" w:lineRule="exact"/>
        <w:ind w:firstLine="420" w:firstLineChars="200"/>
        <w:rPr>
          <w:color w:val="auto"/>
          <w:highlight w:val="none"/>
        </w:rPr>
      </w:pPr>
      <w:bookmarkStart w:id="785" w:name="OLE_LINK8"/>
      <w:r>
        <w:rPr>
          <w:color w:val="auto"/>
          <w:highlight w:val="none"/>
        </w:rPr>
        <w:t>施工现场需要配置的试验场所</w:t>
      </w:r>
      <w:bookmarkEnd w:id="785"/>
      <w:r>
        <w:rPr>
          <w:color w:val="auto"/>
          <w:highlight w:val="none"/>
        </w:rPr>
        <w:t>：</w:t>
      </w:r>
      <w:bookmarkEnd w:id="777"/>
      <w:bookmarkEnd w:id="778"/>
      <w:bookmarkEnd w:id="779"/>
      <w:bookmarkEnd w:id="780"/>
      <w:bookmarkEnd w:id="781"/>
      <w:bookmarkEnd w:id="782"/>
      <w:bookmarkEnd w:id="783"/>
      <w:bookmarkStart w:id="786" w:name="_Toc304295562"/>
      <w:bookmarkStart w:id="787" w:name="_Toc297123536"/>
      <w:bookmarkStart w:id="788" w:name="_Toc300934985"/>
      <w:bookmarkStart w:id="789" w:name="_Toc303539142"/>
      <w:bookmarkStart w:id="790" w:name="_Toc312678024"/>
      <w:bookmarkStart w:id="791" w:name="_Toc312677498"/>
      <w:bookmarkStart w:id="792" w:name="_Toc297216195"/>
      <w:r>
        <w:rPr>
          <w:rFonts w:hint="eastAsia"/>
          <w:color w:val="auto"/>
          <w:highlight w:val="none"/>
          <w:u w:val="single"/>
        </w:rPr>
        <w:t xml:space="preserve">                          </w:t>
      </w:r>
      <w:r>
        <w:rPr>
          <w:color w:val="auto"/>
          <w:highlight w:val="none"/>
        </w:rPr>
        <w:t>。</w:t>
      </w:r>
    </w:p>
    <w:p w14:paraId="1BA0E038">
      <w:pPr>
        <w:spacing w:line="400" w:lineRule="exact"/>
        <w:ind w:firstLine="420" w:firstLineChars="200"/>
        <w:rPr>
          <w:color w:val="auto"/>
          <w:highlight w:val="none"/>
        </w:rPr>
      </w:pPr>
      <w:r>
        <w:rPr>
          <w:color w:val="auto"/>
          <w:highlight w:val="none"/>
        </w:rPr>
        <w:t>施工现场需要配备的试验设备：</w:t>
      </w:r>
      <w:r>
        <w:rPr>
          <w:rFonts w:hint="eastAsia"/>
          <w:color w:val="auto"/>
          <w:highlight w:val="none"/>
          <w:u w:val="single"/>
        </w:rPr>
        <w:t xml:space="preserve">                           </w:t>
      </w:r>
      <w:r>
        <w:rPr>
          <w:color w:val="auto"/>
          <w:highlight w:val="none"/>
        </w:rPr>
        <w:t>。</w:t>
      </w:r>
    </w:p>
    <w:p w14:paraId="0201235C">
      <w:pPr>
        <w:spacing w:line="400" w:lineRule="exact"/>
        <w:ind w:firstLine="420" w:firstLineChars="200"/>
        <w:rPr>
          <w:color w:val="auto"/>
          <w:highlight w:val="none"/>
        </w:rPr>
      </w:pPr>
      <w:r>
        <w:rPr>
          <w:color w:val="auto"/>
          <w:highlight w:val="none"/>
        </w:rPr>
        <w:t>施工现场需要具备的其他试验条件：</w:t>
      </w:r>
      <w:r>
        <w:rPr>
          <w:rFonts w:hint="eastAsia"/>
          <w:color w:val="auto"/>
          <w:highlight w:val="none"/>
          <w:u w:val="single"/>
        </w:rPr>
        <w:t xml:space="preserve">   / </w:t>
      </w:r>
      <w:r>
        <w:rPr>
          <w:color w:val="auto"/>
          <w:highlight w:val="none"/>
          <w:u w:val="single"/>
        </w:rPr>
        <w:t xml:space="preserve">   </w:t>
      </w:r>
      <w:r>
        <w:rPr>
          <w:color w:val="auto"/>
          <w:highlight w:val="none"/>
        </w:rPr>
        <w:t>。</w:t>
      </w:r>
    </w:p>
    <w:p w14:paraId="393CE16F">
      <w:pPr>
        <w:pStyle w:val="13"/>
        <w:rPr>
          <w:b/>
          <w:color w:val="auto"/>
          <w:highlight w:val="none"/>
        </w:rPr>
      </w:pPr>
      <w:bookmarkStart w:id="793" w:name="_Toc2944"/>
      <w:bookmarkStart w:id="794" w:name="_Toc150947483"/>
      <w:bookmarkStart w:id="795" w:name="_Toc256000334"/>
      <w:bookmarkStart w:id="796" w:name="_Toc214"/>
      <w:r>
        <w:rPr>
          <w:b/>
          <w:color w:val="auto"/>
          <w:highlight w:val="none"/>
        </w:rPr>
        <w:t>9.4 现场工艺试验</w:t>
      </w:r>
      <w:bookmarkEnd w:id="793"/>
      <w:bookmarkEnd w:id="794"/>
      <w:bookmarkEnd w:id="795"/>
      <w:bookmarkEnd w:id="796"/>
      <w:r>
        <w:rPr>
          <w:rFonts w:hint="eastAsia"/>
          <w:b/>
          <w:color w:val="auto"/>
          <w:highlight w:val="none"/>
        </w:rPr>
        <w:t xml:space="preserve"> </w:t>
      </w:r>
    </w:p>
    <w:p w14:paraId="52D68D26">
      <w:pPr>
        <w:spacing w:line="400" w:lineRule="exact"/>
        <w:ind w:firstLine="420" w:firstLineChars="200"/>
        <w:rPr>
          <w:color w:val="auto"/>
          <w:highlight w:val="none"/>
        </w:rPr>
      </w:pPr>
      <w:r>
        <w:rPr>
          <w:color w:val="auto"/>
          <w:highlight w:val="none"/>
        </w:rPr>
        <w:t>现场工艺试验的有关约定：</w:t>
      </w:r>
      <w:r>
        <w:rPr>
          <w:rFonts w:hint="eastAsia"/>
          <w:color w:val="auto"/>
          <w:highlight w:val="none"/>
          <w:u w:val="single"/>
        </w:rPr>
        <w:t xml:space="preserve">   / </w:t>
      </w:r>
      <w:r>
        <w:rPr>
          <w:color w:val="auto"/>
          <w:highlight w:val="none"/>
          <w:u w:val="single"/>
        </w:rPr>
        <w:t xml:space="preserve">   </w:t>
      </w:r>
      <w:r>
        <w:rPr>
          <w:color w:val="auto"/>
          <w:highlight w:val="none"/>
        </w:rPr>
        <w:t>。</w:t>
      </w:r>
    </w:p>
    <w:bookmarkEnd w:id="784"/>
    <w:bookmarkEnd w:id="786"/>
    <w:bookmarkEnd w:id="787"/>
    <w:bookmarkEnd w:id="788"/>
    <w:bookmarkEnd w:id="789"/>
    <w:bookmarkEnd w:id="790"/>
    <w:bookmarkEnd w:id="791"/>
    <w:bookmarkEnd w:id="792"/>
    <w:p w14:paraId="5948EC13">
      <w:pPr>
        <w:pStyle w:val="12"/>
        <w:rPr>
          <w:b/>
          <w:color w:val="auto"/>
          <w:highlight w:val="none"/>
        </w:rPr>
      </w:pPr>
      <w:bookmarkStart w:id="797" w:name="_Toc150947484"/>
      <w:bookmarkStart w:id="798" w:name="_Toc25279"/>
      <w:bookmarkStart w:id="799" w:name="_Toc256000335"/>
      <w:bookmarkStart w:id="800" w:name="_Toc351203642"/>
      <w:r>
        <w:rPr>
          <w:b/>
          <w:color w:val="auto"/>
          <w:highlight w:val="none"/>
        </w:rPr>
        <w:t>1</w:t>
      </w:r>
      <w:bookmarkEnd w:id="754"/>
      <w:bookmarkEnd w:id="755"/>
      <w:bookmarkEnd w:id="756"/>
      <w:bookmarkEnd w:id="757"/>
      <w:bookmarkEnd w:id="758"/>
      <w:bookmarkEnd w:id="759"/>
      <w:bookmarkEnd w:id="760"/>
      <w:bookmarkEnd w:id="761"/>
      <w:bookmarkEnd w:id="762"/>
      <w:bookmarkEnd w:id="763"/>
      <w:bookmarkEnd w:id="764"/>
      <w:bookmarkEnd w:id="765"/>
      <w:bookmarkStart w:id="801" w:name="_Toc296347192"/>
      <w:bookmarkStart w:id="802" w:name="_Toc304295566"/>
      <w:bookmarkStart w:id="803" w:name="_Toc303539146"/>
      <w:bookmarkStart w:id="804" w:name="_Toc296346694"/>
      <w:bookmarkStart w:id="805" w:name="_Toc296891021"/>
      <w:bookmarkStart w:id="806" w:name="_Toc297120493"/>
      <w:bookmarkStart w:id="807" w:name="_Toc297048379"/>
      <w:bookmarkStart w:id="808" w:name="_Toc292559398"/>
      <w:bookmarkStart w:id="809" w:name="_Toc300934989"/>
      <w:bookmarkStart w:id="810" w:name="_Toc296944532"/>
      <w:bookmarkStart w:id="811" w:name="_Toc296891233"/>
      <w:bookmarkStart w:id="812" w:name="_Toc297216199"/>
      <w:bookmarkStart w:id="813" w:name="_Toc292559903"/>
      <w:bookmarkStart w:id="814" w:name="_Toc297123540"/>
      <w:bookmarkStart w:id="815" w:name="_Toc296503193"/>
      <w:bookmarkStart w:id="816" w:name="_Toc312678025"/>
      <w:bookmarkStart w:id="817" w:name="_Toc312677499"/>
      <w:bookmarkStart w:id="818" w:name="_Toc267251435"/>
      <w:bookmarkStart w:id="819" w:name="_Toc267251433"/>
      <w:bookmarkStart w:id="820" w:name="_Toc267251440"/>
      <w:bookmarkStart w:id="821" w:name="_Toc267251439"/>
      <w:bookmarkStart w:id="822" w:name="_Toc267251437"/>
      <w:bookmarkStart w:id="823" w:name="_Toc267251441"/>
      <w:bookmarkStart w:id="824" w:name="_Toc267251442"/>
      <w:r>
        <w:rPr>
          <w:b/>
          <w:color w:val="auto"/>
          <w:highlight w:val="none"/>
        </w:rPr>
        <w:t>0. 变更</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bookmarkEnd w:id="816"/>
    <w:bookmarkEnd w:id="817"/>
    <w:p w14:paraId="64FBE602">
      <w:pPr>
        <w:pStyle w:val="13"/>
        <w:rPr>
          <w:b/>
          <w:color w:val="auto"/>
          <w:highlight w:val="none"/>
        </w:rPr>
      </w:pPr>
      <w:bookmarkStart w:id="825" w:name="_Toc3960"/>
      <w:bookmarkStart w:id="826" w:name="_Toc150947485"/>
      <w:bookmarkStart w:id="827" w:name="_Toc256000336"/>
      <w:bookmarkStart w:id="828" w:name="_Toc26269"/>
      <w:r>
        <w:rPr>
          <w:b/>
          <w:color w:val="auto"/>
          <w:highlight w:val="none"/>
        </w:rPr>
        <w:t>1</w:t>
      </w:r>
      <w:bookmarkStart w:id="829" w:name="_Toc297120494"/>
      <w:bookmarkStart w:id="830" w:name="_Toc296346695"/>
      <w:bookmarkStart w:id="831" w:name="_Toc292559904"/>
      <w:bookmarkStart w:id="832" w:name="_Toc297216200"/>
      <w:bookmarkStart w:id="833" w:name="_Toc297123541"/>
      <w:bookmarkStart w:id="834" w:name="_Toc300934990"/>
      <w:bookmarkStart w:id="835" w:name="_Toc296891234"/>
      <w:bookmarkStart w:id="836" w:name="_Toc304295567"/>
      <w:bookmarkStart w:id="837" w:name="_Toc296347193"/>
      <w:bookmarkStart w:id="838" w:name="_Toc296503194"/>
      <w:bookmarkStart w:id="839" w:name="_Toc312678026"/>
      <w:bookmarkStart w:id="840" w:name="_Toc297048380"/>
      <w:bookmarkStart w:id="841" w:name="_Toc312677500"/>
      <w:bookmarkStart w:id="842" w:name="_Toc303539147"/>
      <w:bookmarkStart w:id="843" w:name="_Toc292559399"/>
      <w:bookmarkStart w:id="844" w:name="_Toc296944533"/>
      <w:bookmarkStart w:id="845" w:name="_Toc296891022"/>
      <w:r>
        <w:rPr>
          <w:b/>
          <w:color w:val="auto"/>
          <w:highlight w:val="none"/>
        </w:rPr>
        <w:t>0.1变更的范围</w:t>
      </w:r>
      <w:bookmarkEnd w:id="825"/>
      <w:bookmarkEnd w:id="826"/>
      <w:bookmarkEnd w:id="827"/>
      <w:bookmarkEnd w:id="828"/>
    </w:p>
    <w:p w14:paraId="318BF97F">
      <w:pPr>
        <w:spacing w:line="400" w:lineRule="exact"/>
        <w:ind w:firstLine="420" w:firstLineChars="200"/>
        <w:rPr>
          <w:color w:val="auto"/>
          <w:highlight w:val="none"/>
        </w:rPr>
      </w:pPr>
      <w:r>
        <w:rPr>
          <w:color w:val="auto"/>
          <w:highlight w:val="none"/>
        </w:rPr>
        <w:t>关于变更的范围的约定：</w:t>
      </w:r>
      <w:r>
        <w:rPr>
          <w:rFonts w:hint="eastAsia"/>
          <w:color w:val="auto"/>
          <w:highlight w:val="none"/>
          <w:u w:val="single"/>
        </w:rPr>
        <w:t>发包人和监理人均可以提出变更。变更指示均通过监理人发出，监理人发出变更指示前应征得发包人同意。承包人收到变更指示后，方可实施变更。未经许可，承包人不得擅自对工程的任何部分进行变更</w:t>
      </w:r>
      <w:r>
        <w:rPr>
          <w:color w:val="auto"/>
          <w:highlight w:val="none"/>
        </w:rPr>
        <w:t>。</w:t>
      </w:r>
    </w:p>
    <w:p w14:paraId="37EB0D6C">
      <w:pPr>
        <w:pStyle w:val="13"/>
        <w:rPr>
          <w:b/>
          <w:color w:val="auto"/>
          <w:highlight w:val="none"/>
        </w:rPr>
      </w:pPr>
      <w:bookmarkStart w:id="846" w:name="_Toc150947486"/>
      <w:bookmarkStart w:id="847" w:name="_Toc256000337"/>
      <w:bookmarkStart w:id="848" w:name="_Toc27172"/>
      <w:bookmarkStart w:id="849" w:name="_Toc20906"/>
      <w:r>
        <w:rPr>
          <w:b/>
          <w:color w:val="auto"/>
          <w:highlight w:val="none"/>
        </w:rPr>
        <w:t>10.4 变更估价</w:t>
      </w:r>
      <w:bookmarkEnd w:id="846"/>
      <w:bookmarkEnd w:id="847"/>
      <w:bookmarkEnd w:id="848"/>
      <w:bookmarkEnd w:id="849"/>
    </w:p>
    <w:p w14:paraId="1E3A6D59">
      <w:pPr>
        <w:spacing w:line="400" w:lineRule="exact"/>
        <w:ind w:firstLine="420" w:firstLineChars="200"/>
        <w:rPr>
          <w:color w:val="auto"/>
          <w:highlight w:val="none"/>
        </w:rPr>
      </w:pPr>
      <w:r>
        <w:rPr>
          <w:rFonts w:hint="eastAsia"/>
          <w:color w:val="auto"/>
          <w:highlight w:val="none"/>
        </w:rPr>
        <w:t>10.4.1 变更估价原则</w:t>
      </w:r>
    </w:p>
    <w:p w14:paraId="2266DC7E">
      <w:pPr>
        <w:spacing w:line="360" w:lineRule="auto"/>
        <w:ind w:firstLine="420" w:firstLineChars="200"/>
        <w:jc w:val="left"/>
        <w:outlineLvl w:val="9"/>
        <w:rPr>
          <w:rFonts w:hint="eastAsia" w:ascii="宋体" w:hAnsi="宋体" w:cs="宋体"/>
          <w:color w:val="auto"/>
          <w:szCs w:val="21"/>
          <w:highlight w:val="none"/>
          <w:u w:val="single"/>
        </w:rPr>
      </w:pPr>
      <w:bookmarkStart w:id="850" w:name="_Toc150947487"/>
      <w:bookmarkStart w:id="851" w:name="_Toc28250"/>
      <w:bookmarkStart w:id="852" w:name="_Toc256000338"/>
      <w:bookmarkStart w:id="853" w:name="_Toc13007"/>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变更价格按照本合同专用条款第12条〔合同价格、计量与支付〕执行。</w:t>
      </w:r>
    </w:p>
    <w:p w14:paraId="3F226E8A">
      <w:pPr>
        <w:pStyle w:val="13"/>
        <w:rPr>
          <w:b/>
          <w:color w:val="auto"/>
          <w:highlight w:val="none"/>
        </w:rPr>
      </w:pPr>
      <w:r>
        <w:rPr>
          <w:b/>
          <w:color w:val="auto"/>
          <w:highlight w:val="none"/>
        </w:rPr>
        <w:t>1</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Start w:id="854" w:name="_Toc292559402"/>
      <w:bookmarkStart w:id="855" w:name="_Toc300934993"/>
      <w:bookmarkStart w:id="856" w:name="_Toc297120497"/>
      <w:bookmarkStart w:id="857" w:name="_Toc297123544"/>
      <w:bookmarkStart w:id="858" w:name="_Toc303539150"/>
      <w:bookmarkStart w:id="859" w:name="_Toc296346698"/>
      <w:bookmarkStart w:id="860" w:name="_Toc296503197"/>
      <w:bookmarkStart w:id="861" w:name="_Toc292559907"/>
      <w:bookmarkStart w:id="862" w:name="_Toc296891237"/>
      <w:bookmarkStart w:id="863" w:name="_Toc296944536"/>
      <w:bookmarkStart w:id="864" w:name="_Toc296891025"/>
      <w:bookmarkStart w:id="865" w:name="_Toc297048383"/>
      <w:bookmarkStart w:id="866" w:name="_Toc296347196"/>
      <w:bookmarkStart w:id="867" w:name="_Toc297216203"/>
      <w:bookmarkStart w:id="868" w:name="_Toc304295570"/>
      <w:bookmarkStart w:id="869" w:name="_Toc312678029"/>
      <w:bookmarkStart w:id="870" w:name="_Toc312677503"/>
      <w:r>
        <w:rPr>
          <w:b/>
          <w:color w:val="auto"/>
          <w:highlight w:val="none"/>
        </w:rPr>
        <w:t>0.5承</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Start w:id="871" w:name="_Toc297216204"/>
      <w:bookmarkStart w:id="872" w:name="_Toc296891243"/>
      <w:bookmarkStart w:id="873" w:name="_Toc296944542"/>
      <w:bookmarkStart w:id="874" w:name="_Toc297123545"/>
      <w:bookmarkStart w:id="875" w:name="_Toc292559408"/>
      <w:bookmarkStart w:id="876" w:name="_Toc296346704"/>
      <w:bookmarkStart w:id="877" w:name="_Toc297120503"/>
      <w:bookmarkStart w:id="878" w:name="_Toc296347202"/>
      <w:bookmarkStart w:id="879" w:name="_Toc303539151"/>
      <w:bookmarkStart w:id="880" w:name="_Toc296503203"/>
      <w:bookmarkStart w:id="881" w:name="_Toc292559913"/>
      <w:bookmarkStart w:id="882" w:name="_Toc296891031"/>
      <w:bookmarkStart w:id="883" w:name="_Toc297048389"/>
      <w:bookmarkStart w:id="884" w:name="_Toc300934994"/>
      <w:r>
        <w:rPr>
          <w:b/>
          <w:color w:val="auto"/>
          <w:highlight w:val="none"/>
        </w:rPr>
        <w:t>包人的合理化建议</w:t>
      </w:r>
      <w:bookmarkEnd w:id="850"/>
      <w:bookmarkEnd w:id="851"/>
      <w:bookmarkEnd w:id="852"/>
      <w:bookmarkEnd w:id="853"/>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14:paraId="24B2A62F">
      <w:pPr>
        <w:spacing w:line="400" w:lineRule="exact"/>
        <w:ind w:firstLine="420" w:firstLineChars="200"/>
        <w:rPr>
          <w:color w:val="auto"/>
          <w:highlight w:val="none"/>
        </w:rPr>
      </w:pPr>
      <w:r>
        <w:rPr>
          <w:color w:val="auto"/>
          <w:highlight w:val="none"/>
        </w:rPr>
        <w:t>监理人审查承包人合理化建议的期限：</w:t>
      </w:r>
      <w:r>
        <w:rPr>
          <w:rFonts w:hint="eastAsia"/>
          <w:color w:val="auto"/>
          <w:highlight w:val="none"/>
          <w:u w:val="single"/>
        </w:rPr>
        <w:t xml:space="preserve">   / </w:t>
      </w:r>
      <w:r>
        <w:rPr>
          <w:color w:val="auto"/>
          <w:highlight w:val="none"/>
          <w:u w:val="single"/>
        </w:rPr>
        <w:t xml:space="preserve">   </w:t>
      </w:r>
      <w:r>
        <w:rPr>
          <w:color w:val="auto"/>
          <w:highlight w:val="none"/>
        </w:rPr>
        <w:t>。</w:t>
      </w:r>
    </w:p>
    <w:p w14:paraId="35CF1710">
      <w:pPr>
        <w:spacing w:line="400" w:lineRule="exact"/>
        <w:ind w:firstLine="420" w:firstLineChars="200"/>
        <w:rPr>
          <w:color w:val="auto"/>
          <w:highlight w:val="none"/>
        </w:rPr>
      </w:pPr>
      <w:r>
        <w:rPr>
          <w:color w:val="auto"/>
          <w:highlight w:val="none"/>
        </w:rPr>
        <w:t>发包人审批承包人合理化建议的期限：</w:t>
      </w:r>
      <w:r>
        <w:rPr>
          <w:rFonts w:hint="eastAsia"/>
          <w:color w:val="auto"/>
          <w:highlight w:val="none"/>
          <w:u w:val="single"/>
        </w:rPr>
        <w:t xml:space="preserve">   / </w:t>
      </w:r>
      <w:r>
        <w:rPr>
          <w:color w:val="auto"/>
          <w:highlight w:val="none"/>
          <w:u w:val="single"/>
        </w:rPr>
        <w:t xml:space="preserve">   </w:t>
      </w:r>
      <w:r>
        <w:rPr>
          <w:color w:val="auto"/>
          <w:highlight w:val="none"/>
        </w:rPr>
        <w:t>。</w:t>
      </w:r>
    </w:p>
    <w:p w14:paraId="3C2A9F8E">
      <w:pPr>
        <w:spacing w:line="400" w:lineRule="exact"/>
        <w:ind w:firstLine="420" w:firstLineChars="200"/>
        <w:rPr>
          <w:color w:val="auto"/>
          <w:highlight w:val="none"/>
        </w:rPr>
      </w:pPr>
      <w:r>
        <w:rPr>
          <w:color w:val="auto"/>
          <w:highlight w:val="none"/>
        </w:rPr>
        <w:t>承</w:t>
      </w:r>
      <w:bookmarkStart w:id="885" w:name="_Toc303539152"/>
      <w:bookmarkStart w:id="886" w:name="_Toc292559409"/>
      <w:bookmarkStart w:id="887" w:name="_Toc297216205"/>
      <w:bookmarkStart w:id="888" w:name="_Toc296944543"/>
      <w:bookmarkStart w:id="889" w:name="_Toc300934995"/>
      <w:bookmarkStart w:id="890" w:name="_Toc296503204"/>
      <w:bookmarkStart w:id="891" w:name="_Toc312677504"/>
      <w:bookmarkStart w:id="892" w:name="_Toc304295571"/>
      <w:bookmarkStart w:id="893" w:name="_Toc297048390"/>
      <w:bookmarkStart w:id="894" w:name="_Toc292559914"/>
      <w:bookmarkStart w:id="895" w:name="_Toc297120504"/>
      <w:bookmarkStart w:id="896" w:name="_Toc296347203"/>
      <w:bookmarkStart w:id="897" w:name="_Toc296346705"/>
      <w:bookmarkStart w:id="898" w:name="_Toc296891244"/>
      <w:bookmarkStart w:id="899" w:name="_Toc312678030"/>
      <w:bookmarkStart w:id="900" w:name="_Toc297123546"/>
      <w:bookmarkStart w:id="901" w:name="_Toc296891032"/>
      <w:bookmarkStart w:id="902" w:name="_Toc318581175"/>
      <w:r>
        <w:rPr>
          <w:color w:val="auto"/>
          <w:highlight w:val="none"/>
        </w:rPr>
        <w:t>包人提出的合理化建议降低了合同价格或者提高了工程经济效益的奖励的方法和金额为：</w:t>
      </w:r>
      <w:r>
        <w:rPr>
          <w:rFonts w:hint="eastAsia"/>
          <w:color w:val="auto"/>
          <w:highlight w:val="none"/>
          <w:u w:val="single"/>
        </w:rPr>
        <w:t xml:space="preserve">   / </w:t>
      </w:r>
      <w:r>
        <w:rPr>
          <w:color w:val="auto"/>
          <w:highlight w:val="none"/>
          <w:u w:val="single"/>
        </w:rPr>
        <w:t xml:space="preserve">   </w:t>
      </w:r>
      <w:r>
        <w:rPr>
          <w:color w:val="auto"/>
          <w:highlight w:val="none"/>
        </w:rPr>
        <w:t>。</w:t>
      </w:r>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2B327E8A">
      <w:pPr>
        <w:pStyle w:val="13"/>
        <w:rPr>
          <w:b/>
          <w:color w:val="auto"/>
          <w:highlight w:val="none"/>
        </w:rPr>
      </w:pPr>
      <w:bookmarkStart w:id="903" w:name="_Toc256000339"/>
      <w:bookmarkStart w:id="904" w:name="_Toc24157"/>
      <w:bookmarkStart w:id="905" w:name="_Toc150947488"/>
      <w:bookmarkStart w:id="906" w:name="_Toc16582"/>
      <w:r>
        <w:rPr>
          <w:b/>
          <w:color w:val="auto"/>
          <w:highlight w:val="none"/>
        </w:rPr>
        <w:t>1</w:t>
      </w:r>
      <w:bookmarkStart w:id="907" w:name="_Toc296347198"/>
      <w:bookmarkStart w:id="908" w:name="_Toc296891239"/>
      <w:bookmarkStart w:id="909" w:name="_Toc312677507"/>
      <w:bookmarkStart w:id="910" w:name="_Toc300934997"/>
      <w:bookmarkStart w:id="911" w:name="_Toc292559404"/>
      <w:bookmarkStart w:id="912" w:name="_Toc303539154"/>
      <w:bookmarkStart w:id="913" w:name="_Toc297048385"/>
      <w:bookmarkStart w:id="914" w:name="_Toc304295574"/>
      <w:bookmarkStart w:id="915" w:name="_Toc297120499"/>
      <w:bookmarkStart w:id="916" w:name="_Toc296503199"/>
      <w:bookmarkStart w:id="917" w:name="_Toc296346700"/>
      <w:bookmarkStart w:id="918" w:name="_Toc296944538"/>
      <w:bookmarkStart w:id="919" w:name="_Toc312678033"/>
      <w:bookmarkStart w:id="920" w:name="_Toc296891027"/>
      <w:bookmarkStart w:id="921" w:name="_Toc297216207"/>
      <w:bookmarkStart w:id="922" w:name="_Toc292559909"/>
      <w:bookmarkStart w:id="923" w:name="_Toc297123548"/>
      <w:r>
        <w:rPr>
          <w:b/>
          <w:color w:val="auto"/>
          <w:highlight w:val="none"/>
        </w:rPr>
        <w:t>0.7 暂估价</w:t>
      </w:r>
      <w:bookmarkEnd w:id="903"/>
      <w:bookmarkEnd w:id="904"/>
      <w:bookmarkEnd w:id="905"/>
      <w:bookmarkEnd w:id="906"/>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49C505C9">
      <w:pPr>
        <w:spacing w:line="400" w:lineRule="exact"/>
        <w:ind w:firstLine="420" w:firstLineChars="200"/>
        <w:rPr>
          <w:color w:val="auto"/>
          <w:highlight w:val="none"/>
        </w:rPr>
      </w:pPr>
      <w:r>
        <w:rPr>
          <w:color w:val="auto"/>
          <w:highlight w:val="none"/>
        </w:rPr>
        <w:t>暂</w:t>
      </w:r>
      <w:bookmarkStart w:id="924" w:name="_Toc312677508"/>
      <w:bookmarkStart w:id="925" w:name="_Toc318581176"/>
      <w:bookmarkStart w:id="926" w:name="_Toc312678034"/>
      <w:r>
        <w:rPr>
          <w:color w:val="auto"/>
          <w:highlight w:val="none"/>
        </w:rPr>
        <w:t>估价材料和工程设备的明细详见附件</w:t>
      </w:r>
      <w:r>
        <w:rPr>
          <w:rFonts w:hint="eastAsia"/>
          <w:color w:val="auto"/>
          <w:highlight w:val="none"/>
        </w:rPr>
        <w:t>11：《</w:t>
      </w:r>
      <w:r>
        <w:rPr>
          <w:color w:val="auto"/>
          <w:highlight w:val="none"/>
        </w:rPr>
        <w:t>暂估价一览表</w:t>
      </w:r>
      <w:r>
        <w:rPr>
          <w:rFonts w:hint="eastAsia"/>
          <w:color w:val="auto"/>
          <w:highlight w:val="none"/>
        </w:rPr>
        <w:t>》。</w:t>
      </w:r>
    </w:p>
    <w:bookmarkEnd w:id="924"/>
    <w:bookmarkEnd w:id="925"/>
    <w:bookmarkEnd w:id="926"/>
    <w:p w14:paraId="3B9DFD75">
      <w:pPr>
        <w:spacing w:line="400" w:lineRule="exact"/>
        <w:ind w:firstLine="420" w:firstLineChars="200"/>
        <w:rPr>
          <w:color w:val="auto"/>
          <w:highlight w:val="none"/>
        </w:rPr>
      </w:pPr>
      <w:r>
        <w:rPr>
          <w:color w:val="auto"/>
          <w:highlight w:val="none"/>
        </w:rPr>
        <w:t>1</w:t>
      </w:r>
      <w:bookmarkStart w:id="927" w:name="_Toc312677509"/>
      <w:bookmarkStart w:id="928" w:name="_Toc318581177"/>
      <w:bookmarkStart w:id="929" w:name="_Toc312678035"/>
      <w:r>
        <w:rPr>
          <w:color w:val="auto"/>
          <w:highlight w:val="none"/>
        </w:rPr>
        <w:t>0.7.1 依法必须招标的暂估价项目</w:t>
      </w:r>
    </w:p>
    <w:bookmarkEnd w:id="927"/>
    <w:bookmarkEnd w:id="928"/>
    <w:bookmarkEnd w:id="929"/>
    <w:p w14:paraId="317843BF">
      <w:pPr>
        <w:spacing w:line="400" w:lineRule="exact"/>
        <w:ind w:firstLine="420" w:firstLineChars="200"/>
        <w:rPr>
          <w:color w:val="auto"/>
          <w:highlight w:val="none"/>
        </w:rPr>
      </w:pPr>
      <w:r>
        <w:rPr>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rPr>
        <w:t>1</w:t>
      </w:r>
      <w:r>
        <w:rPr>
          <w:color w:val="auto"/>
          <w:highlight w:val="none"/>
          <w:u w:val="single"/>
        </w:rPr>
        <w:t xml:space="preserve">  </w:t>
      </w:r>
      <w:r>
        <w:rPr>
          <w:color w:val="auto"/>
          <w:highlight w:val="none"/>
        </w:rPr>
        <w:t>种方式确定。</w:t>
      </w:r>
    </w:p>
    <w:p w14:paraId="64354D1F">
      <w:pPr>
        <w:spacing w:line="400" w:lineRule="exact"/>
        <w:ind w:firstLine="420" w:firstLineChars="200"/>
        <w:rPr>
          <w:color w:val="auto"/>
          <w:highlight w:val="none"/>
        </w:rPr>
      </w:pPr>
      <w:r>
        <w:rPr>
          <w:color w:val="auto"/>
          <w:highlight w:val="none"/>
        </w:rPr>
        <w:t>10.7.2 不属于依法必须招标的暂估价项目</w:t>
      </w:r>
    </w:p>
    <w:p w14:paraId="7A2B864F">
      <w:pPr>
        <w:spacing w:line="400" w:lineRule="exact"/>
        <w:ind w:firstLine="420" w:firstLineChars="200"/>
        <w:rPr>
          <w:color w:val="auto"/>
          <w:highlight w:val="none"/>
        </w:rPr>
      </w:pPr>
      <w:r>
        <w:rPr>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color w:val="auto"/>
          <w:highlight w:val="none"/>
        </w:rPr>
        <w:t>种方式确定。</w:t>
      </w:r>
    </w:p>
    <w:p w14:paraId="234B834B">
      <w:pPr>
        <w:spacing w:line="400" w:lineRule="exact"/>
        <w:ind w:firstLine="420" w:firstLineChars="200"/>
        <w:rPr>
          <w:color w:val="auto"/>
          <w:highlight w:val="none"/>
        </w:rPr>
      </w:pPr>
      <w:r>
        <w:rPr>
          <w:color w:val="auto"/>
          <w:highlight w:val="none"/>
        </w:rPr>
        <w:t>第3种方式：承包人直接实施的暂估价项目</w:t>
      </w:r>
    </w:p>
    <w:p w14:paraId="39CD7004">
      <w:pPr>
        <w:spacing w:line="400" w:lineRule="exact"/>
        <w:ind w:firstLine="420" w:firstLineChars="200"/>
        <w:rPr>
          <w:color w:val="auto"/>
          <w:highlight w:val="none"/>
        </w:rPr>
      </w:pPr>
      <w:r>
        <w:rPr>
          <w:color w:val="auto"/>
          <w:highlight w:val="none"/>
        </w:rPr>
        <w:t>承包人直接实施的暂估价项目的约定：</w:t>
      </w:r>
      <w:r>
        <w:rPr>
          <w:rFonts w:hint="eastAsia"/>
          <w:color w:val="auto"/>
          <w:highlight w:val="none"/>
          <w:u w:val="single"/>
        </w:rPr>
        <w:t xml:space="preserve">   / </w:t>
      </w:r>
      <w:r>
        <w:rPr>
          <w:color w:val="auto"/>
          <w:highlight w:val="none"/>
          <w:u w:val="single"/>
        </w:rPr>
        <w:t xml:space="preserve">   </w:t>
      </w:r>
      <w:r>
        <w:rPr>
          <w:color w:val="auto"/>
          <w:highlight w:val="none"/>
        </w:rPr>
        <w:t>。</w:t>
      </w:r>
    </w:p>
    <w:p w14:paraId="2678780D">
      <w:pPr>
        <w:pStyle w:val="13"/>
        <w:rPr>
          <w:b/>
          <w:color w:val="auto"/>
          <w:highlight w:val="none"/>
        </w:rPr>
      </w:pPr>
      <w:bookmarkStart w:id="930" w:name="_Toc18958"/>
      <w:bookmarkStart w:id="931" w:name="_Toc150947489"/>
      <w:bookmarkStart w:id="932" w:name="_Toc23598"/>
      <w:bookmarkStart w:id="933" w:name="_Toc256000340"/>
      <w:r>
        <w:rPr>
          <w:b/>
          <w:color w:val="auto"/>
          <w:highlight w:val="none"/>
        </w:rPr>
        <w:t>10.8 暂列金额</w:t>
      </w:r>
      <w:bookmarkEnd w:id="930"/>
      <w:bookmarkEnd w:id="931"/>
      <w:bookmarkEnd w:id="932"/>
      <w:bookmarkEnd w:id="933"/>
    </w:p>
    <w:p w14:paraId="11426608">
      <w:pPr>
        <w:spacing w:line="400" w:lineRule="exact"/>
        <w:ind w:firstLine="420" w:firstLineChars="200"/>
        <w:rPr>
          <w:color w:val="auto"/>
          <w:highlight w:val="none"/>
        </w:rPr>
      </w:pPr>
      <w:r>
        <w:rPr>
          <w:rFonts w:hint="eastAsia"/>
          <w:color w:val="auto"/>
          <w:highlight w:val="none"/>
        </w:rPr>
        <w:t>合同当事人关于暂列金额使用的约定：</w:t>
      </w:r>
      <w:r>
        <w:rPr>
          <w:rFonts w:hint="eastAsia"/>
          <w:color w:val="auto"/>
          <w:highlight w:val="none"/>
          <w:u w:val="single"/>
        </w:rPr>
        <w:t>暂列金使用范围，包括施工合同签订时尚未确定或者不可预见的所需材料、工程设备、服务的采购，施工中可能发生的工程变更、合同约定调整因素出现时的工程价款调整以及发生的索赔、现场签证确认等，经发包人批准使用暂列金额后，承包人按照合同约定的工程进度款支付方式申请支付。在提交进度款申请时，应单独列出暂列金额使用部分的金额及相关证明文件，经监理单位审核、发包人确认后，与工程进度款同期支付给承包人</w:t>
      </w:r>
      <w:r>
        <w:rPr>
          <w:color w:val="auto"/>
          <w:highlight w:val="none"/>
        </w:rPr>
        <w:t>。</w:t>
      </w:r>
    </w:p>
    <w:p w14:paraId="6A89B656">
      <w:pPr>
        <w:pStyle w:val="12"/>
        <w:rPr>
          <w:b/>
          <w:color w:val="auto"/>
          <w:highlight w:val="none"/>
        </w:rPr>
      </w:pPr>
      <w:bookmarkStart w:id="934" w:name="_Toc4991"/>
      <w:bookmarkStart w:id="935" w:name="_Toc150947490"/>
      <w:bookmarkStart w:id="936" w:name="_Toc351203643"/>
      <w:bookmarkStart w:id="937" w:name="_Toc256000341"/>
      <w:r>
        <w:rPr>
          <w:b/>
          <w:color w:val="auto"/>
          <w:highlight w:val="none"/>
        </w:rPr>
        <w:t>11. 价格调整</w:t>
      </w:r>
      <w:bookmarkEnd w:id="934"/>
      <w:bookmarkEnd w:id="935"/>
      <w:bookmarkEnd w:id="936"/>
      <w:bookmarkEnd w:id="937"/>
    </w:p>
    <w:p w14:paraId="5A911D7B">
      <w:pPr>
        <w:pStyle w:val="13"/>
        <w:rPr>
          <w:b/>
          <w:color w:val="auto"/>
          <w:highlight w:val="none"/>
        </w:rPr>
      </w:pPr>
      <w:bookmarkStart w:id="938" w:name="_Toc256000342"/>
      <w:bookmarkStart w:id="939" w:name="_Toc22719"/>
      <w:bookmarkStart w:id="940" w:name="_Toc4735"/>
      <w:bookmarkStart w:id="941" w:name="_Toc150947491"/>
      <w:bookmarkStart w:id="942" w:name="_Toc304295577"/>
      <w:bookmarkStart w:id="943" w:name="_Toc292559406"/>
      <w:bookmarkStart w:id="944" w:name="_Toc296891241"/>
      <w:bookmarkStart w:id="945" w:name="_Toc297123550"/>
      <w:bookmarkStart w:id="946" w:name="_Toc297120501"/>
      <w:bookmarkStart w:id="947" w:name="_Toc297216209"/>
      <w:bookmarkStart w:id="948" w:name="_Toc296346702"/>
      <w:bookmarkStart w:id="949" w:name="_Toc296347200"/>
      <w:bookmarkStart w:id="950" w:name="_Toc296891029"/>
      <w:bookmarkStart w:id="951" w:name="_Toc300935000"/>
      <w:bookmarkStart w:id="952" w:name="_Toc296944540"/>
      <w:bookmarkStart w:id="953" w:name="_Toc312678039"/>
      <w:bookmarkStart w:id="954" w:name="_Toc303539157"/>
      <w:bookmarkStart w:id="955" w:name="_Toc292559911"/>
      <w:bookmarkStart w:id="956" w:name="_Toc296503201"/>
      <w:bookmarkStart w:id="957" w:name="_Toc297048387"/>
      <w:r>
        <w:rPr>
          <w:b/>
          <w:color w:val="auto"/>
          <w:highlight w:val="none"/>
        </w:rPr>
        <w:t>11.1 市场价格波动引起的调整</w:t>
      </w:r>
      <w:bookmarkEnd w:id="938"/>
      <w:bookmarkEnd w:id="939"/>
      <w:bookmarkEnd w:id="940"/>
      <w:bookmarkEnd w:id="941"/>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1D581209">
      <w:pPr>
        <w:spacing w:line="400" w:lineRule="exact"/>
        <w:ind w:firstLine="420" w:firstLineChars="200"/>
        <w:rPr>
          <w:color w:val="auto"/>
          <w:highlight w:val="none"/>
        </w:rPr>
      </w:pPr>
      <w:r>
        <w:rPr>
          <w:color w:val="auto"/>
          <w:highlight w:val="none"/>
        </w:rPr>
        <w:t>市场价格波动是否调整合同价格的约定：</w:t>
      </w:r>
      <w:r>
        <w:rPr>
          <w:rFonts w:hint="eastAsia"/>
          <w:color w:val="auto"/>
          <w:highlight w:val="none"/>
          <w:u w:val="single"/>
        </w:rPr>
        <w:t>不调整</w:t>
      </w:r>
      <w:r>
        <w:rPr>
          <w:color w:val="auto"/>
          <w:highlight w:val="none"/>
        </w:rPr>
        <w:t>。</w:t>
      </w:r>
    </w:p>
    <w:p w14:paraId="42D60C71">
      <w:pPr>
        <w:spacing w:line="400" w:lineRule="exact"/>
        <w:ind w:firstLine="420" w:firstLineChars="200"/>
        <w:rPr>
          <w:color w:val="auto"/>
          <w:highlight w:val="none"/>
        </w:rPr>
      </w:pPr>
      <w:r>
        <w:rPr>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种方式对合同价格进行调整：</w:t>
      </w:r>
    </w:p>
    <w:p w14:paraId="363DDCA7">
      <w:pPr>
        <w:spacing w:line="400" w:lineRule="exact"/>
        <w:ind w:firstLine="420" w:firstLineChars="200"/>
        <w:rPr>
          <w:color w:val="auto"/>
          <w:highlight w:val="none"/>
        </w:rPr>
      </w:pPr>
      <w:r>
        <w:rPr>
          <w:color w:val="auto"/>
          <w:highlight w:val="none"/>
        </w:rPr>
        <w:t>第1种方式：采用价格指数</w:t>
      </w:r>
      <w:r>
        <w:rPr>
          <w:rFonts w:hint="eastAsia"/>
          <w:color w:val="auto"/>
          <w:highlight w:val="none"/>
        </w:rPr>
        <w:t>进行价格</w:t>
      </w:r>
      <w:r>
        <w:rPr>
          <w:color w:val="auto"/>
          <w:highlight w:val="none"/>
        </w:rPr>
        <w:t>调整。</w:t>
      </w:r>
    </w:p>
    <w:p w14:paraId="32425F0F">
      <w:pPr>
        <w:spacing w:line="400" w:lineRule="exact"/>
        <w:ind w:firstLine="420" w:firstLineChars="200"/>
        <w:rPr>
          <w:color w:val="auto"/>
          <w:highlight w:val="none"/>
        </w:rPr>
      </w:pPr>
      <w:r>
        <w:rPr>
          <w:color w:val="auto"/>
          <w:highlight w:val="none"/>
        </w:rPr>
        <w:t>关于各可调因子、定值和变值权重，以及基本价格指数及其来源的约定：</w:t>
      </w:r>
    </w:p>
    <w:p w14:paraId="0EA4A668">
      <w:pPr>
        <w:spacing w:line="400" w:lineRule="exact"/>
        <w:ind w:firstLine="420" w:firstLineChars="200"/>
        <w:rPr>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p>
    <w:p w14:paraId="7E096850">
      <w:pPr>
        <w:spacing w:line="400" w:lineRule="exact"/>
        <w:ind w:firstLine="420" w:firstLineChars="200"/>
        <w:rPr>
          <w:color w:val="auto"/>
          <w:highlight w:val="none"/>
        </w:rPr>
      </w:pPr>
      <w:r>
        <w:rPr>
          <w:color w:val="auto"/>
          <w:highlight w:val="none"/>
        </w:rPr>
        <w:t>第2种方式：采用造价信息</w:t>
      </w:r>
      <w:r>
        <w:rPr>
          <w:rFonts w:hint="eastAsia"/>
          <w:color w:val="auto"/>
          <w:highlight w:val="none"/>
        </w:rPr>
        <w:t>进行价格</w:t>
      </w:r>
      <w:r>
        <w:rPr>
          <w:color w:val="auto"/>
          <w:highlight w:val="none"/>
        </w:rPr>
        <w:t>调整。</w:t>
      </w:r>
    </w:p>
    <w:p w14:paraId="73C8F852">
      <w:pPr>
        <w:spacing w:line="400" w:lineRule="exact"/>
        <w:ind w:firstLine="420" w:firstLineChars="200"/>
        <w:rPr>
          <w:color w:val="auto"/>
          <w:highlight w:val="none"/>
        </w:rPr>
      </w:pPr>
      <w:r>
        <w:rPr>
          <w:color w:val="auto"/>
          <w:highlight w:val="none"/>
        </w:rPr>
        <w:t>（2）关于基准价格的约定：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p>
    <w:p w14:paraId="70407B63">
      <w:pPr>
        <w:spacing w:line="400" w:lineRule="exact"/>
        <w:ind w:firstLine="420" w:firstLineChars="200"/>
        <w:rPr>
          <w:color w:val="auto"/>
          <w:highlight w:val="none"/>
        </w:rPr>
      </w:pPr>
      <w:r>
        <w:rPr>
          <w:color w:val="auto"/>
          <w:highlight w:val="none"/>
        </w:rPr>
        <w:t>专用合同条款</w:t>
      </w:r>
      <w:r>
        <w:rPr>
          <w:rFonts w:hint="eastAsia"/>
          <w:color w:val="auto"/>
          <w:highlight w:val="none"/>
        </w:rPr>
        <w:t>①</w:t>
      </w:r>
      <w:r>
        <w:rPr>
          <w:color w:val="auto"/>
          <w:highlight w:val="none"/>
        </w:rPr>
        <w:t>承包人在已标价工程量清单或预算书中载明的材料单价低于基准价格的：专用合同条款合同履行期间材料单价涨幅以基准价格为基础超过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%时，或材料单价跌幅以已标价工程量清单或预算书中载明材料单价为基础超过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%时，其超过部分据实调整。</w:t>
      </w:r>
    </w:p>
    <w:p w14:paraId="272AE41C">
      <w:pPr>
        <w:spacing w:line="400" w:lineRule="exact"/>
        <w:ind w:firstLine="420" w:firstLineChars="200"/>
        <w:rPr>
          <w:color w:val="auto"/>
          <w:highlight w:val="none"/>
        </w:rPr>
      </w:pPr>
      <w:r>
        <w:rPr>
          <w:rFonts w:hint="eastAsia"/>
          <w:color w:val="auto"/>
          <w:highlight w:val="none"/>
        </w:rPr>
        <w:t>②</w:t>
      </w:r>
      <w:r>
        <w:rPr>
          <w:color w:val="auto"/>
          <w:highlight w:val="none"/>
        </w:rPr>
        <w:t>承包人在已标价工程量清单或预算书中载明的材料单价高于基准价格的：专用合同条款合同履行期间材料单价跌幅以基准价格为基础超过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%时，材料单价涨幅以已标价工程量清单或预算书中载明材料单价为基础超过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%时，其超过部分据实调整。</w:t>
      </w:r>
    </w:p>
    <w:p w14:paraId="63325A39">
      <w:pPr>
        <w:spacing w:line="400" w:lineRule="exact"/>
        <w:ind w:firstLine="420" w:firstLineChars="200"/>
        <w:rPr>
          <w:color w:val="auto"/>
          <w:highlight w:val="none"/>
        </w:rPr>
      </w:pPr>
      <w:r>
        <w:rPr>
          <w:rFonts w:hint="eastAsia"/>
          <w:color w:val="auto"/>
          <w:highlight w:val="none"/>
        </w:rPr>
        <w:t>③</w:t>
      </w:r>
      <w:r>
        <w:rPr>
          <w:color w:val="auto"/>
          <w:highlight w:val="none"/>
        </w:rPr>
        <w:t>承包人在已标价工程量清单或预算书中载明的材料单价等于基准单价的：专用合同条款合同履行期间材料单价涨跌幅以基准单价为基础超过±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%时，其超过部分据实调整。</w:t>
      </w:r>
    </w:p>
    <w:p w14:paraId="2A637ABF">
      <w:pPr>
        <w:spacing w:line="400" w:lineRule="exact"/>
        <w:ind w:firstLine="420" w:firstLineChars="200"/>
        <w:rPr>
          <w:color w:val="auto"/>
          <w:highlight w:val="none"/>
        </w:rPr>
      </w:pPr>
      <w:r>
        <w:rPr>
          <w:color w:val="auto"/>
          <w:highlight w:val="none"/>
        </w:rPr>
        <w:t>第3种方式：其他价格调整方式：</w:t>
      </w:r>
    </w:p>
    <w:p w14:paraId="4172562E">
      <w:pPr>
        <w:spacing w:line="400" w:lineRule="exact"/>
        <w:ind w:firstLine="420" w:firstLineChars="20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bookmarkEnd w:id="818"/>
    <w:bookmarkEnd w:id="819"/>
    <w:bookmarkEnd w:id="820"/>
    <w:bookmarkEnd w:id="821"/>
    <w:bookmarkEnd w:id="822"/>
    <w:bookmarkEnd w:id="823"/>
    <w:p w14:paraId="5C7A8B4D">
      <w:pPr>
        <w:pStyle w:val="12"/>
        <w:rPr>
          <w:b/>
          <w:color w:val="auto"/>
          <w:highlight w:val="none"/>
        </w:rPr>
      </w:pPr>
      <w:bookmarkStart w:id="958" w:name="_Toc297120505"/>
      <w:bookmarkStart w:id="959" w:name="_Toc296347204"/>
      <w:bookmarkStart w:id="960" w:name="_Toc296891033"/>
      <w:bookmarkStart w:id="961" w:name="_Toc296944544"/>
      <w:bookmarkStart w:id="962" w:name="_Toc296503205"/>
      <w:bookmarkStart w:id="963" w:name="_Toc292559410"/>
      <w:bookmarkStart w:id="964" w:name="_Toc296346706"/>
      <w:bookmarkStart w:id="965" w:name="_Toc292559915"/>
      <w:bookmarkStart w:id="966" w:name="_Toc297048391"/>
      <w:bookmarkStart w:id="967" w:name="_Toc296891245"/>
      <w:bookmarkStart w:id="968" w:name="_Toc150947492"/>
      <w:bookmarkStart w:id="969" w:name="_Toc256000343"/>
      <w:bookmarkStart w:id="970" w:name="_Toc8689"/>
      <w:bookmarkStart w:id="971" w:name="_Toc351203644"/>
      <w:bookmarkStart w:id="972" w:name="_Toc303539159"/>
      <w:bookmarkStart w:id="973" w:name="_Toc297123552"/>
      <w:bookmarkStart w:id="974" w:name="_Toc304295579"/>
      <w:bookmarkStart w:id="975" w:name="_Toc312678040"/>
      <w:bookmarkStart w:id="976" w:name="_Toc297216211"/>
      <w:bookmarkStart w:id="977" w:name="_Toc300935002"/>
      <w:r>
        <w:rPr>
          <w:b/>
          <w:color w:val="auto"/>
          <w:highlight w:val="none"/>
        </w:rPr>
        <w:t xml:space="preserve">12. </w:t>
      </w:r>
      <w:bookmarkEnd w:id="958"/>
      <w:bookmarkEnd w:id="959"/>
      <w:bookmarkEnd w:id="960"/>
      <w:bookmarkEnd w:id="961"/>
      <w:bookmarkEnd w:id="962"/>
      <w:bookmarkEnd w:id="963"/>
      <w:bookmarkEnd w:id="964"/>
      <w:bookmarkEnd w:id="965"/>
      <w:bookmarkEnd w:id="966"/>
      <w:bookmarkEnd w:id="967"/>
      <w:r>
        <w:rPr>
          <w:b/>
          <w:color w:val="auto"/>
          <w:highlight w:val="none"/>
        </w:rPr>
        <w:t>合同价格、计量与支付</w:t>
      </w:r>
      <w:bookmarkEnd w:id="968"/>
      <w:bookmarkEnd w:id="969"/>
      <w:bookmarkEnd w:id="970"/>
      <w:bookmarkEnd w:id="971"/>
    </w:p>
    <w:bookmarkEnd w:id="972"/>
    <w:bookmarkEnd w:id="973"/>
    <w:bookmarkEnd w:id="974"/>
    <w:bookmarkEnd w:id="975"/>
    <w:bookmarkEnd w:id="976"/>
    <w:bookmarkEnd w:id="977"/>
    <w:p w14:paraId="4F404875">
      <w:pPr>
        <w:pStyle w:val="13"/>
        <w:rPr>
          <w:b/>
          <w:color w:val="auto"/>
          <w:highlight w:val="none"/>
        </w:rPr>
      </w:pPr>
      <w:bookmarkStart w:id="978" w:name="_Toc292559916"/>
      <w:bookmarkStart w:id="979" w:name="_Toc292559411"/>
      <w:bookmarkStart w:id="980" w:name="_Toc267251461"/>
      <w:bookmarkStart w:id="981" w:name="_Toc297120506"/>
      <w:bookmarkStart w:id="982" w:name="_Toc296944545"/>
      <w:bookmarkStart w:id="983" w:name="_Toc296891246"/>
      <w:bookmarkStart w:id="984" w:name="_Toc296503206"/>
      <w:bookmarkStart w:id="985" w:name="_Toc296346707"/>
      <w:bookmarkStart w:id="986" w:name="_Toc296347205"/>
      <w:bookmarkStart w:id="987" w:name="_Toc296891034"/>
      <w:bookmarkStart w:id="988" w:name="_Toc297048392"/>
      <w:bookmarkStart w:id="989" w:name="_Toc13046"/>
      <w:bookmarkStart w:id="990" w:name="_Toc256000344"/>
      <w:bookmarkStart w:id="991" w:name="_Toc23132"/>
      <w:bookmarkStart w:id="992" w:name="_Toc150947493"/>
      <w:bookmarkStart w:id="993" w:name="_Toc304295580"/>
      <w:bookmarkStart w:id="994" w:name="_Toc297123553"/>
      <w:bookmarkStart w:id="995" w:name="_Toc303539160"/>
      <w:bookmarkStart w:id="996" w:name="_Toc297216212"/>
      <w:bookmarkStart w:id="997" w:name="_Toc312678041"/>
      <w:bookmarkStart w:id="998" w:name="_Toc300935003"/>
      <w:r>
        <w:rPr>
          <w:b/>
          <w:color w:val="auto"/>
          <w:highlight w:val="none"/>
        </w:rPr>
        <w:t>12.1 合</w:t>
      </w:r>
      <w:bookmarkEnd w:id="978"/>
      <w:bookmarkEnd w:id="979"/>
      <w:bookmarkEnd w:id="980"/>
      <w:r>
        <w:rPr>
          <w:b/>
          <w:color w:val="auto"/>
          <w:highlight w:val="none"/>
        </w:rPr>
        <w:t>同价</w:t>
      </w:r>
      <w:bookmarkEnd w:id="981"/>
      <w:bookmarkEnd w:id="982"/>
      <w:bookmarkEnd w:id="983"/>
      <w:bookmarkEnd w:id="984"/>
      <w:bookmarkEnd w:id="985"/>
      <w:bookmarkEnd w:id="986"/>
      <w:bookmarkEnd w:id="987"/>
      <w:bookmarkEnd w:id="988"/>
      <w:r>
        <w:rPr>
          <w:b/>
          <w:color w:val="auto"/>
          <w:highlight w:val="none"/>
        </w:rPr>
        <w:t>格形式</w:t>
      </w:r>
      <w:bookmarkEnd w:id="989"/>
      <w:bookmarkEnd w:id="990"/>
      <w:bookmarkEnd w:id="991"/>
      <w:bookmarkEnd w:id="992"/>
    </w:p>
    <w:bookmarkEnd w:id="993"/>
    <w:bookmarkEnd w:id="994"/>
    <w:bookmarkEnd w:id="995"/>
    <w:bookmarkEnd w:id="996"/>
    <w:bookmarkEnd w:id="997"/>
    <w:bookmarkEnd w:id="998"/>
    <w:p w14:paraId="2756AACA">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12.1.2</w:t>
      </w:r>
      <w:r>
        <w:rPr>
          <w:rFonts w:hint="eastAsia" w:ascii="宋体" w:hAnsi="宋体" w:eastAsia="宋体" w:cs="宋体"/>
          <w:snapToGrid w:val="0"/>
          <w:color w:val="000000"/>
          <w:kern w:val="0"/>
          <w:sz w:val="21"/>
          <w:szCs w:val="21"/>
          <w:highlight w:val="none"/>
          <w:lang w:val="en-US" w:eastAsia="en-US" w:bidi="ar-SA"/>
        </w:rPr>
        <w:t>合同价格形式：固定总价。</w:t>
      </w:r>
    </w:p>
    <w:p w14:paraId="11AE6D74">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12.1.3</w:t>
      </w:r>
      <w:r>
        <w:rPr>
          <w:rFonts w:hint="eastAsia" w:ascii="宋体" w:hAnsi="宋体" w:eastAsia="宋体" w:cs="宋体"/>
          <w:snapToGrid w:val="0"/>
          <w:color w:val="000000"/>
          <w:kern w:val="0"/>
          <w:sz w:val="21"/>
          <w:szCs w:val="21"/>
          <w:highlight w:val="none"/>
          <w:lang w:val="en-US" w:eastAsia="en-US" w:bidi="ar-SA"/>
        </w:rPr>
        <w:t>合同总价包含的风险范围：</w:t>
      </w:r>
    </w:p>
    <w:p w14:paraId="7910F5FC">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包含但不限于以下风险：①人工工资上涨；②机械台班费上涨；③设备、材料价格上涨；④合同签订生效后政策性文件调整；⑤因发包人及设计的原因所产生的停工及窝工损失；⑥临时停水停电由承包人自行考虑相关措施，费用自理；⑦为保证质量、工期而增加的措施；⑧为保证施工安全而采取的安全、文明、环保措施可能增加的费用；⑨施工现场可能发生的设备、材料二次倒运；⑩招标文件及投标文件中包含的其它内容；⑪投标文件漏报、少报的工作内容和工作量。因以上风险产生的费用由承包人承担，发包人不另行支付。</w:t>
      </w:r>
    </w:p>
    <w:p w14:paraId="5E7441CA">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12.1.4</w:t>
      </w:r>
      <w:r>
        <w:rPr>
          <w:rFonts w:hint="eastAsia" w:ascii="宋体" w:hAnsi="宋体" w:eastAsia="宋体" w:cs="宋体"/>
          <w:snapToGrid w:val="0"/>
          <w:color w:val="000000"/>
          <w:kern w:val="0"/>
          <w:sz w:val="21"/>
          <w:szCs w:val="21"/>
          <w:highlight w:val="none"/>
          <w:lang w:val="en-US" w:eastAsia="en-US" w:bidi="ar-SA"/>
        </w:rPr>
        <w:t>“综合单价”中包含但不限于以下费用：直接工程费、管理费、利润、风险费等全部费用。</w:t>
      </w:r>
    </w:p>
    <w:p w14:paraId="6783F337">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12.1.5</w:t>
      </w:r>
      <w:r>
        <w:rPr>
          <w:rFonts w:hint="eastAsia" w:ascii="宋体" w:hAnsi="宋体" w:eastAsia="宋体" w:cs="宋体"/>
          <w:snapToGrid w:val="0"/>
          <w:color w:val="000000"/>
          <w:kern w:val="0"/>
          <w:sz w:val="21"/>
          <w:szCs w:val="21"/>
          <w:highlight w:val="none"/>
          <w:lang w:val="en-US" w:eastAsia="en-US" w:bidi="ar-SA"/>
        </w:rPr>
        <w:t>合同价格为固定价，价格中已包括工程施工期间及保修期间的全部费用，当合同实施时，承包范围内的工作内容未在合同或投标报价中填入的项目或遗漏的工程量，视为已包含在其它项目中，结算时不予补给。</w:t>
      </w:r>
    </w:p>
    <w:p w14:paraId="137DA79D">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12.1.6</w:t>
      </w:r>
      <w:r>
        <w:rPr>
          <w:rFonts w:hint="eastAsia" w:ascii="宋体" w:hAnsi="宋体" w:eastAsia="宋体" w:cs="宋体"/>
          <w:snapToGrid w:val="0"/>
          <w:color w:val="000000"/>
          <w:kern w:val="0"/>
          <w:sz w:val="21"/>
          <w:szCs w:val="21"/>
          <w:highlight w:val="none"/>
          <w:lang w:val="en-US" w:eastAsia="en-US" w:bidi="ar-SA"/>
        </w:rPr>
        <w:t>发包人有权对承包范围内的某个子目工程量进行调整或另行安排，不对全费用综合单价做调整，按相应全费用综合单价和实际工程量调整合同价格或进行工程结算。</w:t>
      </w:r>
    </w:p>
    <w:p w14:paraId="05269BF0">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12.1.7</w:t>
      </w:r>
      <w:r>
        <w:rPr>
          <w:rFonts w:hint="eastAsia" w:ascii="宋体" w:hAnsi="宋体" w:eastAsia="宋体" w:cs="宋体"/>
          <w:snapToGrid w:val="0"/>
          <w:color w:val="000000"/>
          <w:kern w:val="0"/>
          <w:sz w:val="21"/>
          <w:szCs w:val="21"/>
          <w:highlight w:val="none"/>
          <w:lang w:val="en-US" w:eastAsia="en-US" w:bidi="ar-SA"/>
        </w:rPr>
        <w:t>在施工中，无论承包人采用何种施工方法和措施，只作技术认可，合同价格不作调整。</w:t>
      </w:r>
    </w:p>
    <w:p w14:paraId="756459C3">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Times New Roman" w:hAnsi="Times New Roman" w:eastAsia="Times New Roman" w:cs="Times New Roman"/>
          <w:snapToGrid w:val="0"/>
          <w:color w:val="000000"/>
          <w:kern w:val="0"/>
          <w:sz w:val="21"/>
          <w:szCs w:val="21"/>
          <w:highlight w:val="none"/>
          <w:lang w:val="en-US" w:eastAsia="en-US" w:bidi="ar-SA"/>
        </w:rPr>
        <w:t>12.1.8</w:t>
      </w:r>
      <w:r>
        <w:rPr>
          <w:rFonts w:hint="eastAsia" w:ascii="宋体" w:hAnsi="宋体" w:eastAsia="宋体" w:cs="宋体"/>
          <w:snapToGrid w:val="0"/>
          <w:color w:val="000000"/>
          <w:kern w:val="0"/>
          <w:sz w:val="21"/>
          <w:szCs w:val="21"/>
          <w:highlight w:val="none"/>
          <w:lang w:val="en-US" w:eastAsia="en-US" w:bidi="ar-SA"/>
        </w:rPr>
        <w:t>合同价格调整原则</w:t>
      </w:r>
    </w:p>
    <w:p w14:paraId="5DC8C401">
      <w:pPr>
        <w:kinsoku w:val="0"/>
        <w:autoSpaceDE w:val="0"/>
        <w:autoSpaceDN w:val="0"/>
        <w:adjustRightInd w:val="0"/>
        <w:snapToGrid w:val="0"/>
        <w:spacing w:before="117" w:line="286" w:lineRule="auto"/>
        <w:ind w:left="63" w:leftChars="0" w:right="10" w:rightChars="0" w:firstLine="396" w:firstLineChars="0"/>
        <w:jc w:val="left"/>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发包人调整工程内容以及发生工程变更、工程签证时按以下方式调整合同总价或进行工程结算：</w:t>
      </w:r>
    </w:p>
    <w:p w14:paraId="5061623E">
      <w:pPr>
        <w:kinsoku w:val="0"/>
        <w:autoSpaceDE w:val="0"/>
        <w:autoSpaceDN w:val="0"/>
        <w:adjustRightInd w:val="0"/>
        <w:snapToGrid w:val="0"/>
        <w:spacing w:line="400" w:lineRule="exact"/>
        <w:ind w:leftChars="0" w:firstLine="420" w:firstLineChars="200"/>
        <w:jc w:val="left"/>
        <w:textAlignment w:val="baseline"/>
        <w:rPr>
          <w:rFonts w:hint="eastAsia" w:ascii="Arial" w:hAnsi="Arial" w:eastAsia="Arial" w:cs="Arial"/>
          <w:snapToGrid w:val="0"/>
          <w:color w:val="auto"/>
          <w:kern w:val="0"/>
          <w:sz w:val="21"/>
          <w:szCs w:val="21"/>
          <w:highlight w:val="none"/>
          <w:lang w:val="en-US" w:eastAsia="en-US" w:bidi="ar-SA"/>
        </w:rPr>
      </w:pPr>
      <w:r>
        <w:rPr>
          <w:rFonts w:hint="eastAsia" w:ascii="Arial" w:hAnsi="Arial" w:eastAsia="Arial" w:cs="Arial"/>
          <w:snapToGrid w:val="0"/>
          <w:color w:val="auto"/>
          <w:kern w:val="0"/>
          <w:sz w:val="21"/>
          <w:szCs w:val="21"/>
          <w:highlight w:val="none"/>
          <w:lang w:val="en-US" w:eastAsia="en-US" w:bidi="ar-SA"/>
        </w:rPr>
        <w:t>a、合同中已有适用于新增工程、工程变更、工程签证价格的，按合同已有价格计算；投标报价文件中各项合计价格下浮的相应的综合单价也必须以相同比例下浮。</w:t>
      </w:r>
    </w:p>
    <w:p w14:paraId="6B9A07B8">
      <w:pPr>
        <w:kinsoku w:val="0"/>
        <w:autoSpaceDE w:val="0"/>
        <w:autoSpaceDN w:val="0"/>
        <w:adjustRightInd w:val="0"/>
        <w:snapToGrid w:val="0"/>
        <w:spacing w:line="400" w:lineRule="exact"/>
        <w:ind w:left="0" w:leftChars="0" w:firstLine="420" w:firstLineChars="200"/>
        <w:jc w:val="left"/>
        <w:textAlignment w:val="baseline"/>
        <w:rPr>
          <w:rFonts w:hint="eastAsia" w:ascii="Arial" w:hAnsi="Arial" w:eastAsia="Arial" w:cs="Arial"/>
          <w:snapToGrid w:val="0"/>
          <w:color w:val="auto"/>
          <w:kern w:val="0"/>
          <w:sz w:val="21"/>
          <w:szCs w:val="21"/>
          <w:highlight w:val="none"/>
          <w:lang w:val="en-US" w:eastAsia="en-US" w:bidi="ar-SA"/>
        </w:rPr>
      </w:pPr>
      <w:r>
        <w:rPr>
          <w:rFonts w:hint="eastAsia" w:ascii="Arial" w:hAnsi="Arial" w:eastAsia="Arial" w:cs="Arial"/>
          <w:snapToGrid w:val="0"/>
          <w:color w:val="auto"/>
          <w:kern w:val="0"/>
          <w:sz w:val="21"/>
          <w:szCs w:val="21"/>
          <w:highlight w:val="none"/>
          <w:lang w:val="en-US" w:eastAsia="en-US" w:bidi="ar-SA"/>
        </w:rPr>
        <w:t>b、合同中只有类似于新增工程、工程变更、工程签证价格的，参照类似价格计算；投标报价文件中各项合计价格下浮的相应的综合单价也必须以相同比例下浮。</w:t>
      </w:r>
    </w:p>
    <w:p w14:paraId="5E750335">
      <w:pPr>
        <w:spacing w:line="400" w:lineRule="exact"/>
        <w:ind w:firstLine="420" w:firstLineChars="200"/>
        <w:rPr>
          <w:color w:val="auto"/>
          <w:highlight w:val="none"/>
        </w:rPr>
      </w:pPr>
      <w:r>
        <w:rPr>
          <w:rFonts w:hint="eastAsia" w:ascii="Arial" w:hAnsi="Arial" w:eastAsia="Arial" w:cs="Arial"/>
          <w:snapToGrid w:val="0"/>
          <w:color w:val="auto"/>
          <w:kern w:val="0"/>
          <w:sz w:val="21"/>
          <w:szCs w:val="21"/>
          <w:highlight w:val="none"/>
          <w:lang w:val="en-US" w:eastAsia="en-US" w:bidi="ar-SA"/>
        </w:rPr>
        <w:t>c、合同中没有适用或类似于新增工程、工程变更、工程签证价格的，按当地现行的建安工程预算定额及相应的费用定额计算的价格（不含主材）优惠下浮10%计算，主材按施工时当地市场指导价结算，当地市场指导价无法提供，以发包人市场询价为准。</w:t>
      </w:r>
    </w:p>
    <w:p w14:paraId="34B4142E">
      <w:pPr>
        <w:pStyle w:val="13"/>
        <w:rPr>
          <w:b/>
          <w:color w:val="auto"/>
          <w:highlight w:val="none"/>
        </w:rPr>
      </w:pPr>
      <w:bookmarkStart w:id="999" w:name="_Toc13612"/>
      <w:bookmarkStart w:id="1000" w:name="_Toc21445"/>
      <w:bookmarkStart w:id="1001" w:name="_Toc256000345"/>
      <w:bookmarkStart w:id="1002" w:name="_Toc150947494"/>
      <w:bookmarkStart w:id="1003" w:name="_Toc300935004"/>
      <w:bookmarkStart w:id="1004" w:name="_Toc303539161"/>
      <w:bookmarkStart w:id="1005" w:name="_Toc297216213"/>
      <w:bookmarkStart w:id="1006" w:name="_Toc312678042"/>
      <w:bookmarkStart w:id="1007" w:name="_Toc297123554"/>
      <w:bookmarkStart w:id="1008" w:name="_Toc304295581"/>
      <w:bookmarkStart w:id="1009" w:name="_Toc297120507"/>
      <w:bookmarkStart w:id="1010" w:name="_Toc296503207"/>
      <w:bookmarkStart w:id="1011" w:name="_Toc297048393"/>
      <w:bookmarkStart w:id="1012" w:name="_Toc296944546"/>
      <w:bookmarkStart w:id="1013" w:name="_Toc296891247"/>
      <w:bookmarkStart w:id="1014" w:name="_Toc296347206"/>
      <w:bookmarkStart w:id="1015" w:name="_Toc292559412"/>
      <w:bookmarkStart w:id="1016" w:name="_Toc296891035"/>
      <w:bookmarkStart w:id="1017" w:name="_Toc292559917"/>
      <w:bookmarkStart w:id="1018" w:name="_Toc296346708"/>
      <w:r>
        <w:rPr>
          <w:b/>
          <w:color w:val="auto"/>
          <w:highlight w:val="none"/>
        </w:rPr>
        <w:t>12.2 预付款</w:t>
      </w:r>
      <w:bookmarkEnd w:id="999"/>
      <w:bookmarkEnd w:id="1000"/>
      <w:bookmarkEnd w:id="1001"/>
      <w:bookmarkEnd w:id="1002"/>
    </w:p>
    <w:bookmarkEnd w:id="1003"/>
    <w:bookmarkEnd w:id="1004"/>
    <w:bookmarkEnd w:id="1005"/>
    <w:bookmarkEnd w:id="1006"/>
    <w:bookmarkEnd w:id="1007"/>
    <w:bookmarkEnd w:id="1008"/>
    <w:p w14:paraId="35CE19E4">
      <w:pPr>
        <w:spacing w:line="400" w:lineRule="exact"/>
        <w:ind w:firstLine="420" w:firstLineChars="200"/>
        <w:rPr>
          <w:color w:val="auto"/>
          <w:highlight w:val="none"/>
        </w:rPr>
      </w:pPr>
      <w:r>
        <w:rPr>
          <w:color w:val="auto"/>
          <w:highlight w:val="none"/>
        </w:rPr>
        <w:t>12.2.1 预付款的支付</w:t>
      </w:r>
    </w:p>
    <w:p w14:paraId="58E08ED3">
      <w:pPr>
        <w:spacing w:line="400" w:lineRule="exact"/>
        <w:ind w:firstLine="420" w:firstLineChars="200"/>
        <w:rPr>
          <w:color w:val="auto"/>
          <w:highlight w:val="none"/>
        </w:rPr>
      </w:pPr>
      <w:r>
        <w:rPr>
          <w:color w:val="auto"/>
          <w:highlight w:val="none"/>
        </w:rPr>
        <w:t>预付款支付比例或金额：</w:t>
      </w:r>
      <w:r>
        <w:rPr>
          <w:rFonts w:hint="eastAsia" w:eastAsia="宋体"/>
          <w:color w:val="auto"/>
          <w:highlight w:val="none"/>
          <w:lang w:val="en-US" w:eastAsia="zh-CN"/>
        </w:rPr>
        <w:t>/</w:t>
      </w:r>
      <w:r>
        <w:rPr>
          <w:color w:val="auto"/>
          <w:highlight w:val="none"/>
          <w:u w:val="single"/>
        </w:rPr>
        <w:t xml:space="preserve">  </w:t>
      </w:r>
      <w:r>
        <w:rPr>
          <w:color w:val="auto"/>
          <w:highlight w:val="none"/>
        </w:rPr>
        <w:t>。</w:t>
      </w:r>
    </w:p>
    <w:p w14:paraId="0355E596">
      <w:pPr>
        <w:spacing w:line="400" w:lineRule="exact"/>
        <w:ind w:firstLine="420" w:firstLineChars="200"/>
        <w:rPr>
          <w:color w:val="auto"/>
          <w:highlight w:val="none"/>
        </w:rPr>
      </w:pPr>
      <w:r>
        <w:rPr>
          <w:color w:val="auto"/>
          <w:highlight w:val="none"/>
        </w:rPr>
        <w:t>预付款支付期限：</w:t>
      </w:r>
      <w:r>
        <w:rPr>
          <w:rFonts w:hint="eastAsia" w:ascii="宋体" w:hAnsi="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w:t>
      </w:r>
      <w:r>
        <w:rPr>
          <w:color w:val="auto"/>
          <w:highlight w:val="none"/>
        </w:rPr>
        <w:t>。</w:t>
      </w:r>
    </w:p>
    <w:p w14:paraId="58A24FE9">
      <w:pPr>
        <w:spacing w:line="400" w:lineRule="exact"/>
        <w:ind w:firstLine="420" w:firstLineChars="200"/>
        <w:rPr>
          <w:color w:val="auto"/>
          <w:highlight w:val="none"/>
        </w:rPr>
      </w:pPr>
      <w:r>
        <w:rPr>
          <w:color w:val="auto"/>
          <w:highlight w:val="none"/>
        </w:rPr>
        <w:t>预付款扣回的方式：</w:t>
      </w:r>
      <w:r>
        <w:rPr>
          <w:rFonts w:hint="eastAsia" w:eastAsia="宋体"/>
          <w:color w:val="auto"/>
          <w:highlight w:val="none"/>
          <w:u w:val="single"/>
          <w:lang w:val="en-US" w:eastAsia="zh-CN"/>
        </w:rPr>
        <w:t xml:space="preserve">  /</w:t>
      </w:r>
      <w:r>
        <w:rPr>
          <w:color w:val="auto"/>
          <w:highlight w:val="none"/>
        </w:rPr>
        <w:t>。</w:t>
      </w:r>
    </w:p>
    <w:p w14:paraId="7C9DFE61">
      <w:pPr>
        <w:spacing w:line="400" w:lineRule="exact"/>
        <w:ind w:firstLine="420" w:firstLineChars="200"/>
        <w:rPr>
          <w:color w:val="auto"/>
          <w:highlight w:val="none"/>
        </w:rPr>
      </w:pPr>
      <w:r>
        <w:rPr>
          <w:color w:val="auto"/>
          <w:highlight w:val="none"/>
        </w:rPr>
        <w:t>12.2.2 预付款担保</w:t>
      </w:r>
    </w:p>
    <w:p w14:paraId="3D0F89D5">
      <w:pPr>
        <w:spacing w:line="400" w:lineRule="exact"/>
        <w:ind w:firstLine="420" w:firstLineChars="200"/>
        <w:rPr>
          <w:color w:val="auto"/>
          <w:highlight w:val="none"/>
        </w:rPr>
      </w:pPr>
      <w:r>
        <w:rPr>
          <w:color w:val="auto"/>
          <w:highlight w:val="none"/>
        </w:rPr>
        <w:t>承包人提交预付款担保的期限：</w:t>
      </w:r>
      <w:r>
        <w:rPr>
          <w:rFonts w:hint="eastAsia" w:eastAsia="宋体"/>
          <w:color w:val="auto"/>
          <w:highlight w:val="none"/>
          <w:u w:val="single"/>
          <w:lang w:val="en-US" w:eastAsia="zh-CN"/>
        </w:rPr>
        <w:t xml:space="preserve">  /</w:t>
      </w:r>
      <w:r>
        <w:rPr>
          <w:rFonts w:hint="eastAsia"/>
          <w:color w:val="auto"/>
          <w:highlight w:val="none"/>
          <w:u w:val="single"/>
        </w:rPr>
        <w:t xml:space="preserve"> </w:t>
      </w:r>
      <w:r>
        <w:rPr>
          <w:color w:val="auto"/>
          <w:highlight w:val="none"/>
        </w:rPr>
        <w:t>。</w:t>
      </w:r>
    </w:p>
    <w:p w14:paraId="4643F385">
      <w:pPr>
        <w:spacing w:line="400" w:lineRule="exact"/>
        <w:ind w:firstLine="420" w:firstLineChars="200"/>
        <w:rPr>
          <w:color w:val="auto"/>
          <w:highlight w:val="none"/>
        </w:rPr>
      </w:pPr>
      <w:r>
        <w:rPr>
          <w:color w:val="auto"/>
          <w:highlight w:val="none"/>
        </w:rPr>
        <w:t>预付款担保的形式为：</w:t>
      </w:r>
      <w:r>
        <w:rPr>
          <w:rFonts w:hint="eastAsia" w:eastAsia="宋体"/>
          <w:color w:val="auto"/>
          <w:highlight w:val="none"/>
          <w:u w:val="single"/>
          <w:lang w:val="en-US" w:eastAsia="zh-CN"/>
        </w:rPr>
        <w:t xml:space="preserve">   /</w:t>
      </w:r>
      <w:r>
        <w:rPr>
          <w:color w:val="auto"/>
          <w:highlight w:val="none"/>
        </w:rPr>
        <w:t>。</w:t>
      </w:r>
    </w:p>
    <w:bookmarkEnd w:id="1009"/>
    <w:bookmarkEnd w:id="1010"/>
    <w:bookmarkEnd w:id="1011"/>
    <w:bookmarkEnd w:id="1012"/>
    <w:bookmarkEnd w:id="1013"/>
    <w:bookmarkEnd w:id="1014"/>
    <w:bookmarkEnd w:id="1015"/>
    <w:bookmarkEnd w:id="1016"/>
    <w:bookmarkEnd w:id="1017"/>
    <w:bookmarkEnd w:id="1018"/>
    <w:p w14:paraId="5E9FBC11">
      <w:pPr>
        <w:pStyle w:val="13"/>
        <w:rPr>
          <w:b/>
          <w:color w:val="auto"/>
          <w:highlight w:val="none"/>
        </w:rPr>
      </w:pPr>
      <w:bookmarkStart w:id="1019" w:name="_Toc6212"/>
      <w:bookmarkStart w:id="1020" w:name="_Toc150947495"/>
      <w:bookmarkStart w:id="1021" w:name="_Toc32755"/>
      <w:bookmarkStart w:id="1022" w:name="_Toc256000346"/>
      <w:r>
        <w:rPr>
          <w:b/>
          <w:color w:val="auto"/>
          <w:highlight w:val="none"/>
        </w:rPr>
        <w:t>12.3 计量</w:t>
      </w:r>
      <w:bookmarkEnd w:id="1019"/>
      <w:bookmarkEnd w:id="1020"/>
      <w:bookmarkEnd w:id="1021"/>
      <w:bookmarkEnd w:id="1022"/>
    </w:p>
    <w:p w14:paraId="077E217A">
      <w:pPr>
        <w:spacing w:line="400" w:lineRule="exact"/>
        <w:ind w:firstLine="420" w:firstLineChars="200"/>
        <w:rPr>
          <w:color w:val="auto"/>
          <w:highlight w:val="none"/>
        </w:rPr>
      </w:pPr>
      <w:r>
        <w:rPr>
          <w:color w:val="auto"/>
          <w:highlight w:val="none"/>
        </w:rPr>
        <w:t>12.3.1 计量原则</w:t>
      </w:r>
    </w:p>
    <w:p w14:paraId="17C1BC36">
      <w:pPr>
        <w:spacing w:line="400" w:lineRule="exact"/>
        <w:ind w:firstLine="420" w:firstLineChars="200"/>
        <w:rPr>
          <w:rFonts w:hint="default"/>
          <w:color w:val="auto"/>
          <w:highlight w:val="none"/>
          <w:lang w:val="en-US"/>
        </w:rPr>
      </w:pPr>
      <w:r>
        <w:rPr>
          <w:color w:val="auto"/>
          <w:highlight w:val="none"/>
        </w:rPr>
        <w:t>工程量计算规则：</w:t>
      </w:r>
      <w:r>
        <w:rPr>
          <w:rFonts w:hint="eastAsia"/>
          <w:color w:val="auto"/>
          <w:highlight w:val="none"/>
          <w:u w:val="single"/>
          <w:lang w:val="en-US" w:eastAsia="zh-CN"/>
        </w:rPr>
        <w:t xml:space="preserve"> </w:t>
      </w:r>
      <w:r>
        <w:rPr>
          <w:rFonts w:hint="eastAsia"/>
          <w:color w:val="auto"/>
          <w:highlight w:val="none"/>
          <w:u w:val="single"/>
        </w:rPr>
        <w:t>工程量计量按照合同约定的工程量计算规则、图纸及变更指示等进行计</w:t>
      </w:r>
      <w:r>
        <w:rPr>
          <w:rFonts w:hint="eastAsia" w:eastAsia="宋体"/>
          <w:color w:val="auto"/>
          <w:highlight w:val="none"/>
          <w:u w:val="single"/>
          <w:lang w:val="en-US" w:eastAsia="zh-CN"/>
        </w:rPr>
        <w:t>量.</w:t>
      </w:r>
    </w:p>
    <w:p w14:paraId="4E14878D">
      <w:pPr>
        <w:spacing w:line="400" w:lineRule="exact"/>
        <w:ind w:firstLine="420" w:firstLineChars="200"/>
        <w:rPr>
          <w:color w:val="auto"/>
          <w:highlight w:val="none"/>
        </w:rPr>
      </w:pPr>
      <w:r>
        <w:rPr>
          <w:color w:val="auto"/>
          <w:highlight w:val="none"/>
        </w:rPr>
        <w:t>12.3.2 计量周期</w:t>
      </w:r>
    </w:p>
    <w:p w14:paraId="32663A1C">
      <w:pPr>
        <w:spacing w:line="400" w:lineRule="exact"/>
        <w:ind w:firstLine="420" w:firstLineChars="200"/>
        <w:rPr>
          <w:color w:val="auto"/>
          <w:highlight w:val="none"/>
        </w:rPr>
      </w:pPr>
      <w:r>
        <w:rPr>
          <w:color w:val="auto"/>
          <w:highlight w:val="none"/>
        </w:rPr>
        <w:t>关于计量周期的约定：</w:t>
      </w:r>
      <w:r>
        <w:rPr>
          <w:rFonts w:hint="eastAsia" w:eastAsia="宋体"/>
          <w:color w:val="auto"/>
          <w:highlight w:val="none"/>
          <w:u w:val="single"/>
          <w:lang w:val="en-US" w:eastAsia="zh-CN"/>
        </w:rPr>
        <w:t>全部施工完成后一次性支付至合同金额的80%，工程竣工验收合格并经财政结算审核后支付至结算金额的98%，余款作为质保金，质保期结束无质量问题无息返还（具体时间以双方签订的合同为准）。</w:t>
      </w:r>
    </w:p>
    <w:p w14:paraId="64D4B856">
      <w:pPr>
        <w:spacing w:line="400" w:lineRule="exact"/>
        <w:ind w:firstLine="420" w:firstLineChars="200"/>
        <w:rPr>
          <w:color w:val="auto"/>
          <w:highlight w:val="none"/>
        </w:rPr>
      </w:pPr>
      <w:r>
        <w:rPr>
          <w:color w:val="auto"/>
          <w:highlight w:val="none"/>
        </w:rPr>
        <w:t>12.3.3 单价合同的计量</w:t>
      </w:r>
    </w:p>
    <w:p w14:paraId="1CD05F50">
      <w:pPr>
        <w:spacing w:line="400" w:lineRule="exact"/>
        <w:ind w:firstLine="420" w:firstLineChars="200"/>
        <w:rPr>
          <w:color w:val="auto"/>
          <w:highlight w:val="none"/>
        </w:rPr>
      </w:pPr>
      <w:r>
        <w:rPr>
          <w:color w:val="auto"/>
          <w:highlight w:val="none"/>
        </w:rPr>
        <w:t>关于单价合同计量的约定：</w:t>
      </w:r>
      <w:r>
        <w:rPr>
          <w:rFonts w:hint="eastAsia"/>
          <w:color w:val="auto"/>
          <w:highlight w:val="none"/>
          <w:u w:val="single"/>
        </w:rPr>
        <w:t>执行通用合同条款</w:t>
      </w:r>
      <w:r>
        <w:rPr>
          <w:color w:val="auto"/>
          <w:highlight w:val="none"/>
        </w:rPr>
        <w:t>。</w:t>
      </w:r>
    </w:p>
    <w:p w14:paraId="50A20E21">
      <w:pPr>
        <w:spacing w:line="400" w:lineRule="exact"/>
        <w:ind w:firstLine="420" w:firstLineChars="200"/>
        <w:rPr>
          <w:color w:val="auto"/>
          <w:highlight w:val="none"/>
        </w:rPr>
      </w:pPr>
      <w:r>
        <w:rPr>
          <w:color w:val="auto"/>
          <w:highlight w:val="none"/>
        </w:rPr>
        <w:t>12.3.4 总价合同的计量</w:t>
      </w:r>
    </w:p>
    <w:p w14:paraId="04EBABB7">
      <w:pPr>
        <w:spacing w:line="400" w:lineRule="exact"/>
        <w:ind w:firstLine="420" w:firstLineChars="200"/>
        <w:rPr>
          <w:color w:val="auto"/>
          <w:highlight w:val="none"/>
        </w:rPr>
      </w:pPr>
      <w:r>
        <w:rPr>
          <w:color w:val="auto"/>
          <w:highlight w:val="none"/>
        </w:rPr>
        <w:t>关于总价合同计量的约定：</w:t>
      </w:r>
      <w:r>
        <w:rPr>
          <w:rFonts w:hint="eastAsia"/>
          <w:color w:val="auto"/>
          <w:highlight w:val="none"/>
          <w:u w:val="single"/>
        </w:rPr>
        <w:t xml:space="preserve">   / </w:t>
      </w:r>
      <w:r>
        <w:rPr>
          <w:color w:val="auto"/>
          <w:highlight w:val="none"/>
          <w:u w:val="single"/>
        </w:rPr>
        <w:t xml:space="preserve">   </w:t>
      </w:r>
      <w:r>
        <w:rPr>
          <w:color w:val="auto"/>
          <w:highlight w:val="none"/>
        </w:rPr>
        <w:t>。</w:t>
      </w:r>
    </w:p>
    <w:p w14:paraId="626FE87C">
      <w:pPr>
        <w:spacing w:line="400" w:lineRule="exact"/>
        <w:ind w:firstLine="420" w:firstLineChars="200"/>
        <w:rPr>
          <w:color w:val="auto"/>
          <w:highlight w:val="none"/>
        </w:rPr>
      </w:pPr>
      <w:r>
        <w:rPr>
          <w:color w:val="auto"/>
          <w:highlight w:val="none"/>
        </w:rPr>
        <w:t>12.3.5总价合同采用支付分解表计量支付的，是否适用第12.3.4 项</w:t>
      </w:r>
      <w:r>
        <w:rPr>
          <w:rFonts w:hint="eastAsia"/>
          <w:color w:val="auto"/>
          <w:highlight w:val="none"/>
        </w:rPr>
        <w:t>〔</w:t>
      </w:r>
      <w:r>
        <w:rPr>
          <w:color w:val="auto"/>
          <w:highlight w:val="none"/>
        </w:rPr>
        <w:t>总价合同的计量</w:t>
      </w:r>
      <w:r>
        <w:rPr>
          <w:rFonts w:hint="eastAsia"/>
          <w:color w:val="auto"/>
          <w:highlight w:val="none"/>
        </w:rPr>
        <w:t>〕</w:t>
      </w:r>
      <w:r>
        <w:rPr>
          <w:color w:val="auto"/>
          <w:highlight w:val="none"/>
        </w:rPr>
        <w:t>约定</w:t>
      </w:r>
      <w:r>
        <w:rPr>
          <w:rFonts w:hint="eastAsia"/>
          <w:color w:val="auto"/>
          <w:highlight w:val="none"/>
        </w:rPr>
        <w:t>进行计量：</w:t>
      </w:r>
      <w:r>
        <w:rPr>
          <w:rFonts w:hint="eastAsia"/>
          <w:color w:val="auto"/>
          <w:highlight w:val="none"/>
          <w:u w:val="single"/>
        </w:rPr>
        <w:t xml:space="preserve">   / </w:t>
      </w:r>
      <w:r>
        <w:rPr>
          <w:color w:val="auto"/>
          <w:highlight w:val="none"/>
          <w:u w:val="single"/>
        </w:rPr>
        <w:t xml:space="preserve">   </w:t>
      </w:r>
      <w:r>
        <w:rPr>
          <w:rFonts w:hint="eastAsia"/>
          <w:color w:val="auto"/>
          <w:highlight w:val="none"/>
        </w:rPr>
        <w:t xml:space="preserve"> </w:t>
      </w:r>
      <w:r>
        <w:rPr>
          <w:color w:val="auto"/>
          <w:highlight w:val="none"/>
        </w:rPr>
        <w:t>。</w:t>
      </w:r>
    </w:p>
    <w:p w14:paraId="347E8E95">
      <w:pPr>
        <w:spacing w:line="400" w:lineRule="exact"/>
        <w:ind w:firstLine="420" w:firstLineChars="200"/>
        <w:rPr>
          <w:color w:val="auto"/>
          <w:highlight w:val="none"/>
        </w:rPr>
      </w:pPr>
      <w:r>
        <w:rPr>
          <w:color w:val="auto"/>
          <w:highlight w:val="none"/>
        </w:rPr>
        <w:t>12.3.6 其他价格形式合同的计量</w:t>
      </w:r>
    </w:p>
    <w:p w14:paraId="51F32D02">
      <w:pPr>
        <w:spacing w:line="400" w:lineRule="exact"/>
        <w:ind w:firstLine="420" w:firstLineChars="200"/>
        <w:rPr>
          <w:color w:val="auto"/>
          <w:highlight w:val="none"/>
        </w:rPr>
      </w:pPr>
      <w:r>
        <w:rPr>
          <w:color w:val="auto"/>
          <w:highlight w:val="none"/>
        </w:rPr>
        <w:t>其他价格形式的计量方式和程序：</w:t>
      </w:r>
      <w:r>
        <w:rPr>
          <w:rFonts w:hint="eastAsia"/>
          <w:color w:val="auto"/>
          <w:highlight w:val="none"/>
          <w:u w:val="single"/>
        </w:rPr>
        <w:t xml:space="preserve">   / </w:t>
      </w:r>
      <w:r>
        <w:rPr>
          <w:color w:val="auto"/>
          <w:highlight w:val="none"/>
          <w:u w:val="single"/>
        </w:rPr>
        <w:t xml:space="preserve">   </w:t>
      </w:r>
      <w:r>
        <w:rPr>
          <w:color w:val="auto"/>
          <w:highlight w:val="none"/>
        </w:rPr>
        <w:t>。</w:t>
      </w:r>
    </w:p>
    <w:p w14:paraId="7D92AC34">
      <w:pPr>
        <w:pStyle w:val="13"/>
        <w:rPr>
          <w:b/>
          <w:color w:val="auto"/>
          <w:highlight w:val="none"/>
        </w:rPr>
      </w:pPr>
      <w:bookmarkStart w:id="1023" w:name="_Toc150947496"/>
      <w:bookmarkStart w:id="1024" w:name="_Toc28938"/>
      <w:bookmarkStart w:id="1025" w:name="_Toc26774"/>
      <w:bookmarkStart w:id="1026" w:name="_Toc256000347"/>
      <w:r>
        <w:rPr>
          <w:b/>
          <w:color w:val="auto"/>
          <w:highlight w:val="none"/>
        </w:rPr>
        <w:t>12.4 工程进度款支付</w:t>
      </w:r>
      <w:bookmarkEnd w:id="1023"/>
      <w:bookmarkEnd w:id="1024"/>
      <w:bookmarkEnd w:id="1025"/>
      <w:bookmarkEnd w:id="1026"/>
    </w:p>
    <w:p w14:paraId="2D94B41B">
      <w:pPr>
        <w:spacing w:line="400" w:lineRule="exact"/>
        <w:ind w:firstLine="420" w:firstLineChars="200"/>
        <w:rPr>
          <w:color w:val="auto"/>
          <w:highlight w:val="none"/>
        </w:rPr>
      </w:pPr>
      <w:bookmarkStart w:id="1027" w:name="_Toc300935006"/>
      <w:bookmarkStart w:id="1028" w:name="_Toc296346712"/>
      <w:bookmarkStart w:id="1029" w:name="_Toc296944550"/>
      <w:bookmarkStart w:id="1030" w:name="_Toc297048397"/>
      <w:bookmarkStart w:id="1031" w:name="_Toc292559921"/>
      <w:bookmarkStart w:id="1032" w:name="_Toc303539163"/>
      <w:bookmarkStart w:id="1033" w:name="_Toc296503211"/>
      <w:bookmarkStart w:id="1034" w:name="_Toc297216215"/>
      <w:bookmarkStart w:id="1035" w:name="_Toc297123556"/>
      <w:bookmarkStart w:id="1036" w:name="_Toc296347210"/>
      <w:bookmarkStart w:id="1037" w:name="_Toc292559416"/>
      <w:bookmarkStart w:id="1038" w:name="_Toc297120511"/>
      <w:bookmarkStart w:id="1039" w:name="_Toc296891251"/>
      <w:bookmarkStart w:id="1040" w:name="_Toc296891039"/>
      <w:r>
        <w:rPr>
          <w:color w:val="auto"/>
          <w:highlight w:val="none"/>
        </w:rPr>
        <w:t>12.4.1 付款周期</w:t>
      </w:r>
    </w:p>
    <w:p w14:paraId="0A0FB433">
      <w:pPr>
        <w:spacing w:line="400" w:lineRule="exact"/>
        <w:ind w:firstLine="420" w:firstLineChars="200"/>
        <w:rPr>
          <w:rFonts w:hint="eastAsia" w:eastAsia="宋体"/>
          <w:color w:val="auto"/>
          <w:highlight w:val="none"/>
          <w:lang w:eastAsia="zh-CN"/>
        </w:rPr>
      </w:pPr>
      <w:r>
        <w:rPr>
          <w:color w:val="auto"/>
          <w:highlight w:val="none"/>
        </w:rPr>
        <w:t>关于付款周期的约定：</w:t>
      </w:r>
      <w:r>
        <w:rPr>
          <w:rFonts w:hint="eastAsia" w:ascii="宋体" w:hAnsi="宋体" w:cs="宋体"/>
          <w:color w:val="auto"/>
          <w:kern w:val="0"/>
          <w:szCs w:val="21"/>
          <w:highlight w:val="none"/>
          <w:u w:val="single"/>
          <w:lang w:bidi="ar"/>
        </w:rPr>
        <w:t>全部施工完成后一次性支付至合同金额的80%，工程竣工验收合格并经财政结算审核后支付至结算金额的9</w:t>
      </w:r>
      <w:r>
        <w:rPr>
          <w:rFonts w:hint="eastAsia" w:ascii="宋体" w:hAnsi="宋体" w:eastAsia="宋体" w:cs="宋体"/>
          <w:color w:val="auto"/>
          <w:kern w:val="0"/>
          <w:szCs w:val="21"/>
          <w:highlight w:val="none"/>
          <w:u w:val="single"/>
          <w:lang w:val="en-US" w:eastAsia="zh-CN" w:bidi="ar"/>
        </w:rPr>
        <w:t>8</w:t>
      </w:r>
      <w:r>
        <w:rPr>
          <w:rFonts w:hint="eastAsia" w:ascii="宋体" w:hAnsi="宋体" w:cs="宋体"/>
          <w:color w:val="auto"/>
          <w:kern w:val="0"/>
          <w:szCs w:val="21"/>
          <w:highlight w:val="none"/>
          <w:u w:val="single"/>
          <w:lang w:bidi="ar"/>
        </w:rPr>
        <w:t>%，余款作为质保金，质保期结束无质量问题无息返还（具体时间以双方签订的合同为准）。</w:t>
      </w:r>
    </w:p>
    <w:p w14:paraId="377394B0">
      <w:pPr>
        <w:spacing w:line="400" w:lineRule="exact"/>
        <w:ind w:firstLine="420" w:firstLineChars="200"/>
        <w:rPr>
          <w:color w:val="auto"/>
          <w:highlight w:val="none"/>
        </w:rPr>
      </w:pPr>
      <w:r>
        <w:rPr>
          <w:color w:val="auto"/>
          <w:highlight w:val="none"/>
        </w:rPr>
        <w:t>12.4.2 进度付款申请单的编制</w:t>
      </w:r>
    </w:p>
    <w:p w14:paraId="647DDD20">
      <w:pPr>
        <w:spacing w:line="400" w:lineRule="exact"/>
        <w:ind w:firstLine="420" w:firstLineChars="200"/>
        <w:rPr>
          <w:color w:val="auto"/>
          <w:highlight w:val="none"/>
        </w:rPr>
      </w:pPr>
      <w:r>
        <w:rPr>
          <w:color w:val="auto"/>
          <w:highlight w:val="none"/>
        </w:rPr>
        <w:t>关于进度付款申请单编制的约定：</w:t>
      </w:r>
      <w:r>
        <w:rPr>
          <w:rFonts w:hint="eastAsia"/>
          <w:color w:val="auto"/>
          <w:highlight w:val="none"/>
          <w:u w:val="single"/>
        </w:rPr>
        <w:t>执行通用合同条款</w:t>
      </w:r>
      <w:r>
        <w:rPr>
          <w:color w:val="auto"/>
          <w:highlight w:val="none"/>
        </w:rPr>
        <w:t>。</w:t>
      </w:r>
    </w:p>
    <w:p w14:paraId="68B60400">
      <w:pPr>
        <w:spacing w:line="400" w:lineRule="exact"/>
        <w:ind w:firstLine="420" w:firstLineChars="200"/>
        <w:rPr>
          <w:color w:val="auto"/>
          <w:highlight w:val="none"/>
        </w:rPr>
      </w:pPr>
      <w:r>
        <w:rPr>
          <w:color w:val="auto"/>
          <w:highlight w:val="none"/>
        </w:rPr>
        <w:t>1</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Pr>
          <w:color w:val="auto"/>
          <w:highlight w:val="none"/>
        </w:rPr>
        <w:t>2.4.3 进度付款申请单的提交</w:t>
      </w:r>
    </w:p>
    <w:p w14:paraId="18F90F1D">
      <w:pPr>
        <w:spacing w:line="400" w:lineRule="exact"/>
        <w:ind w:firstLine="420" w:firstLineChars="200"/>
        <w:rPr>
          <w:color w:val="auto"/>
          <w:highlight w:val="none"/>
        </w:rPr>
      </w:pPr>
      <w:r>
        <w:rPr>
          <w:color w:val="auto"/>
          <w:highlight w:val="none"/>
        </w:rPr>
        <w:t>（1）单价合同进度付款申请单提交的约定</w:t>
      </w:r>
      <w:r>
        <w:rPr>
          <w:rFonts w:hint="eastAsia"/>
          <w:color w:val="auto"/>
          <w:highlight w:val="none"/>
        </w:rPr>
        <w:t>：</w:t>
      </w:r>
      <w:r>
        <w:rPr>
          <w:rFonts w:hint="eastAsia"/>
          <w:color w:val="auto"/>
          <w:highlight w:val="none"/>
          <w:u w:val="single"/>
        </w:rPr>
        <w:t>执行通用合同条款</w:t>
      </w:r>
      <w:r>
        <w:rPr>
          <w:color w:val="auto"/>
          <w:highlight w:val="none"/>
        </w:rPr>
        <w:t>。</w:t>
      </w:r>
    </w:p>
    <w:p w14:paraId="1AFEEED0">
      <w:pPr>
        <w:spacing w:line="400" w:lineRule="exact"/>
        <w:ind w:firstLine="420" w:firstLineChars="200"/>
        <w:rPr>
          <w:color w:val="auto"/>
          <w:highlight w:val="none"/>
        </w:rPr>
      </w:pPr>
      <w:r>
        <w:rPr>
          <w:color w:val="auto"/>
          <w:highlight w:val="none"/>
        </w:rPr>
        <w:t>（2）总价合同进度付款申请单提交的约定</w:t>
      </w:r>
      <w:r>
        <w:rPr>
          <w:rFonts w:hint="eastAsia"/>
          <w:color w:val="auto"/>
          <w:highlight w:val="none"/>
        </w:rPr>
        <w:t>：</w:t>
      </w:r>
      <w:r>
        <w:rPr>
          <w:rFonts w:hint="eastAsia"/>
          <w:color w:val="auto"/>
          <w:highlight w:val="none"/>
          <w:u w:val="single"/>
        </w:rPr>
        <w:t xml:space="preserve">   / </w:t>
      </w:r>
      <w:r>
        <w:rPr>
          <w:color w:val="auto"/>
          <w:highlight w:val="none"/>
          <w:u w:val="single"/>
        </w:rPr>
        <w:t xml:space="preserve">  </w:t>
      </w:r>
      <w:r>
        <w:rPr>
          <w:color w:val="auto"/>
          <w:highlight w:val="none"/>
        </w:rPr>
        <w:t>。</w:t>
      </w:r>
    </w:p>
    <w:p w14:paraId="6A48EC1D">
      <w:pPr>
        <w:spacing w:line="400" w:lineRule="exact"/>
        <w:ind w:firstLine="420" w:firstLineChars="200"/>
        <w:rPr>
          <w:color w:val="auto"/>
          <w:highlight w:val="none"/>
        </w:rPr>
      </w:pPr>
      <w:r>
        <w:rPr>
          <w:color w:val="auto"/>
          <w:highlight w:val="none"/>
        </w:rPr>
        <w:t>（3）其他价格形式合同进度付款申请单提交的约定：</w:t>
      </w:r>
      <w:r>
        <w:rPr>
          <w:rFonts w:hint="eastAsia"/>
          <w:color w:val="auto"/>
          <w:highlight w:val="none"/>
          <w:u w:val="single"/>
        </w:rPr>
        <w:t xml:space="preserve">   / </w:t>
      </w:r>
      <w:r>
        <w:rPr>
          <w:color w:val="auto"/>
          <w:highlight w:val="none"/>
          <w:u w:val="single"/>
        </w:rPr>
        <w:t xml:space="preserve">  </w:t>
      </w:r>
      <w:r>
        <w:rPr>
          <w:color w:val="auto"/>
          <w:highlight w:val="none"/>
        </w:rPr>
        <w:t>。</w:t>
      </w:r>
    </w:p>
    <w:p w14:paraId="5FA48190">
      <w:pPr>
        <w:spacing w:line="400" w:lineRule="exact"/>
        <w:ind w:firstLine="420" w:firstLineChars="200"/>
        <w:rPr>
          <w:color w:val="auto"/>
          <w:highlight w:val="none"/>
        </w:rPr>
      </w:pPr>
      <w:r>
        <w:rPr>
          <w:color w:val="auto"/>
          <w:highlight w:val="none"/>
        </w:rPr>
        <w:t>12.4.4 进度款审核和支付</w:t>
      </w:r>
    </w:p>
    <w:p w14:paraId="1785CE9A">
      <w:pPr>
        <w:spacing w:line="400" w:lineRule="exact"/>
        <w:ind w:firstLine="420" w:firstLineChars="200"/>
        <w:rPr>
          <w:color w:val="auto"/>
          <w:highlight w:val="none"/>
        </w:rPr>
      </w:pPr>
      <w:r>
        <w:rPr>
          <w:color w:val="auto"/>
          <w:highlight w:val="none"/>
        </w:rPr>
        <w:t xml:space="preserve">（1）监理人审查并报送发包人的期限： </w:t>
      </w:r>
      <w:r>
        <w:rPr>
          <w:rFonts w:hint="eastAsia"/>
          <w:color w:val="auto"/>
          <w:highlight w:val="none"/>
          <w:u w:val="single"/>
        </w:rPr>
        <w:t>执行通用合同条款</w:t>
      </w:r>
      <w:r>
        <w:rPr>
          <w:color w:val="auto"/>
          <w:highlight w:val="none"/>
        </w:rPr>
        <w:t>。</w:t>
      </w:r>
    </w:p>
    <w:p w14:paraId="0899FE00">
      <w:pPr>
        <w:spacing w:line="400" w:lineRule="exact"/>
        <w:ind w:firstLine="420" w:firstLineChars="200"/>
        <w:rPr>
          <w:color w:val="auto"/>
          <w:highlight w:val="none"/>
          <w:u w:val="single"/>
        </w:rPr>
      </w:pPr>
      <w:r>
        <w:rPr>
          <w:color w:val="auto"/>
          <w:highlight w:val="none"/>
        </w:rPr>
        <w:t>发包人完成审批并签发进度款支付证书的期限：</w:t>
      </w:r>
      <w:r>
        <w:rPr>
          <w:rFonts w:hint="eastAsia"/>
          <w:color w:val="auto"/>
          <w:highlight w:val="none"/>
          <w:u w:val="single"/>
        </w:rPr>
        <w:t>执行通用合同条款</w:t>
      </w:r>
      <w:r>
        <w:rPr>
          <w:color w:val="auto"/>
          <w:highlight w:val="none"/>
        </w:rPr>
        <w:t>。</w:t>
      </w:r>
    </w:p>
    <w:p w14:paraId="49C89CB4">
      <w:pPr>
        <w:spacing w:line="400" w:lineRule="exact"/>
        <w:ind w:firstLine="420" w:firstLineChars="200"/>
        <w:rPr>
          <w:color w:val="auto"/>
          <w:highlight w:val="none"/>
        </w:rPr>
      </w:pPr>
      <w:r>
        <w:rPr>
          <w:color w:val="auto"/>
          <w:highlight w:val="none"/>
        </w:rPr>
        <w:t>（2）发包人支付进度款的期限：</w:t>
      </w:r>
      <w:r>
        <w:rPr>
          <w:rFonts w:hint="eastAsia"/>
          <w:color w:val="auto"/>
          <w:highlight w:val="none"/>
          <w:u w:val="single"/>
        </w:rPr>
        <w:t>根据财政部门实际拨款情况支付</w:t>
      </w:r>
      <w:r>
        <w:rPr>
          <w:color w:val="auto"/>
          <w:highlight w:val="none"/>
        </w:rPr>
        <w:t>。</w:t>
      </w:r>
    </w:p>
    <w:p w14:paraId="551CF779">
      <w:pPr>
        <w:spacing w:line="400" w:lineRule="exact"/>
        <w:ind w:firstLine="420" w:firstLineChars="200"/>
        <w:rPr>
          <w:color w:val="auto"/>
          <w:highlight w:val="none"/>
        </w:rPr>
      </w:pPr>
      <w:r>
        <w:rPr>
          <w:color w:val="auto"/>
          <w:highlight w:val="none"/>
        </w:rPr>
        <w:t>发包人逾期支付进度款的违约金的计算方式：</w:t>
      </w:r>
      <w:r>
        <w:rPr>
          <w:rFonts w:hint="eastAsia"/>
          <w:color w:val="auto"/>
          <w:highlight w:val="none"/>
          <w:u w:val="single"/>
        </w:rPr>
        <w:t xml:space="preserve">   / </w:t>
      </w:r>
      <w:r>
        <w:rPr>
          <w:color w:val="auto"/>
          <w:highlight w:val="none"/>
          <w:u w:val="single"/>
        </w:rPr>
        <w:t xml:space="preserve">  </w:t>
      </w:r>
      <w:r>
        <w:rPr>
          <w:color w:val="auto"/>
          <w:highlight w:val="none"/>
        </w:rPr>
        <w:t>。</w:t>
      </w:r>
    </w:p>
    <w:p w14:paraId="0AC8FCA8">
      <w:pPr>
        <w:spacing w:line="400" w:lineRule="exact"/>
        <w:ind w:firstLine="420" w:firstLineChars="200"/>
        <w:rPr>
          <w:color w:val="auto"/>
          <w:highlight w:val="none"/>
        </w:rPr>
      </w:pPr>
      <w:r>
        <w:rPr>
          <w:color w:val="auto"/>
          <w:highlight w:val="none"/>
        </w:rPr>
        <w:t>12.4.6 支付分解表的编制</w:t>
      </w:r>
    </w:p>
    <w:p w14:paraId="5BE05077">
      <w:pPr>
        <w:spacing w:line="400" w:lineRule="exact"/>
        <w:ind w:firstLine="420" w:firstLineChars="200"/>
        <w:rPr>
          <w:color w:val="auto"/>
          <w:highlight w:val="none"/>
        </w:rPr>
      </w:pPr>
      <w:r>
        <w:rPr>
          <w:color w:val="auto"/>
          <w:highlight w:val="none"/>
        </w:rPr>
        <w:t>2、总价合同支付分解表的编制与审批：</w:t>
      </w:r>
      <w:r>
        <w:rPr>
          <w:rFonts w:hint="eastAsia"/>
          <w:color w:val="auto"/>
          <w:highlight w:val="none"/>
          <w:u w:val="single"/>
        </w:rPr>
        <w:t xml:space="preserve">   / </w:t>
      </w:r>
      <w:r>
        <w:rPr>
          <w:color w:val="auto"/>
          <w:highlight w:val="none"/>
          <w:u w:val="single"/>
        </w:rPr>
        <w:t xml:space="preserve">  </w:t>
      </w:r>
      <w:r>
        <w:rPr>
          <w:color w:val="auto"/>
          <w:highlight w:val="none"/>
        </w:rPr>
        <w:t>。</w:t>
      </w:r>
    </w:p>
    <w:p w14:paraId="458AD97D">
      <w:pPr>
        <w:spacing w:line="400" w:lineRule="exact"/>
        <w:ind w:firstLine="420" w:firstLineChars="200"/>
        <w:rPr>
          <w:color w:val="auto"/>
          <w:highlight w:val="none"/>
        </w:rPr>
      </w:pPr>
      <w:r>
        <w:rPr>
          <w:color w:val="auto"/>
          <w:highlight w:val="none"/>
        </w:rPr>
        <w:t>3、单价合同的总价项目支付分解表的编制与审批：</w:t>
      </w:r>
      <w:r>
        <w:rPr>
          <w:rFonts w:hint="eastAsia"/>
          <w:color w:val="auto"/>
          <w:highlight w:val="none"/>
          <w:u w:val="single"/>
        </w:rPr>
        <w:t xml:space="preserve">   / </w:t>
      </w:r>
      <w:r>
        <w:rPr>
          <w:color w:val="auto"/>
          <w:highlight w:val="none"/>
          <w:u w:val="single"/>
        </w:rPr>
        <w:t xml:space="preserve">  </w:t>
      </w:r>
      <w:r>
        <w:rPr>
          <w:color w:val="auto"/>
          <w:highlight w:val="none"/>
        </w:rPr>
        <w:t>。</w:t>
      </w:r>
    </w:p>
    <w:bookmarkEnd w:id="824"/>
    <w:p w14:paraId="335FF86F">
      <w:pPr>
        <w:pStyle w:val="12"/>
        <w:rPr>
          <w:b/>
          <w:color w:val="auto"/>
          <w:highlight w:val="none"/>
        </w:rPr>
      </w:pPr>
      <w:bookmarkStart w:id="1041" w:name="_Toc351203645"/>
      <w:bookmarkStart w:id="1042" w:name="_Toc256000348"/>
      <w:bookmarkStart w:id="1043" w:name="_Toc6285"/>
      <w:bookmarkStart w:id="1044" w:name="_Toc150947497"/>
      <w:bookmarkStart w:id="1045" w:name="_Toc297048405"/>
      <w:bookmarkStart w:id="1046" w:name="_Toc296944558"/>
      <w:bookmarkStart w:id="1047" w:name="_Toc296347218"/>
      <w:bookmarkStart w:id="1048" w:name="_Toc297216223"/>
      <w:bookmarkStart w:id="1049" w:name="_Toc297120519"/>
      <w:bookmarkStart w:id="1050" w:name="_Toc312678053"/>
      <w:bookmarkStart w:id="1051" w:name="_Toc304295593"/>
      <w:bookmarkStart w:id="1052" w:name="_Toc296503219"/>
      <w:bookmarkStart w:id="1053" w:name="_Toc296891259"/>
      <w:bookmarkStart w:id="1054" w:name="_Toc303539172"/>
      <w:bookmarkStart w:id="1055" w:name="_Toc296891047"/>
      <w:bookmarkStart w:id="1056" w:name="_Toc297123564"/>
      <w:bookmarkStart w:id="1057" w:name="_Toc300935015"/>
      <w:bookmarkStart w:id="1058" w:name="_Toc296346720"/>
      <w:bookmarkStart w:id="1059" w:name="_Toc292559424"/>
      <w:bookmarkStart w:id="1060" w:name="_Toc292559929"/>
      <w:r>
        <w:rPr>
          <w:b/>
          <w:color w:val="auto"/>
          <w:highlight w:val="none"/>
        </w:rPr>
        <w:t>13.</w:t>
      </w:r>
      <w:r>
        <w:rPr>
          <w:rFonts w:hint="eastAsia"/>
          <w:b/>
          <w:color w:val="auto"/>
          <w:highlight w:val="none"/>
        </w:rPr>
        <w:t xml:space="preserve"> </w:t>
      </w:r>
      <w:r>
        <w:rPr>
          <w:b/>
          <w:color w:val="auto"/>
          <w:highlight w:val="none"/>
        </w:rPr>
        <w:t>验收和工程试车</w:t>
      </w:r>
      <w:bookmarkEnd w:id="1041"/>
      <w:bookmarkEnd w:id="1042"/>
      <w:bookmarkEnd w:id="1043"/>
      <w:bookmarkEnd w:id="1044"/>
    </w:p>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14:paraId="1809EED7">
      <w:pPr>
        <w:pStyle w:val="13"/>
        <w:rPr>
          <w:b/>
          <w:color w:val="auto"/>
          <w:highlight w:val="none"/>
        </w:rPr>
      </w:pPr>
      <w:bookmarkStart w:id="1061" w:name="_Toc24226"/>
      <w:bookmarkStart w:id="1062" w:name="_Toc150947498"/>
      <w:bookmarkStart w:id="1063" w:name="_Toc256000349"/>
      <w:bookmarkStart w:id="1064" w:name="_Toc3850"/>
      <w:r>
        <w:rPr>
          <w:b/>
          <w:color w:val="auto"/>
          <w:highlight w:val="none"/>
        </w:rPr>
        <w:t>13.1 分部分项工程验收</w:t>
      </w:r>
      <w:bookmarkEnd w:id="1061"/>
      <w:bookmarkEnd w:id="1062"/>
      <w:bookmarkEnd w:id="1063"/>
      <w:bookmarkEnd w:id="1064"/>
    </w:p>
    <w:p w14:paraId="0B55E9E2">
      <w:pPr>
        <w:spacing w:line="400" w:lineRule="exact"/>
        <w:ind w:firstLine="420" w:firstLineChars="200"/>
        <w:rPr>
          <w:color w:val="auto"/>
          <w:highlight w:val="none"/>
        </w:rPr>
      </w:pPr>
      <w:r>
        <w:rPr>
          <w:color w:val="auto"/>
          <w:highlight w:val="none"/>
        </w:rPr>
        <w:t>13.1.2监理人不能按时进行验收时，应提前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color w:val="auto"/>
          <w:highlight w:val="none"/>
        </w:rPr>
        <w:t>小时提交书面延期要求。</w:t>
      </w:r>
    </w:p>
    <w:p w14:paraId="3E970A41">
      <w:pPr>
        <w:spacing w:line="400" w:lineRule="exact"/>
        <w:ind w:firstLine="420" w:firstLineChars="200"/>
        <w:rPr>
          <w:color w:val="auto"/>
          <w:highlight w:val="none"/>
        </w:rPr>
      </w:pPr>
      <w:r>
        <w:rPr>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color w:val="auto"/>
          <w:highlight w:val="none"/>
        </w:rPr>
        <w:t>小时。</w:t>
      </w:r>
    </w:p>
    <w:p w14:paraId="5DA154AC">
      <w:pPr>
        <w:pStyle w:val="13"/>
        <w:rPr>
          <w:b/>
          <w:color w:val="auto"/>
          <w:highlight w:val="none"/>
        </w:rPr>
      </w:pPr>
      <w:bookmarkStart w:id="1065" w:name="_Toc4029"/>
      <w:bookmarkStart w:id="1066" w:name="_Toc256000350"/>
      <w:bookmarkStart w:id="1067" w:name="_Toc22080"/>
      <w:bookmarkStart w:id="1068" w:name="_Toc150947499"/>
      <w:bookmarkStart w:id="1069" w:name="_Toc297048409"/>
      <w:bookmarkStart w:id="1070" w:name="_Toc296347222"/>
      <w:bookmarkStart w:id="1071" w:name="_Toc312678056"/>
      <w:bookmarkStart w:id="1072" w:name="_Toc292559933"/>
      <w:bookmarkStart w:id="1073" w:name="_Toc296891051"/>
      <w:bookmarkStart w:id="1074" w:name="_Toc303539173"/>
      <w:bookmarkStart w:id="1075" w:name="_Toc292559428"/>
      <w:bookmarkStart w:id="1076" w:name="_Toc300935016"/>
      <w:bookmarkStart w:id="1077" w:name="_Toc297120523"/>
      <w:bookmarkStart w:id="1078" w:name="_Toc297123565"/>
      <w:bookmarkStart w:id="1079" w:name="_Toc296891263"/>
      <w:bookmarkStart w:id="1080" w:name="_Toc296944562"/>
      <w:bookmarkStart w:id="1081" w:name="_Toc296346724"/>
      <w:bookmarkStart w:id="1082" w:name="_Toc304295596"/>
      <w:bookmarkStart w:id="1083" w:name="_Toc297216224"/>
      <w:bookmarkStart w:id="1084" w:name="_Toc296503223"/>
      <w:bookmarkStart w:id="1085" w:name="_Toc267251472"/>
      <w:bookmarkStart w:id="1086" w:name="_Toc267251473"/>
      <w:bookmarkStart w:id="1087" w:name="_Toc267251476"/>
      <w:bookmarkStart w:id="1088" w:name="_Toc267251475"/>
      <w:bookmarkStart w:id="1089" w:name="_Toc267251470"/>
      <w:bookmarkStart w:id="1090" w:name="_Toc267251471"/>
      <w:bookmarkStart w:id="1091" w:name="_Toc267251474"/>
      <w:r>
        <w:rPr>
          <w:b/>
          <w:color w:val="auto"/>
          <w:highlight w:val="none"/>
        </w:rPr>
        <w:t>13.2 竣工验收</w:t>
      </w:r>
      <w:bookmarkEnd w:id="1065"/>
      <w:bookmarkEnd w:id="1066"/>
      <w:bookmarkEnd w:id="1067"/>
      <w:bookmarkEnd w:id="1068"/>
    </w:p>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14:paraId="380B057C">
      <w:pPr>
        <w:spacing w:line="400" w:lineRule="exact"/>
        <w:ind w:firstLine="420" w:firstLineChars="200"/>
        <w:rPr>
          <w:color w:val="auto"/>
          <w:highlight w:val="none"/>
        </w:rPr>
      </w:pPr>
      <w:bookmarkStart w:id="1092" w:name="_Toc280868704"/>
      <w:bookmarkStart w:id="1093" w:name="_Toc280868705"/>
      <w:bookmarkStart w:id="1094" w:name="_Toc280868706"/>
      <w:bookmarkStart w:id="1095" w:name="_Toc280868707"/>
      <w:bookmarkStart w:id="1096" w:name="_Toc280868708"/>
      <w:bookmarkStart w:id="1097" w:name="_Toc280868709"/>
      <w:r>
        <w:rPr>
          <w:color w:val="auto"/>
          <w:highlight w:val="none"/>
        </w:rPr>
        <w:t>13.2.2竣工验收程序</w:t>
      </w:r>
    </w:p>
    <w:bookmarkEnd w:id="1092"/>
    <w:p w14:paraId="5061F685">
      <w:pPr>
        <w:spacing w:line="400" w:lineRule="exact"/>
        <w:ind w:firstLine="420" w:firstLineChars="200"/>
        <w:rPr>
          <w:color w:val="auto"/>
          <w:highlight w:val="none"/>
        </w:rPr>
      </w:pPr>
      <w:r>
        <w:rPr>
          <w:color w:val="auto"/>
          <w:highlight w:val="none"/>
        </w:rPr>
        <w:t>关于竣工验收程序的约定：</w:t>
      </w:r>
      <w:r>
        <w:rPr>
          <w:rFonts w:hint="eastAsia"/>
          <w:color w:val="auto"/>
          <w:highlight w:val="none"/>
          <w:u w:val="single"/>
        </w:rPr>
        <w:t>执行通用合同条款</w:t>
      </w:r>
      <w:r>
        <w:rPr>
          <w:color w:val="auto"/>
          <w:highlight w:val="none"/>
        </w:rPr>
        <w:t>。</w:t>
      </w:r>
    </w:p>
    <w:p w14:paraId="1810D66C">
      <w:pPr>
        <w:spacing w:line="400" w:lineRule="exact"/>
        <w:ind w:firstLine="420" w:firstLineChars="200"/>
        <w:rPr>
          <w:color w:val="auto"/>
          <w:highlight w:val="none"/>
        </w:rPr>
      </w:pPr>
      <w:r>
        <w:rPr>
          <w:color w:val="auto"/>
          <w:highlight w:val="none"/>
        </w:rPr>
        <w:t>发包人不按照本项约定组织竣工验收、颁发工程接收证书的违约金的计算方法：</w:t>
      </w:r>
      <w:bookmarkEnd w:id="1093"/>
      <w:r>
        <w:rPr>
          <w:rFonts w:hint="eastAsia"/>
          <w:color w:val="auto"/>
          <w:highlight w:val="none"/>
          <w:u w:val="single"/>
        </w:rPr>
        <w:t xml:space="preserve">   / </w:t>
      </w:r>
      <w:r>
        <w:rPr>
          <w:color w:val="auto"/>
          <w:highlight w:val="none"/>
          <w:u w:val="single"/>
        </w:rPr>
        <w:t xml:space="preserve">  </w:t>
      </w:r>
      <w:r>
        <w:rPr>
          <w:color w:val="auto"/>
          <w:highlight w:val="none"/>
        </w:rPr>
        <w:t>。</w:t>
      </w:r>
    </w:p>
    <w:p w14:paraId="340055E6">
      <w:pPr>
        <w:spacing w:line="400" w:lineRule="exact"/>
        <w:ind w:firstLine="420" w:firstLineChars="200"/>
        <w:rPr>
          <w:color w:val="auto"/>
          <w:highlight w:val="none"/>
        </w:rPr>
      </w:pPr>
      <w:r>
        <w:rPr>
          <w:color w:val="auto"/>
          <w:highlight w:val="none"/>
        </w:rPr>
        <w:t>13.2.5移交、接收全部与部分工程</w:t>
      </w:r>
    </w:p>
    <w:bookmarkEnd w:id="1094"/>
    <w:p w14:paraId="25E11A02">
      <w:pPr>
        <w:spacing w:line="400" w:lineRule="exact"/>
        <w:ind w:firstLine="420" w:firstLineChars="200"/>
        <w:rPr>
          <w:color w:val="auto"/>
          <w:highlight w:val="none"/>
        </w:rPr>
      </w:pPr>
      <w:r>
        <w:rPr>
          <w:rFonts w:hint="eastAsia"/>
          <w:color w:val="auto"/>
          <w:highlight w:val="none"/>
        </w:rPr>
        <w:t>承包人向发包人移交工程的期限：</w:t>
      </w:r>
      <w:r>
        <w:rPr>
          <w:color w:val="auto"/>
          <w:highlight w:val="none"/>
          <w:u w:val="single"/>
        </w:rPr>
        <w:t>颁发工程接收证书</w:t>
      </w:r>
      <w:r>
        <w:rPr>
          <w:rFonts w:hint="eastAsia"/>
          <w:color w:val="auto"/>
          <w:highlight w:val="none"/>
          <w:u w:val="single"/>
        </w:rPr>
        <w:t>后7天内</w:t>
      </w:r>
      <w:r>
        <w:rPr>
          <w:color w:val="auto"/>
          <w:highlight w:val="none"/>
        </w:rPr>
        <w:t>。</w:t>
      </w:r>
    </w:p>
    <w:p w14:paraId="434A0D0A">
      <w:pPr>
        <w:spacing w:line="400" w:lineRule="exact"/>
        <w:ind w:firstLine="420" w:firstLineChars="200"/>
        <w:rPr>
          <w:color w:val="auto"/>
          <w:highlight w:val="none"/>
        </w:rPr>
      </w:pPr>
      <w:r>
        <w:rPr>
          <w:color w:val="auto"/>
          <w:highlight w:val="none"/>
        </w:rPr>
        <w:t>发包人未按本合同约定接收全部或部分工程的，违约金的计算方法为：</w:t>
      </w:r>
      <w:bookmarkEnd w:id="1095"/>
      <w:r>
        <w:rPr>
          <w:color w:val="auto"/>
          <w:highlight w:val="none"/>
          <w:u w:val="single"/>
        </w:rPr>
        <w:t xml:space="preserve">违约金金额 = 未接收工程部分的工程价款 × </w:t>
      </w:r>
      <w:r>
        <w:rPr>
          <w:rFonts w:hint="eastAsia"/>
          <w:color w:val="auto"/>
          <w:highlight w:val="none"/>
          <w:u w:val="single"/>
        </w:rPr>
        <w:t>1</w:t>
      </w:r>
      <w:r>
        <w:rPr>
          <w:color w:val="auto"/>
          <w:highlight w:val="none"/>
          <w:u w:val="single"/>
        </w:rPr>
        <w:t>%</w:t>
      </w:r>
      <w:r>
        <w:rPr>
          <w:color w:val="auto"/>
          <w:highlight w:val="none"/>
        </w:rPr>
        <w:t>。</w:t>
      </w:r>
    </w:p>
    <w:p w14:paraId="7442AF40">
      <w:pPr>
        <w:spacing w:line="400" w:lineRule="exact"/>
        <w:ind w:firstLine="420" w:firstLineChars="200"/>
        <w:rPr>
          <w:color w:val="auto"/>
          <w:highlight w:val="none"/>
        </w:rPr>
      </w:pPr>
      <w:r>
        <w:rPr>
          <w:color w:val="auto"/>
          <w:highlight w:val="none"/>
        </w:rPr>
        <w:t>承包人未按时移交工程的，违约金的计算方法为：</w:t>
      </w:r>
      <w:r>
        <w:rPr>
          <w:color w:val="auto"/>
          <w:highlight w:val="none"/>
          <w:u w:val="single"/>
        </w:rPr>
        <w:t xml:space="preserve">违约金金额 = </w:t>
      </w:r>
      <w:r>
        <w:rPr>
          <w:rFonts w:hint="eastAsia"/>
          <w:color w:val="auto"/>
          <w:highlight w:val="none"/>
          <w:u w:val="single"/>
        </w:rPr>
        <w:t>合同总</w:t>
      </w:r>
      <w:r>
        <w:rPr>
          <w:color w:val="auto"/>
          <w:highlight w:val="none"/>
          <w:u w:val="single"/>
        </w:rPr>
        <w:t xml:space="preserve">价款 × </w:t>
      </w:r>
      <w:r>
        <w:rPr>
          <w:rFonts w:hint="eastAsia"/>
          <w:color w:val="auto"/>
          <w:highlight w:val="none"/>
          <w:u w:val="single"/>
        </w:rPr>
        <w:t>1</w:t>
      </w:r>
      <w:r>
        <w:rPr>
          <w:color w:val="auto"/>
          <w:highlight w:val="none"/>
          <w:u w:val="single"/>
        </w:rPr>
        <w:t>%</w:t>
      </w:r>
      <w:r>
        <w:rPr>
          <w:color w:val="auto"/>
          <w:highlight w:val="none"/>
        </w:rPr>
        <w:t>。</w:t>
      </w:r>
    </w:p>
    <w:p w14:paraId="4362F499">
      <w:pPr>
        <w:pStyle w:val="13"/>
        <w:rPr>
          <w:color w:val="auto"/>
          <w:highlight w:val="none"/>
        </w:rPr>
      </w:pPr>
      <w:bookmarkStart w:id="1098" w:name="_Toc1823"/>
      <w:bookmarkStart w:id="1099" w:name="_Toc150947500"/>
      <w:bookmarkStart w:id="1100" w:name="_Toc1740"/>
      <w:bookmarkStart w:id="1101" w:name="_Toc256000351"/>
      <w:r>
        <w:rPr>
          <w:b/>
          <w:color w:val="auto"/>
          <w:highlight w:val="none"/>
        </w:rPr>
        <w:t>13.3 工程试车</w:t>
      </w:r>
      <w:bookmarkEnd w:id="1098"/>
      <w:bookmarkEnd w:id="1099"/>
      <w:bookmarkEnd w:id="1100"/>
      <w:bookmarkEnd w:id="1101"/>
    </w:p>
    <w:bookmarkEnd w:id="1096"/>
    <w:p w14:paraId="6EDAD473">
      <w:pPr>
        <w:spacing w:line="400" w:lineRule="exact"/>
        <w:ind w:firstLine="420" w:firstLineChars="200"/>
        <w:rPr>
          <w:color w:val="auto"/>
          <w:highlight w:val="none"/>
        </w:rPr>
      </w:pPr>
      <w:r>
        <w:rPr>
          <w:color w:val="auto"/>
          <w:highlight w:val="none"/>
        </w:rPr>
        <w:t>13.3.1 试车程序</w:t>
      </w:r>
    </w:p>
    <w:p w14:paraId="4BED1835">
      <w:pPr>
        <w:spacing w:line="400" w:lineRule="exact"/>
        <w:ind w:firstLine="420" w:firstLineChars="200"/>
        <w:rPr>
          <w:color w:val="auto"/>
          <w:highlight w:val="none"/>
        </w:rPr>
      </w:pPr>
      <w:r>
        <w:rPr>
          <w:color w:val="auto"/>
          <w:highlight w:val="none"/>
        </w:rPr>
        <w:t>工程试车内容：</w:t>
      </w:r>
      <w:r>
        <w:rPr>
          <w:rFonts w:hint="eastAsia"/>
          <w:color w:val="auto"/>
          <w:highlight w:val="none"/>
          <w:u w:val="single"/>
        </w:rPr>
        <w:t>执行通用合同条款</w:t>
      </w:r>
      <w:r>
        <w:rPr>
          <w:color w:val="auto"/>
          <w:highlight w:val="none"/>
        </w:rPr>
        <w:t>。</w:t>
      </w:r>
    </w:p>
    <w:p w14:paraId="07F8E6F2">
      <w:pPr>
        <w:spacing w:line="400" w:lineRule="exact"/>
        <w:ind w:firstLine="420" w:firstLineChars="200"/>
        <w:rPr>
          <w:color w:val="auto"/>
          <w:highlight w:val="none"/>
        </w:rPr>
      </w:pPr>
      <w:r>
        <w:rPr>
          <w:color w:val="auto"/>
          <w:highlight w:val="none"/>
        </w:rPr>
        <w:t xml:space="preserve">（1）单机无负荷试车费用由 </w:t>
      </w:r>
      <w:r>
        <w:rPr>
          <w:color w:val="auto"/>
          <w:highlight w:val="none"/>
          <w:u w:val="single"/>
        </w:rPr>
        <w:t xml:space="preserve">   承包人   </w:t>
      </w:r>
      <w:r>
        <w:rPr>
          <w:color w:val="auto"/>
          <w:highlight w:val="none"/>
        </w:rPr>
        <w:t>承担；</w:t>
      </w:r>
    </w:p>
    <w:p w14:paraId="22AE35B6">
      <w:pPr>
        <w:spacing w:line="400" w:lineRule="exact"/>
        <w:ind w:firstLine="420" w:firstLineChars="200"/>
        <w:rPr>
          <w:color w:val="auto"/>
          <w:highlight w:val="none"/>
        </w:rPr>
      </w:pPr>
      <w:r>
        <w:rPr>
          <w:color w:val="auto"/>
          <w:highlight w:val="none"/>
        </w:rPr>
        <w:t>（2）无负荷联动试车费用由</w:t>
      </w:r>
      <w:r>
        <w:rPr>
          <w:color w:val="auto"/>
          <w:highlight w:val="none"/>
          <w:u w:val="single"/>
        </w:rPr>
        <w:t xml:space="preserve">    承包人    </w:t>
      </w:r>
      <w:r>
        <w:rPr>
          <w:color w:val="auto"/>
          <w:highlight w:val="none"/>
        </w:rPr>
        <w:t>承担。</w:t>
      </w:r>
    </w:p>
    <w:p w14:paraId="60D9A609">
      <w:pPr>
        <w:spacing w:line="400" w:lineRule="exact"/>
        <w:ind w:firstLine="420" w:firstLineChars="200"/>
        <w:rPr>
          <w:color w:val="auto"/>
          <w:highlight w:val="none"/>
        </w:rPr>
      </w:pPr>
      <w:r>
        <w:rPr>
          <w:color w:val="auto"/>
          <w:highlight w:val="none"/>
        </w:rPr>
        <w:t>13.3.3 投料试车</w:t>
      </w:r>
    </w:p>
    <w:p w14:paraId="05F45F7F">
      <w:pPr>
        <w:spacing w:line="400" w:lineRule="exact"/>
        <w:ind w:firstLine="420" w:firstLineChars="200"/>
        <w:rPr>
          <w:color w:val="auto"/>
          <w:highlight w:val="none"/>
        </w:rPr>
      </w:pPr>
      <w:r>
        <w:rPr>
          <w:rFonts w:hint="eastAsia"/>
          <w:color w:val="auto"/>
          <w:highlight w:val="none"/>
        </w:rPr>
        <w:t>关于投料试车相关事项的约定</w:t>
      </w:r>
      <w:r>
        <w:rPr>
          <w:rFonts w:hint="eastAsia" w:eastAsia="宋体"/>
          <w:color w:val="auto"/>
          <w:highlight w:val="none"/>
          <w:lang w:val="en-US" w:eastAsia="zh-CN"/>
        </w:rPr>
        <w:t>：</w:t>
      </w:r>
      <w:r>
        <w:rPr>
          <w:rFonts w:hint="eastAsia" w:eastAsia="宋体"/>
          <w:color w:val="auto"/>
          <w:highlight w:val="none"/>
          <w:u w:val="single"/>
          <w:lang w:val="en-US" w:eastAsia="zh-CN"/>
        </w:rPr>
        <w:t>执行通用条款</w:t>
      </w:r>
      <w:r>
        <w:rPr>
          <w:color w:val="auto"/>
          <w:highlight w:val="none"/>
        </w:rPr>
        <w:t>。</w:t>
      </w:r>
    </w:p>
    <w:p w14:paraId="0A211283">
      <w:pPr>
        <w:pStyle w:val="13"/>
        <w:rPr>
          <w:b/>
          <w:color w:val="auto"/>
          <w:highlight w:val="none"/>
        </w:rPr>
      </w:pPr>
      <w:bookmarkStart w:id="1102" w:name="_Toc256000352"/>
      <w:bookmarkStart w:id="1103" w:name="_Toc150947501"/>
      <w:bookmarkStart w:id="1104" w:name="_Toc1325"/>
      <w:bookmarkStart w:id="1105" w:name="_Toc14186"/>
      <w:r>
        <w:rPr>
          <w:b/>
          <w:color w:val="auto"/>
          <w:highlight w:val="none"/>
        </w:rPr>
        <w:t>13.6 竣工退场</w:t>
      </w:r>
      <w:bookmarkEnd w:id="1102"/>
      <w:bookmarkEnd w:id="1103"/>
      <w:bookmarkEnd w:id="1104"/>
      <w:bookmarkEnd w:id="1105"/>
    </w:p>
    <w:p w14:paraId="1D0E4FFC">
      <w:pPr>
        <w:spacing w:line="400" w:lineRule="exact"/>
        <w:ind w:firstLine="420" w:firstLineChars="200"/>
        <w:rPr>
          <w:color w:val="auto"/>
          <w:highlight w:val="none"/>
        </w:rPr>
      </w:pPr>
      <w:r>
        <w:rPr>
          <w:color w:val="auto"/>
          <w:highlight w:val="none"/>
        </w:rPr>
        <w:t>13.6.1 竣工退场</w:t>
      </w:r>
    </w:p>
    <w:p w14:paraId="40FB15DD">
      <w:pPr>
        <w:spacing w:line="400" w:lineRule="exact"/>
        <w:ind w:firstLine="420" w:firstLineChars="200"/>
        <w:rPr>
          <w:color w:val="auto"/>
          <w:highlight w:val="none"/>
        </w:rPr>
      </w:pPr>
      <w:r>
        <w:rPr>
          <w:color w:val="auto"/>
          <w:highlight w:val="none"/>
        </w:rPr>
        <w:t>承包人完成竣工退场的期限：</w:t>
      </w:r>
      <w:r>
        <w:rPr>
          <w:color w:val="auto"/>
          <w:highlight w:val="none"/>
          <w:u w:val="single"/>
        </w:rPr>
        <w:t>工程接收证书颁发后</w:t>
      </w:r>
      <w:r>
        <w:rPr>
          <w:rFonts w:hint="eastAsia"/>
          <w:color w:val="auto"/>
          <w:highlight w:val="none"/>
          <w:u w:val="single"/>
        </w:rPr>
        <w:t>14</w:t>
      </w:r>
      <w:r>
        <w:rPr>
          <w:color w:val="auto"/>
          <w:highlight w:val="none"/>
          <w:u w:val="single"/>
        </w:rPr>
        <w:t>天内完成</w:t>
      </w:r>
      <w:r>
        <w:rPr>
          <w:color w:val="auto"/>
          <w:highlight w:val="none"/>
        </w:rPr>
        <w:t>。</w:t>
      </w:r>
    </w:p>
    <w:p w14:paraId="364A3B12">
      <w:pPr>
        <w:pStyle w:val="12"/>
        <w:rPr>
          <w:b/>
          <w:color w:val="auto"/>
          <w:highlight w:val="none"/>
        </w:rPr>
      </w:pPr>
      <w:bookmarkStart w:id="1106" w:name="_Toc150947502"/>
      <w:bookmarkStart w:id="1107" w:name="_Toc5969"/>
      <w:bookmarkStart w:id="1108" w:name="_Toc256000353"/>
      <w:bookmarkStart w:id="1109" w:name="_Toc351203646"/>
      <w:r>
        <w:rPr>
          <w:b/>
          <w:color w:val="auto"/>
          <w:highlight w:val="none"/>
        </w:rPr>
        <w:t>14. 竣工结算</w:t>
      </w:r>
      <w:bookmarkEnd w:id="1106"/>
      <w:bookmarkEnd w:id="1107"/>
      <w:bookmarkEnd w:id="1108"/>
      <w:bookmarkEnd w:id="1109"/>
    </w:p>
    <w:p w14:paraId="6C5E542B">
      <w:pPr>
        <w:pStyle w:val="13"/>
        <w:rPr>
          <w:b/>
          <w:color w:val="auto"/>
          <w:highlight w:val="none"/>
        </w:rPr>
      </w:pPr>
      <w:bookmarkStart w:id="1110" w:name="_Toc20795"/>
      <w:bookmarkStart w:id="1111" w:name="_Toc150947503"/>
      <w:bookmarkStart w:id="1112" w:name="_Toc256000354"/>
      <w:bookmarkStart w:id="1113" w:name="_Toc7994"/>
      <w:r>
        <w:rPr>
          <w:b/>
          <w:color w:val="auto"/>
          <w:highlight w:val="none"/>
        </w:rPr>
        <w:t>14.1 竣工</w:t>
      </w:r>
      <w:r>
        <w:rPr>
          <w:rFonts w:hint="eastAsia"/>
          <w:b/>
          <w:color w:val="auto"/>
          <w:highlight w:val="none"/>
        </w:rPr>
        <w:t>结算</w:t>
      </w:r>
      <w:r>
        <w:rPr>
          <w:b/>
          <w:color w:val="auto"/>
          <w:highlight w:val="none"/>
        </w:rPr>
        <w:t>申请</w:t>
      </w:r>
      <w:bookmarkEnd w:id="1110"/>
      <w:bookmarkEnd w:id="1111"/>
      <w:bookmarkEnd w:id="1112"/>
      <w:bookmarkEnd w:id="1113"/>
    </w:p>
    <w:p w14:paraId="44272360">
      <w:pPr>
        <w:spacing w:line="400" w:lineRule="exact"/>
        <w:ind w:firstLine="420" w:firstLineChars="200"/>
        <w:rPr>
          <w:color w:val="auto"/>
          <w:highlight w:val="none"/>
        </w:rPr>
      </w:pPr>
      <w:r>
        <w:rPr>
          <w:color w:val="auto"/>
          <w:highlight w:val="none"/>
        </w:rPr>
        <w:t>承包人提交竣工</w:t>
      </w:r>
      <w:r>
        <w:rPr>
          <w:rFonts w:hint="eastAsia"/>
          <w:color w:val="auto"/>
          <w:highlight w:val="none"/>
        </w:rPr>
        <w:t>结算</w:t>
      </w:r>
      <w:r>
        <w:rPr>
          <w:color w:val="auto"/>
          <w:highlight w:val="none"/>
        </w:rPr>
        <w:t>申请单的期限：</w:t>
      </w:r>
      <w:r>
        <w:rPr>
          <w:rFonts w:hint="eastAsia"/>
          <w:color w:val="auto"/>
          <w:highlight w:val="none"/>
          <w:u w:val="single"/>
        </w:rPr>
        <w:t>执行通用合同条款</w:t>
      </w:r>
      <w:r>
        <w:rPr>
          <w:color w:val="auto"/>
          <w:highlight w:val="none"/>
        </w:rPr>
        <w:t xml:space="preserve"> 。</w:t>
      </w:r>
    </w:p>
    <w:p w14:paraId="31CC6FAF">
      <w:pPr>
        <w:spacing w:line="400" w:lineRule="exact"/>
        <w:ind w:firstLine="420" w:firstLineChars="200"/>
        <w:rPr>
          <w:color w:val="auto"/>
          <w:highlight w:val="none"/>
        </w:rPr>
      </w:pPr>
      <w:r>
        <w:rPr>
          <w:color w:val="auto"/>
          <w:highlight w:val="none"/>
        </w:rPr>
        <w:t>竣工</w:t>
      </w:r>
      <w:r>
        <w:rPr>
          <w:rFonts w:hint="eastAsia"/>
          <w:color w:val="auto"/>
          <w:highlight w:val="none"/>
        </w:rPr>
        <w:t>结算</w:t>
      </w:r>
      <w:r>
        <w:rPr>
          <w:color w:val="auto"/>
          <w:highlight w:val="none"/>
        </w:rPr>
        <w:t>申请单应包括的内容：</w:t>
      </w:r>
      <w:r>
        <w:rPr>
          <w:rFonts w:hint="eastAsia"/>
          <w:color w:val="auto"/>
          <w:highlight w:val="none"/>
          <w:u w:val="single"/>
        </w:rPr>
        <w:t>执行通用合同条款</w:t>
      </w:r>
      <w:r>
        <w:rPr>
          <w:color w:val="auto"/>
          <w:highlight w:val="none"/>
        </w:rPr>
        <w:t>。</w:t>
      </w:r>
    </w:p>
    <w:p w14:paraId="2B65EF8A">
      <w:pPr>
        <w:pStyle w:val="13"/>
        <w:rPr>
          <w:b/>
          <w:color w:val="auto"/>
          <w:highlight w:val="none"/>
        </w:rPr>
      </w:pPr>
      <w:bookmarkStart w:id="1114" w:name="_Toc256000355"/>
      <w:bookmarkStart w:id="1115" w:name="_Toc10556"/>
      <w:bookmarkStart w:id="1116" w:name="_Toc150947504"/>
      <w:bookmarkStart w:id="1117" w:name="_Toc18921"/>
      <w:r>
        <w:rPr>
          <w:b/>
          <w:color w:val="auto"/>
          <w:highlight w:val="none"/>
        </w:rPr>
        <w:t>14.2 竣工结算审核</w:t>
      </w:r>
      <w:bookmarkEnd w:id="1114"/>
      <w:bookmarkEnd w:id="1115"/>
      <w:bookmarkEnd w:id="1116"/>
      <w:bookmarkEnd w:id="1117"/>
    </w:p>
    <w:p w14:paraId="589F64FD">
      <w:pPr>
        <w:spacing w:line="400" w:lineRule="exact"/>
        <w:ind w:firstLine="420" w:firstLineChars="200"/>
        <w:rPr>
          <w:color w:val="auto"/>
          <w:highlight w:val="none"/>
        </w:rPr>
      </w:pPr>
      <w:r>
        <w:rPr>
          <w:color w:val="auto"/>
          <w:highlight w:val="none"/>
        </w:rPr>
        <w:t>发包人</w:t>
      </w:r>
      <w:r>
        <w:rPr>
          <w:rFonts w:hint="eastAsia"/>
          <w:color w:val="auto"/>
          <w:highlight w:val="none"/>
        </w:rPr>
        <w:t>审批</w:t>
      </w:r>
      <w:r>
        <w:rPr>
          <w:color w:val="auto"/>
          <w:highlight w:val="none"/>
        </w:rPr>
        <w:t>竣工付款申请单的期限：</w:t>
      </w:r>
      <w:r>
        <w:rPr>
          <w:rFonts w:hint="eastAsia"/>
          <w:color w:val="auto"/>
          <w:highlight w:val="none"/>
          <w:u w:val="single"/>
        </w:rPr>
        <w:t>执行通用合同条款</w:t>
      </w:r>
      <w:r>
        <w:rPr>
          <w:color w:val="auto"/>
          <w:highlight w:val="none"/>
        </w:rPr>
        <w:t>。</w:t>
      </w:r>
    </w:p>
    <w:p w14:paraId="62B18280">
      <w:pPr>
        <w:spacing w:line="400" w:lineRule="exact"/>
        <w:ind w:firstLine="420" w:firstLineChars="200"/>
        <w:rPr>
          <w:color w:val="auto"/>
          <w:highlight w:val="none"/>
        </w:rPr>
      </w:pPr>
      <w:r>
        <w:rPr>
          <w:color w:val="auto"/>
          <w:highlight w:val="none"/>
        </w:rPr>
        <w:t>发包人完成竣工付款的期限：</w:t>
      </w:r>
      <w:r>
        <w:rPr>
          <w:rFonts w:hint="eastAsia"/>
          <w:color w:val="auto"/>
          <w:highlight w:val="none"/>
          <w:u w:val="single"/>
        </w:rPr>
        <w:t>执行通用合同条款</w:t>
      </w:r>
      <w:r>
        <w:rPr>
          <w:color w:val="auto"/>
          <w:highlight w:val="none"/>
        </w:rPr>
        <w:t>。</w:t>
      </w:r>
    </w:p>
    <w:p w14:paraId="17C5C1B4">
      <w:pPr>
        <w:spacing w:line="400" w:lineRule="exact"/>
        <w:ind w:firstLine="420" w:firstLineChars="200"/>
        <w:rPr>
          <w:color w:val="auto"/>
          <w:highlight w:val="none"/>
        </w:rPr>
      </w:pPr>
      <w:r>
        <w:rPr>
          <w:rFonts w:hint="eastAsia"/>
          <w:color w:val="auto"/>
          <w:highlight w:val="none"/>
        </w:rPr>
        <w:t>关于竣工付款证书异议部分复核的方式和程序：</w:t>
      </w:r>
      <w:r>
        <w:rPr>
          <w:color w:val="auto"/>
          <w:highlight w:val="none"/>
          <w:u w:val="single"/>
        </w:rPr>
        <w:t>异议提出</w:t>
      </w:r>
      <w:r>
        <w:rPr>
          <w:rFonts w:hint="eastAsia"/>
          <w:color w:val="auto"/>
          <w:highlight w:val="none"/>
          <w:u w:val="single"/>
        </w:rPr>
        <w:t>、</w:t>
      </w:r>
      <w:r>
        <w:rPr>
          <w:color w:val="auto"/>
          <w:highlight w:val="none"/>
          <w:u w:val="single"/>
        </w:rPr>
        <w:t>初步审查</w:t>
      </w:r>
      <w:r>
        <w:rPr>
          <w:rFonts w:hint="eastAsia"/>
          <w:color w:val="auto"/>
          <w:highlight w:val="none"/>
          <w:u w:val="single"/>
        </w:rPr>
        <w:t>、</w:t>
      </w:r>
      <w:r>
        <w:rPr>
          <w:color w:val="auto"/>
          <w:highlight w:val="none"/>
          <w:u w:val="single"/>
        </w:rPr>
        <w:t>成立复核小组</w:t>
      </w:r>
      <w:r>
        <w:rPr>
          <w:rFonts w:hint="eastAsia"/>
          <w:color w:val="auto"/>
          <w:highlight w:val="none"/>
          <w:u w:val="single"/>
        </w:rPr>
        <w:t>、</w:t>
      </w:r>
      <w:r>
        <w:rPr>
          <w:color w:val="auto"/>
          <w:highlight w:val="none"/>
          <w:u w:val="single"/>
        </w:rPr>
        <w:t>复核工作开展</w:t>
      </w:r>
      <w:r>
        <w:rPr>
          <w:rFonts w:hint="eastAsia"/>
          <w:color w:val="auto"/>
          <w:highlight w:val="none"/>
          <w:u w:val="single"/>
        </w:rPr>
        <w:t>、</w:t>
      </w:r>
      <w:r>
        <w:rPr>
          <w:color w:val="auto"/>
          <w:highlight w:val="none"/>
          <w:u w:val="single"/>
        </w:rPr>
        <w:t>复核结果沟通</w:t>
      </w:r>
      <w:r>
        <w:rPr>
          <w:rFonts w:hint="eastAsia"/>
          <w:color w:val="auto"/>
          <w:highlight w:val="none"/>
          <w:u w:val="single"/>
        </w:rPr>
        <w:t>、</w:t>
      </w:r>
      <w:r>
        <w:rPr>
          <w:color w:val="auto"/>
          <w:highlight w:val="none"/>
          <w:u w:val="single"/>
        </w:rPr>
        <w:t>最终处理</w:t>
      </w:r>
      <w:r>
        <w:rPr>
          <w:color w:val="auto"/>
          <w:highlight w:val="none"/>
        </w:rPr>
        <w:t>。</w:t>
      </w:r>
    </w:p>
    <w:p w14:paraId="6F6B587D">
      <w:pPr>
        <w:pStyle w:val="13"/>
        <w:rPr>
          <w:b/>
          <w:color w:val="auto"/>
          <w:highlight w:val="none"/>
        </w:rPr>
      </w:pPr>
      <w:bookmarkStart w:id="1118" w:name="_Toc17998"/>
      <w:bookmarkStart w:id="1119" w:name="_Toc7216"/>
      <w:bookmarkStart w:id="1120" w:name="_Toc150947505"/>
      <w:bookmarkStart w:id="1121" w:name="_Toc256000356"/>
      <w:r>
        <w:rPr>
          <w:b/>
          <w:color w:val="auto"/>
          <w:highlight w:val="none"/>
        </w:rPr>
        <w:t>14.4 最终结清</w:t>
      </w:r>
      <w:bookmarkEnd w:id="1118"/>
      <w:bookmarkEnd w:id="1119"/>
      <w:bookmarkEnd w:id="1120"/>
      <w:bookmarkEnd w:id="1121"/>
    </w:p>
    <w:p w14:paraId="76EF49C0">
      <w:pPr>
        <w:spacing w:line="400" w:lineRule="exact"/>
        <w:ind w:firstLine="420" w:firstLineChars="200"/>
        <w:rPr>
          <w:color w:val="auto"/>
          <w:highlight w:val="none"/>
        </w:rPr>
      </w:pPr>
      <w:r>
        <w:rPr>
          <w:color w:val="auto"/>
          <w:highlight w:val="none"/>
        </w:rPr>
        <w:t>14.4.1 最终结清申请单</w:t>
      </w:r>
    </w:p>
    <w:p w14:paraId="1132539D">
      <w:pPr>
        <w:spacing w:line="400" w:lineRule="exact"/>
        <w:ind w:firstLine="420" w:firstLineChars="200"/>
        <w:rPr>
          <w:color w:val="auto"/>
          <w:highlight w:val="none"/>
        </w:rPr>
      </w:pPr>
      <w:r>
        <w:rPr>
          <w:color w:val="auto"/>
          <w:highlight w:val="none"/>
        </w:rPr>
        <w:t>承包人提交最终结清申请单的份数：</w:t>
      </w:r>
      <w:r>
        <w:rPr>
          <w:rFonts w:hint="eastAsia"/>
          <w:color w:val="auto"/>
          <w:highlight w:val="none"/>
          <w:u w:val="single"/>
        </w:rPr>
        <w:t>按发包人要求执行</w:t>
      </w:r>
      <w:r>
        <w:rPr>
          <w:color w:val="auto"/>
          <w:highlight w:val="none"/>
        </w:rPr>
        <w:t>。</w:t>
      </w:r>
    </w:p>
    <w:p w14:paraId="7C7710A2">
      <w:pPr>
        <w:spacing w:line="400" w:lineRule="exact"/>
        <w:ind w:firstLine="420" w:firstLineChars="200"/>
        <w:rPr>
          <w:color w:val="auto"/>
          <w:highlight w:val="none"/>
        </w:rPr>
      </w:pPr>
      <w:r>
        <w:rPr>
          <w:color w:val="auto"/>
          <w:highlight w:val="none"/>
        </w:rPr>
        <w:t>承包人提交最终结算申请单的期限：</w:t>
      </w:r>
      <w:r>
        <w:rPr>
          <w:rFonts w:hint="eastAsia"/>
          <w:color w:val="auto"/>
          <w:highlight w:val="none"/>
          <w:u w:val="single"/>
        </w:rPr>
        <w:t>执行通用合同条款</w:t>
      </w:r>
      <w:r>
        <w:rPr>
          <w:color w:val="auto"/>
          <w:highlight w:val="none"/>
        </w:rPr>
        <w:t xml:space="preserve">。 </w:t>
      </w:r>
    </w:p>
    <w:p w14:paraId="39BEAC29">
      <w:pPr>
        <w:spacing w:line="400" w:lineRule="exact"/>
        <w:ind w:firstLine="420" w:firstLineChars="200"/>
        <w:rPr>
          <w:color w:val="auto"/>
          <w:highlight w:val="none"/>
        </w:rPr>
      </w:pPr>
      <w:r>
        <w:rPr>
          <w:color w:val="auto"/>
          <w:highlight w:val="none"/>
        </w:rPr>
        <w:t>14.4.2 最终结清证书和支付</w:t>
      </w:r>
    </w:p>
    <w:p w14:paraId="615FD724">
      <w:pPr>
        <w:spacing w:line="400" w:lineRule="exact"/>
        <w:ind w:firstLine="420" w:firstLineChars="200"/>
        <w:rPr>
          <w:color w:val="auto"/>
          <w:highlight w:val="none"/>
        </w:rPr>
      </w:pPr>
      <w:r>
        <w:rPr>
          <w:color w:val="auto"/>
          <w:highlight w:val="none"/>
        </w:rPr>
        <w:t>（1）发包人完成最终结清申请单的</w:t>
      </w:r>
      <w:r>
        <w:rPr>
          <w:rFonts w:hint="eastAsia"/>
          <w:color w:val="auto"/>
          <w:highlight w:val="none"/>
        </w:rPr>
        <w:t>审批</w:t>
      </w:r>
      <w:r>
        <w:rPr>
          <w:color w:val="auto"/>
          <w:highlight w:val="none"/>
        </w:rPr>
        <w:t>并颁发最终结清证书的期限：</w:t>
      </w:r>
      <w:r>
        <w:rPr>
          <w:rFonts w:hint="eastAsia"/>
          <w:color w:val="auto"/>
          <w:highlight w:val="none"/>
          <w:u w:val="single"/>
        </w:rPr>
        <w:t>执行通用合同条款</w:t>
      </w:r>
      <w:r>
        <w:rPr>
          <w:color w:val="auto"/>
          <w:highlight w:val="none"/>
        </w:rPr>
        <w:t>。</w:t>
      </w:r>
    </w:p>
    <w:p w14:paraId="51EF05BD">
      <w:pPr>
        <w:spacing w:line="400" w:lineRule="exact"/>
        <w:ind w:firstLine="420" w:firstLineChars="200"/>
        <w:rPr>
          <w:color w:val="auto"/>
          <w:highlight w:val="none"/>
        </w:rPr>
      </w:pPr>
      <w:r>
        <w:rPr>
          <w:color w:val="auto"/>
          <w:highlight w:val="none"/>
        </w:rPr>
        <w:t>（2）发包人完成支付的期限：</w:t>
      </w:r>
      <w:r>
        <w:rPr>
          <w:rFonts w:hint="eastAsia"/>
          <w:color w:val="auto"/>
          <w:highlight w:val="none"/>
          <w:u w:val="single"/>
        </w:rPr>
        <w:t>执行通用合同条款</w:t>
      </w:r>
      <w:r>
        <w:rPr>
          <w:color w:val="auto"/>
          <w:highlight w:val="none"/>
        </w:rPr>
        <w:t>。</w:t>
      </w:r>
    </w:p>
    <w:bookmarkEnd w:id="1085"/>
    <w:bookmarkEnd w:id="1086"/>
    <w:bookmarkEnd w:id="1087"/>
    <w:bookmarkEnd w:id="1088"/>
    <w:bookmarkEnd w:id="1089"/>
    <w:bookmarkEnd w:id="1090"/>
    <w:bookmarkEnd w:id="1091"/>
    <w:bookmarkEnd w:id="1097"/>
    <w:p w14:paraId="1BCA66C8">
      <w:pPr>
        <w:pStyle w:val="12"/>
        <w:rPr>
          <w:b/>
          <w:color w:val="auto"/>
          <w:highlight w:val="none"/>
        </w:rPr>
      </w:pPr>
      <w:bookmarkStart w:id="1122" w:name="_Toc256000357"/>
      <w:bookmarkStart w:id="1123" w:name="_Toc150947506"/>
      <w:bookmarkStart w:id="1124" w:name="_Toc20673"/>
      <w:bookmarkStart w:id="1125" w:name="_Toc351203647"/>
      <w:bookmarkStart w:id="1126" w:name="_Toc267251483"/>
      <w:bookmarkStart w:id="1127" w:name="_Toc267251482"/>
      <w:bookmarkStart w:id="1128" w:name="_Toc267251484"/>
      <w:bookmarkStart w:id="1129" w:name="_Toc267251485"/>
      <w:bookmarkStart w:id="1130" w:name="_Toc267251490"/>
      <w:bookmarkStart w:id="1131" w:name="_Toc267251486"/>
      <w:bookmarkStart w:id="1132" w:name="_Toc267251489"/>
      <w:bookmarkStart w:id="1133" w:name="_Toc267251488"/>
      <w:bookmarkStart w:id="1134" w:name="_Toc267251493"/>
      <w:bookmarkStart w:id="1135" w:name="_Toc267251503"/>
      <w:bookmarkStart w:id="1136" w:name="_Toc267251495"/>
      <w:bookmarkStart w:id="1137" w:name="_Toc267251496"/>
      <w:bookmarkStart w:id="1138" w:name="_Toc267251497"/>
      <w:bookmarkStart w:id="1139" w:name="_Toc267251494"/>
      <w:bookmarkStart w:id="1140" w:name="_Toc267251492"/>
      <w:bookmarkStart w:id="1141" w:name="_Toc267251499"/>
      <w:bookmarkStart w:id="1142" w:name="_Toc267251501"/>
      <w:bookmarkStart w:id="1143" w:name="_Toc267251498"/>
      <w:bookmarkStart w:id="1144" w:name="_Toc267251502"/>
      <w:bookmarkStart w:id="1145" w:name="_Toc267251491"/>
      <w:bookmarkStart w:id="1146" w:name="_Toc267251504"/>
      <w:bookmarkStart w:id="1147" w:name="_Toc267251506"/>
      <w:bookmarkStart w:id="1148" w:name="_Toc267251507"/>
      <w:bookmarkStart w:id="1149" w:name="_Toc267251508"/>
      <w:bookmarkStart w:id="1150" w:name="_Toc267251509"/>
      <w:bookmarkStart w:id="1151" w:name="_Toc267251511"/>
      <w:bookmarkStart w:id="1152" w:name="_Toc267251514"/>
      <w:bookmarkStart w:id="1153" w:name="_Toc267251510"/>
      <w:bookmarkStart w:id="1154" w:name="_Toc267251513"/>
      <w:bookmarkStart w:id="1155" w:name="_Toc267251515"/>
      <w:r>
        <w:rPr>
          <w:b/>
          <w:color w:val="auto"/>
          <w:highlight w:val="none"/>
        </w:rPr>
        <w:t>15. 缺陷责任期与保修</w:t>
      </w:r>
      <w:bookmarkEnd w:id="1122"/>
      <w:bookmarkEnd w:id="1123"/>
      <w:bookmarkEnd w:id="1124"/>
      <w:bookmarkEnd w:id="1125"/>
    </w:p>
    <w:p w14:paraId="2AE65CD1">
      <w:pPr>
        <w:pStyle w:val="13"/>
        <w:rPr>
          <w:b/>
          <w:color w:val="auto"/>
          <w:highlight w:val="none"/>
        </w:rPr>
      </w:pPr>
      <w:bookmarkStart w:id="1156" w:name="_Toc22968"/>
      <w:bookmarkStart w:id="1157" w:name="_Toc150947507"/>
      <w:bookmarkStart w:id="1158" w:name="_Toc256000358"/>
      <w:bookmarkStart w:id="1159" w:name="_Toc28418"/>
      <w:r>
        <w:rPr>
          <w:b/>
          <w:color w:val="auto"/>
          <w:highlight w:val="none"/>
        </w:rPr>
        <w:t>15.2缺陷责任期</w:t>
      </w:r>
      <w:bookmarkEnd w:id="1126"/>
      <w:bookmarkEnd w:id="1156"/>
      <w:bookmarkEnd w:id="1157"/>
      <w:bookmarkEnd w:id="1158"/>
      <w:bookmarkEnd w:id="1159"/>
    </w:p>
    <w:p w14:paraId="68434983">
      <w:pPr>
        <w:spacing w:line="400" w:lineRule="exact"/>
        <w:ind w:firstLine="420" w:firstLineChars="200"/>
        <w:rPr>
          <w:color w:val="auto"/>
          <w:highlight w:val="none"/>
        </w:rPr>
      </w:pPr>
      <w:r>
        <w:rPr>
          <w:color w:val="auto"/>
          <w:highlight w:val="none"/>
        </w:rPr>
        <w:t>缺陷责任期的具体期限：</w:t>
      </w:r>
      <w:r>
        <w:rPr>
          <w:rFonts w:hint="eastAsia"/>
          <w:color w:val="auto"/>
          <w:highlight w:val="none"/>
          <w:u w:val="single"/>
        </w:rPr>
        <w:t>从工程通过竣工验收之日</w:t>
      </w:r>
      <w:r>
        <w:rPr>
          <w:color w:val="auto"/>
          <w:highlight w:val="none"/>
          <w:u w:val="single"/>
        </w:rPr>
        <w:t>起</w:t>
      </w:r>
      <w:r>
        <w:rPr>
          <w:rFonts w:hint="eastAsia"/>
          <w:color w:val="auto"/>
          <w:highlight w:val="none"/>
          <w:u w:val="single"/>
          <w:lang w:val="en-US" w:eastAsia="zh-CN"/>
        </w:rPr>
        <w:t>24</w:t>
      </w:r>
      <w:r>
        <w:rPr>
          <w:rFonts w:hint="eastAsia"/>
          <w:color w:val="auto"/>
          <w:highlight w:val="none"/>
          <w:u w:val="single"/>
        </w:rPr>
        <w:t>个月</w:t>
      </w:r>
      <w:r>
        <w:rPr>
          <w:color w:val="auto"/>
          <w:highlight w:val="none"/>
        </w:rPr>
        <w:t>。</w:t>
      </w:r>
    </w:p>
    <w:p w14:paraId="3E679037">
      <w:pPr>
        <w:pStyle w:val="13"/>
        <w:rPr>
          <w:b/>
          <w:color w:val="auto"/>
          <w:highlight w:val="none"/>
        </w:rPr>
      </w:pPr>
      <w:bookmarkStart w:id="1160" w:name="_Toc22414"/>
      <w:bookmarkStart w:id="1161" w:name="_Toc150947508"/>
      <w:bookmarkStart w:id="1162" w:name="_Toc256000359"/>
      <w:bookmarkStart w:id="1163" w:name="_Toc4178"/>
      <w:r>
        <w:rPr>
          <w:b/>
          <w:color w:val="auto"/>
          <w:highlight w:val="none"/>
        </w:rPr>
        <w:t>15.3 质量保证金</w:t>
      </w:r>
      <w:bookmarkEnd w:id="1160"/>
      <w:bookmarkEnd w:id="1161"/>
      <w:bookmarkEnd w:id="1162"/>
      <w:bookmarkEnd w:id="1163"/>
    </w:p>
    <w:p w14:paraId="4A79D5FF">
      <w:pPr>
        <w:spacing w:line="400" w:lineRule="exact"/>
        <w:ind w:firstLine="420" w:firstLineChars="200"/>
        <w:rPr>
          <w:rFonts w:hint="eastAsia" w:eastAsia="宋体"/>
          <w:color w:val="auto"/>
          <w:highlight w:val="none"/>
          <w:lang w:val="en-US" w:eastAsia="zh-CN"/>
        </w:rPr>
      </w:pPr>
      <w:r>
        <w:rPr>
          <w:rFonts w:hint="eastAsia"/>
          <w:color w:val="auto"/>
          <w:highlight w:val="none"/>
        </w:rPr>
        <w:t>关于是否扣留质量保证金的约定：</w:t>
      </w:r>
      <w:r>
        <w:rPr>
          <w:rFonts w:hint="eastAsia" w:eastAsia="宋体"/>
          <w:color w:val="auto"/>
          <w:highlight w:val="none"/>
          <w:u w:val="single"/>
          <w:lang w:val="en-US" w:eastAsia="zh-CN"/>
        </w:rPr>
        <w:t>扣留</w:t>
      </w:r>
    </w:p>
    <w:p w14:paraId="374EF2D6">
      <w:pPr>
        <w:spacing w:line="400" w:lineRule="exact"/>
        <w:ind w:firstLine="420" w:firstLineChars="200"/>
        <w:rPr>
          <w:color w:val="auto"/>
          <w:highlight w:val="none"/>
        </w:rPr>
      </w:pPr>
      <w:r>
        <w:rPr>
          <w:rFonts w:hint="eastAsia"/>
          <w:color w:val="auto"/>
          <w:highlight w:val="none"/>
        </w:rPr>
        <w:t>在工程项目竣工前，承包人按专用合同条款第3.7条提供履约担保的，发包人不得同时预留工程质量保证金。</w:t>
      </w:r>
    </w:p>
    <w:p w14:paraId="66DC79D1">
      <w:pPr>
        <w:spacing w:line="400" w:lineRule="exact"/>
        <w:ind w:firstLine="420" w:firstLineChars="200"/>
        <w:rPr>
          <w:color w:val="auto"/>
          <w:highlight w:val="none"/>
        </w:rPr>
      </w:pPr>
      <w:r>
        <w:rPr>
          <w:color w:val="auto"/>
          <w:highlight w:val="none"/>
        </w:rPr>
        <w:t xml:space="preserve">15.3.1 </w:t>
      </w:r>
      <w:r>
        <w:rPr>
          <w:rFonts w:hint="eastAsia"/>
          <w:color w:val="auto"/>
          <w:highlight w:val="none"/>
        </w:rPr>
        <w:t>承包人提供</w:t>
      </w:r>
      <w:r>
        <w:rPr>
          <w:color w:val="auto"/>
          <w:highlight w:val="none"/>
        </w:rPr>
        <w:t>质量保证金的</w:t>
      </w:r>
      <w:r>
        <w:rPr>
          <w:rFonts w:hint="eastAsia"/>
          <w:color w:val="auto"/>
          <w:highlight w:val="none"/>
        </w:rPr>
        <w:t>方</w:t>
      </w:r>
      <w:r>
        <w:rPr>
          <w:color w:val="auto"/>
          <w:highlight w:val="none"/>
        </w:rPr>
        <w:t>式</w:t>
      </w:r>
    </w:p>
    <w:p w14:paraId="383DDBE4">
      <w:pPr>
        <w:spacing w:line="400" w:lineRule="exact"/>
        <w:ind w:firstLine="420" w:firstLineChars="200"/>
        <w:rPr>
          <w:color w:val="auto"/>
          <w:highlight w:val="none"/>
        </w:rPr>
      </w:pPr>
      <w:r>
        <w:rPr>
          <w:color w:val="auto"/>
          <w:highlight w:val="none"/>
        </w:rPr>
        <w:t>质量保证金采用以下第</w:t>
      </w:r>
      <w:r>
        <w:rPr>
          <w:color w:val="auto"/>
          <w:highlight w:val="none"/>
          <w:u w:val="single"/>
        </w:rPr>
        <w:t xml:space="preserve"> </w:t>
      </w:r>
      <w:r>
        <w:rPr>
          <w:rFonts w:hint="eastAsia"/>
          <w:color w:val="auto"/>
          <w:highlight w:val="none"/>
          <w:u w:val="single"/>
        </w:rPr>
        <w:t xml:space="preserve">  （2） </w:t>
      </w:r>
      <w:r>
        <w:rPr>
          <w:color w:val="auto"/>
          <w:highlight w:val="none"/>
          <w:u w:val="single"/>
        </w:rPr>
        <w:t xml:space="preserve">  </w:t>
      </w:r>
      <w:r>
        <w:rPr>
          <w:color w:val="auto"/>
          <w:highlight w:val="none"/>
        </w:rPr>
        <w:t>种方式：</w:t>
      </w:r>
    </w:p>
    <w:p w14:paraId="7A231494">
      <w:pPr>
        <w:spacing w:line="400" w:lineRule="exact"/>
        <w:ind w:firstLine="420" w:firstLineChars="200"/>
        <w:rPr>
          <w:color w:val="auto"/>
          <w:highlight w:val="none"/>
        </w:rPr>
      </w:pPr>
      <w:r>
        <w:rPr>
          <w:color w:val="auto"/>
          <w:highlight w:val="none"/>
        </w:rPr>
        <w:t>（1）质量保证金保函，保证金额为：</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 xml:space="preserve">； </w:t>
      </w:r>
    </w:p>
    <w:p w14:paraId="615ABDB7">
      <w:pPr>
        <w:spacing w:line="400" w:lineRule="exact"/>
        <w:ind w:firstLine="420" w:firstLineChars="200"/>
        <w:rPr>
          <w:color w:val="auto"/>
          <w:highlight w:val="none"/>
        </w:rPr>
      </w:pPr>
      <w:r>
        <w:rPr>
          <w:color w:val="auto"/>
          <w:highlight w:val="none"/>
        </w:rPr>
        <w:t>（2）</w:t>
      </w:r>
      <w:r>
        <w:rPr>
          <w:rFonts w:hint="eastAsia"/>
          <w:color w:val="auto"/>
          <w:highlight w:val="none"/>
          <w:u w:val="single"/>
        </w:rPr>
        <w:t>结算总价的</w:t>
      </w:r>
      <w:r>
        <w:rPr>
          <w:rFonts w:hint="eastAsia"/>
          <w:color w:val="auto"/>
          <w:highlight w:val="none"/>
          <w:u w:val="single"/>
          <w:lang w:eastAsia="zh-CN"/>
        </w:rPr>
        <w:t>2%</w:t>
      </w:r>
      <w:r>
        <w:rPr>
          <w:color w:val="auto"/>
          <w:highlight w:val="none"/>
          <w:u w:val="single"/>
        </w:rPr>
        <w:t xml:space="preserve"> </w:t>
      </w:r>
      <w:r>
        <w:rPr>
          <w:color w:val="auto"/>
          <w:highlight w:val="none"/>
        </w:rPr>
        <w:t>的工程款；</w:t>
      </w:r>
    </w:p>
    <w:p w14:paraId="2CCE9B13">
      <w:pPr>
        <w:spacing w:line="400" w:lineRule="exact"/>
        <w:ind w:firstLine="420" w:firstLineChars="200"/>
        <w:rPr>
          <w:color w:val="auto"/>
          <w:highlight w:val="none"/>
        </w:rPr>
      </w:pPr>
      <w:r>
        <w:rPr>
          <w:color w:val="auto"/>
          <w:highlight w:val="none"/>
        </w:rPr>
        <w:t>（3）其他</w:t>
      </w:r>
      <w:r>
        <w:rPr>
          <w:rFonts w:hint="eastAsia"/>
          <w:color w:val="auto"/>
          <w:highlight w:val="none"/>
        </w:rPr>
        <w:t>方</w:t>
      </w:r>
      <w:r>
        <w:rPr>
          <w:color w:val="auto"/>
          <w:highlight w:val="none"/>
        </w:rPr>
        <w:t xml:space="preserve">式: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w:t>
      </w:r>
    </w:p>
    <w:p w14:paraId="14A91564">
      <w:pPr>
        <w:spacing w:line="400" w:lineRule="exact"/>
        <w:ind w:firstLine="420" w:firstLineChars="200"/>
        <w:rPr>
          <w:color w:val="auto"/>
          <w:highlight w:val="none"/>
        </w:rPr>
      </w:pPr>
      <w:r>
        <w:rPr>
          <w:color w:val="auto"/>
          <w:highlight w:val="none"/>
        </w:rPr>
        <w:t xml:space="preserve">15.3.2 质量保证金的扣留 </w:t>
      </w:r>
    </w:p>
    <w:p w14:paraId="1EE599A5">
      <w:pPr>
        <w:spacing w:line="400" w:lineRule="exact"/>
        <w:ind w:firstLine="420" w:firstLineChars="200"/>
        <w:rPr>
          <w:color w:val="auto"/>
          <w:highlight w:val="none"/>
        </w:rPr>
      </w:pPr>
      <w:r>
        <w:rPr>
          <w:color w:val="auto"/>
          <w:highlight w:val="none"/>
        </w:rPr>
        <w:t>质量保证金的扣留采取以下第</w:t>
      </w:r>
      <w:r>
        <w:rPr>
          <w:color w:val="auto"/>
          <w:highlight w:val="none"/>
          <w:u w:val="single"/>
        </w:rPr>
        <w:t xml:space="preserve"> </w:t>
      </w:r>
      <w:r>
        <w:rPr>
          <w:rFonts w:hint="eastAsia"/>
          <w:color w:val="auto"/>
          <w:highlight w:val="none"/>
          <w:u w:val="single"/>
        </w:rPr>
        <w:t xml:space="preserve"> （2）</w:t>
      </w:r>
      <w:r>
        <w:rPr>
          <w:color w:val="auto"/>
          <w:highlight w:val="none"/>
          <w:u w:val="single"/>
        </w:rPr>
        <w:t xml:space="preserve">  </w:t>
      </w:r>
      <w:r>
        <w:rPr>
          <w:color w:val="auto"/>
          <w:highlight w:val="none"/>
        </w:rPr>
        <w:t>种方式：</w:t>
      </w:r>
    </w:p>
    <w:p w14:paraId="746CEC0B">
      <w:pPr>
        <w:spacing w:line="400" w:lineRule="exact"/>
        <w:ind w:firstLine="420" w:firstLineChars="200"/>
        <w:rPr>
          <w:color w:val="auto"/>
          <w:highlight w:val="none"/>
        </w:rPr>
      </w:pPr>
      <w:r>
        <w:rPr>
          <w:color w:val="auto"/>
          <w:highlight w:val="none"/>
        </w:rPr>
        <w:t>（1）在支付工程进度款时逐次扣留，在此情形下，质量保证金的计算基数不包括预付款的支付、扣回以及价格调整的金额；</w:t>
      </w:r>
    </w:p>
    <w:p w14:paraId="40CABA03">
      <w:pPr>
        <w:spacing w:line="400" w:lineRule="exact"/>
        <w:ind w:firstLine="420" w:firstLineChars="200"/>
        <w:rPr>
          <w:color w:val="auto"/>
          <w:highlight w:val="none"/>
        </w:rPr>
      </w:pPr>
      <w:r>
        <w:rPr>
          <w:color w:val="auto"/>
          <w:highlight w:val="none"/>
        </w:rPr>
        <w:t>（2）工程竣工结算时一次性扣留质量保证金；</w:t>
      </w:r>
    </w:p>
    <w:p w14:paraId="727ECBD4">
      <w:pPr>
        <w:spacing w:line="400" w:lineRule="exact"/>
        <w:ind w:firstLine="420" w:firstLineChars="200"/>
        <w:rPr>
          <w:color w:val="auto"/>
          <w:highlight w:val="none"/>
        </w:rPr>
      </w:pPr>
      <w:r>
        <w:rPr>
          <w:color w:val="auto"/>
          <w:highlight w:val="none"/>
        </w:rPr>
        <w:t>（3）其他扣留方式</w:t>
      </w:r>
      <w:r>
        <w:rPr>
          <w:rFonts w:hint="eastAsia"/>
          <w:color w:val="auto"/>
          <w:highlight w:val="none"/>
        </w:rPr>
        <w:t>：</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w:t>
      </w:r>
    </w:p>
    <w:p w14:paraId="6ED5BD2B">
      <w:pPr>
        <w:spacing w:line="400" w:lineRule="exact"/>
        <w:ind w:firstLine="420" w:firstLineChars="200"/>
        <w:rPr>
          <w:color w:val="auto"/>
          <w:highlight w:val="none"/>
        </w:rPr>
      </w:pPr>
      <w:r>
        <w:rPr>
          <w:color w:val="auto"/>
          <w:highlight w:val="none"/>
        </w:rPr>
        <w:t>关于质量保证金的补充约定：</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w:t>
      </w:r>
    </w:p>
    <w:bookmarkEnd w:id="1127"/>
    <w:bookmarkEnd w:id="1128"/>
    <w:p w14:paraId="344546BE">
      <w:pPr>
        <w:pStyle w:val="13"/>
        <w:rPr>
          <w:b/>
          <w:color w:val="auto"/>
          <w:highlight w:val="none"/>
        </w:rPr>
      </w:pPr>
      <w:bookmarkStart w:id="1164" w:name="_Toc256000360"/>
      <w:bookmarkStart w:id="1165" w:name="_Toc22708"/>
      <w:bookmarkStart w:id="1166" w:name="_Toc150947509"/>
      <w:bookmarkStart w:id="1167" w:name="_Toc11906"/>
      <w:r>
        <w:rPr>
          <w:b/>
          <w:color w:val="auto"/>
          <w:highlight w:val="none"/>
        </w:rPr>
        <w:t>15.4保修</w:t>
      </w:r>
      <w:bookmarkEnd w:id="1164"/>
      <w:bookmarkEnd w:id="1165"/>
      <w:bookmarkEnd w:id="1166"/>
      <w:bookmarkEnd w:id="1167"/>
    </w:p>
    <w:bookmarkEnd w:id="1129"/>
    <w:p w14:paraId="21703CE3">
      <w:pPr>
        <w:spacing w:line="400" w:lineRule="exact"/>
        <w:ind w:firstLine="420" w:firstLineChars="200"/>
        <w:rPr>
          <w:color w:val="auto"/>
          <w:highlight w:val="none"/>
        </w:rPr>
      </w:pPr>
      <w:r>
        <w:rPr>
          <w:color w:val="auto"/>
          <w:highlight w:val="none"/>
        </w:rPr>
        <w:t>15.4.1 保修责任</w:t>
      </w:r>
    </w:p>
    <w:p w14:paraId="7A8BC849">
      <w:pPr>
        <w:spacing w:line="400" w:lineRule="exact"/>
        <w:ind w:firstLine="420" w:firstLineChars="200"/>
        <w:rPr>
          <w:color w:val="auto"/>
          <w:highlight w:val="none"/>
        </w:rPr>
      </w:pPr>
      <w:bookmarkStart w:id="1168" w:name="OLE_LINK11"/>
      <w:r>
        <w:rPr>
          <w:color w:val="auto"/>
          <w:highlight w:val="none"/>
        </w:rPr>
        <w:t>工程保修期为</w:t>
      </w:r>
      <w:bookmarkEnd w:id="1168"/>
      <w:r>
        <w:rPr>
          <w:color w:val="auto"/>
          <w:highlight w:val="none"/>
        </w:rPr>
        <w:t>：</w:t>
      </w:r>
      <w:r>
        <w:rPr>
          <w:rFonts w:hint="eastAsia"/>
          <w:color w:val="auto"/>
          <w:highlight w:val="none"/>
          <w:u w:val="single"/>
        </w:rPr>
        <w:t>自工程验收合格之日起 2 年</w:t>
      </w:r>
      <w:r>
        <w:rPr>
          <w:color w:val="auto"/>
          <w:highlight w:val="none"/>
        </w:rPr>
        <w:t>。</w:t>
      </w:r>
    </w:p>
    <w:p w14:paraId="0DB5073F">
      <w:pPr>
        <w:spacing w:line="360" w:lineRule="auto"/>
        <w:ind w:firstLine="420" w:firstLineChars="200"/>
        <w:rPr>
          <w:color w:val="auto"/>
          <w:highlight w:val="none"/>
        </w:rPr>
      </w:pPr>
      <w:r>
        <w:rPr>
          <w:rFonts w:ascii="宋体" w:hAnsi="宋体"/>
          <w:color w:val="auto"/>
          <w:szCs w:val="21"/>
          <w:highlight w:val="none"/>
        </w:rPr>
        <w:t>其他项目保修期限约定如下：</w:t>
      </w:r>
    </w:p>
    <w:p w14:paraId="607E34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2BCC59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屋面防水工程、有防水要求的卫生间、房间和外墙面的防渗</w:t>
      </w:r>
      <w:r>
        <w:rPr>
          <w:rFonts w:hint="eastAsia"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ascii="宋体" w:hAnsi="宋体"/>
          <w:color w:val="auto"/>
          <w:szCs w:val="21"/>
          <w:highlight w:val="none"/>
        </w:rPr>
        <w:t>年；</w:t>
      </w:r>
    </w:p>
    <w:p w14:paraId="72FDE8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装修工程为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ascii="宋体" w:hAnsi="宋体"/>
          <w:color w:val="auto"/>
          <w:szCs w:val="21"/>
          <w:highlight w:val="none"/>
          <w:u w:val="single"/>
        </w:rPr>
        <w:t xml:space="preserve">    </w:t>
      </w:r>
      <w:r>
        <w:rPr>
          <w:rFonts w:ascii="宋体" w:hAnsi="宋体"/>
          <w:color w:val="auto"/>
          <w:szCs w:val="21"/>
          <w:highlight w:val="none"/>
        </w:rPr>
        <w:t>年；</w:t>
      </w:r>
    </w:p>
    <w:p w14:paraId="6CDAF7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电气管线、给排水管道、设备安装工程为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ascii="宋体" w:hAnsi="宋体"/>
          <w:color w:val="auto"/>
          <w:szCs w:val="21"/>
          <w:highlight w:val="none"/>
          <w:u w:val="single"/>
        </w:rPr>
        <w:t xml:space="preserve">    </w:t>
      </w:r>
      <w:r>
        <w:rPr>
          <w:rFonts w:ascii="宋体" w:hAnsi="宋体"/>
          <w:color w:val="auto"/>
          <w:szCs w:val="21"/>
          <w:highlight w:val="none"/>
        </w:rPr>
        <w:t>年；</w:t>
      </w:r>
    </w:p>
    <w:p w14:paraId="04000C80">
      <w:pPr>
        <w:spacing w:line="360" w:lineRule="auto"/>
        <w:ind w:firstLine="420" w:firstLineChars="200"/>
        <w:rPr>
          <w:color w:val="auto"/>
          <w:highlight w:val="none"/>
        </w:rPr>
      </w:pPr>
      <w:r>
        <w:rPr>
          <w:rFonts w:hint="eastAsia" w:ascii="宋体" w:hAnsi="宋体"/>
          <w:color w:val="auto"/>
          <w:szCs w:val="21"/>
          <w:highlight w:val="none"/>
        </w:rPr>
        <w:t>5．</w:t>
      </w:r>
      <w:r>
        <w:rPr>
          <w:rFonts w:ascii="宋体" w:hAnsi="宋体"/>
          <w:color w:val="auto"/>
          <w:szCs w:val="21"/>
          <w:highlight w:val="none"/>
        </w:rPr>
        <w:t>供热与供冷系统为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ascii="宋体" w:hAnsi="宋体"/>
          <w:color w:val="auto"/>
          <w:szCs w:val="21"/>
          <w:highlight w:val="none"/>
          <w:u w:val="single"/>
        </w:rPr>
        <w:t xml:space="preserve">    </w:t>
      </w:r>
      <w:r>
        <w:rPr>
          <w:rFonts w:ascii="宋体" w:hAnsi="宋体"/>
          <w:color w:val="auto"/>
          <w:szCs w:val="21"/>
          <w:highlight w:val="none"/>
        </w:rPr>
        <w:t>个采暖期、供冷期；</w:t>
      </w:r>
    </w:p>
    <w:p w14:paraId="0DB075E8">
      <w:pPr>
        <w:spacing w:line="400" w:lineRule="exact"/>
        <w:ind w:firstLine="420" w:firstLineChars="200"/>
        <w:rPr>
          <w:color w:val="auto"/>
          <w:highlight w:val="none"/>
        </w:rPr>
      </w:pPr>
      <w:r>
        <w:rPr>
          <w:color w:val="auto"/>
          <w:highlight w:val="none"/>
        </w:rPr>
        <w:t>15.4.3 修复通知</w:t>
      </w:r>
    </w:p>
    <w:p w14:paraId="1DAC9820">
      <w:pPr>
        <w:spacing w:line="400" w:lineRule="exact"/>
        <w:ind w:firstLine="420" w:firstLineChars="200"/>
        <w:rPr>
          <w:color w:val="auto"/>
          <w:highlight w:val="none"/>
        </w:rPr>
      </w:pPr>
      <w:r>
        <w:rPr>
          <w:color w:val="auto"/>
          <w:highlight w:val="none"/>
        </w:rPr>
        <w:t>承包人收到保修通知并到达工程现场的合理时间：</w:t>
      </w:r>
      <w:r>
        <w:rPr>
          <w:rFonts w:hint="eastAsia"/>
          <w:color w:val="auto"/>
          <w:highlight w:val="none"/>
          <w:u w:val="single"/>
        </w:rPr>
        <w:t>执行通用合同条款</w:t>
      </w:r>
      <w:r>
        <w:rPr>
          <w:color w:val="auto"/>
          <w:highlight w:val="none"/>
        </w:rPr>
        <w:t>。</w:t>
      </w:r>
    </w:p>
    <w:bookmarkEnd w:id="1130"/>
    <w:bookmarkEnd w:id="1131"/>
    <w:bookmarkEnd w:id="1132"/>
    <w:bookmarkEnd w:id="1133"/>
    <w:p w14:paraId="2F3B28A1">
      <w:pPr>
        <w:pStyle w:val="12"/>
        <w:rPr>
          <w:b/>
          <w:color w:val="auto"/>
          <w:highlight w:val="none"/>
        </w:rPr>
      </w:pPr>
      <w:bookmarkStart w:id="1169" w:name="_Toc256000361"/>
      <w:bookmarkStart w:id="1170" w:name="_Toc351203648"/>
      <w:bookmarkStart w:id="1171" w:name="_Toc22768"/>
      <w:bookmarkStart w:id="1172" w:name="_Toc150947510"/>
      <w:bookmarkStart w:id="1173" w:name="_Toc280868717"/>
      <w:bookmarkStart w:id="1174" w:name="_Toc280868718"/>
      <w:r>
        <w:rPr>
          <w:b/>
          <w:color w:val="auto"/>
          <w:highlight w:val="none"/>
        </w:rPr>
        <w:t>16. 违约</w:t>
      </w:r>
      <w:bookmarkEnd w:id="1169"/>
      <w:bookmarkEnd w:id="1170"/>
      <w:bookmarkEnd w:id="1171"/>
      <w:bookmarkEnd w:id="1172"/>
    </w:p>
    <w:p w14:paraId="151F40D8">
      <w:pPr>
        <w:pStyle w:val="13"/>
        <w:rPr>
          <w:b/>
          <w:color w:val="auto"/>
          <w:highlight w:val="none"/>
        </w:rPr>
      </w:pPr>
      <w:bookmarkStart w:id="1175" w:name="_Toc12864"/>
      <w:bookmarkStart w:id="1176" w:name="_Toc150947511"/>
      <w:bookmarkStart w:id="1177" w:name="_Toc256000362"/>
      <w:bookmarkStart w:id="1178" w:name="_Toc7060"/>
      <w:r>
        <w:rPr>
          <w:b/>
          <w:color w:val="auto"/>
          <w:highlight w:val="none"/>
        </w:rPr>
        <w:t>16.1 发包人违约</w:t>
      </w:r>
      <w:bookmarkEnd w:id="1175"/>
      <w:bookmarkEnd w:id="1176"/>
      <w:bookmarkEnd w:id="1177"/>
      <w:bookmarkEnd w:id="1178"/>
    </w:p>
    <w:p w14:paraId="0C510F27">
      <w:pPr>
        <w:spacing w:line="400" w:lineRule="exact"/>
        <w:ind w:firstLine="420" w:firstLineChars="200"/>
        <w:rPr>
          <w:color w:val="auto"/>
          <w:highlight w:val="none"/>
        </w:rPr>
      </w:pPr>
      <w:r>
        <w:rPr>
          <w:color w:val="auto"/>
          <w:highlight w:val="none"/>
        </w:rPr>
        <w:t>16.1.1发包人违约的情形</w:t>
      </w:r>
    </w:p>
    <w:p w14:paraId="6D00C639">
      <w:pPr>
        <w:spacing w:line="400" w:lineRule="exact"/>
        <w:ind w:firstLine="420" w:firstLineChars="200"/>
        <w:rPr>
          <w:color w:val="auto"/>
          <w:highlight w:val="none"/>
        </w:rPr>
      </w:pPr>
      <w:r>
        <w:rPr>
          <w:color w:val="auto"/>
          <w:highlight w:val="none"/>
        </w:rPr>
        <w:t>发包人违约的其他情形：</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w:t>
      </w:r>
    </w:p>
    <w:p w14:paraId="4958E039">
      <w:pPr>
        <w:spacing w:line="400" w:lineRule="exact"/>
        <w:ind w:firstLine="420" w:firstLineChars="200"/>
        <w:rPr>
          <w:color w:val="auto"/>
          <w:highlight w:val="none"/>
        </w:rPr>
      </w:pPr>
      <w:r>
        <w:rPr>
          <w:color w:val="auto"/>
          <w:highlight w:val="none"/>
        </w:rPr>
        <w:t>16.1.2 发包人违约的责任</w:t>
      </w:r>
    </w:p>
    <w:p w14:paraId="397EC719">
      <w:pPr>
        <w:spacing w:line="400" w:lineRule="exact"/>
        <w:ind w:firstLine="420" w:firstLineChars="200"/>
        <w:rPr>
          <w:color w:val="auto"/>
          <w:highlight w:val="none"/>
        </w:rPr>
      </w:pPr>
      <w:r>
        <w:rPr>
          <w:color w:val="auto"/>
          <w:highlight w:val="none"/>
        </w:rPr>
        <w:t>发包人违约责任的承担方式和计算方法：</w:t>
      </w:r>
    </w:p>
    <w:p w14:paraId="3F25DA20">
      <w:pPr>
        <w:spacing w:line="400" w:lineRule="exact"/>
        <w:ind w:firstLine="420" w:firstLineChars="200"/>
        <w:rPr>
          <w:color w:val="auto"/>
          <w:highlight w:val="none"/>
        </w:rPr>
      </w:pPr>
      <w:r>
        <w:rPr>
          <w:color w:val="auto"/>
          <w:highlight w:val="none"/>
        </w:rPr>
        <w:t>（1）因发包人原因未能在计划开工日期前7天内下达开工通知的违约责任：</w:t>
      </w:r>
      <w:r>
        <w:rPr>
          <w:rFonts w:hint="eastAsia"/>
          <w:color w:val="auto"/>
          <w:highlight w:val="none"/>
          <w:u w:val="single"/>
        </w:rPr>
        <w:t>发包人需承担由此增加的费用和（或）延误的工期，并支付承包人合理的利润</w:t>
      </w:r>
      <w:r>
        <w:rPr>
          <w:color w:val="auto"/>
          <w:highlight w:val="none"/>
        </w:rPr>
        <w:t>。</w:t>
      </w:r>
    </w:p>
    <w:p w14:paraId="5E659F92">
      <w:pPr>
        <w:spacing w:line="400" w:lineRule="exact"/>
        <w:ind w:firstLine="420" w:firstLineChars="200"/>
        <w:rPr>
          <w:color w:val="auto"/>
          <w:highlight w:val="none"/>
        </w:rPr>
      </w:pPr>
      <w:r>
        <w:rPr>
          <w:color w:val="auto"/>
          <w:highlight w:val="none"/>
        </w:rPr>
        <w:t>（2）因发包人原因未能按合同约定支付合同价款的违约责任：</w:t>
      </w:r>
      <w:r>
        <w:rPr>
          <w:rFonts w:hint="eastAsia"/>
          <w:color w:val="auto"/>
          <w:highlight w:val="none"/>
          <w:u w:val="single"/>
        </w:rPr>
        <w:t>工期应相应顺延</w:t>
      </w:r>
      <w:r>
        <w:rPr>
          <w:color w:val="auto"/>
          <w:highlight w:val="none"/>
        </w:rPr>
        <w:t>。</w:t>
      </w:r>
    </w:p>
    <w:p w14:paraId="5146ECB6">
      <w:pPr>
        <w:spacing w:line="400" w:lineRule="exact"/>
        <w:ind w:firstLine="420" w:firstLineChars="200"/>
        <w:rPr>
          <w:color w:val="auto"/>
          <w:highlight w:val="none"/>
        </w:rPr>
      </w:pPr>
      <w:r>
        <w:rPr>
          <w:color w:val="auto"/>
          <w:highlight w:val="none"/>
        </w:rPr>
        <w:t>（3）发包人违反第10.1款</w:t>
      </w:r>
      <w:r>
        <w:rPr>
          <w:rFonts w:hint="eastAsia"/>
          <w:color w:val="auto"/>
          <w:highlight w:val="none"/>
        </w:rPr>
        <w:t>〔</w:t>
      </w:r>
      <w:r>
        <w:rPr>
          <w:color w:val="auto"/>
          <w:highlight w:val="none"/>
        </w:rPr>
        <w:t>变更的范围</w:t>
      </w:r>
      <w:r>
        <w:rPr>
          <w:rFonts w:hint="eastAsia"/>
          <w:color w:val="auto"/>
          <w:highlight w:val="none"/>
        </w:rPr>
        <w:t>〕</w:t>
      </w:r>
      <w:r>
        <w:rPr>
          <w:color w:val="auto"/>
          <w:highlight w:val="none"/>
        </w:rPr>
        <w:t>第（2）项约定，自行实施被取消的工作或转由他人实施的违约责任：</w:t>
      </w:r>
      <w:r>
        <w:rPr>
          <w:rFonts w:hint="eastAsia"/>
          <w:color w:val="auto"/>
          <w:highlight w:val="none"/>
          <w:u w:val="single"/>
        </w:rPr>
        <w:t xml:space="preserve">                                             </w:t>
      </w:r>
      <w:r>
        <w:rPr>
          <w:color w:val="auto"/>
          <w:highlight w:val="none"/>
        </w:rPr>
        <w:t>。</w:t>
      </w:r>
    </w:p>
    <w:p w14:paraId="3A9C594B">
      <w:pPr>
        <w:spacing w:line="400" w:lineRule="exact"/>
        <w:ind w:firstLine="420" w:firstLineChars="200"/>
        <w:rPr>
          <w:color w:val="auto"/>
          <w:highlight w:val="none"/>
        </w:rPr>
      </w:pPr>
      <w:r>
        <w:rPr>
          <w:color w:val="auto"/>
          <w:highlight w:val="none"/>
        </w:rPr>
        <w:t>（4）发包人提供的材料、工程设备的规格、数量或质量不符合合同约定，或因发包人原因导致交货日期延误或交货地点变更等情况的违约责任：</w:t>
      </w:r>
      <w:r>
        <w:rPr>
          <w:rFonts w:hint="eastAsia"/>
          <w:color w:val="auto"/>
          <w:highlight w:val="none"/>
          <w:u w:val="single"/>
        </w:rPr>
        <w:t xml:space="preserve">                                 </w:t>
      </w:r>
      <w:r>
        <w:rPr>
          <w:color w:val="auto"/>
          <w:highlight w:val="none"/>
        </w:rPr>
        <w:t>。</w:t>
      </w:r>
    </w:p>
    <w:p w14:paraId="2A2AE4E5">
      <w:pPr>
        <w:spacing w:line="400" w:lineRule="exact"/>
        <w:ind w:firstLine="420" w:firstLineChars="200"/>
        <w:rPr>
          <w:color w:val="auto"/>
          <w:highlight w:val="none"/>
        </w:rPr>
      </w:pPr>
      <w:r>
        <w:rPr>
          <w:color w:val="auto"/>
          <w:highlight w:val="none"/>
        </w:rPr>
        <w:t>（5）因发包人违反合同约定造成暂停施工的违约责任：</w:t>
      </w:r>
      <w:r>
        <w:rPr>
          <w:rFonts w:hint="eastAsia"/>
          <w:color w:val="auto"/>
          <w:highlight w:val="none"/>
          <w:u w:val="single"/>
        </w:rPr>
        <w:t xml:space="preserve">                                </w:t>
      </w:r>
      <w:r>
        <w:rPr>
          <w:color w:val="auto"/>
          <w:highlight w:val="none"/>
        </w:rPr>
        <w:t>。</w:t>
      </w:r>
    </w:p>
    <w:p w14:paraId="25DDB8F7">
      <w:pPr>
        <w:spacing w:line="400" w:lineRule="exact"/>
        <w:ind w:firstLine="420" w:firstLineChars="200"/>
        <w:rPr>
          <w:color w:val="auto"/>
          <w:highlight w:val="none"/>
        </w:rPr>
      </w:pPr>
      <w:r>
        <w:rPr>
          <w:color w:val="auto"/>
          <w:highlight w:val="none"/>
        </w:rPr>
        <w:t>（6）发包人无正当理由没有在约定期限内发出复工指示，导致承包人无法复工的违约责任：</w:t>
      </w:r>
      <w:r>
        <w:rPr>
          <w:rFonts w:hint="eastAsia"/>
          <w:color w:val="auto"/>
          <w:highlight w:val="none"/>
          <w:u w:val="single"/>
        </w:rPr>
        <w:t xml:space="preserve">                                 </w:t>
      </w:r>
      <w:r>
        <w:rPr>
          <w:color w:val="auto"/>
          <w:highlight w:val="none"/>
        </w:rPr>
        <w:t>。</w:t>
      </w:r>
    </w:p>
    <w:p w14:paraId="58A2463C">
      <w:pPr>
        <w:spacing w:line="400" w:lineRule="exact"/>
        <w:ind w:firstLine="525" w:firstLineChars="250"/>
        <w:rPr>
          <w:color w:val="auto"/>
          <w:highlight w:val="none"/>
        </w:rPr>
      </w:pPr>
      <w:r>
        <w:rPr>
          <w:color w:val="auto"/>
          <w:highlight w:val="none"/>
        </w:rPr>
        <w:t>（7）</w:t>
      </w:r>
      <w:r>
        <w:rPr>
          <w:rFonts w:hint="eastAsia"/>
          <w:color w:val="auto"/>
          <w:highlight w:val="none"/>
        </w:rPr>
        <w:t>其他：</w:t>
      </w:r>
      <w:r>
        <w:rPr>
          <w:rFonts w:hint="eastAsia"/>
          <w:color w:val="auto"/>
          <w:highlight w:val="none"/>
          <w:u w:val="single"/>
        </w:rPr>
        <w:t xml:space="preserve">                                 </w:t>
      </w:r>
      <w:r>
        <w:rPr>
          <w:color w:val="auto"/>
          <w:highlight w:val="none"/>
        </w:rPr>
        <w:t>。</w:t>
      </w:r>
    </w:p>
    <w:p w14:paraId="528C9E15">
      <w:pPr>
        <w:spacing w:line="400" w:lineRule="exact"/>
        <w:ind w:firstLine="420" w:firstLineChars="200"/>
        <w:rPr>
          <w:color w:val="auto"/>
          <w:highlight w:val="none"/>
        </w:rPr>
      </w:pPr>
      <w:r>
        <w:rPr>
          <w:color w:val="auto"/>
          <w:highlight w:val="none"/>
        </w:rPr>
        <w:t>16.1.3 因发包人违约解除合同</w:t>
      </w:r>
    </w:p>
    <w:p w14:paraId="79D7C102">
      <w:pPr>
        <w:spacing w:line="400" w:lineRule="exact"/>
        <w:ind w:firstLine="420" w:firstLineChars="200"/>
        <w:rPr>
          <w:color w:val="auto"/>
          <w:highlight w:val="none"/>
        </w:rPr>
      </w:pPr>
      <w:r>
        <w:rPr>
          <w:color w:val="auto"/>
          <w:highlight w:val="none"/>
        </w:rPr>
        <w:t>承包人按16.1.1项</w:t>
      </w:r>
      <w:r>
        <w:rPr>
          <w:rFonts w:hint="eastAsia"/>
          <w:color w:val="auto"/>
          <w:highlight w:val="none"/>
        </w:rPr>
        <w:t>〔</w:t>
      </w:r>
      <w:r>
        <w:rPr>
          <w:color w:val="auto"/>
          <w:highlight w:val="none"/>
        </w:rPr>
        <w:t>发包人违约的情形</w:t>
      </w:r>
      <w:r>
        <w:rPr>
          <w:rFonts w:hint="eastAsia"/>
          <w:color w:val="auto"/>
          <w:highlight w:val="none"/>
        </w:rPr>
        <w:t>〕</w:t>
      </w:r>
      <w:r>
        <w:rPr>
          <w:color w:val="auto"/>
          <w:highlight w:val="none"/>
        </w:rPr>
        <w:t>约定暂停施工满</w:t>
      </w:r>
      <w:r>
        <w:rPr>
          <w:color w:val="auto"/>
          <w:highlight w:val="none"/>
          <w:u w:val="single"/>
        </w:rPr>
        <w:t xml:space="preserve"> </w:t>
      </w:r>
      <w:r>
        <w:rPr>
          <w:rFonts w:hint="eastAsia"/>
          <w:color w:val="auto"/>
          <w:highlight w:val="none"/>
          <w:u w:val="single"/>
        </w:rPr>
        <w:t>28</w:t>
      </w:r>
      <w:r>
        <w:rPr>
          <w:color w:val="auto"/>
          <w:highlight w:val="none"/>
          <w:u w:val="single"/>
        </w:rPr>
        <w:t xml:space="preserve"> </w:t>
      </w:r>
      <w:r>
        <w:rPr>
          <w:color w:val="auto"/>
          <w:highlight w:val="none"/>
        </w:rPr>
        <w:t>天后发包人仍不纠正其违约行为并致使合同目的不能实现的，承包人有权解除合同。</w:t>
      </w:r>
    </w:p>
    <w:p w14:paraId="0EC2E146">
      <w:pPr>
        <w:pStyle w:val="13"/>
        <w:rPr>
          <w:b/>
          <w:color w:val="auto"/>
          <w:highlight w:val="none"/>
        </w:rPr>
      </w:pPr>
      <w:bookmarkStart w:id="1179" w:name="_Toc150947512"/>
      <w:bookmarkStart w:id="1180" w:name="_Toc256000363"/>
      <w:bookmarkStart w:id="1181" w:name="_Toc20781"/>
      <w:bookmarkStart w:id="1182" w:name="_Toc9650"/>
      <w:r>
        <w:rPr>
          <w:b/>
          <w:color w:val="auto"/>
          <w:highlight w:val="none"/>
        </w:rPr>
        <w:t>16.2 承包人违约</w:t>
      </w:r>
      <w:bookmarkEnd w:id="1179"/>
      <w:bookmarkEnd w:id="1180"/>
      <w:bookmarkEnd w:id="1181"/>
      <w:bookmarkEnd w:id="1182"/>
    </w:p>
    <w:p w14:paraId="7D38F577">
      <w:pPr>
        <w:spacing w:line="400" w:lineRule="exact"/>
        <w:ind w:firstLine="420" w:firstLineChars="200"/>
        <w:rPr>
          <w:color w:val="auto"/>
          <w:highlight w:val="none"/>
        </w:rPr>
      </w:pPr>
      <w:r>
        <w:rPr>
          <w:color w:val="auto"/>
          <w:highlight w:val="none"/>
        </w:rPr>
        <w:t>16.2.1 承包人违约的情形</w:t>
      </w:r>
    </w:p>
    <w:p w14:paraId="34C0983A">
      <w:pPr>
        <w:spacing w:line="400" w:lineRule="exact"/>
        <w:ind w:firstLine="420" w:firstLineChars="200"/>
        <w:rPr>
          <w:color w:val="auto"/>
          <w:highlight w:val="none"/>
        </w:rPr>
      </w:pPr>
      <w:r>
        <w:rPr>
          <w:color w:val="auto"/>
          <w:highlight w:val="none"/>
        </w:rPr>
        <w:t>承包人违约的其他情形：</w:t>
      </w:r>
      <w:r>
        <w:rPr>
          <w:rFonts w:hint="eastAsia"/>
          <w:color w:val="auto"/>
          <w:highlight w:val="none"/>
          <w:u w:val="single"/>
        </w:rPr>
        <w:t>合同双方另行确定</w:t>
      </w:r>
      <w:r>
        <w:rPr>
          <w:color w:val="auto"/>
          <w:highlight w:val="none"/>
        </w:rPr>
        <w:t>。</w:t>
      </w:r>
    </w:p>
    <w:p w14:paraId="1B3038E6">
      <w:pPr>
        <w:spacing w:line="400" w:lineRule="exact"/>
        <w:ind w:firstLine="420" w:firstLineChars="200"/>
        <w:rPr>
          <w:color w:val="auto"/>
          <w:highlight w:val="none"/>
        </w:rPr>
      </w:pPr>
      <w:r>
        <w:rPr>
          <w:color w:val="auto"/>
          <w:highlight w:val="none"/>
        </w:rPr>
        <w:t>16.2.2承包人违约的责任</w:t>
      </w:r>
    </w:p>
    <w:p w14:paraId="59D57567">
      <w:pPr>
        <w:spacing w:line="400" w:lineRule="exact"/>
        <w:ind w:firstLine="420" w:firstLineChars="200"/>
        <w:rPr>
          <w:color w:val="auto"/>
          <w:highlight w:val="none"/>
        </w:rPr>
      </w:pPr>
      <w:r>
        <w:rPr>
          <w:color w:val="auto"/>
          <w:highlight w:val="none"/>
        </w:rPr>
        <w:t>承包人违约责任的承担方式和计算方法：</w:t>
      </w:r>
      <w:r>
        <w:rPr>
          <w:rFonts w:hint="eastAsia"/>
          <w:color w:val="auto"/>
          <w:highlight w:val="none"/>
          <w:u w:val="single"/>
        </w:rPr>
        <w:t>合同双方另行确定，由承包人承担全部费用并承担相关法律责任</w:t>
      </w:r>
      <w:r>
        <w:rPr>
          <w:color w:val="auto"/>
          <w:highlight w:val="none"/>
        </w:rPr>
        <w:t xml:space="preserve">。    </w:t>
      </w:r>
    </w:p>
    <w:p w14:paraId="066006BA">
      <w:pPr>
        <w:spacing w:line="400" w:lineRule="exact"/>
        <w:ind w:firstLine="420" w:firstLineChars="200"/>
        <w:rPr>
          <w:color w:val="auto"/>
          <w:highlight w:val="none"/>
        </w:rPr>
      </w:pPr>
      <w:r>
        <w:rPr>
          <w:color w:val="auto"/>
          <w:highlight w:val="none"/>
        </w:rPr>
        <w:t>16.2.3 因承包人违约解除合同</w:t>
      </w:r>
    </w:p>
    <w:p w14:paraId="57DFD8C7">
      <w:pPr>
        <w:spacing w:line="400" w:lineRule="exact"/>
        <w:ind w:firstLine="420" w:firstLineChars="200"/>
        <w:rPr>
          <w:color w:val="auto"/>
          <w:highlight w:val="none"/>
        </w:rPr>
      </w:pPr>
      <w:r>
        <w:rPr>
          <w:color w:val="auto"/>
          <w:highlight w:val="none"/>
        </w:rPr>
        <w:t>关于承包人违约解除合同的特别约定：</w:t>
      </w:r>
      <w:r>
        <w:rPr>
          <w:rFonts w:hint="eastAsia"/>
          <w:color w:val="auto"/>
          <w:highlight w:val="none"/>
          <w:u w:val="single"/>
        </w:rPr>
        <w:t>执行通用合同条款</w:t>
      </w:r>
      <w:r>
        <w:rPr>
          <w:color w:val="auto"/>
          <w:highlight w:val="none"/>
        </w:rPr>
        <w:t>。</w:t>
      </w:r>
    </w:p>
    <w:p w14:paraId="12ABCB96">
      <w:pPr>
        <w:spacing w:line="400" w:lineRule="exact"/>
        <w:ind w:firstLine="420" w:firstLineChars="200"/>
        <w:rPr>
          <w:color w:val="auto"/>
          <w:highlight w:val="none"/>
        </w:rPr>
      </w:pPr>
      <w:r>
        <w:rPr>
          <w:color w:val="auto"/>
          <w:highlight w:val="none"/>
        </w:rPr>
        <w:t>发包人</w:t>
      </w:r>
      <w:r>
        <w:rPr>
          <w:rFonts w:hint="eastAsia"/>
          <w:color w:val="auto"/>
          <w:highlight w:val="none"/>
        </w:rPr>
        <w:t>继续</w:t>
      </w:r>
      <w:r>
        <w:rPr>
          <w:color w:val="auto"/>
          <w:highlight w:val="none"/>
        </w:rPr>
        <w:t>使用承包人在施工现场的材料、设备、临时工程、承包人文件和由承包人或以其名义编制的其他文件</w:t>
      </w:r>
      <w:r>
        <w:rPr>
          <w:rFonts w:hint="eastAsia"/>
          <w:color w:val="auto"/>
          <w:highlight w:val="none"/>
        </w:rPr>
        <w:t>的费用承担方式</w:t>
      </w:r>
      <w:r>
        <w:rPr>
          <w:color w:val="auto"/>
          <w:highlight w:val="none"/>
        </w:rPr>
        <w:t>：</w:t>
      </w:r>
      <w:r>
        <w:rPr>
          <w:rFonts w:hint="eastAsia"/>
          <w:color w:val="auto"/>
          <w:highlight w:val="none"/>
          <w:u w:val="single"/>
        </w:rPr>
        <w:t xml:space="preserve">                                 </w:t>
      </w:r>
      <w:r>
        <w:rPr>
          <w:color w:val="auto"/>
          <w:highlight w:val="none"/>
        </w:rPr>
        <w:t>。</w:t>
      </w:r>
    </w:p>
    <w:p w14:paraId="6F1526C4">
      <w:pPr>
        <w:pStyle w:val="12"/>
        <w:rPr>
          <w:b/>
          <w:color w:val="auto"/>
          <w:highlight w:val="none"/>
        </w:rPr>
      </w:pPr>
      <w:bookmarkStart w:id="1183" w:name="_Toc150947513"/>
      <w:bookmarkStart w:id="1184" w:name="_Toc351203649"/>
      <w:bookmarkStart w:id="1185" w:name="_Toc256000364"/>
      <w:bookmarkStart w:id="1186" w:name="_Toc25831"/>
      <w:r>
        <w:rPr>
          <w:b/>
          <w:color w:val="auto"/>
          <w:highlight w:val="none"/>
        </w:rPr>
        <w:t>17. 不可抗力</w:t>
      </w:r>
      <w:bookmarkEnd w:id="1183"/>
      <w:bookmarkEnd w:id="1184"/>
      <w:bookmarkEnd w:id="1185"/>
      <w:bookmarkEnd w:id="1186"/>
      <w:r>
        <w:rPr>
          <w:b/>
          <w:color w:val="auto"/>
          <w:highlight w:val="none"/>
        </w:rPr>
        <w:t xml:space="preserve"> </w:t>
      </w:r>
      <w:bookmarkEnd w:id="1173"/>
    </w:p>
    <w:p w14:paraId="0BF37B85">
      <w:pPr>
        <w:pStyle w:val="13"/>
        <w:rPr>
          <w:b/>
          <w:color w:val="auto"/>
          <w:highlight w:val="none"/>
        </w:rPr>
      </w:pPr>
      <w:bookmarkStart w:id="1187" w:name="_Toc150947514"/>
      <w:bookmarkStart w:id="1188" w:name="_Toc20714"/>
      <w:bookmarkStart w:id="1189" w:name="_Toc22451"/>
      <w:bookmarkStart w:id="1190" w:name="_Toc256000365"/>
      <w:r>
        <w:rPr>
          <w:b/>
          <w:color w:val="auto"/>
          <w:highlight w:val="none"/>
        </w:rPr>
        <w:t>17.1 不可抗力的确认</w:t>
      </w:r>
      <w:bookmarkEnd w:id="1187"/>
      <w:bookmarkEnd w:id="1188"/>
      <w:bookmarkEnd w:id="1189"/>
      <w:bookmarkEnd w:id="1190"/>
    </w:p>
    <w:p w14:paraId="60978C00">
      <w:pPr>
        <w:spacing w:line="400" w:lineRule="exact"/>
        <w:ind w:firstLine="420" w:firstLineChars="200"/>
        <w:rPr>
          <w:color w:val="auto"/>
          <w:highlight w:val="none"/>
        </w:rPr>
      </w:pPr>
      <w:r>
        <w:rPr>
          <w:color w:val="auto"/>
          <w:highlight w:val="none"/>
        </w:rPr>
        <w:t>除通用合同条款约定的不可抗力事件之外，视为不可抗力的其他情形：</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w:t>
      </w:r>
    </w:p>
    <w:p w14:paraId="14BF4962">
      <w:pPr>
        <w:pStyle w:val="13"/>
        <w:rPr>
          <w:b/>
          <w:color w:val="auto"/>
          <w:highlight w:val="none"/>
        </w:rPr>
      </w:pPr>
      <w:bookmarkStart w:id="1191" w:name="_Toc256000366"/>
      <w:bookmarkStart w:id="1192" w:name="_Toc26431"/>
      <w:bookmarkStart w:id="1193" w:name="_Toc150947515"/>
      <w:bookmarkStart w:id="1194" w:name="_Toc6971"/>
      <w:r>
        <w:rPr>
          <w:b/>
          <w:color w:val="auto"/>
          <w:highlight w:val="none"/>
        </w:rPr>
        <w:t>17.4 因不可抗力解除合同</w:t>
      </w:r>
      <w:bookmarkEnd w:id="1191"/>
      <w:bookmarkEnd w:id="1192"/>
      <w:bookmarkEnd w:id="1193"/>
      <w:bookmarkEnd w:id="1194"/>
    </w:p>
    <w:p w14:paraId="2A042368">
      <w:pPr>
        <w:spacing w:line="400" w:lineRule="exact"/>
        <w:ind w:firstLine="420" w:firstLineChars="200"/>
        <w:rPr>
          <w:color w:val="auto"/>
          <w:highlight w:val="none"/>
        </w:rPr>
      </w:pPr>
      <w:r>
        <w:rPr>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28</w:t>
      </w:r>
      <w:r>
        <w:rPr>
          <w:color w:val="auto"/>
          <w:highlight w:val="none"/>
          <w:u w:val="single"/>
        </w:rPr>
        <w:t xml:space="preserve"> </w:t>
      </w:r>
      <w:r>
        <w:rPr>
          <w:color w:val="auto"/>
          <w:highlight w:val="none"/>
        </w:rPr>
        <w:t>天内完成款项的支付。</w:t>
      </w:r>
    </w:p>
    <w:p w14:paraId="3F740243">
      <w:pPr>
        <w:pStyle w:val="12"/>
        <w:rPr>
          <w:b/>
          <w:color w:val="auto"/>
          <w:highlight w:val="none"/>
        </w:rPr>
      </w:pPr>
      <w:bookmarkStart w:id="1195" w:name="_Toc351203650"/>
      <w:bookmarkStart w:id="1196" w:name="_Toc256000367"/>
      <w:bookmarkStart w:id="1197" w:name="_Toc150947516"/>
      <w:bookmarkStart w:id="1198" w:name="_Toc24548"/>
      <w:r>
        <w:rPr>
          <w:b/>
          <w:color w:val="auto"/>
          <w:highlight w:val="none"/>
        </w:rPr>
        <w:t>18. 保险</w:t>
      </w:r>
      <w:bookmarkEnd w:id="1195"/>
      <w:bookmarkEnd w:id="1196"/>
      <w:bookmarkEnd w:id="1197"/>
      <w:bookmarkEnd w:id="1198"/>
    </w:p>
    <w:bookmarkEnd w:id="1174"/>
    <w:p w14:paraId="16DB8B43">
      <w:pPr>
        <w:pStyle w:val="13"/>
        <w:rPr>
          <w:b/>
          <w:color w:val="auto"/>
          <w:highlight w:val="none"/>
        </w:rPr>
      </w:pPr>
      <w:bookmarkStart w:id="1199" w:name="_Toc256000368"/>
      <w:bookmarkStart w:id="1200" w:name="_Toc10936"/>
      <w:bookmarkStart w:id="1201" w:name="_Toc150947517"/>
      <w:bookmarkStart w:id="1202" w:name="_Toc10266"/>
      <w:r>
        <w:rPr>
          <w:b/>
          <w:color w:val="auto"/>
          <w:highlight w:val="none"/>
        </w:rPr>
        <w:t>18.1 工程保险</w:t>
      </w:r>
      <w:bookmarkEnd w:id="1199"/>
      <w:bookmarkEnd w:id="1200"/>
      <w:bookmarkEnd w:id="1201"/>
      <w:bookmarkEnd w:id="1202"/>
    </w:p>
    <w:p w14:paraId="71A81BDE">
      <w:pPr>
        <w:spacing w:line="400" w:lineRule="exact"/>
        <w:ind w:firstLine="420" w:firstLineChars="200"/>
        <w:rPr>
          <w:color w:val="auto"/>
          <w:highlight w:val="none"/>
        </w:rPr>
      </w:pPr>
      <w:r>
        <w:rPr>
          <w:color w:val="auto"/>
          <w:highlight w:val="none"/>
        </w:rPr>
        <w:t>关于工程保险的特别约定：</w:t>
      </w:r>
      <w:r>
        <w:rPr>
          <w:rFonts w:hint="eastAsia"/>
          <w:color w:val="auto"/>
          <w:highlight w:val="none"/>
          <w:u w:val="single"/>
        </w:rPr>
        <w:t>执行通用合同条款</w:t>
      </w:r>
      <w:r>
        <w:rPr>
          <w:color w:val="auto"/>
          <w:highlight w:val="none"/>
        </w:rPr>
        <w:t>。</w:t>
      </w:r>
    </w:p>
    <w:p w14:paraId="495356D4">
      <w:pPr>
        <w:pStyle w:val="13"/>
        <w:rPr>
          <w:b/>
          <w:color w:val="auto"/>
          <w:highlight w:val="none"/>
        </w:rPr>
      </w:pPr>
      <w:bookmarkStart w:id="1203" w:name="_Toc21654"/>
      <w:bookmarkStart w:id="1204" w:name="_Toc281"/>
      <w:bookmarkStart w:id="1205" w:name="_Toc256000369"/>
      <w:bookmarkStart w:id="1206" w:name="_Toc150947518"/>
      <w:r>
        <w:rPr>
          <w:b/>
          <w:color w:val="auto"/>
          <w:highlight w:val="none"/>
        </w:rPr>
        <w:t>18.3 其他保险</w:t>
      </w:r>
      <w:bookmarkEnd w:id="1203"/>
      <w:bookmarkEnd w:id="1204"/>
      <w:bookmarkEnd w:id="1205"/>
      <w:bookmarkEnd w:id="1206"/>
    </w:p>
    <w:p w14:paraId="2F9CCA1E">
      <w:pPr>
        <w:spacing w:line="400" w:lineRule="exact"/>
        <w:ind w:firstLine="420" w:firstLineChars="200"/>
        <w:rPr>
          <w:color w:val="auto"/>
          <w:highlight w:val="none"/>
        </w:rPr>
      </w:pPr>
      <w:bookmarkStart w:id="1207" w:name="OLE_LINK10"/>
      <w:r>
        <w:rPr>
          <w:color w:val="auto"/>
          <w:highlight w:val="none"/>
        </w:rPr>
        <w:t>关于其他保险的约定</w:t>
      </w:r>
      <w:bookmarkEnd w:id="1207"/>
      <w:r>
        <w:rPr>
          <w:color w:val="auto"/>
          <w:highlight w:val="none"/>
        </w:rPr>
        <w:t>：</w:t>
      </w:r>
      <w:r>
        <w:rPr>
          <w:color w:val="auto"/>
          <w:highlight w:val="none"/>
          <w:u w:val="single"/>
        </w:rPr>
        <w:t>承包人</w:t>
      </w:r>
      <w:r>
        <w:rPr>
          <w:rFonts w:hint="eastAsia"/>
          <w:color w:val="auto"/>
          <w:highlight w:val="none"/>
          <w:u w:val="single"/>
        </w:rPr>
        <w:t>应</w:t>
      </w:r>
      <w:r>
        <w:rPr>
          <w:color w:val="auto"/>
          <w:highlight w:val="none"/>
          <w:u w:val="single"/>
        </w:rPr>
        <w:t xml:space="preserve">为其施工现场的全部人员办理意外伤害保险并支付保险费，包括其员工及为履行合同聘请的第三方的人员 </w:t>
      </w:r>
      <w:r>
        <w:rPr>
          <w:color w:val="auto"/>
          <w:highlight w:val="none"/>
        </w:rPr>
        <w:t>。</w:t>
      </w:r>
    </w:p>
    <w:p w14:paraId="45E295AD">
      <w:pPr>
        <w:spacing w:line="400" w:lineRule="exact"/>
        <w:ind w:firstLine="420" w:firstLineChars="200"/>
        <w:rPr>
          <w:color w:val="auto"/>
          <w:highlight w:val="none"/>
        </w:rPr>
      </w:pPr>
      <w:r>
        <w:rPr>
          <w:color w:val="auto"/>
          <w:highlight w:val="none"/>
        </w:rPr>
        <w:t>承包人是否应为其施工设备等办理财产保险：</w:t>
      </w:r>
      <w:r>
        <w:rPr>
          <w:rFonts w:hint="eastAsia"/>
          <w:color w:val="auto"/>
          <w:highlight w:val="none"/>
          <w:u w:val="single"/>
        </w:rPr>
        <w:t xml:space="preserve">  是</w:t>
      </w:r>
      <w:r>
        <w:rPr>
          <w:color w:val="auto"/>
          <w:highlight w:val="none"/>
          <w:u w:val="single"/>
        </w:rPr>
        <w:t xml:space="preserve">  </w:t>
      </w:r>
      <w:r>
        <w:rPr>
          <w:color w:val="auto"/>
          <w:highlight w:val="none"/>
        </w:rPr>
        <w:t>。</w:t>
      </w:r>
    </w:p>
    <w:p w14:paraId="17DBD591">
      <w:pPr>
        <w:pStyle w:val="13"/>
        <w:rPr>
          <w:b/>
          <w:color w:val="auto"/>
          <w:highlight w:val="none"/>
        </w:rPr>
      </w:pPr>
      <w:bookmarkStart w:id="1208" w:name="_Toc17574"/>
      <w:bookmarkStart w:id="1209" w:name="_Toc32263"/>
      <w:bookmarkStart w:id="1210" w:name="_Toc256000370"/>
      <w:bookmarkStart w:id="1211" w:name="_Toc150947519"/>
      <w:r>
        <w:rPr>
          <w:b/>
          <w:color w:val="auto"/>
          <w:highlight w:val="none"/>
        </w:rPr>
        <w:t>18.7 通知义务</w:t>
      </w:r>
      <w:bookmarkEnd w:id="1208"/>
      <w:bookmarkEnd w:id="1209"/>
      <w:bookmarkEnd w:id="1210"/>
      <w:bookmarkEnd w:id="1211"/>
    </w:p>
    <w:p w14:paraId="5C953D24">
      <w:pPr>
        <w:spacing w:line="400" w:lineRule="exact"/>
        <w:ind w:firstLine="420" w:firstLineChars="200"/>
        <w:rPr>
          <w:color w:val="auto"/>
          <w:highlight w:val="none"/>
        </w:rPr>
      </w:pPr>
      <w:r>
        <w:rPr>
          <w:color w:val="auto"/>
          <w:highlight w:val="none"/>
        </w:rPr>
        <w:t>关于变更保险合同时的通知义务的约定：</w:t>
      </w:r>
      <w:r>
        <w:rPr>
          <w:rFonts w:hint="eastAsia"/>
          <w:color w:val="auto"/>
          <w:highlight w:val="none"/>
          <w:u w:val="single"/>
        </w:rPr>
        <w:t>执行通用合同条款</w:t>
      </w:r>
      <w:r>
        <w:rPr>
          <w:color w:val="auto"/>
          <w:highlight w:val="none"/>
        </w:rPr>
        <w:t>。</w:t>
      </w:r>
    </w:p>
    <w:bookmarkEnd w:id="1134"/>
    <w:bookmarkEnd w:id="1135"/>
    <w:bookmarkEnd w:id="1136"/>
    <w:bookmarkEnd w:id="1137"/>
    <w:bookmarkEnd w:id="1138"/>
    <w:bookmarkEnd w:id="1139"/>
    <w:bookmarkEnd w:id="1140"/>
    <w:bookmarkEnd w:id="1141"/>
    <w:bookmarkEnd w:id="1142"/>
    <w:bookmarkEnd w:id="1143"/>
    <w:bookmarkEnd w:id="1144"/>
    <w:bookmarkEnd w:id="1145"/>
    <w:p w14:paraId="0F44B3E0">
      <w:pPr>
        <w:pStyle w:val="12"/>
        <w:rPr>
          <w:b/>
          <w:color w:val="auto"/>
          <w:highlight w:val="none"/>
        </w:rPr>
      </w:pPr>
      <w:bookmarkStart w:id="1212" w:name="_Toc9234"/>
      <w:bookmarkStart w:id="1213" w:name="_Toc256000371"/>
      <w:bookmarkStart w:id="1214" w:name="_Toc150947520"/>
      <w:bookmarkStart w:id="1215" w:name="_Toc351203651"/>
      <w:r>
        <w:rPr>
          <w:b/>
          <w:color w:val="auto"/>
          <w:highlight w:val="none"/>
        </w:rPr>
        <w:t>20. 争议解决</w:t>
      </w:r>
      <w:bookmarkEnd w:id="1212"/>
      <w:bookmarkEnd w:id="1213"/>
      <w:bookmarkEnd w:id="1214"/>
      <w:bookmarkEnd w:id="1215"/>
    </w:p>
    <w:bookmarkEnd w:id="1146"/>
    <w:bookmarkEnd w:id="1147"/>
    <w:p w14:paraId="2FBE275D">
      <w:pPr>
        <w:pStyle w:val="13"/>
        <w:rPr>
          <w:b/>
          <w:color w:val="auto"/>
          <w:highlight w:val="none"/>
        </w:rPr>
      </w:pPr>
      <w:bookmarkStart w:id="1216" w:name="_Toc3773"/>
      <w:bookmarkStart w:id="1217" w:name="_Toc150947521"/>
      <w:bookmarkStart w:id="1218" w:name="_Toc256000372"/>
      <w:bookmarkStart w:id="1219" w:name="_Toc1670"/>
      <w:r>
        <w:rPr>
          <w:b/>
          <w:color w:val="auto"/>
          <w:highlight w:val="none"/>
        </w:rPr>
        <w:t>20.3 争</w:t>
      </w:r>
      <w:bookmarkEnd w:id="1148"/>
      <w:r>
        <w:rPr>
          <w:b/>
          <w:color w:val="auto"/>
          <w:highlight w:val="none"/>
        </w:rPr>
        <w:t>议评审</w:t>
      </w:r>
      <w:bookmarkEnd w:id="1216"/>
      <w:bookmarkEnd w:id="1217"/>
      <w:bookmarkEnd w:id="1218"/>
      <w:bookmarkEnd w:id="1219"/>
    </w:p>
    <w:p w14:paraId="32716938">
      <w:pPr>
        <w:spacing w:line="400" w:lineRule="exact"/>
        <w:ind w:firstLine="420" w:firstLineChars="200"/>
        <w:rPr>
          <w:color w:val="auto"/>
          <w:highlight w:val="none"/>
        </w:rPr>
      </w:pPr>
      <w:r>
        <w:rPr>
          <w:color w:val="auto"/>
          <w:highlight w:val="none"/>
        </w:rPr>
        <w:t>合同当事人是否同意将工程争议提交争议评审小组决</w:t>
      </w:r>
      <w:r>
        <w:rPr>
          <w:rFonts w:hint="eastAsia"/>
          <w:color w:val="auto"/>
          <w:highlight w:val="none"/>
        </w:rPr>
        <w:t>定：</w:t>
      </w:r>
      <w:r>
        <w:rPr>
          <w:rFonts w:hint="eastAsia"/>
          <w:color w:val="auto"/>
          <w:highlight w:val="none"/>
          <w:u w:val="single"/>
        </w:rPr>
        <w:t xml:space="preserve">  是</w:t>
      </w:r>
      <w:r>
        <w:rPr>
          <w:color w:val="auto"/>
          <w:highlight w:val="none"/>
          <w:u w:val="single"/>
        </w:rPr>
        <w:t xml:space="preserve">  </w:t>
      </w:r>
      <w:r>
        <w:rPr>
          <w:color w:val="auto"/>
          <w:highlight w:val="none"/>
        </w:rPr>
        <w:t>。</w:t>
      </w:r>
    </w:p>
    <w:p w14:paraId="7AEBC978">
      <w:pPr>
        <w:spacing w:line="400" w:lineRule="exact"/>
        <w:ind w:firstLine="420" w:firstLineChars="200"/>
        <w:rPr>
          <w:color w:val="auto"/>
          <w:highlight w:val="none"/>
        </w:rPr>
      </w:pPr>
      <w:r>
        <w:rPr>
          <w:color w:val="auto"/>
          <w:highlight w:val="none"/>
        </w:rPr>
        <w:t>20.3.1 争议评审小组的确定</w:t>
      </w:r>
    </w:p>
    <w:p w14:paraId="7303B818">
      <w:pPr>
        <w:spacing w:line="400" w:lineRule="exact"/>
        <w:ind w:firstLine="420" w:firstLineChars="200"/>
        <w:rPr>
          <w:color w:val="auto"/>
          <w:highlight w:val="none"/>
        </w:rPr>
      </w:pPr>
      <w:r>
        <w:rPr>
          <w:color w:val="auto"/>
          <w:highlight w:val="none"/>
        </w:rPr>
        <w:t>争议评审小组成员的确定：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4BCAD06D">
      <w:pPr>
        <w:spacing w:line="400" w:lineRule="exact"/>
        <w:ind w:firstLine="420" w:firstLineChars="200"/>
        <w:rPr>
          <w:color w:val="auto"/>
          <w:highlight w:val="none"/>
        </w:rPr>
      </w:pPr>
      <w:r>
        <w:rPr>
          <w:color w:val="auto"/>
          <w:highlight w:val="none"/>
        </w:rPr>
        <w:t>选定争议评审员的期限：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1DFD8C93">
      <w:pPr>
        <w:spacing w:line="400" w:lineRule="exact"/>
        <w:ind w:firstLine="420" w:firstLineChars="200"/>
        <w:rPr>
          <w:color w:val="auto"/>
          <w:highlight w:val="none"/>
        </w:rPr>
      </w:pPr>
      <w:r>
        <w:rPr>
          <w:color w:val="auto"/>
          <w:highlight w:val="none"/>
        </w:rPr>
        <w:t>争议评审小组成员的报酬承担方式：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6014DCCF">
      <w:pPr>
        <w:spacing w:line="400" w:lineRule="exact"/>
        <w:ind w:firstLine="420" w:firstLineChars="200"/>
        <w:rPr>
          <w:color w:val="auto"/>
          <w:highlight w:val="none"/>
        </w:rPr>
      </w:pPr>
      <w:r>
        <w:rPr>
          <w:color w:val="auto"/>
          <w:highlight w:val="none"/>
        </w:rPr>
        <w:t>其他事项的约定：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02C516C7">
      <w:pPr>
        <w:spacing w:line="400" w:lineRule="exact"/>
        <w:ind w:firstLine="420" w:firstLineChars="200"/>
        <w:rPr>
          <w:color w:val="auto"/>
          <w:highlight w:val="none"/>
        </w:rPr>
      </w:pPr>
      <w:r>
        <w:rPr>
          <w:color w:val="auto"/>
          <w:highlight w:val="none"/>
        </w:rPr>
        <w:t>20.3.2 争议评审小组的决定</w:t>
      </w:r>
    </w:p>
    <w:p w14:paraId="6B513A8C">
      <w:pPr>
        <w:spacing w:line="400" w:lineRule="exact"/>
        <w:ind w:firstLine="420" w:firstLineChars="200"/>
        <w:rPr>
          <w:color w:val="auto"/>
          <w:highlight w:val="none"/>
        </w:rPr>
      </w:pPr>
      <w:r>
        <w:rPr>
          <w:color w:val="auto"/>
          <w:highlight w:val="none"/>
        </w:rPr>
        <w:t>合同当事人关于本项的约定：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p>
    <w:p w14:paraId="3D2A35D1">
      <w:pPr>
        <w:pStyle w:val="13"/>
        <w:rPr>
          <w:b/>
          <w:color w:val="auto"/>
          <w:highlight w:val="none"/>
        </w:rPr>
      </w:pPr>
      <w:bookmarkStart w:id="1220" w:name="_Toc256000373"/>
      <w:bookmarkStart w:id="1221" w:name="_Toc29669"/>
      <w:bookmarkStart w:id="1222" w:name="_Toc8245"/>
      <w:bookmarkStart w:id="1223" w:name="_Toc150947522"/>
      <w:r>
        <w:rPr>
          <w:b/>
          <w:color w:val="auto"/>
          <w:highlight w:val="none"/>
        </w:rPr>
        <w:t>20.4仲裁或诉讼</w:t>
      </w:r>
      <w:bookmarkEnd w:id="1149"/>
      <w:bookmarkEnd w:id="1220"/>
      <w:bookmarkEnd w:id="1221"/>
      <w:bookmarkEnd w:id="1222"/>
      <w:bookmarkEnd w:id="1223"/>
    </w:p>
    <w:p w14:paraId="3FE9205E">
      <w:pPr>
        <w:spacing w:line="400" w:lineRule="exact"/>
        <w:ind w:firstLine="420" w:firstLineChars="200"/>
        <w:rPr>
          <w:color w:val="auto"/>
          <w:highlight w:val="none"/>
        </w:rPr>
      </w:pPr>
      <w:r>
        <w:rPr>
          <w:color w:val="auto"/>
          <w:highlight w:val="none"/>
        </w:rPr>
        <w:t>因合同及合同有关事项发生的争议，按下列第</w:t>
      </w:r>
      <w:r>
        <w:rPr>
          <w:color w:val="auto"/>
          <w:highlight w:val="none"/>
          <w:u w:val="single"/>
        </w:rPr>
        <w:t xml:space="preserve">  （2）  </w:t>
      </w:r>
      <w:r>
        <w:rPr>
          <w:color w:val="auto"/>
          <w:highlight w:val="none"/>
        </w:rPr>
        <w:t>种方式</w:t>
      </w:r>
      <w:r>
        <w:rPr>
          <w:rFonts w:hint="eastAsia"/>
          <w:color w:val="auto"/>
          <w:highlight w:val="none"/>
        </w:rPr>
        <w:t>解</w:t>
      </w:r>
      <w:r>
        <w:rPr>
          <w:color w:val="auto"/>
          <w:highlight w:val="none"/>
        </w:rPr>
        <w:t>决：</w:t>
      </w:r>
    </w:p>
    <w:p w14:paraId="74523E44">
      <w:pPr>
        <w:spacing w:line="400" w:lineRule="exact"/>
        <w:ind w:firstLine="420" w:firstLineChars="200"/>
        <w:rPr>
          <w:color w:val="auto"/>
          <w:highlight w:val="none"/>
        </w:rPr>
      </w:pPr>
      <w:r>
        <w:rPr>
          <w:color w:val="auto"/>
          <w:highlight w:val="none"/>
        </w:rPr>
        <w:t>（1）向</w:t>
      </w:r>
      <w:r>
        <w:rPr>
          <w:color w:val="auto"/>
          <w:highlight w:val="none"/>
          <w:u w:val="single"/>
        </w:rPr>
        <w:t xml:space="preserve">                     </w:t>
      </w:r>
      <w:r>
        <w:rPr>
          <w:color w:val="auto"/>
          <w:highlight w:val="none"/>
        </w:rPr>
        <w:t>仲裁委员会申请仲裁；</w:t>
      </w:r>
    </w:p>
    <w:p w14:paraId="3EB0C666">
      <w:pPr>
        <w:spacing w:line="400" w:lineRule="exact"/>
        <w:ind w:firstLine="420" w:firstLineChars="200"/>
        <w:rPr>
          <w:color w:val="auto"/>
          <w:highlight w:val="none"/>
        </w:rPr>
      </w:pPr>
      <w:r>
        <w:rPr>
          <w:color w:val="auto"/>
          <w:highlight w:val="none"/>
        </w:rPr>
        <w:t>（2）向</w:t>
      </w:r>
      <w:r>
        <w:rPr>
          <w:color w:val="auto"/>
          <w:highlight w:val="none"/>
          <w:u w:val="single"/>
        </w:rPr>
        <w:t xml:space="preserve">  </w:t>
      </w:r>
      <w:r>
        <w:rPr>
          <w:rFonts w:hint="eastAsia"/>
          <w:color w:val="auto"/>
          <w:highlight w:val="none"/>
          <w:u w:val="single"/>
        </w:rPr>
        <w:t>项目所在地</w:t>
      </w:r>
      <w:r>
        <w:rPr>
          <w:color w:val="auto"/>
          <w:highlight w:val="none"/>
          <w:u w:val="single"/>
        </w:rPr>
        <w:t xml:space="preserve">  </w:t>
      </w:r>
      <w:r>
        <w:rPr>
          <w:color w:val="auto"/>
          <w:highlight w:val="none"/>
        </w:rPr>
        <w:t>人民法院起诉。</w:t>
      </w:r>
      <w:bookmarkEnd w:id="1150"/>
      <w:bookmarkEnd w:id="1151"/>
      <w:bookmarkEnd w:id="1152"/>
      <w:bookmarkEnd w:id="1153"/>
      <w:bookmarkEnd w:id="1154"/>
      <w:bookmarkEnd w:id="1155"/>
    </w:p>
    <w:p w14:paraId="63EB9965">
      <w:pPr>
        <w:pStyle w:val="5"/>
        <w:spacing w:line="249" w:lineRule="auto"/>
      </w:pPr>
    </w:p>
    <w:p w14:paraId="675B3F22">
      <w:pPr>
        <w:pStyle w:val="5"/>
        <w:spacing w:line="250" w:lineRule="auto"/>
      </w:pPr>
    </w:p>
    <w:p w14:paraId="025486D4">
      <w:pPr>
        <w:pStyle w:val="5"/>
        <w:spacing w:line="250" w:lineRule="auto"/>
      </w:pPr>
    </w:p>
    <w:p w14:paraId="522FBDF4">
      <w:pPr>
        <w:pStyle w:val="5"/>
        <w:spacing w:line="250" w:lineRule="auto"/>
      </w:pPr>
    </w:p>
    <w:p w14:paraId="1BEEC714">
      <w:pPr>
        <w:spacing w:before="91" w:line="222" w:lineRule="auto"/>
        <w:outlineLvl w:val="1"/>
        <w:rPr>
          <w:rFonts w:ascii="黑体" w:hAnsi="黑体" w:eastAsia="黑体" w:cs="黑体"/>
          <w:sz w:val="28"/>
          <w:szCs w:val="28"/>
        </w:rPr>
      </w:pPr>
      <w:bookmarkStart w:id="1224" w:name="bookmark370"/>
      <w:bookmarkEnd w:id="1224"/>
      <w:r>
        <w:rPr>
          <w:rFonts w:ascii="黑体" w:hAnsi="黑体" w:eastAsia="黑体" w:cs="黑体"/>
          <w:b/>
          <w:bCs/>
          <w:spacing w:val="-10"/>
          <w:sz w:val="28"/>
          <w:szCs w:val="28"/>
        </w:rPr>
        <w:t>附件</w:t>
      </w:r>
    </w:p>
    <w:p w14:paraId="7BF4D742">
      <w:pPr>
        <w:spacing w:before="123" w:line="220" w:lineRule="auto"/>
        <w:ind w:left="402"/>
        <w:rPr>
          <w:rFonts w:ascii="宋体" w:hAnsi="宋体" w:eastAsia="宋体" w:cs="宋体"/>
          <w:sz w:val="21"/>
          <w:szCs w:val="21"/>
        </w:rPr>
      </w:pPr>
      <w:r>
        <w:rPr>
          <w:rFonts w:ascii="宋体" w:hAnsi="宋体" w:eastAsia="宋体" w:cs="宋体"/>
          <w:spacing w:val="-1"/>
          <w:sz w:val="21"/>
          <w:szCs w:val="21"/>
        </w:rPr>
        <w:t>协议书附件：</w:t>
      </w:r>
    </w:p>
    <w:p w14:paraId="7E279DBF">
      <w:pPr>
        <w:spacing w:before="150" w:line="234" w:lineRule="auto"/>
        <w:ind w:left="418"/>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26"/>
          <w:sz w:val="21"/>
          <w:szCs w:val="21"/>
        </w:rPr>
        <w:t xml:space="preserve"> </w:t>
      </w:r>
      <w:r>
        <w:rPr>
          <w:rFonts w:ascii="Times New Roman" w:hAnsi="Times New Roman" w:eastAsia="Times New Roman" w:cs="Times New Roman"/>
          <w:spacing w:val="-3"/>
          <w:sz w:val="21"/>
          <w:szCs w:val="21"/>
        </w:rPr>
        <w:t>1</w:t>
      </w:r>
      <w:r>
        <w:rPr>
          <w:rFonts w:ascii="宋体" w:hAnsi="宋体" w:eastAsia="宋体" w:cs="宋体"/>
          <w:spacing w:val="-3"/>
          <w:sz w:val="21"/>
          <w:szCs w:val="21"/>
        </w:rPr>
        <w:t>：承包人承揽工程项目一览表</w:t>
      </w:r>
    </w:p>
    <w:p w14:paraId="111AD574">
      <w:pPr>
        <w:pStyle w:val="5"/>
        <w:spacing w:line="462" w:lineRule="auto"/>
      </w:pPr>
    </w:p>
    <w:p w14:paraId="7F8015BC">
      <w:pPr>
        <w:spacing w:before="68" w:line="220" w:lineRule="auto"/>
        <w:ind w:left="402"/>
        <w:rPr>
          <w:rFonts w:ascii="宋体" w:hAnsi="宋体" w:eastAsia="宋体" w:cs="宋体"/>
          <w:sz w:val="21"/>
          <w:szCs w:val="21"/>
        </w:rPr>
      </w:pPr>
      <w:r>
        <w:rPr>
          <w:rFonts w:ascii="宋体" w:hAnsi="宋体" w:eastAsia="宋体" w:cs="宋体"/>
          <w:spacing w:val="-4"/>
          <w:sz w:val="21"/>
          <w:szCs w:val="21"/>
        </w:rPr>
        <w:t>专用合同条款附件：</w:t>
      </w:r>
    </w:p>
    <w:p w14:paraId="3E68E31D">
      <w:pPr>
        <w:spacing w:before="150" w:line="234" w:lineRule="auto"/>
        <w:ind w:left="418"/>
        <w:rPr>
          <w:rFonts w:ascii="宋体" w:hAnsi="宋体" w:eastAsia="宋体" w:cs="宋体"/>
          <w:sz w:val="21"/>
          <w:szCs w:val="21"/>
        </w:rPr>
      </w:pPr>
      <w:r>
        <w:rPr>
          <w:rFonts w:ascii="宋体" w:hAnsi="宋体" w:eastAsia="宋体" w:cs="宋体"/>
          <w:spacing w:val="-2"/>
          <w:sz w:val="21"/>
          <w:szCs w:val="21"/>
        </w:rPr>
        <w:t>附件</w:t>
      </w:r>
      <w:r>
        <w:rPr>
          <w:rFonts w:ascii="宋体" w:hAnsi="宋体" w:eastAsia="宋体" w:cs="宋体"/>
          <w:spacing w:val="-42"/>
          <w:sz w:val="21"/>
          <w:szCs w:val="21"/>
        </w:rPr>
        <w:t xml:space="preserve"> </w:t>
      </w:r>
      <w:r>
        <w:rPr>
          <w:rFonts w:ascii="Times New Roman" w:hAnsi="Times New Roman" w:eastAsia="Times New Roman" w:cs="Times New Roman"/>
          <w:spacing w:val="-2"/>
          <w:sz w:val="21"/>
          <w:szCs w:val="21"/>
        </w:rPr>
        <w:t>2</w:t>
      </w:r>
      <w:r>
        <w:rPr>
          <w:rFonts w:ascii="宋体" w:hAnsi="宋体" w:eastAsia="宋体" w:cs="宋体"/>
          <w:spacing w:val="-2"/>
          <w:sz w:val="21"/>
          <w:szCs w:val="21"/>
        </w:rPr>
        <w:t>：发包人供应材料设备一览表</w:t>
      </w:r>
    </w:p>
    <w:p w14:paraId="4846CA66">
      <w:pPr>
        <w:spacing w:before="132" w:line="234" w:lineRule="auto"/>
        <w:ind w:left="418"/>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8"/>
          <w:sz w:val="21"/>
          <w:szCs w:val="21"/>
        </w:rPr>
        <w:t xml:space="preserve"> </w:t>
      </w:r>
      <w:r>
        <w:rPr>
          <w:rFonts w:ascii="Times New Roman" w:hAnsi="Times New Roman" w:eastAsia="Times New Roman" w:cs="Times New Roman"/>
          <w:spacing w:val="-4"/>
          <w:sz w:val="21"/>
          <w:szCs w:val="21"/>
        </w:rPr>
        <w:t>3</w:t>
      </w:r>
      <w:r>
        <w:rPr>
          <w:rFonts w:ascii="宋体" w:hAnsi="宋体" w:eastAsia="宋体" w:cs="宋体"/>
          <w:spacing w:val="-4"/>
          <w:sz w:val="21"/>
          <w:szCs w:val="21"/>
        </w:rPr>
        <w:t>：工程质量保修书</w:t>
      </w:r>
    </w:p>
    <w:p w14:paraId="5BD8BA83">
      <w:pPr>
        <w:spacing w:before="135" w:line="234" w:lineRule="auto"/>
        <w:ind w:left="418"/>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39"/>
          <w:sz w:val="21"/>
          <w:szCs w:val="21"/>
        </w:rPr>
        <w:t xml:space="preserve"> </w:t>
      </w:r>
      <w:r>
        <w:rPr>
          <w:rFonts w:ascii="Times New Roman" w:hAnsi="Times New Roman" w:eastAsia="Times New Roman" w:cs="Times New Roman"/>
          <w:spacing w:val="-3"/>
          <w:sz w:val="21"/>
          <w:szCs w:val="21"/>
        </w:rPr>
        <w:t>4</w:t>
      </w:r>
      <w:r>
        <w:rPr>
          <w:rFonts w:ascii="宋体" w:hAnsi="宋体" w:eastAsia="宋体" w:cs="宋体"/>
          <w:spacing w:val="-3"/>
          <w:sz w:val="21"/>
          <w:szCs w:val="21"/>
        </w:rPr>
        <w:t>：主要建设工程文件目录</w:t>
      </w:r>
    </w:p>
    <w:p w14:paraId="4ED9C874">
      <w:pPr>
        <w:spacing w:before="135" w:line="234" w:lineRule="auto"/>
        <w:ind w:left="418"/>
        <w:rPr>
          <w:rFonts w:ascii="宋体" w:hAnsi="宋体" w:eastAsia="宋体" w:cs="宋体"/>
          <w:sz w:val="21"/>
          <w:szCs w:val="21"/>
        </w:rPr>
      </w:pPr>
      <w:r>
        <w:rPr>
          <w:rFonts w:ascii="宋体" w:hAnsi="宋体" w:eastAsia="宋体" w:cs="宋体"/>
          <w:spacing w:val="-2"/>
          <w:sz w:val="21"/>
          <w:szCs w:val="21"/>
        </w:rPr>
        <w:t>附件</w:t>
      </w:r>
      <w:r>
        <w:rPr>
          <w:rFonts w:ascii="宋体" w:hAnsi="宋体" w:eastAsia="宋体" w:cs="宋体"/>
          <w:spacing w:val="-39"/>
          <w:sz w:val="21"/>
          <w:szCs w:val="21"/>
        </w:rPr>
        <w:t xml:space="preserve"> </w:t>
      </w:r>
      <w:r>
        <w:rPr>
          <w:rFonts w:ascii="Times New Roman" w:hAnsi="Times New Roman" w:eastAsia="Times New Roman" w:cs="Times New Roman"/>
          <w:spacing w:val="-2"/>
          <w:sz w:val="21"/>
          <w:szCs w:val="21"/>
        </w:rPr>
        <w:t>5</w:t>
      </w:r>
      <w:r>
        <w:rPr>
          <w:rFonts w:ascii="宋体" w:hAnsi="宋体" w:eastAsia="宋体" w:cs="宋体"/>
          <w:spacing w:val="-2"/>
          <w:sz w:val="21"/>
          <w:szCs w:val="21"/>
        </w:rPr>
        <w:t>：承包人用于本工程施工的机械设备表</w:t>
      </w:r>
    </w:p>
    <w:p w14:paraId="13741165">
      <w:pPr>
        <w:spacing w:before="132" w:line="234" w:lineRule="auto"/>
        <w:ind w:left="418"/>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31"/>
          <w:sz w:val="21"/>
          <w:szCs w:val="21"/>
        </w:rPr>
        <w:t xml:space="preserve"> </w:t>
      </w:r>
      <w:r>
        <w:rPr>
          <w:rFonts w:ascii="Times New Roman" w:hAnsi="Times New Roman" w:eastAsia="Times New Roman" w:cs="Times New Roman"/>
          <w:spacing w:val="-3"/>
          <w:sz w:val="21"/>
          <w:szCs w:val="21"/>
        </w:rPr>
        <w:t>6</w:t>
      </w:r>
      <w:r>
        <w:rPr>
          <w:rFonts w:ascii="宋体" w:hAnsi="宋体" w:eastAsia="宋体" w:cs="宋体"/>
          <w:spacing w:val="-3"/>
          <w:sz w:val="21"/>
          <w:szCs w:val="21"/>
        </w:rPr>
        <w:t>：承包人主要施工管理人员表</w:t>
      </w:r>
    </w:p>
    <w:p w14:paraId="3121298F">
      <w:pPr>
        <w:spacing w:before="135" w:line="234" w:lineRule="auto"/>
        <w:ind w:left="418"/>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31"/>
          <w:sz w:val="21"/>
          <w:szCs w:val="21"/>
        </w:rPr>
        <w:t xml:space="preserve"> </w:t>
      </w:r>
      <w:r>
        <w:rPr>
          <w:rFonts w:ascii="Times New Roman" w:hAnsi="Times New Roman" w:eastAsia="Times New Roman" w:cs="Times New Roman"/>
          <w:spacing w:val="-3"/>
          <w:sz w:val="21"/>
          <w:szCs w:val="21"/>
        </w:rPr>
        <w:t>7</w:t>
      </w:r>
      <w:r>
        <w:rPr>
          <w:rFonts w:ascii="宋体" w:hAnsi="宋体" w:eastAsia="宋体" w:cs="宋体"/>
          <w:spacing w:val="-3"/>
          <w:sz w:val="21"/>
          <w:szCs w:val="21"/>
        </w:rPr>
        <w:t>：分包人主要施工管理人员表</w:t>
      </w:r>
    </w:p>
    <w:p w14:paraId="19B8634B">
      <w:pPr>
        <w:spacing w:before="135" w:line="234" w:lineRule="auto"/>
        <w:ind w:left="418"/>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5"/>
          <w:sz w:val="21"/>
          <w:szCs w:val="21"/>
        </w:rPr>
        <w:t xml:space="preserve"> </w:t>
      </w:r>
      <w:r>
        <w:rPr>
          <w:rFonts w:ascii="Times New Roman" w:hAnsi="Times New Roman" w:eastAsia="Times New Roman" w:cs="Times New Roman"/>
          <w:spacing w:val="-4"/>
          <w:sz w:val="21"/>
          <w:szCs w:val="21"/>
        </w:rPr>
        <w:t>8</w:t>
      </w:r>
      <w:r>
        <w:rPr>
          <w:rFonts w:ascii="宋体" w:hAnsi="宋体" w:eastAsia="宋体" w:cs="宋体"/>
          <w:spacing w:val="-4"/>
          <w:sz w:val="21"/>
          <w:szCs w:val="21"/>
        </w:rPr>
        <w:t>：履约担保格式</w:t>
      </w:r>
    </w:p>
    <w:p w14:paraId="1C112E31">
      <w:pPr>
        <w:spacing w:before="132" w:line="234" w:lineRule="auto"/>
        <w:ind w:left="418"/>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5"/>
          <w:sz w:val="21"/>
          <w:szCs w:val="21"/>
        </w:rPr>
        <w:t xml:space="preserve"> </w:t>
      </w:r>
      <w:r>
        <w:rPr>
          <w:rFonts w:ascii="Times New Roman" w:hAnsi="Times New Roman" w:eastAsia="Times New Roman" w:cs="Times New Roman"/>
          <w:spacing w:val="-4"/>
          <w:sz w:val="21"/>
          <w:szCs w:val="21"/>
        </w:rPr>
        <w:t>9</w:t>
      </w:r>
      <w:r>
        <w:rPr>
          <w:rFonts w:ascii="宋体" w:hAnsi="宋体" w:eastAsia="宋体" w:cs="宋体"/>
          <w:spacing w:val="-4"/>
          <w:sz w:val="21"/>
          <w:szCs w:val="21"/>
        </w:rPr>
        <w:t>：预付款担保格式</w:t>
      </w:r>
    </w:p>
    <w:p w14:paraId="3F199E8D">
      <w:pPr>
        <w:spacing w:before="134" w:line="234" w:lineRule="auto"/>
        <w:ind w:left="418"/>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25"/>
          <w:sz w:val="21"/>
          <w:szCs w:val="21"/>
        </w:rPr>
        <w:t xml:space="preserve"> </w:t>
      </w:r>
      <w:r>
        <w:rPr>
          <w:rFonts w:ascii="Times New Roman" w:hAnsi="Times New Roman" w:eastAsia="Times New Roman" w:cs="Times New Roman"/>
          <w:spacing w:val="-5"/>
          <w:sz w:val="21"/>
          <w:szCs w:val="21"/>
        </w:rPr>
        <w:t>10</w:t>
      </w:r>
      <w:r>
        <w:rPr>
          <w:rFonts w:ascii="宋体" w:hAnsi="宋体" w:eastAsia="宋体" w:cs="宋体"/>
          <w:spacing w:val="-5"/>
          <w:sz w:val="21"/>
          <w:szCs w:val="21"/>
        </w:rPr>
        <w:t>：支付担保格式</w:t>
      </w:r>
    </w:p>
    <w:p w14:paraId="48EBD7A7">
      <w:pPr>
        <w:spacing w:before="135" w:line="233" w:lineRule="auto"/>
        <w:ind w:left="418"/>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28"/>
          <w:sz w:val="21"/>
          <w:szCs w:val="21"/>
        </w:rPr>
        <w:t xml:space="preserve"> </w:t>
      </w:r>
      <w:r>
        <w:rPr>
          <w:rFonts w:ascii="Times New Roman" w:hAnsi="Times New Roman" w:eastAsia="Times New Roman" w:cs="Times New Roman"/>
          <w:spacing w:val="-5"/>
          <w:sz w:val="21"/>
          <w:szCs w:val="21"/>
        </w:rPr>
        <w:t>11</w:t>
      </w:r>
      <w:r>
        <w:rPr>
          <w:rFonts w:ascii="宋体" w:hAnsi="宋体" w:eastAsia="宋体" w:cs="宋体"/>
          <w:spacing w:val="-5"/>
          <w:sz w:val="21"/>
          <w:szCs w:val="21"/>
        </w:rPr>
        <w:t>：暂估价一览表</w:t>
      </w:r>
    </w:p>
    <w:p w14:paraId="1A25E8A5">
      <w:pPr>
        <w:spacing w:line="233" w:lineRule="auto"/>
        <w:rPr>
          <w:rFonts w:ascii="宋体" w:hAnsi="宋体" w:eastAsia="宋体" w:cs="宋体"/>
          <w:sz w:val="21"/>
          <w:szCs w:val="21"/>
        </w:rPr>
        <w:sectPr>
          <w:headerReference r:id="rId131" w:type="default"/>
          <w:footerReference r:id="rId132" w:type="default"/>
          <w:pgSz w:w="11905" w:h="16843"/>
          <w:pgMar w:top="969" w:right="1355" w:bottom="1026" w:left="1480" w:header="0" w:footer="754" w:gutter="0"/>
          <w:cols w:space="0" w:num="1"/>
          <w:rtlGutter w:val="0"/>
          <w:docGrid w:linePitch="0" w:charSpace="0"/>
        </w:sectPr>
      </w:pPr>
    </w:p>
    <w:p w14:paraId="7FA65D58">
      <w:pPr>
        <w:pStyle w:val="5"/>
        <w:spacing w:line="274" w:lineRule="auto"/>
      </w:pPr>
    </w:p>
    <w:p w14:paraId="1B5F58F9">
      <w:pPr>
        <w:spacing w:before="78" w:line="219" w:lineRule="auto"/>
        <w:ind w:left="426"/>
        <w:rPr>
          <w:rFonts w:ascii="宋体" w:hAnsi="宋体" w:eastAsia="宋体" w:cs="宋体"/>
          <w:sz w:val="24"/>
          <w:szCs w:val="24"/>
        </w:rPr>
      </w:pPr>
      <w:bookmarkStart w:id="1225" w:name="bookmark591"/>
      <w:bookmarkEnd w:id="1225"/>
      <w:r>
        <w:rPr>
          <w:rFonts w:ascii="宋体" w:hAnsi="宋体" w:eastAsia="宋体" w:cs="宋体"/>
          <w:spacing w:val="-14"/>
          <w:sz w:val="24"/>
          <w:szCs w:val="24"/>
        </w:rPr>
        <w:t>附件</w:t>
      </w:r>
      <w:r>
        <w:rPr>
          <w:rFonts w:ascii="宋体" w:hAnsi="宋体" w:eastAsia="宋体" w:cs="宋体"/>
          <w:spacing w:val="-33"/>
          <w:sz w:val="24"/>
          <w:szCs w:val="24"/>
        </w:rPr>
        <w:t xml:space="preserve"> </w:t>
      </w:r>
      <w:r>
        <w:rPr>
          <w:rFonts w:ascii="宋体" w:hAnsi="宋体" w:eastAsia="宋体" w:cs="宋体"/>
          <w:spacing w:val="-14"/>
          <w:sz w:val="24"/>
          <w:szCs w:val="24"/>
        </w:rPr>
        <w:t>1：</w:t>
      </w:r>
    </w:p>
    <w:p w14:paraId="5D25DFDF">
      <w:pPr>
        <w:spacing w:before="278" w:line="219" w:lineRule="auto"/>
        <w:ind w:left="5730"/>
        <w:rPr>
          <w:rFonts w:ascii="黑体" w:hAnsi="黑体" w:eastAsia="黑体" w:cs="黑体"/>
          <w:sz w:val="28"/>
          <w:szCs w:val="28"/>
        </w:rPr>
      </w:pPr>
      <w:r>
        <w:rPr>
          <w:rFonts w:ascii="黑体" w:hAnsi="黑体" w:eastAsia="黑体" w:cs="黑体"/>
          <w:spacing w:val="-1"/>
          <w:sz w:val="28"/>
          <w:szCs w:val="28"/>
        </w:rPr>
        <w:t>承包人承揽工程项目一览表</w:t>
      </w:r>
    </w:p>
    <w:p w14:paraId="7671FA43">
      <w:pPr>
        <w:spacing w:line="150" w:lineRule="exact"/>
      </w:pPr>
    </w:p>
    <w:tbl>
      <w:tblPr>
        <w:tblStyle w:val="10"/>
        <w:tblW w:w="1460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838"/>
        <w:gridCol w:w="1417"/>
        <w:gridCol w:w="2405"/>
        <w:gridCol w:w="848"/>
        <w:gridCol w:w="1557"/>
        <w:gridCol w:w="1982"/>
        <w:gridCol w:w="1416"/>
        <w:gridCol w:w="990"/>
        <w:gridCol w:w="862"/>
      </w:tblGrid>
      <w:tr w14:paraId="7599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292" w:type="dxa"/>
            <w:tcBorders>
              <w:top w:val="single" w:color="000000" w:sz="10" w:space="0"/>
              <w:left w:val="single" w:color="000000" w:sz="10" w:space="0"/>
            </w:tcBorders>
            <w:vAlign w:val="top"/>
          </w:tcPr>
          <w:p w14:paraId="6841DB95">
            <w:pPr>
              <w:pStyle w:val="11"/>
              <w:spacing w:before="177" w:line="310" w:lineRule="auto"/>
              <w:ind w:left="429" w:right="224" w:hanging="212"/>
            </w:pPr>
            <w:r>
              <w:rPr>
                <w:spacing w:val="-2"/>
              </w:rPr>
              <w:t>单位工程</w:t>
            </w:r>
            <w:r>
              <w:rPr>
                <w:spacing w:val="-3"/>
              </w:rPr>
              <w:t>名称</w:t>
            </w:r>
          </w:p>
        </w:tc>
        <w:tc>
          <w:tcPr>
            <w:tcW w:w="1838" w:type="dxa"/>
            <w:tcBorders>
              <w:top w:val="single" w:color="000000" w:sz="10" w:space="0"/>
            </w:tcBorders>
            <w:vAlign w:val="top"/>
          </w:tcPr>
          <w:p w14:paraId="1E0BD82A">
            <w:pPr>
              <w:spacing w:line="325" w:lineRule="auto"/>
              <w:rPr>
                <w:rFonts w:ascii="Arial"/>
                <w:sz w:val="21"/>
              </w:rPr>
            </w:pPr>
          </w:p>
          <w:p w14:paraId="5FAFF959">
            <w:pPr>
              <w:pStyle w:val="11"/>
              <w:spacing w:before="68" w:line="221" w:lineRule="auto"/>
              <w:ind w:left="494"/>
            </w:pPr>
            <w:r>
              <w:rPr>
                <w:spacing w:val="-2"/>
              </w:rPr>
              <w:t>建设规模</w:t>
            </w:r>
          </w:p>
        </w:tc>
        <w:tc>
          <w:tcPr>
            <w:tcW w:w="1417" w:type="dxa"/>
            <w:tcBorders>
              <w:top w:val="single" w:color="000000" w:sz="10" w:space="0"/>
            </w:tcBorders>
            <w:vAlign w:val="top"/>
          </w:tcPr>
          <w:p w14:paraId="6C675E27">
            <w:pPr>
              <w:pStyle w:val="11"/>
              <w:spacing w:before="177" w:line="310" w:lineRule="auto"/>
              <w:ind w:left="184" w:right="197" w:firstLine="101"/>
            </w:pPr>
            <w:r>
              <w:rPr>
                <w:spacing w:val="-3"/>
              </w:rPr>
              <w:t>建筑面积</w:t>
            </w:r>
            <w:r>
              <w:rPr>
                <w:spacing w:val="-5"/>
              </w:rPr>
              <w:t>（平方米）</w:t>
            </w:r>
          </w:p>
        </w:tc>
        <w:tc>
          <w:tcPr>
            <w:tcW w:w="2405" w:type="dxa"/>
            <w:tcBorders>
              <w:top w:val="single" w:color="000000" w:sz="10" w:space="0"/>
            </w:tcBorders>
            <w:vAlign w:val="top"/>
          </w:tcPr>
          <w:p w14:paraId="34A10BC2">
            <w:pPr>
              <w:spacing w:line="326" w:lineRule="auto"/>
              <w:rPr>
                <w:rFonts w:ascii="Arial"/>
                <w:sz w:val="21"/>
              </w:rPr>
            </w:pPr>
          </w:p>
          <w:p w14:paraId="00955877">
            <w:pPr>
              <w:pStyle w:val="11"/>
              <w:spacing w:before="68" w:line="221" w:lineRule="auto"/>
              <w:ind w:left="785"/>
            </w:pPr>
            <w:r>
              <w:rPr>
                <w:spacing w:val="-3"/>
              </w:rPr>
              <w:t>结构形式</w:t>
            </w:r>
          </w:p>
        </w:tc>
        <w:tc>
          <w:tcPr>
            <w:tcW w:w="848" w:type="dxa"/>
            <w:tcBorders>
              <w:top w:val="single" w:color="000000" w:sz="10" w:space="0"/>
            </w:tcBorders>
            <w:vAlign w:val="top"/>
          </w:tcPr>
          <w:p w14:paraId="174F019B">
            <w:pPr>
              <w:spacing w:line="325" w:lineRule="auto"/>
              <w:rPr>
                <w:rFonts w:ascii="Arial"/>
                <w:sz w:val="21"/>
              </w:rPr>
            </w:pPr>
          </w:p>
          <w:p w14:paraId="1E94496D">
            <w:pPr>
              <w:pStyle w:val="11"/>
              <w:spacing w:before="68" w:line="221" w:lineRule="auto"/>
              <w:ind w:left="218"/>
            </w:pPr>
            <w:r>
              <w:rPr>
                <w:spacing w:val="-2"/>
              </w:rPr>
              <w:t>层数</w:t>
            </w:r>
          </w:p>
        </w:tc>
        <w:tc>
          <w:tcPr>
            <w:tcW w:w="1557" w:type="dxa"/>
            <w:tcBorders>
              <w:top w:val="single" w:color="000000" w:sz="10" w:space="0"/>
            </w:tcBorders>
            <w:vAlign w:val="top"/>
          </w:tcPr>
          <w:p w14:paraId="54A92911">
            <w:pPr>
              <w:spacing w:line="325" w:lineRule="auto"/>
              <w:rPr>
                <w:rFonts w:ascii="Arial"/>
                <w:sz w:val="21"/>
              </w:rPr>
            </w:pPr>
          </w:p>
          <w:p w14:paraId="3FDF54B9">
            <w:pPr>
              <w:pStyle w:val="11"/>
              <w:spacing w:before="68" w:line="221" w:lineRule="auto"/>
              <w:ind w:left="365"/>
            </w:pPr>
            <w:r>
              <w:rPr>
                <w:spacing w:val="-2"/>
              </w:rPr>
              <w:t>生产能力</w:t>
            </w:r>
          </w:p>
        </w:tc>
        <w:tc>
          <w:tcPr>
            <w:tcW w:w="1982" w:type="dxa"/>
            <w:tcBorders>
              <w:top w:val="single" w:color="000000" w:sz="10" w:space="0"/>
            </w:tcBorders>
            <w:vAlign w:val="top"/>
          </w:tcPr>
          <w:p w14:paraId="11A6DBD7">
            <w:pPr>
              <w:spacing w:line="325" w:lineRule="auto"/>
              <w:rPr>
                <w:rFonts w:ascii="Arial"/>
                <w:sz w:val="21"/>
              </w:rPr>
            </w:pPr>
          </w:p>
          <w:p w14:paraId="6228139D">
            <w:pPr>
              <w:pStyle w:val="11"/>
              <w:spacing w:before="68" w:line="221" w:lineRule="auto"/>
              <w:ind w:left="372"/>
            </w:pPr>
            <w:r>
              <w:rPr>
                <w:spacing w:val="-2"/>
              </w:rPr>
              <w:t>设备安装内容</w:t>
            </w:r>
          </w:p>
        </w:tc>
        <w:tc>
          <w:tcPr>
            <w:tcW w:w="1416" w:type="dxa"/>
            <w:tcBorders>
              <w:top w:val="single" w:color="000000" w:sz="10" w:space="0"/>
            </w:tcBorders>
            <w:vAlign w:val="top"/>
          </w:tcPr>
          <w:p w14:paraId="1A5576D6">
            <w:pPr>
              <w:pStyle w:val="11"/>
              <w:spacing w:before="177" w:line="310" w:lineRule="auto"/>
              <w:ind w:left="407" w:right="275" w:hanging="111"/>
            </w:pPr>
            <w:r>
              <w:rPr>
                <w:spacing w:val="-2"/>
              </w:rPr>
              <w:t>合同价格</w:t>
            </w:r>
            <w:r>
              <w:rPr>
                <w:spacing w:val="-6"/>
              </w:rPr>
              <w:t>（元）</w:t>
            </w:r>
          </w:p>
        </w:tc>
        <w:tc>
          <w:tcPr>
            <w:tcW w:w="990" w:type="dxa"/>
            <w:tcBorders>
              <w:top w:val="single" w:color="000000" w:sz="10" w:space="0"/>
            </w:tcBorders>
            <w:vAlign w:val="top"/>
          </w:tcPr>
          <w:p w14:paraId="0CD4EB9C">
            <w:pPr>
              <w:pStyle w:val="11"/>
              <w:spacing w:before="177" w:line="222" w:lineRule="auto"/>
              <w:ind w:left="296"/>
            </w:pPr>
            <w:r>
              <w:rPr>
                <w:spacing w:val="-2"/>
              </w:rPr>
              <w:t>开工</w:t>
            </w:r>
          </w:p>
          <w:p w14:paraId="2753F4EC">
            <w:pPr>
              <w:pStyle w:val="11"/>
              <w:spacing w:before="187" w:line="221" w:lineRule="auto"/>
              <w:ind w:left="332"/>
            </w:pPr>
            <w:r>
              <w:rPr>
                <w:spacing w:val="-11"/>
              </w:rPr>
              <w:t>日期</w:t>
            </w:r>
          </w:p>
        </w:tc>
        <w:tc>
          <w:tcPr>
            <w:tcW w:w="862" w:type="dxa"/>
            <w:tcBorders>
              <w:top w:val="single" w:color="000000" w:sz="10" w:space="0"/>
              <w:right w:val="single" w:color="000000" w:sz="10" w:space="0"/>
            </w:tcBorders>
            <w:vAlign w:val="top"/>
          </w:tcPr>
          <w:p w14:paraId="00958F47">
            <w:pPr>
              <w:pStyle w:val="11"/>
              <w:spacing w:before="177" w:line="221" w:lineRule="auto"/>
              <w:ind w:left="228"/>
            </w:pPr>
            <w:r>
              <w:rPr>
                <w:spacing w:val="-2"/>
              </w:rPr>
              <w:t>竣工</w:t>
            </w:r>
          </w:p>
          <w:p w14:paraId="3BC67549">
            <w:pPr>
              <w:pStyle w:val="11"/>
              <w:spacing w:before="189" w:line="221" w:lineRule="auto"/>
              <w:ind w:left="264"/>
            </w:pPr>
            <w:r>
              <w:rPr>
                <w:spacing w:val="-11"/>
              </w:rPr>
              <w:t>日期</w:t>
            </w:r>
          </w:p>
        </w:tc>
      </w:tr>
      <w:tr w14:paraId="2986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92" w:type="dxa"/>
            <w:tcBorders>
              <w:left w:val="single" w:color="000000" w:sz="10" w:space="0"/>
            </w:tcBorders>
            <w:vAlign w:val="top"/>
          </w:tcPr>
          <w:p w14:paraId="31B71568">
            <w:pPr>
              <w:rPr>
                <w:rFonts w:ascii="Arial"/>
                <w:sz w:val="21"/>
              </w:rPr>
            </w:pPr>
          </w:p>
        </w:tc>
        <w:tc>
          <w:tcPr>
            <w:tcW w:w="1838" w:type="dxa"/>
            <w:vAlign w:val="top"/>
          </w:tcPr>
          <w:p w14:paraId="0C7187CE">
            <w:pPr>
              <w:rPr>
                <w:rFonts w:ascii="Arial"/>
                <w:sz w:val="21"/>
              </w:rPr>
            </w:pPr>
          </w:p>
        </w:tc>
        <w:tc>
          <w:tcPr>
            <w:tcW w:w="1417" w:type="dxa"/>
            <w:vAlign w:val="top"/>
          </w:tcPr>
          <w:p w14:paraId="2161627C">
            <w:pPr>
              <w:rPr>
                <w:rFonts w:ascii="Arial"/>
                <w:sz w:val="21"/>
              </w:rPr>
            </w:pPr>
          </w:p>
        </w:tc>
        <w:tc>
          <w:tcPr>
            <w:tcW w:w="2405" w:type="dxa"/>
            <w:vAlign w:val="top"/>
          </w:tcPr>
          <w:p w14:paraId="0F9D06D7">
            <w:pPr>
              <w:rPr>
                <w:rFonts w:ascii="Arial"/>
                <w:sz w:val="21"/>
              </w:rPr>
            </w:pPr>
          </w:p>
        </w:tc>
        <w:tc>
          <w:tcPr>
            <w:tcW w:w="848" w:type="dxa"/>
            <w:vAlign w:val="top"/>
          </w:tcPr>
          <w:p w14:paraId="589ECA63">
            <w:pPr>
              <w:rPr>
                <w:rFonts w:ascii="Arial"/>
                <w:sz w:val="21"/>
              </w:rPr>
            </w:pPr>
          </w:p>
        </w:tc>
        <w:tc>
          <w:tcPr>
            <w:tcW w:w="1557" w:type="dxa"/>
            <w:vAlign w:val="top"/>
          </w:tcPr>
          <w:p w14:paraId="426AE1B6">
            <w:pPr>
              <w:rPr>
                <w:rFonts w:ascii="Arial"/>
                <w:sz w:val="21"/>
              </w:rPr>
            </w:pPr>
          </w:p>
        </w:tc>
        <w:tc>
          <w:tcPr>
            <w:tcW w:w="1982" w:type="dxa"/>
            <w:vAlign w:val="top"/>
          </w:tcPr>
          <w:p w14:paraId="140F6A39">
            <w:pPr>
              <w:rPr>
                <w:rFonts w:ascii="Arial"/>
                <w:sz w:val="21"/>
              </w:rPr>
            </w:pPr>
          </w:p>
        </w:tc>
        <w:tc>
          <w:tcPr>
            <w:tcW w:w="1416" w:type="dxa"/>
            <w:vAlign w:val="top"/>
          </w:tcPr>
          <w:p w14:paraId="627ACBFE">
            <w:pPr>
              <w:rPr>
                <w:rFonts w:ascii="Arial"/>
                <w:sz w:val="21"/>
              </w:rPr>
            </w:pPr>
          </w:p>
        </w:tc>
        <w:tc>
          <w:tcPr>
            <w:tcW w:w="990" w:type="dxa"/>
            <w:vAlign w:val="top"/>
          </w:tcPr>
          <w:p w14:paraId="5CD43E96">
            <w:pPr>
              <w:rPr>
                <w:rFonts w:ascii="Arial"/>
                <w:sz w:val="21"/>
              </w:rPr>
            </w:pPr>
          </w:p>
        </w:tc>
        <w:tc>
          <w:tcPr>
            <w:tcW w:w="862" w:type="dxa"/>
            <w:tcBorders>
              <w:right w:val="single" w:color="000000" w:sz="10" w:space="0"/>
            </w:tcBorders>
            <w:vAlign w:val="top"/>
          </w:tcPr>
          <w:p w14:paraId="15908EED">
            <w:pPr>
              <w:rPr>
                <w:rFonts w:ascii="Arial"/>
                <w:sz w:val="21"/>
              </w:rPr>
            </w:pPr>
          </w:p>
        </w:tc>
      </w:tr>
      <w:tr w14:paraId="7423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92" w:type="dxa"/>
            <w:tcBorders>
              <w:left w:val="single" w:color="000000" w:sz="10" w:space="0"/>
            </w:tcBorders>
            <w:vAlign w:val="top"/>
          </w:tcPr>
          <w:p w14:paraId="339139A8">
            <w:pPr>
              <w:rPr>
                <w:rFonts w:ascii="Arial"/>
                <w:sz w:val="21"/>
              </w:rPr>
            </w:pPr>
          </w:p>
        </w:tc>
        <w:tc>
          <w:tcPr>
            <w:tcW w:w="1838" w:type="dxa"/>
            <w:vAlign w:val="top"/>
          </w:tcPr>
          <w:p w14:paraId="31408D42">
            <w:pPr>
              <w:rPr>
                <w:rFonts w:ascii="Arial"/>
                <w:sz w:val="21"/>
              </w:rPr>
            </w:pPr>
          </w:p>
        </w:tc>
        <w:tc>
          <w:tcPr>
            <w:tcW w:w="1417" w:type="dxa"/>
            <w:vAlign w:val="top"/>
          </w:tcPr>
          <w:p w14:paraId="569B4B25">
            <w:pPr>
              <w:rPr>
                <w:rFonts w:ascii="Arial"/>
                <w:sz w:val="21"/>
              </w:rPr>
            </w:pPr>
          </w:p>
        </w:tc>
        <w:tc>
          <w:tcPr>
            <w:tcW w:w="2405" w:type="dxa"/>
            <w:vAlign w:val="top"/>
          </w:tcPr>
          <w:p w14:paraId="5F626A35">
            <w:pPr>
              <w:rPr>
                <w:rFonts w:ascii="Arial"/>
                <w:sz w:val="21"/>
              </w:rPr>
            </w:pPr>
          </w:p>
        </w:tc>
        <w:tc>
          <w:tcPr>
            <w:tcW w:w="848" w:type="dxa"/>
            <w:vAlign w:val="top"/>
          </w:tcPr>
          <w:p w14:paraId="62A3ED04">
            <w:pPr>
              <w:rPr>
                <w:rFonts w:ascii="Arial"/>
                <w:sz w:val="21"/>
              </w:rPr>
            </w:pPr>
          </w:p>
        </w:tc>
        <w:tc>
          <w:tcPr>
            <w:tcW w:w="1557" w:type="dxa"/>
            <w:vAlign w:val="top"/>
          </w:tcPr>
          <w:p w14:paraId="09A6F068">
            <w:pPr>
              <w:rPr>
                <w:rFonts w:ascii="Arial"/>
                <w:sz w:val="21"/>
              </w:rPr>
            </w:pPr>
          </w:p>
        </w:tc>
        <w:tc>
          <w:tcPr>
            <w:tcW w:w="1982" w:type="dxa"/>
            <w:vAlign w:val="top"/>
          </w:tcPr>
          <w:p w14:paraId="04861A39">
            <w:pPr>
              <w:rPr>
                <w:rFonts w:ascii="Arial"/>
                <w:sz w:val="21"/>
              </w:rPr>
            </w:pPr>
          </w:p>
        </w:tc>
        <w:tc>
          <w:tcPr>
            <w:tcW w:w="1416" w:type="dxa"/>
            <w:vAlign w:val="top"/>
          </w:tcPr>
          <w:p w14:paraId="0D871EE3">
            <w:pPr>
              <w:rPr>
                <w:rFonts w:ascii="Arial"/>
                <w:sz w:val="21"/>
              </w:rPr>
            </w:pPr>
          </w:p>
        </w:tc>
        <w:tc>
          <w:tcPr>
            <w:tcW w:w="990" w:type="dxa"/>
            <w:vAlign w:val="top"/>
          </w:tcPr>
          <w:p w14:paraId="1ACA6CA9">
            <w:pPr>
              <w:rPr>
                <w:rFonts w:ascii="Arial"/>
                <w:sz w:val="21"/>
              </w:rPr>
            </w:pPr>
          </w:p>
        </w:tc>
        <w:tc>
          <w:tcPr>
            <w:tcW w:w="862" w:type="dxa"/>
            <w:tcBorders>
              <w:right w:val="single" w:color="000000" w:sz="10" w:space="0"/>
            </w:tcBorders>
            <w:vAlign w:val="top"/>
          </w:tcPr>
          <w:p w14:paraId="26B834C8">
            <w:pPr>
              <w:rPr>
                <w:rFonts w:ascii="Arial"/>
                <w:sz w:val="21"/>
              </w:rPr>
            </w:pPr>
          </w:p>
        </w:tc>
      </w:tr>
      <w:tr w14:paraId="6F599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292" w:type="dxa"/>
            <w:tcBorders>
              <w:left w:val="single" w:color="000000" w:sz="10" w:space="0"/>
            </w:tcBorders>
            <w:vAlign w:val="top"/>
          </w:tcPr>
          <w:p w14:paraId="51A4CC90">
            <w:pPr>
              <w:rPr>
                <w:rFonts w:ascii="Arial"/>
                <w:sz w:val="21"/>
              </w:rPr>
            </w:pPr>
          </w:p>
        </w:tc>
        <w:tc>
          <w:tcPr>
            <w:tcW w:w="1838" w:type="dxa"/>
            <w:vAlign w:val="top"/>
          </w:tcPr>
          <w:p w14:paraId="03EDD03C">
            <w:pPr>
              <w:rPr>
                <w:rFonts w:ascii="Arial"/>
                <w:sz w:val="21"/>
              </w:rPr>
            </w:pPr>
          </w:p>
        </w:tc>
        <w:tc>
          <w:tcPr>
            <w:tcW w:w="1417" w:type="dxa"/>
            <w:vAlign w:val="top"/>
          </w:tcPr>
          <w:p w14:paraId="5C687333">
            <w:pPr>
              <w:rPr>
                <w:rFonts w:ascii="Arial"/>
                <w:sz w:val="21"/>
              </w:rPr>
            </w:pPr>
          </w:p>
        </w:tc>
        <w:tc>
          <w:tcPr>
            <w:tcW w:w="2405" w:type="dxa"/>
            <w:vAlign w:val="top"/>
          </w:tcPr>
          <w:p w14:paraId="170C43D5">
            <w:pPr>
              <w:rPr>
                <w:rFonts w:ascii="Arial"/>
                <w:sz w:val="21"/>
              </w:rPr>
            </w:pPr>
          </w:p>
        </w:tc>
        <w:tc>
          <w:tcPr>
            <w:tcW w:w="848" w:type="dxa"/>
            <w:vAlign w:val="top"/>
          </w:tcPr>
          <w:p w14:paraId="59FB5248">
            <w:pPr>
              <w:rPr>
                <w:rFonts w:ascii="Arial"/>
                <w:sz w:val="21"/>
              </w:rPr>
            </w:pPr>
          </w:p>
        </w:tc>
        <w:tc>
          <w:tcPr>
            <w:tcW w:w="1557" w:type="dxa"/>
            <w:vAlign w:val="top"/>
          </w:tcPr>
          <w:p w14:paraId="38DC6503">
            <w:pPr>
              <w:rPr>
                <w:rFonts w:ascii="Arial"/>
                <w:sz w:val="21"/>
              </w:rPr>
            </w:pPr>
          </w:p>
        </w:tc>
        <w:tc>
          <w:tcPr>
            <w:tcW w:w="1982" w:type="dxa"/>
            <w:vAlign w:val="top"/>
          </w:tcPr>
          <w:p w14:paraId="5128F8D6">
            <w:pPr>
              <w:rPr>
                <w:rFonts w:ascii="Arial"/>
                <w:sz w:val="21"/>
              </w:rPr>
            </w:pPr>
          </w:p>
        </w:tc>
        <w:tc>
          <w:tcPr>
            <w:tcW w:w="1416" w:type="dxa"/>
            <w:vAlign w:val="top"/>
          </w:tcPr>
          <w:p w14:paraId="075782BD">
            <w:pPr>
              <w:rPr>
                <w:rFonts w:ascii="Arial"/>
                <w:sz w:val="21"/>
              </w:rPr>
            </w:pPr>
          </w:p>
        </w:tc>
        <w:tc>
          <w:tcPr>
            <w:tcW w:w="990" w:type="dxa"/>
            <w:vAlign w:val="top"/>
          </w:tcPr>
          <w:p w14:paraId="3610072D">
            <w:pPr>
              <w:rPr>
                <w:rFonts w:ascii="Arial"/>
                <w:sz w:val="21"/>
              </w:rPr>
            </w:pPr>
          </w:p>
        </w:tc>
        <w:tc>
          <w:tcPr>
            <w:tcW w:w="862" w:type="dxa"/>
            <w:tcBorders>
              <w:right w:val="single" w:color="000000" w:sz="10" w:space="0"/>
            </w:tcBorders>
            <w:vAlign w:val="top"/>
          </w:tcPr>
          <w:p w14:paraId="610E76D3">
            <w:pPr>
              <w:rPr>
                <w:rFonts w:ascii="Arial"/>
                <w:sz w:val="21"/>
              </w:rPr>
            </w:pPr>
          </w:p>
        </w:tc>
      </w:tr>
      <w:tr w14:paraId="529C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92" w:type="dxa"/>
            <w:tcBorders>
              <w:left w:val="single" w:color="000000" w:sz="10" w:space="0"/>
            </w:tcBorders>
            <w:vAlign w:val="top"/>
          </w:tcPr>
          <w:p w14:paraId="7E65433A">
            <w:pPr>
              <w:rPr>
                <w:rFonts w:ascii="Arial"/>
                <w:sz w:val="21"/>
              </w:rPr>
            </w:pPr>
          </w:p>
        </w:tc>
        <w:tc>
          <w:tcPr>
            <w:tcW w:w="1838" w:type="dxa"/>
            <w:vAlign w:val="top"/>
          </w:tcPr>
          <w:p w14:paraId="53BBE2B8">
            <w:pPr>
              <w:rPr>
                <w:rFonts w:ascii="Arial"/>
                <w:sz w:val="21"/>
              </w:rPr>
            </w:pPr>
          </w:p>
        </w:tc>
        <w:tc>
          <w:tcPr>
            <w:tcW w:w="1417" w:type="dxa"/>
            <w:vAlign w:val="top"/>
          </w:tcPr>
          <w:p w14:paraId="0E149E28">
            <w:pPr>
              <w:rPr>
                <w:rFonts w:ascii="Arial"/>
                <w:sz w:val="21"/>
              </w:rPr>
            </w:pPr>
          </w:p>
        </w:tc>
        <w:tc>
          <w:tcPr>
            <w:tcW w:w="2405" w:type="dxa"/>
            <w:vAlign w:val="top"/>
          </w:tcPr>
          <w:p w14:paraId="47A9CC83">
            <w:pPr>
              <w:rPr>
                <w:rFonts w:ascii="Arial"/>
                <w:sz w:val="21"/>
              </w:rPr>
            </w:pPr>
          </w:p>
        </w:tc>
        <w:tc>
          <w:tcPr>
            <w:tcW w:w="848" w:type="dxa"/>
            <w:vAlign w:val="top"/>
          </w:tcPr>
          <w:p w14:paraId="57FC5BE4">
            <w:pPr>
              <w:rPr>
                <w:rFonts w:ascii="Arial"/>
                <w:sz w:val="21"/>
              </w:rPr>
            </w:pPr>
          </w:p>
        </w:tc>
        <w:tc>
          <w:tcPr>
            <w:tcW w:w="1557" w:type="dxa"/>
            <w:vAlign w:val="top"/>
          </w:tcPr>
          <w:p w14:paraId="00119C59">
            <w:pPr>
              <w:rPr>
                <w:rFonts w:ascii="Arial"/>
                <w:sz w:val="21"/>
              </w:rPr>
            </w:pPr>
          </w:p>
        </w:tc>
        <w:tc>
          <w:tcPr>
            <w:tcW w:w="1982" w:type="dxa"/>
            <w:vAlign w:val="top"/>
          </w:tcPr>
          <w:p w14:paraId="3E4E17AA">
            <w:pPr>
              <w:rPr>
                <w:rFonts w:ascii="Arial"/>
                <w:sz w:val="21"/>
              </w:rPr>
            </w:pPr>
          </w:p>
        </w:tc>
        <w:tc>
          <w:tcPr>
            <w:tcW w:w="1416" w:type="dxa"/>
            <w:vAlign w:val="top"/>
          </w:tcPr>
          <w:p w14:paraId="426BA047">
            <w:pPr>
              <w:rPr>
                <w:rFonts w:ascii="Arial"/>
                <w:sz w:val="21"/>
              </w:rPr>
            </w:pPr>
          </w:p>
        </w:tc>
        <w:tc>
          <w:tcPr>
            <w:tcW w:w="990" w:type="dxa"/>
            <w:vAlign w:val="top"/>
          </w:tcPr>
          <w:p w14:paraId="16677405">
            <w:pPr>
              <w:rPr>
                <w:rFonts w:ascii="Arial"/>
                <w:sz w:val="21"/>
              </w:rPr>
            </w:pPr>
          </w:p>
        </w:tc>
        <w:tc>
          <w:tcPr>
            <w:tcW w:w="862" w:type="dxa"/>
            <w:tcBorders>
              <w:right w:val="single" w:color="000000" w:sz="10" w:space="0"/>
            </w:tcBorders>
            <w:vAlign w:val="top"/>
          </w:tcPr>
          <w:p w14:paraId="783F96A0">
            <w:pPr>
              <w:rPr>
                <w:rFonts w:ascii="Arial"/>
                <w:sz w:val="21"/>
              </w:rPr>
            </w:pPr>
          </w:p>
        </w:tc>
      </w:tr>
      <w:tr w14:paraId="4CB8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292" w:type="dxa"/>
            <w:tcBorders>
              <w:left w:val="single" w:color="000000" w:sz="10" w:space="0"/>
            </w:tcBorders>
            <w:vAlign w:val="top"/>
          </w:tcPr>
          <w:p w14:paraId="29D08A77">
            <w:pPr>
              <w:rPr>
                <w:rFonts w:ascii="Arial"/>
                <w:sz w:val="21"/>
              </w:rPr>
            </w:pPr>
          </w:p>
        </w:tc>
        <w:tc>
          <w:tcPr>
            <w:tcW w:w="1838" w:type="dxa"/>
            <w:vAlign w:val="top"/>
          </w:tcPr>
          <w:p w14:paraId="46D63001">
            <w:pPr>
              <w:rPr>
                <w:rFonts w:ascii="Arial"/>
                <w:sz w:val="21"/>
              </w:rPr>
            </w:pPr>
          </w:p>
        </w:tc>
        <w:tc>
          <w:tcPr>
            <w:tcW w:w="1417" w:type="dxa"/>
            <w:vAlign w:val="top"/>
          </w:tcPr>
          <w:p w14:paraId="21DDECA6">
            <w:pPr>
              <w:rPr>
                <w:rFonts w:ascii="Arial"/>
                <w:sz w:val="21"/>
              </w:rPr>
            </w:pPr>
          </w:p>
        </w:tc>
        <w:tc>
          <w:tcPr>
            <w:tcW w:w="2405" w:type="dxa"/>
            <w:vAlign w:val="top"/>
          </w:tcPr>
          <w:p w14:paraId="55C39997">
            <w:pPr>
              <w:rPr>
                <w:rFonts w:ascii="Arial"/>
                <w:sz w:val="21"/>
              </w:rPr>
            </w:pPr>
          </w:p>
        </w:tc>
        <w:tc>
          <w:tcPr>
            <w:tcW w:w="848" w:type="dxa"/>
            <w:vAlign w:val="top"/>
          </w:tcPr>
          <w:p w14:paraId="042BF611">
            <w:pPr>
              <w:rPr>
                <w:rFonts w:ascii="Arial"/>
                <w:sz w:val="21"/>
              </w:rPr>
            </w:pPr>
          </w:p>
        </w:tc>
        <w:tc>
          <w:tcPr>
            <w:tcW w:w="1557" w:type="dxa"/>
            <w:vAlign w:val="top"/>
          </w:tcPr>
          <w:p w14:paraId="41612EC7">
            <w:pPr>
              <w:rPr>
                <w:rFonts w:ascii="Arial"/>
                <w:sz w:val="21"/>
              </w:rPr>
            </w:pPr>
          </w:p>
        </w:tc>
        <w:tc>
          <w:tcPr>
            <w:tcW w:w="1982" w:type="dxa"/>
            <w:vAlign w:val="top"/>
          </w:tcPr>
          <w:p w14:paraId="3BBEE06C">
            <w:pPr>
              <w:rPr>
                <w:rFonts w:ascii="Arial"/>
                <w:sz w:val="21"/>
              </w:rPr>
            </w:pPr>
          </w:p>
        </w:tc>
        <w:tc>
          <w:tcPr>
            <w:tcW w:w="1416" w:type="dxa"/>
            <w:vAlign w:val="top"/>
          </w:tcPr>
          <w:p w14:paraId="5F2DFBFA">
            <w:pPr>
              <w:rPr>
                <w:rFonts w:ascii="Arial"/>
                <w:sz w:val="21"/>
              </w:rPr>
            </w:pPr>
          </w:p>
        </w:tc>
        <w:tc>
          <w:tcPr>
            <w:tcW w:w="990" w:type="dxa"/>
            <w:vAlign w:val="top"/>
          </w:tcPr>
          <w:p w14:paraId="2E3945D8">
            <w:pPr>
              <w:rPr>
                <w:rFonts w:ascii="Arial"/>
                <w:sz w:val="21"/>
              </w:rPr>
            </w:pPr>
          </w:p>
        </w:tc>
        <w:tc>
          <w:tcPr>
            <w:tcW w:w="862" w:type="dxa"/>
            <w:tcBorders>
              <w:right w:val="single" w:color="000000" w:sz="10" w:space="0"/>
            </w:tcBorders>
            <w:vAlign w:val="top"/>
          </w:tcPr>
          <w:p w14:paraId="02B1746F">
            <w:pPr>
              <w:rPr>
                <w:rFonts w:ascii="Arial"/>
                <w:sz w:val="21"/>
              </w:rPr>
            </w:pPr>
          </w:p>
        </w:tc>
      </w:tr>
      <w:tr w14:paraId="7C11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92" w:type="dxa"/>
            <w:tcBorders>
              <w:left w:val="single" w:color="000000" w:sz="10" w:space="0"/>
            </w:tcBorders>
            <w:vAlign w:val="top"/>
          </w:tcPr>
          <w:p w14:paraId="62CED2C6">
            <w:pPr>
              <w:rPr>
                <w:rFonts w:ascii="Arial"/>
                <w:sz w:val="21"/>
              </w:rPr>
            </w:pPr>
          </w:p>
        </w:tc>
        <w:tc>
          <w:tcPr>
            <w:tcW w:w="1838" w:type="dxa"/>
            <w:vAlign w:val="top"/>
          </w:tcPr>
          <w:p w14:paraId="6E18B2AF">
            <w:pPr>
              <w:rPr>
                <w:rFonts w:ascii="Arial"/>
                <w:sz w:val="21"/>
              </w:rPr>
            </w:pPr>
          </w:p>
        </w:tc>
        <w:tc>
          <w:tcPr>
            <w:tcW w:w="1417" w:type="dxa"/>
            <w:vAlign w:val="top"/>
          </w:tcPr>
          <w:p w14:paraId="55737DB1">
            <w:pPr>
              <w:rPr>
                <w:rFonts w:ascii="Arial"/>
                <w:sz w:val="21"/>
              </w:rPr>
            </w:pPr>
          </w:p>
        </w:tc>
        <w:tc>
          <w:tcPr>
            <w:tcW w:w="2405" w:type="dxa"/>
            <w:vAlign w:val="top"/>
          </w:tcPr>
          <w:p w14:paraId="629550C0">
            <w:pPr>
              <w:rPr>
                <w:rFonts w:ascii="Arial"/>
                <w:sz w:val="21"/>
              </w:rPr>
            </w:pPr>
          </w:p>
        </w:tc>
        <w:tc>
          <w:tcPr>
            <w:tcW w:w="848" w:type="dxa"/>
            <w:vAlign w:val="top"/>
          </w:tcPr>
          <w:p w14:paraId="0F394B10">
            <w:pPr>
              <w:rPr>
                <w:rFonts w:ascii="Arial"/>
                <w:sz w:val="21"/>
              </w:rPr>
            </w:pPr>
          </w:p>
        </w:tc>
        <w:tc>
          <w:tcPr>
            <w:tcW w:w="1557" w:type="dxa"/>
            <w:vAlign w:val="top"/>
          </w:tcPr>
          <w:p w14:paraId="1ABF9A03">
            <w:pPr>
              <w:rPr>
                <w:rFonts w:ascii="Arial"/>
                <w:sz w:val="21"/>
              </w:rPr>
            </w:pPr>
          </w:p>
        </w:tc>
        <w:tc>
          <w:tcPr>
            <w:tcW w:w="1982" w:type="dxa"/>
            <w:vAlign w:val="top"/>
          </w:tcPr>
          <w:p w14:paraId="0A77C22E">
            <w:pPr>
              <w:rPr>
                <w:rFonts w:ascii="Arial"/>
                <w:sz w:val="21"/>
              </w:rPr>
            </w:pPr>
          </w:p>
        </w:tc>
        <w:tc>
          <w:tcPr>
            <w:tcW w:w="1416" w:type="dxa"/>
            <w:vAlign w:val="top"/>
          </w:tcPr>
          <w:p w14:paraId="372632FB">
            <w:pPr>
              <w:rPr>
                <w:rFonts w:ascii="Arial"/>
                <w:sz w:val="21"/>
              </w:rPr>
            </w:pPr>
          </w:p>
        </w:tc>
        <w:tc>
          <w:tcPr>
            <w:tcW w:w="990" w:type="dxa"/>
            <w:vAlign w:val="top"/>
          </w:tcPr>
          <w:p w14:paraId="188E102A">
            <w:pPr>
              <w:rPr>
                <w:rFonts w:ascii="Arial"/>
                <w:sz w:val="21"/>
              </w:rPr>
            </w:pPr>
          </w:p>
        </w:tc>
        <w:tc>
          <w:tcPr>
            <w:tcW w:w="862" w:type="dxa"/>
            <w:tcBorders>
              <w:right w:val="single" w:color="000000" w:sz="10" w:space="0"/>
            </w:tcBorders>
            <w:vAlign w:val="top"/>
          </w:tcPr>
          <w:p w14:paraId="014FC27D">
            <w:pPr>
              <w:rPr>
                <w:rFonts w:ascii="Arial"/>
                <w:sz w:val="21"/>
              </w:rPr>
            </w:pPr>
          </w:p>
        </w:tc>
      </w:tr>
      <w:tr w14:paraId="3F65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292" w:type="dxa"/>
            <w:tcBorders>
              <w:left w:val="single" w:color="000000" w:sz="10" w:space="0"/>
            </w:tcBorders>
            <w:vAlign w:val="top"/>
          </w:tcPr>
          <w:p w14:paraId="69A4DEA4">
            <w:pPr>
              <w:rPr>
                <w:rFonts w:ascii="Arial"/>
                <w:sz w:val="21"/>
              </w:rPr>
            </w:pPr>
          </w:p>
        </w:tc>
        <w:tc>
          <w:tcPr>
            <w:tcW w:w="1838" w:type="dxa"/>
            <w:vAlign w:val="top"/>
          </w:tcPr>
          <w:p w14:paraId="4C7E9552">
            <w:pPr>
              <w:rPr>
                <w:rFonts w:ascii="Arial"/>
                <w:sz w:val="21"/>
              </w:rPr>
            </w:pPr>
          </w:p>
        </w:tc>
        <w:tc>
          <w:tcPr>
            <w:tcW w:w="1417" w:type="dxa"/>
            <w:vAlign w:val="top"/>
          </w:tcPr>
          <w:p w14:paraId="00034A0E">
            <w:pPr>
              <w:rPr>
                <w:rFonts w:ascii="Arial"/>
                <w:sz w:val="21"/>
              </w:rPr>
            </w:pPr>
          </w:p>
        </w:tc>
        <w:tc>
          <w:tcPr>
            <w:tcW w:w="2405" w:type="dxa"/>
            <w:vAlign w:val="top"/>
          </w:tcPr>
          <w:p w14:paraId="7CE28C81">
            <w:pPr>
              <w:rPr>
                <w:rFonts w:ascii="Arial"/>
                <w:sz w:val="21"/>
              </w:rPr>
            </w:pPr>
          </w:p>
        </w:tc>
        <w:tc>
          <w:tcPr>
            <w:tcW w:w="848" w:type="dxa"/>
            <w:vAlign w:val="top"/>
          </w:tcPr>
          <w:p w14:paraId="7A3A1283">
            <w:pPr>
              <w:rPr>
                <w:rFonts w:ascii="Arial"/>
                <w:sz w:val="21"/>
              </w:rPr>
            </w:pPr>
          </w:p>
        </w:tc>
        <w:tc>
          <w:tcPr>
            <w:tcW w:w="1557" w:type="dxa"/>
            <w:vAlign w:val="top"/>
          </w:tcPr>
          <w:p w14:paraId="7345D273">
            <w:pPr>
              <w:rPr>
                <w:rFonts w:ascii="Arial"/>
                <w:sz w:val="21"/>
              </w:rPr>
            </w:pPr>
          </w:p>
        </w:tc>
        <w:tc>
          <w:tcPr>
            <w:tcW w:w="1982" w:type="dxa"/>
            <w:vAlign w:val="top"/>
          </w:tcPr>
          <w:p w14:paraId="45373B5D">
            <w:pPr>
              <w:rPr>
                <w:rFonts w:ascii="Arial"/>
                <w:sz w:val="21"/>
              </w:rPr>
            </w:pPr>
          </w:p>
        </w:tc>
        <w:tc>
          <w:tcPr>
            <w:tcW w:w="1416" w:type="dxa"/>
            <w:vAlign w:val="top"/>
          </w:tcPr>
          <w:p w14:paraId="24475ABE">
            <w:pPr>
              <w:rPr>
                <w:rFonts w:ascii="Arial"/>
                <w:sz w:val="21"/>
              </w:rPr>
            </w:pPr>
          </w:p>
        </w:tc>
        <w:tc>
          <w:tcPr>
            <w:tcW w:w="990" w:type="dxa"/>
            <w:vAlign w:val="top"/>
          </w:tcPr>
          <w:p w14:paraId="49AD19DF">
            <w:pPr>
              <w:rPr>
                <w:rFonts w:ascii="Arial"/>
                <w:sz w:val="21"/>
              </w:rPr>
            </w:pPr>
          </w:p>
        </w:tc>
        <w:tc>
          <w:tcPr>
            <w:tcW w:w="862" w:type="dxa"/>
            <w:tcBorders>
              <w:right w:val="single" w:color="000000" w:sz="10" w:space="0"/>
            </w:tcBorders>
            <w:vAlign w:val="top"/>
          </w:tcPr>
          <w:p w14:paraId="23F8235C">
            <w:pPr>
              <w:rPr>
                <w:rFonts w:ascii="Arial"/>
                <w:sz w:val="21"/>
              </w:rPr>
            </w:pPr>
          </w:p>
        </w:tc>
      </w:tr>
      <w:tr w14:paraId="3E83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92" w:type="dxa"/>
            <w:tcBorders>
              <w:left w:val="single" w:color="000000" w:sz="10" w:space="0"/>
            </w:tcBorders>
            <w:vAlign w:val="top"/>
          </w:tcPr>
          <w:p w14:paraId="4CEAC566">
            <w:pPr>
              <w:rPr>
                <w:rFonts w:ascii="Arial"/>
                <w:sz w:val="21"/>
              </w:rPr>
            </w:pPr>
          </w:p>
        </w:tc>
        <w:tc>
          <w:tcPr>
            <w:tcW w:w="1838" w:type="dxa"/>
            <w:vAlign w:val="top"/>
          </w:tcPr>
          <w:p w14:paraId="54A825AC">
            <w:pPr>
              <w:rPr>
                <w:rFonts w:ascii="Arial"/>
                <w:sz w:val="21"/>
              </w:rPr>
            </w:pPr>
          </w:p>
        </w:tc>
        <w:tc>
          <w:tcPr>
            <w:tcW w:w="1417" w:type="dxa"/>
            <w:vAlign w:val="top"/>
          </w:tcPr>
          <w:p w14:paraId="7D2EDB5C">
            <w:pPr>
              <w:rPr>
                <w:rFonts w:ascii="Arial"/>
                <w:sz w:val="21"/>
              </w:rPr>
            </w:pPr>
          </w:p>
        </w:tc>
        <w:tc>
          <w:tcPr>
            <w:tcW w:w="2405" w:type="dxa"/>
            <w:vAlign w:val="top"/>
          </w:tcPr>
          <w:p w14:paraId="1A9FADE2">
            <w:pPr>
              <w:rPr>
                <w:rFonts w:ascii="Arial"/>
                <w:sz w:val="21"/>
              </w:rPr>
            </w:pPr>
          </w:p>
        </w:tc>
        <w:tc>
          <w:tcPr>
            <w:tcW w:w="848" w:type="dxa"/>
            <w:vAlign w:val="top"/>
          </w:tcPr>
          <w:p w14:paraId="0BD90798">
            <w:pPr>
              <w:rPr>
                <w:rFonts w:ascii="Arial"/>
                <w:sz w:val="21"/>
              </w:rPr>
            </w:pPr>
          </w:p>
        </w:tc>
        <w:tc>
          <w:tcPr>
            <w:tcW w:w="1557" w:type="dxa"/>
            <w:vAlign w:val="top"/>
          </w:tcPr>
          <w:p w14:paraId="3CDFEFBF">
            <w:pPr>
              <w:rPr>
                <w:rFonts w:ascii="Arial"/>
                <w:sz w:val="21"/>
              </w:rPr>
            </w:pPr>
          </w:p>
        </w:tc>
        <w:tc>
          <w:tcPr>
            <w:tcW w:w="1982" w:type="dxa"/>
            <w:vAlign w:val="top"/>
          </w:tcPr>
          <w:p w14:paraId="6B5B5664">
            <w:pPr>
              <w:rPr>
                <w:rFonts w:ascii="Arial"/>
                <w:sz w:val="21"/>
              </w:rPr>
            </w:pPr>
          </w:p>
        </w:tc>
        <w:tc>
          <w:tcPr>
            <w:tcW w:w="1416" w:type="dxa"/>
            <w:vAlign w:val="top"/>
          </w:tcPr>
          <w:p w14:paraId="73F257FC">
            <w:pPr>
              <w:rPr>
                <w:rFonts w:ascii="Arial"/>
                <w:sz w:val="21"/>
              </w:rPr>
            </w:pPr>
          </w:p>
        </w:tc>
        <w:tc>
          <w:tcPr>
            <w:tcW w:w="990" w:type="dxa"/>
            <w:vAlign w:val="top"/>
          </w:tcPr>
          <w:p w14:paraId="4F9B79F4">
            <w:pPr>
              <w:rPr>
                <w:rFonts w:ascii="Arial"/>
                <w:sz w:val="21"/>
              </w:rPr>
            </w:pPr>
          </w:p>
        </w:tc>
        <w:tc>
          <w:tcPr>
            <w:tcW w:w="862" w:type="dxa"/>
            <w:tcBorders>
              <w:right w:val="single" w:color="000000" w:sz="10" w:space="0"/>
            </w:tcBorders>
            <w:vAlign w:val="top"/>
          </w:tcPr>
          <w:p w14:paraId="0E578C70">
            <w:pPr>
              <w:rPr>
                <w:rFonts w:ascii="Arial"/>
                <w:sz w:val="21"/>
              </w:rPr>
            </w:pPr>
          </w:p>
        </w:tc>
      </w:tr>
      <w:tr w14:paraId="47D6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292" w:type="dxa"/>
            <w:tcBorders>
              <w:left w:val="single" w:color="000000" w:sz="10" w:space="0"/>
            </w:tcBorders>
            <w:vAlign w:val="top"/>
          </w:tcPr>
          <w:p w14:paraId="5D7C788D">
            <w:pPr>
              <w:rPr>
                <w:rFonts w:ascii="Arial"/>
                <w:sz w:val="21"/>
              </w:rPr>
            </w:pPr>
          </w:p>
        </w:tc>
        <w:tc>
          <w:tcPr>
            <w:tcW w:w="1838" w:type="dxa"/>
            <w:vAlign w:val="top"/>
          </w:tcPr>
          <w:p w14:paraId="43C373D5">
            <w:pPr>
              <w:rPr>
                <w:rFonts w:ascii="Arial"/>
                <w:sz w:val="21"/>
              </w:rPr>
            </w:pPr>
          </w:p>
        </w:tc>
        <w:tc>
          <w:tcPr>
            <w:tcW w:w="1417" w:type="dxa"/>
            <w:vAlign w:val="top"/>
          </w:tcPr>
          <w:p w14:paraId="2AA29001">
            <w:pPr>
              <w:rPr>
                <w:rFonts w:ascii="Arial"/>
                <w:sz w:val="21"/>
              </w:rPr>
            </w:pPr>
          </w:p>
        </w:tc>
        <w:tc>
          <w:tcPr>
            <w:tcW w:w="2405" w:type="dxa"/>
            <w:vAlign w:val="top"/>
          </w:tcPr>
          <w:p w14:paraId="11EF06B1">
            <w:pPr>
              <w:rPr>
                <w:rFonts w:ascii="Arial"/>
                <w:sz w:val="21"/>
              </w:rPr>
            </w:pPr>
          </w:p>
        </w:tc>
        <w:tc>
          <w:tcPr>
            <w:tcW w:w="848" w:type="dxa"/>
            <w:vAlign w:val="top"/>
          </w:tcPr>
          <w:p w14:paraId="0D4BB4A0">
            <w:pPr>
              <w:rPr>
                <w:rFonts w:ascii="Arial"/>
                <w:sz w:val="21"/>
              </w:rPr>
            </w:pPr>
          </w:p>
        </w:tc>
        <w:tc>
          <w:tcPr>
            <w:tcW w:w="1557" w:type="dxa"/>
            <w:vAlign w:val="top"/>
          </w:tcPr>
          <w:p w14:paraId="721B8DEE">
            <w:pPr>
              <w:rPr>
                <w:rFonts w:ascii="Arial"/>
                <w:sz w:val="21"/>
              </w:rPr>
            </w:pPr>
          </w:p>
        </w:tc>
        <w:tc>
          <w:tcPr>
            <w:tcW w:w="1982" w:type="dxa"/>
            <w:vAlign w:val="top"/>
          </w:tcPr>
          <w:p w14:paraId="23A97AEB">
            <w:pPr>
              <w:rPr>
                <w:rFonts w:ascii="Arial"/>
                <w:sz w:val="21"/>
              </w:rPr>
            </w:pPr>
          </w:p>
        </w:tc>
        <w:tc>
          <w:tcPr>
            <w:tcW w:w="1416" w:type="dxa"/>
            <w:vAlign w:val="top"/>
          </w:tcPr>
          <w:p w14:paraId="2898E294">
            <w:pPr>
              <w:rPr>
                <w:rFonts w:ascii="Arial"/>
                <w:sz w:val="21"/>
              </w:rPr>
            </w:pPr>
          </w:p>
        </w:tc>
        <w:tc>
          <w:tcPr>
            <w:tcW w:w="990" w:type="dxa"/>
            <w:vAlign w:val="top"/>
          </w:tcPr>
          <w:p w14:paraId="041C09B3">
            <w:pPr>
              <w:rPr>
                <w:rFonts w:ascii="Arial"/>
                <w:sz w:val="21"/>
              </w:rPr>
            </w:pPr>
          </w:p>
        </w:tc>
        <w:tc>
          <w:tcPr>
            <w:tcW w:w="862" w:type="dxa"/>
            <w:tcBorders>
              <w:right w:val="single" w:color="000000" w:sz="10" w:space="0"/>
            </w:tcBorders>
            <w:vAlign w:val="top"/>
          </w:tcPr>
          <w:p w14:paraId="7CBC2B7C">
            <w:pPr>
              <w:rPr>
                <w:rFonts w:ascii="Arial"/>
                <w:sz w:val="21"/>
              </w:rPr>
            </w:pPr>
          </w:p>
        </w:tc>
      </w:tr>
      <w:tr w14:paraId="2F24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92" w:type="dxa"/>
            <w:tcBorders>
              <w:left w:val="single" w:color="000000" w:sz="10" w:space="0"/>
            </w:tcBorders>
            <w:vAlign w:val="top"/>
          </w:tcPr>
          <w:p w14:paraId="25301D02">
            <w:pPr>
              <w:rPr>
                <w:rFonts w:ascii="Arial"/>
                <w:sz w:val="21"/>
              </w:rPr>
            </w:pPr>
          </w:p>
        </w:tc>
        <w:tc>
          <w:tcPr>
            <w:tcW w:w="1838" w:type="dxa"/>
            <w:vAlign w:val="top"/>
          </w:tcPr>
          <w:p w14:paraId="6F485237">
            <w:pPr>
              <w:rPr>
                <w:rFonts w:ascii="Arial"/>
                <w:sz w:val="21"/>
              </w:rPr>
            </w:pPr>
          </w:p>
        </w:tc>
        <w:tc>
          <w:tcPr>
            <w:tcW w:w="1417" w:type="dxa"/>
            <w:vAlign w:val="top"/>
          </w:tcPr>
          <w:p w14:paraId="78B22021">
            <w:pPr>
              <w:rPr>
                <w:rFonts w:ascii="Arial"/>
                <w:sz w:val="21"/>
              </w:rPr>
            </w:pPr>
          </w:p>
        </w:tc>
        <w:tc>
          <w:tcPr>
            <w:tcW w:w="2405" w:type="dxa"/>
            <w:vAlign w:val="top"/>
          </w:tcPr>
          <w:p w14:paraId="07D7B984">
            <w:pPr>
              <w:rPr>
                <w:rFonts w:ascii="Arial"/>
                <w:sz w:val="21"/>
              </w:rPr>
            </w:pPr>
          </w:p>
        </w:tc>
        <w:tc>
          <w:tcPr>
            <w:tcW w:w="848" w:type="dxa"/>
            <w:vAlign w:val="top"/>
          </w:tcPr>
          <w:p w14:paraId="50D2CE72">
            <w:pPr>
              <w:rPr>
                <w:rFonts w:ascii="Arial"/>
                <w:sz w:val="21"/>
              </w:rPr>
            </w:pPr>
          </w:p>
        </w:tc>
        <w:tc>
          <w:tcPr>
            <w:tcW w:w="1557" w:type="dxa"/>
            <w:vAlign w:val="top"/>
          </w:tcPr>
          <w:p w14:paraId="19608D74">
            <w:pPr>
              <w:rPr>
                <w:rFonts w:ascii="Arial"/>
                <w:sz w:val="21"/>
              </w:rPr>
            </w:pPr>
          </w:p>
        </w:tc>
        <w:tc>
          <w:tcPr>
            <w:tcW w:w="1982" w:type="dxa"/>
            <w:vAlign w:val="top"/>
          </w:tcPr>
          <w:p w14:paraId="4089ABAD">
            <w:pPr>
              <w:rPr>
                <w:rFonts w:ascii="Arial"/>
                <w:sz w:val="21"/>
              </w:rPr>
            </w:pPr>
          </w:p>
        </w:tc>
        <w:tc>
          <w:tcPr>
            <w:tcW w:w="1416" w:type="dxa"/>
            <w:vAlign w:val="top"/>
          </w:tcPr>
          <w:p w14:paraId="72550304">
            <w:pPr>
              <w:rPr>
                <w:rFonts w:ascii="Arial"/>
                <w:sz w:val="21"/>
              </w:rPr>
            </w:pPr>
          </w:p>
        </w:tc>
        <w:tc>
          <w:tcPr>
            <w:tcW w:w="990" w:type="dxa"/>
            <w:vAlign w:val="top"/>
          </w:tcPr>
          <w:p w14:paraId="388D9536">
            <w:pPr>
              <w:rPr>
                <w:rFonts w:ascii="Arial"/>
                <w:sz w:val="21"/>
              </w:rPr>
            </w:pPr>
          </w:p>
        </w:tc>
        <w:tc>
          <w:tcPr>
            <w:tcW w:w="862" w:type="dxa"/>
            <w:tcBorders>
              <w:right w:val="single" w:color="000000" w:sz="10" w:space="0"/>
            </w:tcBorders>
            <w:vAlign w:val="top"/>
          </w:tcPr>
          <w:p w14:paraId="66F5FBDE">
            <w:pPr>
              <w:rPr>
                <w:rFonts w:ascii="Arial"/>
                <w:sz w:val="21"/>
              </w:rPr>
            </w:pPr>
          </w:p>
        </w:tc>
      </w:tr>
      <w:tr w14:paraId="5219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292" w:type="dxa"/>
            <w:tcBorders>
              <w:left w:val="single" w:color="000000" w:sz="10" w:space="0"/>
              <w:bottom w:val="single" w:color="000000" w:sz="10" w:space="0"/>
            </w:tcBorders>
            <w:vAlign w:val="top"/>
          </w:tcPr>
          <w:p w14:paraId="507C8A69">
            <w:pPr>
              <w:rPr>
                <w:rFonts w:ascii="Arial"/>
                <w:sz w:val="21"/>
              </w:rPr>
            </w:pPr>
          </w:p>
        </w:tc>
        <w:tc>
          <w:tcPr>
            <w:tcW w:w="1838" w:type="dxa"/>
            <w:tcBorders>
              <w:bottom w:val="single" w:color="000000" w:sz="10" w:space="0"/>
            </w:tcBorders>
            <w:vAlign w:val="top"/>
          </w:tcPr>
          <w:p w14:paraId="604D91AE">
            <w:pPr>
              <w:rPr>
                <w:rFonts w:ascii="Arial"/>
                <w:sz w:val="21"/>
              </w:rPr>
            </w:pPr>
          </w:p>
        </w:tc>
        <w:tc>
          <w:tcPr>
            <w:tcW w:w="1417" w:type="dxa"/>
            <w:tcBorders>
              <w:bottom w:val="single" w:color="000000" w:sz="10" w:space="0"/>
            </w:tcBorders>
            <w:vAlign w:val="top"/>
          </w:tcPr>
          <w:p w14:paraId="58114865">
            <w:pPr>
              <w:rPr>
                <w:rFonts w:ascii="Arial"/>
                <w:sz w:val="21"/>
              </w:rPr>
            </w:pPr>
          </w:p>
        </w:tc>
        <w:tc>
          <w:tcPr>
            <w:tcW w:w="2405" w:type="dxa"/>
            <w:tcBorders>
              <w:bottom w:val="single" w:color="000000" w:sz="10" w:space="0"/>
            </w:tcBorders>
            <w:vAlign w:val="top"/>
          </w:tcPr>
          <w:p w14:paraId="34D90177">
            <w:pPr>
              <w:rPr>
                <w:rFonts w:ascii="Arial"/>
                <w:sz w:val="21"/>
              </w:rPr>
            </w:pPr>
          </w:p>
        </w:tc>
        <w:tc>
          <w:tcPr>
            <w:tcW w:w="848" w:type="dxa"/>
            <w:tcBorders>
              <w:bottom w:val="single" w:color="000000" w:sz="10" w:space="0"/>
            </w:tcBorders>
            <w:vAlign w:val="top"/>
          </w:tcPr>
          <w:p w14:paraId="04E0BAC2">
            <w:pPr>
              <w:rPr>
                <w:rFonts w:ascii="Arial"/>
                <w:sz w:val="21"/>
              </w:rPr>
            </w:pPr>
          </w:p>
        </w:tc>
        <w:tc>
          <w:tcPr>
            <w:tcW w:w="1557" w:type="dxa"/>
            <w:tcBorders>
              <w:bottom w:val="single" w:color="000000" w:sz="10" w:space="0"/>
            </w:tcBorders>
            <w:vAlign w:val="top"/>
          </w:tcPr>
          <w:p w14:paraId="1440A98F">
            <w:pPr>
              <w:rPr>
                <w:rFonts w:ascii="Arial"/>
                <w:sz w:val="21"/>
              </w:rPr>
            </w:pPr>
          </w:p>
        </w:tc>
        <w:tc>
          <w:tcPr>
            <w:tcW w:w="1982" w:type="dxa"/>
            <w:tcBorders>
              <w:bottom w:val="single" w:color="000000" w:sz="10" w:space="0"/>
            </w:tcBorders>
            <w:vAlign w:val="top"/>
          </w:tcPr>
          <w:p w14:paraId="4E31C5DD">
            <w:pPr>
              <w:rPr>
                <w:rFonts w:ascii="Arial"/>
                <w:sz w:val="21"/>
              </w:rPr>
            </w:pPr>
          </w:p>
        </w:tc>
        <w:tc>
          <w:tcPr>
            <w:tcW w:w="1416" w:type="dxa"/>
            <w:tcBorders>
              <w:bottom w:val="single" w:color="000000" w:sz="10" w:space="0"/>
            </w:tcBorders>
            <w:vAlign w:val="top"/>
          </w:tcPr>
          <w:p w14:paraId="11200186">
            <w:pPr>
              <w:rPr>
                <w:rFonts w:ascii="Arial"/>
                <w:sz w:val="21"/>
              </w:rPr>
            </w:pPr>
          </w:p>
        </w:tc>
        <w:tc>
          <w:tcPr>
            <w:tcW w:w="990" w:type="dxa"/>
            <w:tcBorders>
              <w:bottom w:val="single" w:color="000000" w:sz="10" w:space="0"/>
            </w:tcBorders>
            <w:vAlign w:val="top"/>
          </w:tcPr>
          <w:p w14:paraId="3280455A">
            <w:pPr>
              <w:rPr>
                <w:rFonts w:ascii="Arial"/>
                <w:sz w:val="21"/>
              </w:rPr>
            </w:pPr>
          </w:p>
        </w:tc>
        <w:tc>
          <w:tcPr>
            <w:tcW w:w="862" w:type="dxa"/>
            <w:tcBorders>
              <w:bottom w:val="single" w:color="000000" w:sz="10" w:space="0"/>
              <w:right w:val="single" w:color="000000" w:sz="10" w:space="0"/>
            </w:tcBorders>
            <w:vAlign w:val="top"/>
          </w:tcPr>
          <w:p w14:paraId="748A66DB">
            <w:pPr>
              <w:rPr>
                <w:rFonts w:ascii="Arial"/>
                <w:sz w:val="21"/>
              </w:rPr>
            </w:pPr>
          </w:p>
        </w:tc>
      </w:tr>
    </w:tbl>
    <w:p w14:paraId="6255BC38">
      <w:pPr>
        <w:pStyle w:val="5"/>
      </w:pPr>
    </w:p>
    <w:p w14:paraId="4766D6D8">
      <w:pPr>
        <w:sectPr>
          <w:footerReference r:id="rId133" w:type="default"/>
          <w:pgSz w:w="16843" w:h="11905" w:orient="landscape"/>
          <w:pgMar w:top="1480" w:right="969" w:bottom="1355" w:left="1026" w:header="0" w:footer="754" w:gutter="0"/>
          <w:cols w:space="0" w:num="1"/>
          <w:rtlGutter w:val="0"/>
          <w:docGrid w:linePitch="0" w:charSpace="0"/>
        </w:sectPr>
      </w:pPr>
    </w:p>
    <w:p w14:paraId="38CAB53C">
      <w:pPr>
        <w:pStyle w:val="5"/>
        <w:spacing w:line="246" w:lineRule="auto"/>
      </w:pPr>
    </w:p>
    <w:p w14:paraId="3477C8F4">
      <w:pPr>
        <w:pStyle w:val="5"/>
        <w:spacing w:line="247" w:lineRule="auto"/>
      </w:pPr>
    </w:p>
    <w:p w14:paraId="4387E746">
      <w:pPr>
        <w:pStyle w:val="5"/>
        <w:spacing w:line="247" w:lineRule="auto"/>
      </w:pPr>
    </w:p>
    <w:p w14:paraId="2605DAA5">
      <w:pPr>
        <w:pStyle w:val="5"/>
        <w:spacing w:line="247" w:lineRule="auto"/>
      </w:pPr>
    </w:p>
    <w:p w14:paraId="5C1CC34A">
      <w:pPr>
        <w:pStyle w:val="5"/>
        <w:spacing w:line="247" w:lineRule="auto"/>
      </w:pPr>
    </w:p>
    <w:p w14:paraId="67D61C39">
      <w:pPr>
        <w:pStyle w:val="5"/>
        <w:spacing w:line="247" w:lineRule="auto"/>
      </w:pPr>
    </w:p>
    <w:p w14:paraId="4DED9BCD">
      <w:pPr>
        <w:spacing w:before="78" w:line="219" w:lineRule="auto"/>
        <w:rPr>
          <w:rFonts w:ascii="宋体" w:hAnsi="宋体" w:eastAsia="宋体" w:cs="宋体"/>
          <w:sz w:val="24"/>
          <w:szCs w:val="24"/>
        </w:rPr>
      </w:pPr>
      <w:bookmarkStart w:id="1226" w:name="bookmark592"/>
      <w:bookmarkEnd w:id="1226"/>
      <w:r>
        <w:rPr>
          <w:rFonts w:ascii="宋体" w:hAnsi="宋体" w:eastAsia="宋体" w:cs="宋体"/>
          <w:spacing w:val="-11"/>
          <w:sz w:val="24"/>
          <w:szCs w:val="24"/>
        </w:rPr>
        <w:t>附件</w:t>
      </w:r>
      <w:r>
        <w:rPr>
          <w:rFonts w:ascii="宋体" w:hAnsi="宋体" w:eastAsia="宋体" w:cs="宋体"/>
          <w:spacing w:val="-46"/>
          <w:sz w:val="24"/>
          <w:szCs w:val="24"/>
        </w:rPr>
        <w:t xml:space="preserve"> </w:t>
      </w:r>
      <w:r>
        <w:rPr>
          <w:rFonts w:ascii="宋体" w:hAnsi="宋体" w:eastAsia="宋体" w:cs="宋体"/>
          <w:spacing w:val="-11"/>
          <w:sz w:val="24"/>
          <w:szCs w:val="24"/>
        </w:rPr>
        <w:t>2：</w:t>
      </w:r>
    </w:p>
    <w:p w14:paraId="22418E4E">
      <w:pPr>
        <w:spacing w:before="239" w:line="219" w:lineRule="auto"/>
        <w:ind w:left="2755"/>
        <w:rPr>
          <w:rFonts w:ascii="黑体" w:hAnsi="黑体" w:eastAsia="黑体" w:cs="黑体"/>
          <w:sz w:val="28"/>
          <w:szCs w:val="28"/>
        </w:rPr>
      </w:pPr>
      <w:r>
        <w:rPr>
          <w:rFonts w:ascii="黑体" w:hAnsi="黑体" w:eastAsia="黑体" w:cs="黑体"/>
          <w:spacing w:val="-1"/>
          <w:sz w:val="28"/>
          <w:szCs w:val="28"/>
        </w:rPr>
        <w:t>发包人供应材料设备一览表</w:t>
      </w:r>
    </w:p>
    <w:p w14:paraId="1F43F475">
      <w:pPr>
        <w:spacing w:line="116" w:lineRule="exact"/>
      </w:pPr>
    </w:p>
    <w:tbl>
      <w:tblPr>
        <w:tblStyle w:val="10"/>
        <w:tblW w:w="8746"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1132"/>
        <w:gridCol w:w="848"/>
        <w:gridCol w:w="706"/>
        <w:gridCol w:w="708"/>
        <w:gridCol w:w="848"/>
        <w:gridCol w:w="847"/>
        <w:gridCol w:w="802"/>
        <w:gridCol w:w="1460"/>
        <w:gridCol w:w="816"/>
      </w:tblGrid>
      <w:tr w14:paraId="7704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79" w:type="dxa"/>
            <w:tcBorders>
              <w:top w:val="single" w:color="000000" w:sz="10" w:space="0"/>
              <w:left w:val="single" w:color="000000" w:sz="10" w:space="0"/>
            </w:tcBorders>
            <w:textDirection w:val="tbRlV"/>
            <w:vAlign w:val="top"/>
          </w:tcPr>
          <w:p w14:paraId="47638721">
            <w:pPr>
              <w:pStyle w:val="11"/>
              <w:spacing w:before="183" w:line="211" w:lineRule="auto"/>
              <w:ind w:left="177"/>
            </w:pPr>
            <w:r>
              <w:rPr>
                <w:spacing w:val="1"/>
              </w:rPr>
              <w:t>序</w:t>
            </w:r>
            <w:r>
              <w:rPr>
                <w:spacing w:val="9"/>
              </w:rPr>
              <w:t xml:space="preserve">  </w:t>
            </w:r>
            <w:r>
              <w:rPr>
                <w:spacing w:val="1"/>
              </w:rPr>
              <w:t>号</w:t>
            </w:r>
          </w:p>
        </w:tc>
        <w:tc>
          <w:tcPr>
            <w:tcW w:w="1132" w:type="dxa"/>
            <w:tcBorders>
              <w:top w:val="single" w:color="000000" w:sz="10" w:space="0"/>
            </w:tcBorders>
            <w:vAlign w:val="top"/>
          </w:tcPr>
          <w:p w14:paraId="1F092834">
            <w:pPr>
              <w:pStyle w:val="11"/>
              <w:spacing w:before="176" w:line="310" w:lineRule="auto"/>
              <w:ind w:left="108" w:right="182" w:firstLine="239"/>
            </w:pPr>
            <w:r>
              <w:rPr>
                <w:spacing w:val="-13"/>
              </w:rPr>
              <w:t>材料、</w:t>
            </w:r>
            <w:r>
              <w:rPr>
                <w:spacing w:val="-3"/>
              </w:rPr>
              <w:t>设备品种</w:t>
            </w:r>
          </w:p>
        </w:tc>
        <w:tc>
          <w:tcPr>
            <w:tcW w:w="848" w:type="dxa"/>
            <w:tcBorders>
              <w:top w:val="single" w:color="000000" w:sz="10" w:space="0"/>
            </w:tcBorders>
            <w:vAlign w:val="top"/>
          </w:tcPr>
          <w:p w14:paraId="671FC855">
            <w:pPr>
              <w:pStyle w:val="11"/>
              <w:spacing w:before="177" w:line="221" w:lineRule="auto"/>
              <w:ind w:left="210"/>
            </w:pPr>
            <w:r>
              <w:rPr>
                <w:spacing w:val="-2"/>
              </w:rPr>
              <w:t>规格</w:t>
            </w:r>
          </w:p>
          <w:p w14:paraId="161C76CC">
            <w:pPr>
              <w:pStyle w:val="11"/>
              <w:spacing w:before="188" w:line="222" w:lineRule="auto"/>
              <w:ind w:left="215"/>
            </w:pPr>
            <w:r>
              <w:rPr>
                <w:spacing w:val="-4"/>
              </w:rPr>
              <w:t>型号</w:t>
            </w:r>
          </w:p>
        </w:tc>
        <w:tc>
          <w:tcPr>
            <w:tcW w:w="706" w:type="dxa"/>
            <w:tcBorders>
              <w:top w:val="single" w:color="000000" w:sz="10" w:space="0"/>
            </w:tcBorders>
            <w:vAlign w:val="top"/>
          </w:tcPr>
          <w:p w14:paraId="1239C552">
            <w:pPr>
              <w:spacing w:line="328" w:lineRule="auto"/>
              <w:rPr>
                <w:rFonts w:ascii="Arial"/>
                <w:sz w:val="21"/>
              </w:rPr>
            </w:pPr>
          </w:p>
          <w:p w14:paraId="74110AF8">
            <w:pPr>
              <w:pStyle w:val="11"/>
              <w:spacing w:before="68" w:line="221" w:lineRule="auto"/>
              <w:ind w:left="143"/>
            </w:pPr>
            <w:r>
              <w:rPr>
                <w:spacing w:val="-2"/>
              </w:rPr>
              <w:t>单位</w:t>
            </w:r>
          </w:p>
        </w:tc>
        <w:tc>
          <w:tcPr>
            <w:tcW w:w="708" w:type="dxa"/>
            <w:tcBorders>
              <w:top w:val="single" w:color="000000" w:sz="10" w:space="0"/>
            </w:tcBorders>
            <w:vAlign w:val="top"/>
          </w:tcPr>
          <w:p w14:paraId="30E97FC4">
            <w:pPr>
              <w:spacing w:line="327" w:lineRule="auto"/>
              <w:rPr>
                <w:rFonts w:ascii="Arial"/>
                <w:sz w:val="21"/>
              </w:rPr>
            </w:pPr>
          </w:p>
          <w:p w14:paraId="066587A1">
            <w:pPr>
              <w:pStyle w:val="11"/>
              <w:spacing w:before="68" w:line="221" w:lineRule="auto"/>
              <w:ind w:left="145"/>
            </w:pPr>
            <w:r>
              <w:rPr>
                <w:spacing w:val="-2"/>
              </w:rPr>
              <w:t>数量</w:t>
            </w:r>
          </w:p>
        </w:tc>
        <w:tc>
          <w:tcPr>
            <w:tcW w:w="848" w:type="dxa"/>
            <w:tcBorders>
              <w:top w:val="single" w:color="000000" w:sz="10" w:space="0"/>
            </w:tcBorders>
            <w:vAlign w:val="top"/>
          </w:tcPr>
          <w:p w14:paraId="09B7CA46">
            <w:pPr>
              <w:pStyle w:val="11"/>
              <w:spacing w:before="176" w:line="310" w:lineRule="auto"/>
              <w:ind w:left="116" w:right="116" w:firstLine="100"/>
            </w:pPr>
            <w:r>
              <w:rPr>
                <w:spacing w:val="-4"/>
              </w:rPr>
              <w:t>单价</w:t>
            </w:r>
            <w:r>
              <w:rPr>
                <w:spacing w:val="-9"/>
              </w:rPr>
              <w:t>（元）</w:t>
            </w:r>
          </w:p>
        </w:tc>
        <w:tc>
          <w:tcPr>
            <w:tcW w:w="847" w:type="dxa"/>
            <w:tcBorders>
              <w:top w:val="single" w:color="000000" w:sz="10" w:space="0"/>
            </w:tcBorders>
            <w:vAlign w:val="top"/>
          </w:tcPr>
          <w:p w14:paraId="360A2F62">
            <w:pPr>
              <w:pStyle w:val="11"/>
              <w:spacing w:before="177" w:line="221" w:lineRule="auto"/>
              <w:ind w:left="221"/>
            </w:pPr>
            <w:r>
              <w:rPr>
                <w:spacing w:val="-2"/>
              </w:rPr>
              <w:t>质量</w:t>
            </w:r>
          </w:p>
          <w:p w14:paraId="6CCD1695">
            <w:pPr>
              <w:pStyle w:val="11"/>
              <w:spacing w:before="186" w:line="221" w:lineRule="auto"/>
              <w:ind w:left="221"/>
            </w:pPr>
            <w:r>
              <w:rPr>
                <w:spacing w:val="-2"/>
              </w:rPr>
              <w:t>等级</w:t>
            </w:r>
          </w:p>
        </w:tc>
        <w:tc>
          <w:tcPr>
            <w:tcW w:w="802" w:type="dxa"/>
            <w:tcBorders>
              <w:top w:val="single" w:color="000000" w:sz="10" w:space="0"/>
            </w:tcBorders>
            <w:vAlign w:val="top"/>
          </w:tcPr>
          <w:p w14:paraId="13A0648B">
            <w:pPr>
              <w:pStyle w:val="11"/>
              <w:spacing w:before="177" w:line="220" w:lineRule="auto"/>
              <w:ind w:left="198"/>
            </w:pPr>
            <w:r>
              <w:rPr>
                <w:spacing w:val="-2"/>
              </w:rPr>
              <w:t>供应</w:t>
            </w:r>
          </w:p>
          <w:p w14:paraId="34892D32">
            <w:pPr>
              <w:pStyle w:val="11"/>
              <w:spacing w:before="188" w:line="223" w:lineRule="auto"/>
              <w:ind w:left="208"/>
            </w:pPr>
            <w:r>
              <w:rPr>
                <w:spacing w:val="-4"/>
              </w:rPr>
              <w:t>时间</w:t>
            </w:r>
          </w:p>
        </w:tc>
        <w:tc>
          <w:tcPr>
            <w:tcW w:w="1460" w:type="dxa"/>
            <w:tcBorders>
              <w:top w:val="single" w:color="000000" w:sz="10" w:space="0"/>
            </w:tcBorders>
            <w:vAlign w:val="top"/>
          </w:tcPr>
          <w:p w14:paraId="6939C125">
            <w:pPr>
              <w:spacing w:line="327" w:lineRule="auto"/>
              <w:rPr>
                <w:rFonts w:ascii="Arial"/>
                <w:sz w:val="21"/>
              </w:rPr>
            </w:pPr>
          </w:p>
          <w:p w14:paraId="18464C9B">
            <w:pPr>
              <w:pStyle w:val="11"/>
              <w:spacing w:before="69" w:line="225" w:lineRule="auto"/>
              <w:ind w:left="316"/>
            </w:pPr>
            <w:r>
              <w:rPr>
                <w:spacing w:val="-1"/>
              </w:rPr>
              <w:t>送达地点</w:t>
            </w:r>
          </w:p>
        </w:tc>
        <w:tc>
          <w:tcPr>
            <w:tcW w:w="816" w:type="dxa"/>
            <w:tcBorders>
              <w:top w:val="single" w:color="000000" w:sz="10" w:space="0"/>
              <w:right w:val="single" w:color="000000" w:sz="10" w:space="0"/>
            </w:tcBorders>
            <w:vAlign w:val="top"/>
          </w:tcPr>
          <w:p w14:paraId="0B8A7083">
            <w:pPr>
              <w:spacing w:line="328" w:lineRule="auto"/>
              <w:rPr>
                <w:rFonts w:ascii="Arial"/>
                <w:sz w:val="21"/>
              </w:rPr>
            </w:pPr>
          </w:p>
          <w:p w14:paraId="5B652952">
            <w:pPr>
              <w:pStyle w:val="11"/>
              <w:spacing w:before="68" w:line="222" w:lineRule="auto"/>
              <w:ind w:left="207"/>
            </w:pPr>
            <w:r>
              <w:rPr>
                <w:spacing w:val="-3"/>
              </w:rPr>
              <w:t>备注</w:t>
            </w:r>
          </w:p>
        </w:tc>
      </w:tr>
      <w:tr w14:paraId="51EB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79" w:type="dxa"/>
            <w:tcBorders>
              <w:left w:val="single" w:color="000000" w:sz="10" w:space="0"/>
            </w:tcBorders>
            <w:vAlign w:val="top"/>
          </w:tcPr>
          <w:p w14:paraId="0E4468A0">
            <w:pPr>
              <w:rPr>
                <w:rFonts w:ascii="Arial"/>
                <w:sz w:val="21"/>
              </w:rPr>
            </w:pPr>
          </w:p>
        </w:tc>
        <w:tc>
          <w:tcPr>
            <w:tcW w:w="1132" w:type="dxa"/>
            <w:vAlign w:val="top"/>
          </w:tcPr>
          <w:p w14:paraId="01424196">
            <w:pPr>
              <w:rPr>
                <w:rFonts w:ascii="Arial"/>
                <w:sz w:val="21"/>
              </w:rPr>
            </w:pPr>
          </w:p>
        </w:tc>
        <w:tc>
          <w:tcPr>
            <w:tcW w:w="848" w:type="dxa"/>
            <w:vAlign w:val="top"/>
          </w:tcPr>
          <w:p w14:paraId="7B93A3D8">
            <w:pPr>
              <w:rPr>
                <w:rFonts w:ascii="Arial"/>
                <w:sz w:val="21"/>
              </w:rPr>
            </w:pPr>
          </w:p>
        </w:tc>
        <w:tc>
          <w:tcPr>
            <w:tcW w:w="706" w:type="dxa"/>
            <w:vAlign w:val="top"/>
          </w:tcPr>
          <w:p w14:paraId="2FEA530B">
            <w:pPr>
              <w:rPr>
                <w:rFonts w:ascii="Arial"/>
                <w:sz w:val="21"/>
              </w:rPr>
            </w:pPr>
          </w:p>
        </w:tc>
        <w:tc>
          <w:tcPr>
            <w:tcW w:w="708" w:type="dxa"/>
            <w:vAlign w:val="top"/>
          </w:tcPr>
          <w:p w14:paraId="49CC5813">
            <w:pPr>
              <w:rPr>
                <w:rFonts w:ascii="Arial"/>
                <w:sz w:val="21"/>
              </w:rPr>
            </w:pPr>
          </w:p>
        </w:tc>
        <w:tc>
          <w:tcPr>
            <w:tcW w:w="848" w:type="dxa"/>
            <w:vAlign w:val="top"/>
          </w:tcPr>
          <w:p w14:paraId="1C772C3E">
            <w:pPr>
              <w:rPr>
                <w:rFonts w:ascii="Arial"/>
                <w:sz w:val="21"/>
              </w:rPr>
            </w:pPr>
          </w:p>
        </w:tc>
        <w:tc>
          <w:tcPr>
            <w:tcW w:w="847" w:type="dxa"/>
            <w:vAlign w:val="top"/>
          </w:tcPr>
          <w:p w14:paraId="3184E166">
            <w:pPr>
              <w:rPr>
                <w:rFonts w:ascii="Arial"/>
                <w:sz w:val="21"/>
              </w:rPr>
            </w:pPr>
          </w:p>
        </w:tc>
        <w:tc>
          <w:tcPr>
            <w:tcW w:w="802" w:type="dxa"/>
            <w:vAlign w:val="top"/>
          </w:tcPr>
          <w:p w14:paraId="52080E3B">
            <w:pPr>
              <w:rPr>
                <w:rFonts w:ascii="Arial"/>
                <w:sz w:val="21"/>
              </w:rPr>
            </w:pPr>
          </w:p>
        </w:tc>
        <w:tc>
          <w:tcPr>
            <w:tcW w:w="1460" w:type="dxa"/>
            <w:vAlign w:val="top"/>
          </w:tcPr>
          <w:p w14:paraId="5E34958A">
            <w:pPr>
              <w:rPr>
                <w:rFonts w:ascii="Arial"/>
                <w:sz w:val="21"/>
              </w:rPr>
            </w:pPr>
          </w:p>
        </w:tc>
        <w:tc>
          <w:tcPr>
            <w:tcW w:w="816" w:type="dxa"/>
            <w:tcBorders>
              <w:right w:val="single" w:color="000000" w:sz="10" w:space="0"/>
            </w:tcBorders>
            <w:vAlign w:val="top"/>
          </w:tcPr>
          <w:p w14:paraId="34EE46A7">
            <w:pPr>
              <w:rPr>
                <w:rFonts w:ascii="Arial"/>
                <w:sz w:val="21"/>
              </w:rPr>
            </w:pPr>
          </w:p>
        </w:tc>
      </w:tr>
      <w:tr w14:paraId="76359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9" w:type="dxa"/>
            <w:tcBorders>
              <w:left w:val="single" w:color="000000" w:sz="10" w:space="0"/>
            </w:tcBorders>
            <w:vAlign w:val="top"/>
          </w:tcPr>
          <w:p w14:paraId="1F14FC54">
            <w:pPr>
              <w:rPr>
                <w:rFonts w:ascii="Arial"/>
                <w:sz w:val="21"/>
              </w:rPr>
            </w:pPr>
          </w:p>
        </w:tc>
        <w:tc>
          <w:tcPr>
            <w:tcW w:w="1132" w:type="dxa"/>
            <w:vAlign w:val="top"/>
          </w:tcPr>
          <w:p w14:paraId="00CB8DCA">
            <w:pPr>
              <w:rPr>
                <w:rFonts w:ascii="Arial"/>
                <w:sz w:val="21"/>
              </w:rPr>
            </w:pPr>
          </w:p>
        </w:tc>
        <w:tc>
          <w:tcPr>
            <w:tcW w:w="848" w:type="dxa"/>
            <w:vAlign w:val="top"/>
          </w:tcPr>
          <w:p w14:paraId="3E097EF3">
            <w:pPr>
              <w:rPr>
                <w:rFonts w:ascii="Arial"/>
                <w:sz w:val="21"/>
              </w:rPr>
            </w:pPr>
          </w:p>
        </w:tc>
        <w:tc>
          <w:tcPr>
            <w:tcW w:w="706" w:type="dxa"/>
            <w:vAlign w:val="top"/>
          </w:tcPr>
          <w:p w14:paraId="66578065">
            <w:pPr>
              <w:rPr>
                <w:rFonts w:ascii="Arial"/>
                <w:sz w:val="21"/>
              </w:rPr>
            </w:pPr>
          </w:p>
        </w:tc>
        <w:tc>
          <w:tcPr>
            <w:tcW w:w="708" w:type="dxa"/>
            <w:vAlign w:val="top"/>
          </w:tcPr>
          <w:p w14:paraId="4521FA04">
            <w:pPr>
              <w:rPr>
                <w:rFonts w:ascii="Arial"/>
                <w:sz w:val="21"/>
              </w:rPr>
            </w:pPr>
          </w:p>
        </w:tc>
        <w:tc>
          <w:tcPr>
            <w:tcW w:w="848" w:type="dxa"/>
            <w:vAlign w:val="top"/>
          </w:tcPr>
          <w:p w14:paraId="75BF9C24">
            <w:pPr>
              <w:rPr>
                <w:rFonts w:ascii="Arial"/>
                <w:sz w:val="21"/>
              </w:rPr>
            </w:pPr>
          </w:p>
        </w:tc>
        <w:tc>
          <w:tcPr>
            <w:tcW w:w="847" w:type="dxa"/>
            <w:vAlign w:val="top"/>
          </w:tcPr>
          <w:p w14:paraId="2CAC0C44">
            <w:pPr>
              <w:rPr>
                <w:rFonts w:ascii="Arial"/>
                <w:sz w:val="21"/>
              </w:rPr>
            </w:pPr>
          </w:p>
        </w:tc>
        <w:tc>
          <w:tcPr>
            <w:tcW w:w="802" w:type="dxa"/>
            <w:vAlign w:val="top"/>
          </w:tcPr>
          <w:p w14:paraId="3482934C">
            <w:pPr>
              <w:rPr>
                <w:rFonts w:ascii="Arial"/>
                <w:sz w:val="21"/>
              </w:rPr>
            </w:pPr>
          </w:p>
        </w:tc>
        <w:tc>
          <w:tcPr>
            <w:tcW w:w="1460" w:type="dxa"/>
            <w:vAlign w:val="top"/>
          </w:tcPr>
          <w:p w14:paraId="4FFCC710">
            <w:pPr>
              <w:rPr>
                <w:rFonts w:ascii="Arial"/>
                <w:sz w:val="21"/>
              </w:rPr>
            </w:pPr>
          </w:p>
        </w:tc>
        <w:tc>
          <w:tcPr>
            <w:tcW w:w="816" w:type="dxa"/>
            <w:tcBorders>
              <w:right w:val="single" w:color="000000" w:sz="10" w:space="0"/>
            </w:tcBorders>
            <w:vAlign w:val="top"/>
          </w:tcPr>
          <w:p w14:paraId="653AFE66">
            <w:pPr>
              <w:rPr>
                <w:rFonts w:ascii="Arial"/>
                <w:sz w:val="21"/>
              </w:rPr>
            </w:pPr>
          </w:p>
        </w:tc>
      </w:tr>
      <w:tr w14:paraId="23E9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18AC2864">
            <w:pPr>
              <w:rPr>
                <w:rFonts w:ascii="Arial"/>
                <w:sz w:val="21"/>
              </w:rPr>
            </w:pPr>
          </w:p>
        </w:tc>
        <w:tc>
          <w:tcPr>
            <w:tcW w:w="1132" w:type="dxa"/>
            <w:vAlign w:val="top"/>
          </w:tcPr>
          <w:p w14:paraId="7FEE1ACB">
            <w:pPr>
              <w:rPr>
                <w:rFonts w:ascii="Arial"/>
                <w:sz w:val="21"/>
              </w:rPr>
            </w:pPr>
          </w:p>
        </w:tc>
        <w:tc>
          <w:tcPr>
            <w:tcW w:w="848" w:type="dxa"/>
            <w:vAlign w:val="top"/>
          </w:tcPr>
          <w:p w14:paraId="69E66F2D">
            <w:pPr>
              <w:rPr>
                <w:rFonts w:ascii="Arial"/>
                <w:sz w:val="21"/>
              </w:rPr>
            </w:pPr>
          </w:p>
        </w:tc>
        <w:tc>
          <w:tcPr>
            <w:tcW w:w="706" w:type="dxa"/>
            <w:vAlign w:val="top"/>
          </w:tcPr>
          <w:p w14:paraId="5D610C9D">
            <w:pPr>
              <w:rPr>
                <w:rFonts w:ascii="Arial"/>
                <w:sz w:val="21"/>
              </w:rPr>
            </w:pPr>
          </w:p>
        </w:tc>
        <w:tc>
          <w:tcPr>
            <w:tcW w:w="708" w:type="dxa"/>
            <w:vAlign w:val="top"/>
          </w:tcPr>
          <w:p w14:paraId="2532AFDD">
            <w:pPr>
              <w:rPr>
                <w:rFonts w:ascii="Arial"/>
                <w:sz w:val="21"/>
              </w:rPr>
            </w:pPr>
          </w:p>
        </w:tc>
        <w:tc>
          <w:tcPr>
            <w:tcW w:w="848" w:type="dxa"/>
            <w:vAlign w:val="top"/>
          </w:tcPr>
          <w:p w14:paraId="736AE74B">
            <w:pPr>
              <w:rPr>
                <w:rFonts w:ascii="Arial"/>
                <w:sz w:val="21"/>
              </w:rPr>
            </w:pPr>
          </w:p>
        </w:tc>
        <w:tc>
          <w:tcPr>
            <w:tcW w:w="847" w:type="dxa"/>
            <w:vAlign w:val="top"/>
          </w:tcPr>
          <w:p w14:paraId="5112AB40">
            <w:pPr>
              <w:rPr>
                <w:rFonts w:ascii="Arial"/>
                <w:sz w:val="21"/>
              </w:rPr>
            </w:pPr>
          </w:p>
        </w:tc>
        <w:tc>
          <w:tcPr>
            <w:tcW w:w="802" w:type="dxa"/>
            <w:vAlign w:val="top"/>
          </w:tcPr>
          <w:p w14:paraId="3585CE4F">
            <w:pPr>
              <w:rPr>
                <w:rFonts w:ascii="Arial"/>
                <w:sz w:val="21"/>
              </w:rPr>
            </w:pPr>
          </w:p>
        </w:tc>
        <w:tc>
          <w:tcPr>
            <w:tcW w:w="1460" w:type="dxa"/>
            <w:vAlign w:val="top"/>
          </w:tcPr>
          <w:p w14:paraId="64170BF8">
            <w:pPr>
              <w:rPr>
                <w:rFonts w:ascii="Arial"/>
                <w:sz w:val="21"/>
              </w:rPr>
            </w:pPr>
          </w:p>
        </w:tc>
        <w:tc>
          <w:tcPr>
            <w:tcW w:w="816" w:type="dxa"/>
            <w:tcBorders>
              <w:right w:val="single" w:color="000000" w:sz="10" w:space="0"/>
            </w:tcBorders>
            <w:vAlign w:val="top"/>
          </w:tcPr>
          <w:p w14:paraId="771EF0B5">
            <w:pPr>
              <w:rPr>
                <w:rFonts w:ascii="Arial"/>
                <w:sz w:val="21"/>
              </w:rPr>
            </w:pPr>
          </w:p>
        </w:tc>
      </w:tr>
      <w:tr w14:paraId="12F4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9" w:type="dxa"/>
            <w:tcBorders>
              <w:left w:val="single" w:color="000000" w:sz="10" w:space="0"/>
            </w:tcBorders>
            <w:vAlign w:val="top"/>
          </w:tcPr>
          <w:p w14:paraId="0B88A70A">
            <w:pPr>
              <w:rPr>
                <w:rFonts w:ascii="Arial"/>
                <w:sz w:val="21"/>
              </w:rPr>
            </w:pPr>
          </w:p>
        </w:tc>
        <w:tc>
          <w:tcPr>
            <w:tcW w:w="1132" w:type="dxa"/>
            <w:vAlign w:val="top"/>
          </w:tcPr>
          <w:p w14:paraId="3C0AECF0">
            <w:pPr>
              <w:rPr>
                <w:rFonts w:ascii="Arial"/>
                <w:sz w:val="21"/>
              </w:rPr>
            </w:pPr>
          </w:p>
        </w:tc>
        <w:tc>
          <w:tcPr>
            <w:tcW w:w="848" w:type="dxa"/>
            <w:vAlign w:val="top"/>
          </w:tcPr>
          <w:p w14:paraId="341309E5">
            <w:pPr>
              <w:rPr>
                <w:rFonts w:ascii="Arial"/>
                <w:sz w:val="21"/>
              </w:rPr>
            </w:pPr>
          </w:p>
        </w:tc>
        <w:tc>
          <w:tcPr>
            <w:tcW w:w="706" w:type="dxa"/>
            <w:vAlign w:val="top"/>
          </w:tcPr>
          <w:p w14:paraId="7973C24C">
            <w:pPr>
              <w:rPr>
                <w:rFonts w:ascii="Arial"/>
                <w:sz w:val="21"/>
              </w:rPr>
            </w:pPr>
          </w:p>
        </w:tc>
        <w:tc>
          <w:tcPr>
            <w:tcW w:w="708" w:type="dxa"/>
            <w:vAlign w:val="top"/>
          </w:tcPr>
          <w:p w14:paraId="6E48C5B9">
            <w:pPr>
              <w:rPr>
                <w:rFonts w:ascii="Arial"/>
                <w:sz w:val="21"/>
              </w:rPr>
            </w:pPr>
          </w:p>
        </w:tc>
        <w:tc>
          <w:tcPr>
            <w:tcW w:w="848" w:type="dxa"/>
            <w:vAlign w:val="top"/>
          </w:tcPr>
          <w:p w14:paraId="6E1878AD">
            <w:pPr>
              <w:rPr>
                <w:rFonts w:ascii="Arial"/>
                <w:sz w:val="21"/>
              </w:rPr>
            </w:pPr>
          </w:p>
        </w:tc>
        <w:tc>
          <w:tcPr>
            <w:tcW w:w="847" w:type="dxa"/>
            <w:vAlign w:val="top"/>
          </w:tcPr>
          <w:p w14:paraId="7BE7E391">
            <w:pPr>
              <w:rPr>
                <w:rFonts w:ascii="Arial"/>
                <w:sz w:val="21"/>
              </w:rPr>
            </w:pPr>
          </w:p>
        </w:tc>
        <w:tc>
          <w:tcPr>
            <w:tcW w:w="802" w:type="dxa"/>
            <w:vAlign w:val="top"/>
          </w:tcPr>
          <w:p w14:paraId="6B90BC60">
            <w:pPr>
              <w:rPr>
                <w:rFonts w:ascii="Arial"/>
                <w:sz w:val="21"/>
              </w:rPr>
            </w:pPr>
          </w:p>
        </w:tc>
        <w:tc>
          <w:tcPr>
            <w:tcW w:w="1460" w:type="dxa"/>
            <w:vAlign w:val="top"/>
          </w:tcPr>
          <w:p w14:paraId="09E3B81F">
            <w:pPr>
              <w:rPr>
                <w:rFonts w:ascii="Arial"/>
                <w:sz w:val="21"/>
              </w:rPr>
            </w:pPr>
          </w:p>
        </w:tc>
        <w:tc>
          <w:tcPr>
            <w:tcW w:w="816" w:type="dxa"/>
            <w:tcBorders>
              <w:right w:val="single" w:color="000000" w:sz="10" w:space="0"/>
            </w:tcBorders>
            <w:vAlign w:val="top"/>
          </w:tcPr>
          <w:p w14:paraId="6B5E09A1">
            <w:pPr>
              <w:rPr>
                <w:rFonts w:ascii="Arial"/>
                <w:sz w:val="21"/>
              </w:rPr>
            </w:pPr>
          </w:p>
        </w:tc>
      </w:tr>
      <w:tr w14:paraId="04D4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2A81202D">
            <w:pPr>
              <w:rPr>
                <w:rFonts w:ascii="Arial"/>
                <w:sz w:val="21"/>
              </w:rPr>
            </w:pPr>
          </w:p>
        </w:tc>
        <w:tc>
          <w:tcPr>
            <w:tcW w:w="1132" w:type="dxa"/>
            <w:vAlign w:val="top"/>
          </w:tcPr>
          <w:p w14:paraId="2F3A5C04">
            <w:pPr>
              <w:rPr>
                <w:rFonts w:ascii="Arial"/>
                <w:sz w:val="21"/>
              </w:rPr>
            </w:pPr>
          </w:p>
        </w:tc>
        <w:tc>
          <w:tcPr>
            <w:tcW w:w="848" w:type="dxa"/>
            <w:vAlign w:val="top"/>
          </w:tcPr>
          <w:p w14:paraId="17DA5856">
            <w:pPr>
              <w:rPr>
                <w:rFonts w:ascii="Arial"/>
                <w:sz w:val="21"/>
              </w:rPr>
            </w:pPr>
          </w:p>
        </w:tc>
        <w:tc>
          <w:tcPr>
            <w:tcW w:w="706" w:type="dxa"/>
            <w:vAlign w:val="top"/>
          </w:tcPr>
          <w:p w14:paraId="5013936D">
            <w:pPr>
              <w:rPr>
                <w:rFonts w:ascii="Arial"/>
                <w:sz w:val="21"/>
              </w:rPr>
            </w:pPr>
          </w:p>
        </w:tc>
        <w:tc>
          <w:tcPr>
            <w:tcW w:w="708" w:type="dxa"/>
            <w:vAlign w:val="top"/>
          </w:tcPr>
          <w:p w14:paraId="04C52DE5">
            <w:pPr>
              <w:rPr>
                <w:rFonts w:ascii="Arial"/>
                <w:sz w:val="21"/>
              </w:rPr>
            </w:pPr>
          </w:p>
        </w:tc>
        <w:tc>
          <w:tcPr>
            <w:tcW w:w="848" w:type="dxa"/>
            <w:vAlign w:val="top"/>
          </w:tcPr>
          <w:p w14:paraId="5C888BA9">
            <w:pPr>
              <w:rPr>
                <w:rFonts w:ascii="Arial"/>
                <w:sz w:val="21"/>
              </w:rPr>
            </w:pPr>
          </w:p>
        </w:tc>
        <w:tc>
          <w:tcPr>
            <w:tcW w:w="847" w:type="dxa"/>
            <w:vAlign w:val="top"/>
          </w:tcPr>
          <w:p w14:paraId="1AEDEA3C">
            <w:pPr>
              <w:rPr>
                <w:rFonts w:ascii="Arial"/>
                <w:sz w:val="21"/>
              </w:rPr>
            </w:pPr>
          </w:p>
        </w:tc>
        <w:tc>
          <w:tcPr>
            <w:tcW w:w="802" w:type="dxa"/>
            <w:vAlign w:val="top"/>
          </w:tcPr>
          <w:p w14:paraId="0F963597">
            <w:pPr>
              <w:rPr>
                <w:rFonts w:ascii="Arial"/>
                <w:sz w:val="21"/>
              </w:rPr>
            </w:pPr>
          </w:p>
        </w:tc>
        <w:tc>
          <w:tcPr>
            <w:tcW w:w="1460" w:type="dxa"/>
            <w:vAlign w:val="top"/>
          </w:tcPr>
          <w:p w14:paraId="2A98CCF6">
            <w:pPr>
              <w:rPr>
                <w:rFonts w:ascii="Arial"/>
                <w:sz w:val="21"/>
              </w:rPr>
            </w:pPr>
          </w:p>
        </w:tc>
        <w:tc>
          <w:tcPr>
            <w:tcW w:w="816" w:type="dxa"/>
            <w:tcBorders>
              <w:right w:val="single" w:color="000000" w:sz="10" w:space="0"/>
            </w:tcBorders>
            <w:vAlign w:val="top"/>
          </w:tcPr>
          <w:p w14:paraId="1FD01544">
            <w:pPr>
              <w:rPr>
                <w:rFonts w:ascii="Arial"/>
                <w:sz w:val="21"/>
              </w:rPr>
            </w:pPr>
          </w:p>
        </w:tc>
      </w:tr>
      <w:tr w14:paraId="3D7C8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9" w:type="dxa"/>
            <w:tcBorders>
              <w:left w:val="single" w:color="000000" w:sz="10" w:space="0"/>
            </w:tcBorders>
            <w:vAlign w:val="top"/>
          </w:tcPr>
          <w:p w14:paraId="5F44570B">
            <w:pPr>
              <w:rPr>
                <w:rFonts w:ascii="Arial"/>
                <w:sz w:val="21"/>
              </w:rPr>
            </w:pPr>
          </w:p>
        </w:tc>
        <w:tc>
          <w:tcPr>
            <w:tcW w:w="1132" w:type="dxa"/>
            <w:vAlign w:val="top"/>
          </w:tcPr>
          <w:p w14:paraId="351AD8D0">
            <w:pPr>
              <w:rPr>
                <w:rFonts w:ascii="Arial"/>
                <w:sz w:val="21"/>
              </w:rPr>
            </w:pPr>
          </w:p>
        </w:tc>
        <w:tc>
          <w:tcPr>
            <w:tcW w:w="848" w:type="dxa"/>
            <w:vAlign w:val="top"/>
          </w:tcPr>
          <w:p w14:paraId="539B80F9">
            <w:pPr>
              <w:rPr>
                <w:rFonts w:ascii="Arial"/>
                <w:sz w:val="21"/>
              </w:rPr>
            </w:pPr>
          </w:p>
        </w:tc>
        <w:tc>
          <w:tcPr>
            <w:tcW w:w="706" w:type="dxa"/>
            <w:vAlign w:val="top"/>
          </w:tcPr>
          <w:p w14:paraId="2F0D4AAF">
            <w:pPr>
              <w:rPr>
                <w:rFonts w:ascii="Arial"/>
                <w:sz w:val="21"/>
              </w:rPr>
            </w:pPr>
          </w:p>
        </w:tc>
        <w:tc>
          <w:tcPr>
            <w:tcW w:w="708" w:type="dxa"/>
            <w:vAlign w:val="top"/>
          </w:tcPr>
          <w:p w14:paraId="7CF325CD">
            <w:pPr>
              <w:rPr>
                <w:rFonts w:ascii="Arial"/>
                <w:sz w:val="21"/>
              </w:rPr>
            </w:pPr>
          </w:p>
        </w:tc>
        <w:tc>
          <w:tcPr>
            <w:tcW w:w="848" w:type="dxa"/>
            <w:vAlign w:val="top"/>
          </w:tcPr>
          <w:p w14:paraId="78900E28">
            <w:pPr>
              <w:rPr>
                <w:rFonts w:ascii="Arial"/>
                <w:sz w:val="21"/>
              </w:rPr>
            </w:pPr>
          </w:p>
        </w:tc>
        <w:tc>
          <w:tcPr>
            <w:tcW w:w="847" w:type="dxa"/>
            <w:vAlign w:val="top"/>
          </w:tcPr>
          <w:p w14:paraId="5819AFCF">
            <w:pPr>
              <w:rPr>
                <w:rFonts w:ascii="Arial"/>
                <w:sz w:val="21"/>
              </w:rPr>
            </w:pPr>
          </w:p>
        </w:tc>
        <w:tc>
          <w:tcPr>
            <w:tcW w:w="802" w:type="dxa"/>
            <w:vAlign w:val="top"/>
          </w:tcPr>
          <w:p w14:paraId="76CDA661">
            <w:pPr>
              <w:rPr>
                <w:rFonts w:ascii="Arial"/>
                <w:sz w:val="21"/>
              </w:rPr>
            </w:pPr>
          </w:p>
        </w:tc>
        <w:tc>
          <w:tcPr>
            <w:tcW w:w="1460" w:type="dxa"/>
            <w:vAlign w:val="top"/>
          </w:tcPr>
          <w:p w14:paraId="11C881CA">
            <w:pPr>
              <w:rPr>
                <w:rFonts w:ascii="Arial"/>
                <w:sz w:val="21"/>
              </w:rPr>
            </w:pPr>
          </w:p>
        </w:tc>
        <w:tc>
          <w:tcPr>
            <w:tcW w:w="816" w:type="dxa"/>
            <w:tcBorders>
              <w:right w:val="single" w:color="000000" w:sz="10" w:space="0"/>
            </w:tcBorders>
            <w:vAlign w:val="top"/>
          </w:tcPr>
          <w:p w14:paraId="285CDFB1">
            <w:pPr>
              <w:rPr>
                <w:rFonts w:ascii="Arial"/>
                <w:sz w:val="21"/>
              </w:rPr>
            </w:pPr>
          </w:p>
        </w:tc>
      </w:tr>
      <w:tr w14:paraId="2BB5B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4B25FFA7">
            <w:pPr>
              <w:rPr>
                <w:rFonts w:ascii="Arial"/>
                <w:sz w:val="21"/>
              </w:rPr>
            </w:pPr>
          </w:p>
        </w:tc>
        <w:tc>
          <w:tcPr>
            <w:tcW w:w="1132" w:type="dxa"/>
            <w:vAlign w:val="top"/>
          </w:tcPr>
          <w:p w14:paraId="3DD969AC">
            <w:pPr>
              <w:rPr>
                <w:rFonts w:ascii="Arial"/>
                <w:sz w:val="21"/>
              </w:rPr>
            </w:pPr>
          </w:p>
        </w:tc>
        <w:tc>
          <w:tcPr>
            <w:tcW w:w="848" w:type="dxa"/>
            <w:vAlign w:val="top"/>
          </w:tcPr>
          <w:p w14:paraId="69B88041">
            <w:pPr>
              <w:rPr>
                <w:rFonts w:ascii="Arial"/>
                <w:sz w:val="21"/>
              </w:rPr>
            </w:pPr>
          </w:p>
        </w:tc>
        <w:tc>
          <w:tcPr>
            <w:tcW w:w="706" w:type="dxa"/>
            <w:vAlign w:val="top"/>
          </w:tcPr>
          <w:p w14:paraId="14093300">
            <w:pPr>
              <w:rPr>
                <w:rFonts w:ascii="Arial"/>
                <w:sz w:val="21"/>
              </w:rPr>
            </w:pPr>
          </w:p>
        </w:tc>
        <w:tc>
          <w:tcPr>
            <w:tcW w:w="708" w:type="dxa"/>
            <w:vAlign w:val="top"/>
          </w:tcPr>
          <w:p w14:paraId="21FC31DD">
            <w:pPr>
              <w:rPr>
                <w:rFonts w:ascii="Arial"/>
                <w:sz w:val="21"/>
              </w:rPr>
            </w:pPr>
          </w:p>
        </w:tc>
        <w:tc>
          <w:tcPr>
            <w:tcW w:w="848" w:type="dxa"/>
            <w:vAlign w:val="top"/>
          </w:tcPr>
          <w:p w14:paraId="394F7041">
            <w:pPr>
              <w:rPr>
                <w:rFonts w:ascii="Arial"/>
                <w:sz w:val="21"/>
              </w:rPr>
            </w:pPr>
          </w:p>
        </w:tc>
        <w:tc>
          <w:tcPr>
            <w:tcW w:w="847" w:type="dxa"/>
            <w:vAlign w:val="top"/>
          </w:tcPr>
          <w:p w14:paraId="6D94A116">
            <w:pPr>
              <w:rPr>
                <w:rFonts w:ascii="Arial"/>
                <w:sz w:val="21"/>
              </w:rPr>
            </w:pPr>
          </w:p>
        </w:tc>
        <w:tc>
          <w:tcPr>
            <w:tcW w:w="802" w:type="dxa"/>
            <w:vAlign w:val="top"/>
          </w:tcPr>
          <w:p w14:paraId="738AD700">
            <w:pPr>
              <w:rPr>
                <w:rFonts w:ascii="Arial"/>
                <w:sz w:val="21"/>
              </w:rPr>
            </w:pPr>
          </w:p>
        </w:tc>
        <w:tc>
          <w:tcPr>
            <w:tcW w:w="1460" w:type="dxa"/>
            <w:vAlign w:val="top"/>
          </w:tcPr>
          <w:p w14:paraId="4AE06C3D">
            <w:pPr>
              <w:rPr>
                <w:rFonts w:ascii="Arial"/>
                <w:sz w:val="21"/>
              </w:rPr>
            </w:pPr>
          </w:p>
        </w:tc>
        <w:tc>
          <w:tcPr>
            <w:tcW w:w="816" w:type="dxa"/>
            <w:tcBorders>
              <w:right w:val="single" w:color="000000" w:sz="10" w:space="0"/>
            </w:tcBorders>
            <w:vAlign w:val="top"/>
          </w:tcPr>
          <w:p w14:paraId="3A73C532">
            <w:pPr>
              <w:rPr>
                <w:rFonts w:ascii="Arial"/>
                <w:sz w:val="21"/>
              </w:rPr>
            </w:pPr>
          </w:p>
        </w:tc>
      </w:tr>
      <w:tr w14:paraId="3588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9" w:type="dxa"/>
            <w:tcBorders>
              <w:left w:val="single" w:color="000000" w:sz="10" w:space="0"/>
            </w:tcBorders>
            <w:vAlign w:val="top"/>
          </w:tcPr>
          <w:p w14:paraId="54364DC1">
            <w:pPr>
              <w:rPr>
                <w:rFonts w:ascii="Arial"/>
                <w:sz w:val="21"/>
              </w:rPr>
            </w:pPr>
          </w:p>
        </w:tc>
        <w:tc>
          <w:tcPr>
            <w:tcW w:w="1132" w:type="dxa"/>
            <w:vAlign w:val="top"/>
          </w:tcPr>
          <w:p w14:paraId="2FF1120A">
            <w:pPr>
              <w:rPr>
                <w:rFonts w:ascii="Arial"/>
                <w:sz w:val="21"/>
              </w:rPr>
            </w:pPr>
          </w:p>
        </w:tc>
        <w:tc>
          <w:tcPr>
            <w:tcW w:w="848" w:type="dxa"/>
            <w:vAlign w:val="top"/>
          </w:tcPr>
          <w:p w14:paraId="2E2553AC">
            <w:pPr>
              <w:rPr>
                <w:rFonts w:ascii="Arial"/>
                <w:sz w:val="21"/>
              </w:rPr>
            </w:pPr>
          </w:p>
        </w:tc>
        <w:tc>
          <w:tcPr>
            <w:tcW w:w="706" w:type="dxa"/>
            <w:vAlign w:val="top"/>
          </w:tcPr>
          <w:p w14:paraId="75AB4B00">
            <w:pPr>
              <w:rPr>
                <w:rFonts w:ascii="Arial"/>
                <w:sz w:val="21"/>
              </w:rPr>
            </w:pPr>
          </w:p>
        </w:tc>
        <w:tc>
          <w:tcPr>
            <w:tcW w:w="708" w:type="dxa"/>
            <w:vAlign w:val="top"/>
          </w:tcPr>
          <w:p w14:paraId="0A3B3385">
            <w:pPr>
              <w:rPr>
                <w:rFonts w:ascii="Arial"/>
                <w:sz w:val="21"/>
              </w:rPr>
            </w:pPr>
          </w:p>
        </w:tc>
        <w:tc>
          <w:tcPr>
            <w:tcW w:w="848" w:type="dxa"/>
            <w:vAlign w:val="top"/>
          </w:tcPr>
          <w:p w14:paraId="20594A38">
            <w:pPr>
              <w:rPr>
                <w:rFonts w:ascii="Arial"/>
                <w:sz w:val="21"/>
              </w:rPr>
            </w:pPr>
          </w:p>
        </w:tc>
        <w:tc>
          <w:tcPr>
            <w:tcW w:w="847" w:type="dxa"/>
            <w:vAlign w:val="top"/>
          </w:tcPr>
          <w:p w14:paraId="408C7CC7">
            <w:pPr>
              <w:rPr>
                <w:rFonts w:ascii="Arial"/>
                <w:sz w:val="21"/>
              </w:rPr>
            </w:pPr>
          </w:p>
        </w:tc>
        <w:tc>
          <w:tcPr>
            <w:tcW w:w="802" w:type="dxa"/>
            <w:vAlign w:val="top"/>
          </w:tcPr>
          <w:p w14:paraId="086EEB1F">
            <w:pPr>
              <w:rPr>
                <w:rFonts w:ascii="Arial"/>
                <w:sz w:val="21"/>
              </w:rPr>
            </w:pPr>
          </w:p>
        </w:tc>
        <w:tc>
          <w:tcPr>
            <w:tcW w:w="1460" w:type="dxa"/>
            <w:vAlign w:val="top"/>
          </w:tcPr>
          <w:p w14:paraId="6E777EA4">
            <w:pPr>
              <w:rPr>
                <w:rFonts w:ascii="Arial"/>
                <w:sz w:val="21"/>
              </w:rPr>
            </w:pPr>
          </w:p>
        </w:tc>
        <w:tc>
          <w:tcPr>
            <w:tcW w:w="816" w:type="dxa"/>
            <w:tcBorders>
              <w:right w:val="single" w:color="000000" w:sz="10" w:space="0"/>
            </w:tcBorders>
            <w:vAlign w:val="top"/>
          </w:tcPr>
          <w:p w14:paraId="03A81E4B">
            <w:pPr>
              <w:rPr>
                <w:rFonts w:ascii="Arial"/>
                <w:sz w:val="21"/>
              </w:rPr>
            </w:pPr>
          </w:p>
        </w:tc>
      </w:tr>
      <w:tr w14:paraId="3862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2DFDED04">
            <w:pPr>
              <w:rPr>
                <w:rFonts w:ascii="Arial"/>
                <w:sz w:val="21"/>
              </w:rPr>
            </w:pPr>
          </w:p>
        </w:tc>
        <w:tc>
          <w:tcPr>
            <w:tcW w:w="1132" w:type="dxa"/>
            <w:vAlign w:val="top"/>
          </w:tcPr>
          <w:p w14:paraId="0E81A296">
            <w:pPr>
              <w:rPr>
                <w:rFonts w:ascii="Arial"/>
                <w:sz w:val="21"/>
              </w:rPr>
            </w:pPr>
          </w:p>
        </w:tc>
        <w:tc>
          <w:tcPr>
            <w:tcW w:w="848" w:type="dxa"/>
            <w:vAlign w:val="top"/>
          </w:tcPr>
          <w:p w14:paraId="2D8435EA">
            <w:pPr>
              <w:rPr>
                <w:rFonts w:ascii="Arial"/>
                <w:sz w:val="21"/>
              </w:rPr>
            </w:pPr>
          </w:p>
        </w:tc>
        <w:tc>
          <w:tcPr>
            <w:tcW w:w="706" w:type="dxa"/>
            <w:vAlign w:val="top"/>
          </w:tcPr>
          <w:p w14:paraId="79F955FB">
            <w:pPr>
              <w:rPr>
                <w:rFonts w:ascii="Arial"/>
                <w:sz w:val="21"/>
              </w:rPr>
            </w:pPr>
          </w:p>
        </w:tc>
        <w:tc>
          <w:tcPr>
            <w:tcW w:w="708" w:type="dxa"/>
            <w:vAlign w:val="top"/>
          </w:tcPr>
          <w:p w14:paraId="6EBAC5F8">
            <w:pPr>
              <w:rPr>
                <w:rFonts w:ascii="Arial"/>
                <w:sz w:val="21"/>
              </w:rPr>
            </w:pPr>
          </w:p>
        </w:tc>
        <w:tc>
          <w:tcPr>
            <w:tcW w:w="848" w:type="dxa"/>
            <w:vAlign w:val="top"/>
          </w:tcPr>
          <w:p w14:paraId="1D1FB962">
            <w:pPr>
              <w:rPr>
                <w:rFonts w:ascii="Arial"/>
                <w:sz w:val="21"/>
              </w:rPr>
            </w:pPr>
          </w:p>
        </w:tc>
        <w:tc>
          <w:tcPr>
            <w:tcW w:w="847" w:type="dxa"/>
            <w:vAlign w:val="top"/>
          </w:tcPr>
          <w:p w14:paraId="6CB844C8">
            <w:pPr>
              <w:rPr>
                <w:rFonts w:ascii="Arial"/>
                <w:sz w:val="21"/>
              </w:rPr>
            </w:pPr>
          </w:p>
        </w:tc>
        <w:tc>
          <w:tcPr>
            <w:tcW w:w="802" w:type="dxa"/>
            <w:vAlign w:val="top"/>
          </w:tcPr>
          <w:p w14:paraId="3C4C9B1D">
            <w:pPr>
              <w:rPr>
                <w:rFonts w:ascii="Arial"/>
                <w:sz w:val="21"/>
              </w:rPr>
            </w:pPr>
          </w:p>
        </w:tc>
        <w:tc>
          <w:tcPr>
            <w:tcW w:w="1460" w:type="dxa"/>
            <w:vAlign w:val="top"/>
          </w:tcPr>
          <w:p w14:paraId="7C94D014">
            <w:pPr>
              <w:rPr>
                <w:rFonts w:ascii="Arial"/>
                <w:sz w:val="21"/>
              </w:rPr>
            </w:pPr>
          </w:p>
        </w:tc>
        <w:tc>
          <w:tcPr>
            <w:tcW w:w="816" w:type="dxa"/>
            <w:tcBorders>
              <w:right w:val="single" w:color="000000" w:sz="10" w:space="0"/>
            </w:tcBorders>
            <w:vAlign w:val="top"/>
          </w:tcPr>
          <w:p w14:paraId="6A331AD6">
            <w:pPr>
              <w:rPr>
                <w:rFonts w:ascii="Arial"/>
                <w:sz w:val="21"/>
              </w:rPr>
            </w:pPr>
          </w:p>
        </w:tc>
      </w:tr>
      <w:tr w14:paraId="7127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9" w:type="dxa"/>
            <w:tcBorders>
              <w:left w:val="single" w:color="000000" w:sz="10" w:space="0"/>
            </w:tcBorders>
            <w:vAlign w:val="top"/>
          </w:tcPr>
          <w:p w14:paraId="3E23D062">
            <w:pPr>
              <w:rPr>
                <w:rFonts w:ascii="Arial"/>
                <w:sz w:val="21"/>
              </w:rPr>
            </w:pPr>
          </w:p>
        </w:tc>
        <w:tc>
          <w:tcPr>
            <w:tcW w:w="1132" w:type="dxa"/>
            <w:vAlign w:val="top"/>
          </w:tcPr>
          <w:p w14:paraId="4516E937">
            <w:pPr>
              <w:rPr>
                <w:rFonts w:ascii="Arial"/>
                <w:sz w:val="21"/>
              </w:rPr>
            </w:pPr>
          </w:p>
        </w:tc>
        <w:tc>
          <w:tcPr>
            <w:tcW w:w="848" w:type="dxa"/>
            <w:vAlign w:val="top"/>
          </w:tcPr>
          <w:p w14:paraId="5BF4334E">
            <w:pPr>
              <w:rPr>
                <w:rFonts w:ascii="Arial"/>
                <w:sz w:val="21"/>
              </w:rPr>
            </w:pPr>
          </w:p>
        </w:tc>
        <w:tc>
          <w:tcPr>
            <w:tcW w:w="706" w:type="dxa"/>
            <w:vAlign w:val="top"/>
          </w:tcPr>
          <w:p w14:paraId="7B8D306E">
            <w:pPr>
              <w:rPr>
                <w:rFonts w:ascii="Arial"/>
                <w:sz w:val="21"/>
              </w:rPr>
            </w:pPr>
          </w:p>
        </w:tc>
        <w:tc>
          <w:tcPr>
            <w:tcW w:w="708" w:type="dxa"/>
            <w:vAlign w:val="top"/>
          </w:tcPr>
          <w:p w14:paraId="3CBEACD0">
            <w:pPr>
              <w:rPr>
                <w:rFonts w:ascii="Arial"/>
                <w:sz w:val="21"/>
              </w:rPr>
            </w:pPr>
          </w:p>
        </w:tc>
        <w:tc>
          <w:tcPr>
            <w:tcW w:w="848" w:type="dxa"/>
            <w:vAlign w:val="top"/>
          </w:tcPr>
          <w:p w14:paraId="07903E43">
            <w:pPr>
              <w:rPr>
                <w:rFonts w:ascii="Arial"/>
                <w:sz w:val="21"/>
              </w:rPr>
            </w:pPr>
          </w:p>
        </w:tc>
        <w:tc>
          <w:tcPr>
            <w:tcW w:w="847" w:type="dxa"/>
            <w:vAlign w:val="top"/>
          </w:tcPr>
          <w:p w14:paraId="119A1966">
            <w:pPr>
              <w:rPr>
                <w:rFonts w:ascii="Arial"/>
                <w:sz w:val="21"/>
              </w:rPr>
            </w:pPr>
          </w:p>
        </w:tc>
        <w:tc>
          <w:tcPr>
            <w:tcW w:w="802" w:type="dxa"/>
            <w:vAlign w:val="top"/>
          </w:tcPr>
          <w:p w14:paraId="33D821BF">
            <w:pPr>
              <w:rPr>
                <w:rFonts w:ascii="Arial"/>
                <w:sz w:val="21"/>
              </w:rPr>
            </w:pPr>
          </w:p>
        </w:tc>
        <w:tc>
          <w:tcPr>
            <w:tcW w:w="1460" w:type="dxa"/>
            <w:vAlign w:val="top"/>
          </w:tcPr>
          <w:p w14:paraId="3D84716A">
            <w:pPr>
              <w:rPr>
                <w:rFonts w:ascii="Arial"/>
                <w:sz w:val="21"/>
              </w:rPr>
            </w:pPr>
          </w:p>
        </w:tc>
        <w:tc>
          <w:tcPr>
            <w:tcW w:w="816" w:type="dxa"/>
            <w:tcBorders>
              <w:right w:val="single" w:color="000000" w:sz="10" w:space="0"/>
            </w:tcBorders>
            <w:vAlign w:val="top"/>
          </w:tcPr>
          <w:p w14:paraId="32ADBD0C">
            <w:pPr>
              <w:rPr>
                <w:rFonts w:ascii="Arial"/>
                <w:sz w:val="21"/>
              </w:rPr>
            </w:pPr>
          </w:p>
        </w:tc>
      </w:tr>
      <w:tr w14:paraId="474F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2CA31C89">
            <w:pPr>
              <w:rPr>
                <w:rFonts w:ascii="Arial"/>
                <w:sz w:val="21"/>
              </w:rPr>
            </w:pPr>
          </w:p>
        </w:tc>
        <w:tc>
          <w:tcPr>
            <w:tcW w:w="1132" w:type="dxa"/>
            <w:vAlign w:val="top"/>
          </w:tcPr>
          <w:p w14:paraId="578E4100">
            <w:pPr>
              <w:rPr>
                <w:rFonts w:ascii="Arial"/>
                <w:sz w:val="21"/>
              </w:rPr>
            </w:pPr>
          </w:p>
        </w:tc>
        <w:tc>
          <w:tcPr>
            <w:tcW w:w="848" w:type="dxa"/>
            <w:vAlign w:val="top"/>
          </w:tcPr>
          <w:p w14:paraId="37B035C7">
            <w:pPr>
              <w:rPr>
                <w:rFonts w:ascii="Arial"/>
                <w:sz w:val="21"/>
              </w:rPr>
            </w:pPr>
          </w:p>
        </w:tc>
        <w:tc>
          <w:tcPr>
            <w:tcW w:w="706" w:type="dxa"/>
            <w:vAlign w:val="top"/>
          </w:tcPr>
          <w:p w14:paraId="2F7C7A26">
            <w:pPr>
              <w:rPr>
                <w:rFonts w:ascii="Arial"/>
                <w:sz w:val="21"/>
              </w:rPr>
            </w:pPr>
          </w:p>
        </w:tc>
        <w:tc>
          <w:tcPr>
            <w:tcW w:w="708" w:type="dxa"/>
            <w:vAlign w:val="top"/>
          </w:tcPr>
          <w:p w14:paraId="636BFCC5">
            <w:pPr>
              <w:rPr>
                <w:rFonts w:ascii="Arial"/>
                <w:sz w:val="21"/>
              </w:rPr>
            </w:pPr>
          </w:p>
        </w:tc>
        <w:tc>
          <w:tcPr>
            <w:tcW w:w="848" w:type="dxa"/>
            <w:vAlign w:val="top"/>
          </w:tcPr>
          <w:p w14:paraId="547DB696">
            <w:pPr>
              <w:rPr>
                <w:rFonts w:ascii="Arial"/>
                <w:sz w:val="21"/>
              </w:rPr>
            </w:pPr>
          </w:p>
        </w:tc>
        <w:tc>
          <w:tcPr>
            <w:tcW w:w="847" w:type="dxa"/>
            <w:vAlign w:val="top"/>
          </w:tcPr>
          <w:p w14:paraId="330C5A42">
            <w:pPr>
              <w:rPr>
                <w:rFonts w:ascii="Arial"/>
                <w:sz w:val="21"/>
              </w:rPr>
            </w:pPr>
          </w:p>
        </w:tc>
        <w:tc>
          <w:tcPr>
            <w:tcW w:w="802" w:type="dxa"/>
            <w:vAlign w:val="top"/>
          </w:tcPr>
          <w:p w14:paraId="2E9E854D">
            <w:pPr>
              <w:rPr>
                <w:rFonts w:ascii="Arial"/>
                <w:sz w:val="21"/>
              </w:rPr>
            </w:pPr>
          </w:p>
        </w:tc>
        <w:tc>
          <w:tcPr>
            <w:tcW w:w="1460" w:type="dxa"/>
            <w:vAlign w:val="top"/>
          </w:tcPr>
          <w:p w14:paraId="1B5E21CB">
            <w:pPr>
              <w:rPr>
                <w:rFonts w:ascii="Arial"/>
                <w:sz w:val="21"/>
              </w:rPr>
            </w:pPr>
          </w:p>
        </w:tc>
        <w:tc>
          <w:tcPr>
            <w:tcW w:w="816" w:type="dxa"/>
            <w:tcBorders>
              <w:right w:val="single" w:color="000000" w:sz="10" w:space="0"/>
            </w:tcBorders>
            <w:vAlign w:val="top"/>
          </w:tcPr>
          <w:p w14:paraId="6422F72F">
            <w:pPr>
              <w:rPr>
                <w:rFonts w:ascii="Arial"/>
                <w:sz w:val="21"/>
              </w:rPr>
            </w:pPr>
          </w:p>
        </w:tc>
      </w:tr>
      <w:tr w14:paraId="24EB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9" w:type="dxa"/>
            <w:tcBorders>
              <w:left w:val="single" w:color="000000" w:sz="10" w:space="0"/>
            </w:tcBorders>
            <w:vAlign w:val="top"/>
          </w:tcPr>
          <w:p w14:paraId="7E970CC8">
            <w:pPr>
              <w:rPr>
                <w:rFonts w:ascii="Arial"/>
                <w:sz w:val="21"/>
              </w:rPr>
            </w:pPr>
          </w:p>
        </w:tc>
        <w:tc>
          <w:tcPr>
            <w:tcW w:w="1132" w:type="dxa"/>
            <w:vAlign w:val="top"/>
          </w:tcPr>
          <w:p w14:paraId="6E592ED4">
            <w:pPr>
              <w:rPr>
                <w:rFonts w:ascii="Arial"/>
                <w:sz w:val="21"/>
              </w:rPr>
            </w:pPr>
          </w:p>
        </w:tc>
        <w:tc>
          <w:tcPr>
            <w:tcW w:w="848" w:type="dxa"/>
            <w:vAlign w:val="top"/>
          </w:tcPr>
          <w:p w14:paraId="1A0C33E3">
            <w:pPr>
              <w:rPr>
                <w:rFonts w:ascii="Arial"/>
                <w:sz w:val="21"/>
              </w:rPr>
            </w:pPr>
          </w:p>
        </w:tc>
        <w:tc>
          <w:tcPr>
            <w:tcW w:w="706" w:type="dxa"/>
            <w:vAlign w:val="top"/>
          </w:tcPr>
          <w:p w14:paraId="33B571B7">
            <w:pPr>
              <w:rPr>
                <w:rFonts w:ascii="Arial"/>
                <w:sz w:val="21"/>
              </w:rPr>
            </w:pPr>
          </w:p>
        </w:tc>
        <w:tc>
          <w:tcPr>
            <w:tcW w:w="708" w:type="dxa"/>
            <w:vAlign w:val="top"/>
          </w:tcPr>
          <w:p w14:paraId="58198502">
            <w:pPr>
              <w:rPr>
                <w:rFonts w:ascii="Arial"/>
                <w:sz w:val="21"/>
              </w:rPr>
            </w:pPr>
          </w:p>
        </w:tc>
        <w:tc>
          <w:tcPr>
            <w:tcW w:w="848" w:type="dxa"/>
            <w:vAlign w:val="top"/>
          </w:tcPr>
          <w:p w14:paraId="039C21BD">
            <w:pPr>
              <w:rPr>
                <w:rFonts w:ascii="Arial"/>
                <w:sz w:val="21"/>
              </w:rPr>
            </w:pPr>
          </w:p>
        </w:tc>
        <w:tc>
          <w:tcPr>
            <w:tcW w:w="847" w:type="dxa"/>
            <w:vAlign w:val="top"/>
          </w:tcPr>
          <w:p w14:paraId="6B5466C1">
            <w:pPr>
              <w:rPr>
                <w:rFonts w:ascii="Arial"/>
                <w:sz w:val="21"/>
              </w:rPr>
            </w:pPr>
          </w:p>
        </w:tc>
        <w:tc>
          <w:tcPr>
            <w:tcW w:w="802" w:type="dxa"/>
            <w:vAlign w:val="top"/>
          </w:tcPr>
          <w:p w14:paraId="5578E9B7">
            <w:pPr>
              <w:rPr>
                <w:rFonts w:ascii="Arial"/>
                <w:sz w:val="21"/>
              </w:rPr>
            </w:pPr>
          </w:p>
        </w:tc>
        <w:tc>
          <w:tcPr>
            <w:tcW w:w="1460" w:type="dxa"/>
            <w:vAlign w:val="top"/>
          </w:tcPr>
          <w:p w14:paraId="13A07211">
            <w:pPr>
              <w:rPr>
                <w:rFonts w:ascii="Arial"/>
                <w:sz w:val="21"/>
              </w:rPr>
            </w:pPr>
          </w:p>
        </w:tc>
        <w:tc>
          <w:tcPr>
            <w:tcW w:w="816" w:type="dxa"/>
            <w:tcBorders>
              <w:right w:val="single" w:color="000000" w:sz="10" w:space="0"/>
            </w:tcBorders>
            <w:vAlign w:val="top"/>
          </w:tcPr>
          <w:p w14:paraId="255F2EDF">
            <w:pPr>
              <w:rPr>
                <w:rFonts w:ascii="Arial"/>
                <w:sz w:val="21"/>
              </w:rPr>
            </w:pPr>
          </w:p>
        </w:tc>
      </w:tr>
      <w:tr w14:paraId="0A08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7FD46817">
            <w:pPr>
              <w:rPr>
                <w:rFonts w:ascii="Arial"/>
                <w:sz w:val="21"/>
              </w:rPr>
            </w:pPr>
          </w:p>
        </w:tc>
        <w:tc>
          <w:tcPr>
            <w:tcW w:w="1132" w:type="dxa"/>
            <w:vAlign w:val="top"/>
          </w:tcPr>
          <w:p w14:paraId="5AAA655F">
            <w:pPr>
              <w:rPr>
                <w:rFonts w:ascii="Arial"/>
                <w:sz w:val="21"/>
              </w:rPr>
            </w:pPr>
          </w:p>
        </w:tc>
        <w:tc>
          <w:tcPr>
            <w:tcW w:w="848" w:type="dxa"/>
            <w:vAlign w:val="top"/>
          </w:tcPr>
          <w:p w14:paraId="1D82239C">
            <w:pPr>
              <w:rPr>
                <w:rFonts w:ascii="Arial"/>
                <w:sz w:val="21"/>
              </w:rPr>
            </w:pPr>
          </w:p>
        </w:tc>
        <w:tc>
          <w:tcPr>
            <w:tcW w:w="706" w:type="dxa"/>
            <w:vAlign w:val="top"/>
          </w:tcPr>
          <w:p w14:paraId="1BD6CF4F">
            <w:pPr>
              <w:rPr>
                <w:rFonts w:ascii="Arial"/>
                <w:sz w:val="21"/>
              </w:rPr>
            </w:pPr>
          </w:p>
        </w:tc>
        <w:tc>
          <w:tcPr>
            <w:tcW w:w="708" w:type="dxa"/>
            <w:vAlign w:val="top"/>
          </w:tcPr>
          <w:p w14:paraId="5A3402E2">
            <w:pPr>
              <w:rPr>
                <w:rFonts w:ascii="Arial"/>
                <w:sz w:val="21"/>
              </w:rPr>
            </w:pPr>
          </w:p>
        </w:tc>
        <w:tc>
          <w:tcPr>
            <w:tcW w:w="848" w:type="dxa"/>
            <w:vAlign w:val="top"/>
          </w:tcPr>
          <w:p w14:paraId="5106C87B">
            <w:pPr>
              <w:rPr>
                <w:rFonts w:ascii="Arial"/>
                <w:sz w:val="21"/>
              </w:rPr>
            </w:pPr>
          </w:p>
        </w:tc>
        <w:tc>
          <w:tcPr>
            <w:tcW w:w="847" w:type="dxa"/>
            <w:vAlign w:val="top"/>
          </w:tcPr>
          <w:p w14:paraId="1316BD98">
            <w:pPr>
              <w:rPr>
                <w:rFonts w:ascii="Arial"/>
                <w:sz w:val="21"/>
              </w:rPr>
            </w:pPr>
          </w:p>
        </w:tc>
        <w:tc>
          <w:tcPr>
            <w:tcW w:w="802" w:type="dxa"/>
            <w:vAlign w:val="top"/>
          </w:tcPr>
          <w:p w14:paraId="7CCC406A">
            <w:pPr>
              <w:rPr>
                <w:rFonts w:ascii="Arial"/>
                <w:sz w:val="21"/>
              </w:rPr>
            </w:pPr>
          </w:p>
        </w:tc>
        <w:tc>
          <w:tcPr>
            <w:tcW w:w="1460" w:type="dxa"/>
            <w:vAlign w:val="top"/>
          </w:tcPr>
          <w:p w14:paraId="6505CD4A">
            <w:pPr>
              <w:rPr>
                <w:rFonts w:ascii="Arial"/>
                <w:sz w:val="21"/>
              </w:rPr>
            </w:pPr>
          </w:p>
        </w:tc>
        <w:tc>
          <w:tcPr>
            <w:tcW w:w="816" w:type="dxa"/>
            <w:tcBorders>
              <w:right w:val="single" w:color="000000" w:sz="10" w:space="0"/>
            </w:tcBorders>
            <w:vAlign w:val="top"/>
          </w:tcPr>
          <w:p w14:paraId="2EC7D4D7">
            <w:pPr>
              <w:rPr>
                <w:rFonts w:ascii="Arial"/>
                <w:sz w:val="21"/>
              </w:rPr>
            </w:pPr>
          </w:p>
        </w:tc>
      </w:tr>
      <w:tr w14:paraId="6A7A0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79" w:type="dxa"/>
            <w:tcBorders>
              <w:left w:val="single" w:color="000000" w:sz="10" w:space="0"/>
            </w:tcBorders>
            <w:vAlign w:val="top"/>
          </w:tcPr>
          <w:p w14:paraId="4C943783">
            <w:pPr>
              <w:rPr>
                <w:rFonts w:ascii="Arial"/>
                <w:sz w:val="21"/>
              </w:rPr>
            </w:pPr>
          </w:p>
        </w:tc>
        <w:tc>
          <w:tcPr>
            <w:tcW w:w="1132" w:type="dxa"/>
            <w:vAlign w:val="top"/>
          </w:tcPr>
          <w:p w14:paraId="0D8D7061">
            <w:pPr>
              <w:rPr>
                <w:rFonts w:ascii="Arial"/>
                <w:sz w:val="21"/>
              </w:rPr>
            </w:pPr>
          </w:p>
        </w:tc>
        <w:tc>
          <w:tcPr>
            <w:tcW w:w="848" w:type="dxa"/>
            <w:vAlign w:val="top"/>
          </w:tcPr>
          <w:p w14:paraId="2C20FBBC">
            <w:pPr>
              <w:rPr>
                <w:rFonts w:ascii="Arial"/>
                <w:sz w:val="21"/>
              </w:rPr>
            </w:pPr>
          </w:p>
        </w:tc>
        <w:tc>
          <w:tcPr>
            <w:tcW w:w="706" w:type="dxa"/>
            <w:vAlign w:val="top"/>
          </w:tcPr>
          <w:p w14:paraId="79FC2CE6">
            <w:pPr>
              <w:rPr>
                <w:rFonts w:ascii="Arial"/>
                <w:sz w:val="21"/>
              </w:rPr>
            </w:pPr>
          </w:p>
        </w:tc>
        <w:tc>
          <w:tcPr>
            <w:tcW w:w="708" w:type="dxa"/>
            <w:vAlign w:val="top"/>
          </w:tcPr>
          <w:p w14:paraId="276B66D4">
            <w:pPr>
              <w:rPr>
                <w:rFonts w:ascii="Arial"/>
                <w:sz w:val="21"/>
              </w:rPr>
            </w:pPr>
          </w:p>
        </w:tc>
        <w:tc>
          <w:tcPr>
            <w:tcW w:w="848" w:type="dxa"/>
            <w:vAlign w:val="top"/>
          </w:tcPr>
          <w:p w14:paraId="15C6E05F">
            <w:pPr>
              <w:rPr>
                <w:rFonts w:ascii="Arial"/>
                <w:sz w:val="21"/>
              </w:rPr>
            </w:pPr>
          </w:p>
        </w:tc>
        <w:tc>
          <w:tcPr>
            <w:tcW w:w="847" w:type="dxa"/>
            <w:vAlign w:val="top"/>
          </w:tcPr>
          <w:p w14:paraId="4A43EB4F">
            <w:pPr>
              <w:rPr>
                <w:rFonts w:ascii="Arial"/>
                <w:sz w:val="21"/>
              </w:rPr>
            </w:pPr>
          </w:p>
        </w:tc>
        <w:tc>
          <w:tcPr>
            <w:tcW w:w="802" w:type="dxa"/>
            <w:vAlign w:val="top"/>
          </w:tcPr>
          <w:p w14:paraId="25E8BA97">
            <w:pPr>
              <w:rPr>
                <w:rFonts w:ascii="Arial"/>
                <w:sz w:val="21"/>
              </w:rPr>
            </w:pPr>
          </w:p>
        </w:tc>
        <w:tc>
          <w:tcPr>
            <w:tcW w:w="1460" w:type="dxa"/>
            <w:vAlign w:val="top"/>
          </w:tcPr>
          <w:p w14:paraId="528F3CED">
            <w:pPr>
              <w:rPr>
                <w:rFonts w:ascii="Arial"/>
                <w:sz w:val="21"/>
              </w:rPr>
            </w:pPr>
          </w:p>
        </w:tc>
        <w:tc>
          <w:tcPr>
            <w:tcW w:w="816" w:type="dxa"/>
            <w:tcBorders>
              <w:right w:val="single" w:color="000000" w:sz="10" w:space="0"/>
            </w:tcBorders>
            <w:vAlign w:val="top"/>
          </w:tcPr>
          <w:p w14:paraId="70EFF712">
            <w:pPr>
              <w:rPr>
                <w:rFonts w:ascii="Arial"/>
                <w:sz w:val="21"/>
              </w:rPr>
            </w:pPr>
          </w:p>
        </w:tc>
      </w:tr>
      <w:tr w14:paraId="477A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7B25F9F5">
            <w:pPr>
              <w:rPr>
                <w:rFonts w:ascii="Arial"/>
                <w:sz w:val="21"/>
              </w:rPr>
            </w:pPr>
          </w:p>
        </w:tc>
        <w:tc>
          <w:tcPr>
            <w:tcW w:w="1132" w:type="dxa"/>
            <w:vAlign w:val="top"/>
          </w:tcPr>
          <w:p w14:paraId="5037701D">
            <w:pPr>
              <w:rPr>
                <w:rFonts w:ascii="Arial"/>
                <w:sz w:val="21"/>
              </w:rPr>
            </w:pPr>
          </w:p>
        </w:tc>
        <w:tc>
          <w:tcPr>
            <w:tcW w:w="848" w:type="dxa"/>
            <w:vAlign w:val="top"/>
          </w:tcPr>
          <w:p w14:paraId="06F0B4BE">
            <w:pPr>
              <w:rPr>
                <w:rFonts w:ascii="Arial"/>
                <w:sz w:val="21"/>
              </w:rPr>
            </w:pPr>
          </w:p>
        </w:tc>
        <w:tc>
          <w:tcPr>
            <w:tcW w:w="706" w:type="dxa"/>
            <w:vAlign w:val="top"/>
          </w:tcPr>
          <w:p w14:paraId="202CF81D">
            <w:pPr>
              <w:rPr>
                <w:rFonts w:ascii="Arial"/>
                <w:sz w:val="21"/>
              </w:rPr>
            </w:pPr>
          </w:p>
        </w:tc>
        <w:tc>
          <w:tcPr>
            <w:tcW w:w="708" w:type="dxa"/>
            <w:vAlign w:val="top"/>
          </w:tcPr>
          <w:p w14:paraId="061F7246">
            <w:pPr>
              <w:rPr>
                <w:rFonts w:ascii="Arial"/>
                <w:sz w:val="21"/>
              </w:rPr>
            </w:pPr>
          </w:p>
        </w:tc>
        <w:tc>
          <w:tcPr>
            <w:tcW w:w="848" w:type="dxa"/>
            <w:vAlign w:val="top"/>
          </w:tcPr>
          <w:p w14:paraId="5EF3A2EE">
            <w:pPr>
              <w:rPr>
                <w:rFonts w:ascii="Arial"/>
                <w:sz w:val="21"/>
              </w:rPr>
            </w:pPr>
          </w:p>
        </w:tc>
        <w:tc>
          <w:tcPr>
            <w:tcW w:w="847" w:type="dxa"/>
            <w:vAlign w:val="top"/>
          </w:tcPr>
          <w:p w14:paraId="3AF3F47F">
            <w:pPr>
              <w:rPr>
                <w:rFonts w:ascii="Arial"/>
                <w:sz w:val="21"/>
              </w:rPr>
            </w:pPr>
          </w:p>
        </w:tc>
        <w:tc>
          <w:tcPr>
            <w:tcW w:w="802" w:type="dxa"/>
            <w:vAlign w:val="top"/>
          </w:tcPr>
          <w:p w14:paraId="64CE3558">
            <w:pPr>
              <w:rPr>
                <w:rFonts w:ascii="Arial"/>
                <w:sz w:val="21"/>
              </w:rPr>
            </w:pPr>
          </w:p>
        </w:tc>
        <w:tc>
          <w:tcPr>
            <w:tcW w:w="1460" w:type="dxa"/>
            <w:vAlign w:val="top"/>
          </w:tcPr>
          <w:p w14:paraId="591BB70F">
            <w:pPr>
              <w:rPr>
                <w:rFonts w:ascii="Arial"/>
                <w:sz w:val="21"/>
              </w:rPr>
            </w:pPr>
          </w:p>
        </w:tc>
        <w:tc>
          <w:tcPr>
            <w:tcW w:w="816" w:type="dxa"/>
            <w:tcBorders>
              <w:right w:val="single" w:color="000000" w:sz="10" w:space="0"/>
            </w:tcBorders>
            <w:vAlign w:val="top"/>
          </w:tcPr>
          <w:p w14:paraId="435DFD0D">
            <w:pPr>
              <w:rPr>
                <w:rFonts w:ascii="Arial"/>
                <w:sz w:val="21"/>
              </w:rPr>
            </w:pPr>
          </w:p>
        </w:tc>
      </w:tr>
      <w:tr w14:paraId="34A7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79" w:type="dxa"/>
            <w:tcBorders>
              <w:left w:val="single" w:color="000000" w:sz="10" w:space="0"/>
            </w:tcBorders>
            <w:vAlign w:val="top"/>
          </w:tcPr>
          <w:p w14:paraId="34C042DD">
            <w:pPr>
              <w:rPr>
                <w:rFonts w:ascii="Arial"/>
                <w:sz w:val="21"/>
              </w:rPr>
            </w:pPr>
          </w:p>
        </w:tc>
        <w:tc>
          <w:tcPr>
            <w:tcW w:w="1132" w:type="dxa"/>
            <w:vAlign w:val="top"/>
          </w:tcPr>
          <w:p w14:paraId="5B8590DE">
            <w:pPr>
              <w:rPr>
                <w:rFonts w:ascii="Arial"/>
                <w:sz w:val="21"/>
              </w:rPr>
            </w:pPr>
          </w:p>
        </w:tc>
        <w:tc>
          <w:tcPr>
            <w:tcW w:w="848" w:type="dxa"/>
            <w:vAlign w:val="top"/>
          </w:tcPr>
          <w:p w14:paraId="2609AA66">
            <w:pPr>
              <w:rPr>
                <w:rFonts w:ascii="Arial"/>
                <w:sz w:val="21"/>
              </w:rPr>
            </w:pPr>
          </w:p>
        </w:tc>
        <w:tc>
          <w:tcPr>
            <w:tcW w:w="706" w:type="dxa"/>
            <w:vAlign w:val="top"/>
          </w:tcPr>
          <w:p w14:paraId="41316101">
            <w:pPr>
              <w:rPr>
                <w:rFonts w:ascii="Arial"/>
                <w:sz w:val="21"/>
              </w:rPr>
            </w:pPr>
          </w:p>
        </w:tc>
        <w:tc>
          <w:tcPr>
            <w:tcW w:w="708" w:type="dxa"/>
            <w:vAlign w:val="top"/>
          </w:tcPr>
          <w:p w14:paraId="4ED52C37">
            <w:pPr>
              <w:rPr>
                <w:rFonts w:ascii="Arial"/>
                <w:sz w:val="21"/>
              </w:rPr>
            </w:pPr>
          </w:p>
        </w:tc>
        <w:tc>
          <w:tcPr>
            <w:tcW w:w="848" w:type="dxa"/>
            <w:vAlign w:val="top"/>
          </w:tcPr>
          <w:p w14:paraId="6B8BCB6F">
            <w:pPr>
              <w:rPr>
                <w:rFonts w:ascii="Arial"/>
                <w:sz w:val="21"/>
              </w:rPr>
            </w:pPr>
          </w:p>
        </w:tc>
        <w:tc>
          <w:tcPr>
            <w:tcW w:w="847" w:type="dxa"/>
            <w:vAlign w:val="top"/>
          </w:tcPr>
          <w:p w14:paraId="6045607C">
            <w:pPr>
              <w:rPr>
                <w:rFonts w:ascii="Arial"/>
                <w:sz w:val="21"/>
              </w:rPr>
            </w:pPr>
          </w:p>
        </w:tc>
        <w:tc>
          <w:tcPr>
            <w:tcW w:w="802" w:type="dxa"/>
            <w:vAlign w:val="top"/>
          </w:tcPr>
          <w:p w14:paraId="5D0AA164">
            <w:pPr>
              <w:rPr>
                <w:rFonts w:ascii="Arial"/>
                <w:sz w:val="21"/>
              </w:rPr>
            </w:pPr>
          </w:p>
        </w:tc>
        <w:tc>
          <w:tcPr>
            <w:tcW w:w="1460" w:type="dxa"/>
            <w:vAlign w:val="top"/>
          </w:tcPr>
          <w:p w14:paraId="2E053AC9">
            <w:pPr>
              <w:rPr>
                <w:rFonts w:ascii="Arial"/>
                <w:sz w:val="21"/>
              </w:rPr>
            </w:pPr>
          </w:p>
        </w:tc>
        <w:tc>
          <w:tcPr>
            <w:tcW w:w="816" w:type="dxa"/>
            <w:tcBorders>
              <w:right w:val="single" w:color="000000" w:sz="10" w:space="0"/>
            </w:tcBorders>
            <w:vAlign w:val="top"/>
          </w:tcPr>
          <w:p w14:paraId="3D51CBA0">
            <w:pPr>
              <w:rPr>
                <w:rFonts w:ascii="Arial"/>
                <w:sz w:val="21"/>
              </w:rPr>
            </w:pPr>
          </w:p>
        </w:tc>
      </w:tr>
      <w:tr w14:paraId="067C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9" w:type="dxa"/>
            <w:tcBorders>
              <w:left w:val="single" w:color="000000" w:sz="10" w:space="0"/>
            </w:tcBorders>
            <w:vAlign w:val="top"/>
          </w:tcPr>
          <w:p w14:paraId="7DABAABC">
            <w:pPr>
              <w:rPr>
                <w:rFonts w:ascii="Arial"/>
                <w:sz w:val="21"/>
              </w:rPr>
            </w:pPr>
          </w:p>
        </w:tc>
        <w:tc>
          <w:tcPr>
            <w:tcW w:w="1132" w:type="dxa"/>
            <w:vAlign w:val="top"/>
          </w:tcPr>
          <w:p w14:paraId="63EA3FF7">
            <w:pPr>
              <w:rPr>
                <w:rFonts w:ascii="Arial"/>
                <w:sz w:val="21"/>
              </w:rPr>
            </w:pPr>
          </w:p>
        </w:tc>
        <w:tc>
          <w:tcPr>
            <w:tcW w:w="848" w:type="dxa"/>
            <w:vAlign w:val="top"/>
          </w:tcPr>
          <w:p w14:paraId="3E258B1B">
            <w:pPr>
              <w:rPr>
                <w:rFonts w:ascii="Arial"/>
                <w:sz w:val="21"/>
              </w:rPr>
            </w:pPr>
          </w:p>
        </w:tc>
        <w:tc>
          <w:tcPr>
            <w:tcW w:w="706" w:type="dxa"/>
            <w:vAlign w:val="top"/>
          </w:tcPr>
          <w:p w14:paraId="52A1A948">
            <w:pPr>
              <w:rPr>
                <w:rFonts w:ascii="Arial"/>
                <w:sz w:val="21"/>
              </w:rPr>
            </w:pPr>
          </w:p>
        </w:tc>
        <w:tc>
          <w:tcPr>
            <w:tcW w:w="708" w:type="dxa"/>
            <w:vAlign w:val="top"/>
          </w:tcPr>
          <w:p w14:paraId="0AF26D3B">
            <w:pPr>
              <w:rPr>
                <w:rFonts w:ascii="Arial"/>
                <w:sz w:val="21"/>
              </w:rPr>
            </w:pPr>
          </w:p>
        </w:tc>
        <w:tc>
          <w:tcPr>
            <w:tcW w:w="848" w:type="dxa"/>
            <w:vAlign w:val="top"/>
          </w:tcPr>
          <w:p w14:paraId="18EF018A">
            <w:pPr>
              <w:rPr>
                <w:rFonts w:ascii="Arial"/>
                <w:sz w:val="21"/>
              </w:rPr>
            </w:pPr>
          </w:p>
        </w:tc>
        <w:tc>
          <w:tcPr>
            <w:tcW w:w="847" w:type="dxa"/>
            <w:vAlign w:val="top"/>
          </w:tcPr>
          <w:p w14:paraId="77835739">
            <w:pPr>
              <w:rPr>
                <w:rFonts w:ascii="Arial"/>
                <w:sz w:val="21"/>
              </w:rPr>
            </w:pPr>
          </w:p>
        </w:tc>
        <w:tc>
          <w:tcPr>
            <w:tcW w:w="802" w:type="dxa"/>
            <w:vAlign w:val="top"/>
          </w:tcPr>
          <w:p w14:paraId="16C5E3A0">
            <w:pPr>
              <w:rPr>
                <w:rFonts w:ascii="Arial"/>
                <w:sz w:val="21"/>
              </w:rPr>
            </w:pPr>
          </w:p>
        </w:tc>
        <w:tc>
          <w:tcPr>
            <w:tcW w:w="1460" w:type="dxa"/>
            <w:vAlign w:val="top"/>
          </w:tcPr>
          <w:p w14:paraId="43F3C3D4">
            <w:pPr>
              <w:rPr>
                <w:rFonts w:ascii="Arial"/>
                <w:sz w:val="21"/>
              </w:rPr>
            </w:pPr>
          </w:p>
        </w:tc>
        <w:tc>
          <w:tcPr>
            <w:tcW w:w="816" w:type="dxa"/>
            <w:tcBorders>
              <w:right w:val="single" w:color="000000" w:sz="10" w:space="0"/>
            </w:tcBorders>
            <w:vAlign w:val="top"/>
          </w:tcPr>
          <w:p w14:paraId="5B016188">
            <w:pPr>
              <w:rPr>
                <w:rFonts w:ascii="Arial"/>
                <w:sz w:val="21"/>
              </w:rPr>
            </w:pPr>
          </w:p>
        </w:tc>
      </w:tr>
      <w:tr w14:paraId="0DDE0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79" w:type="dxa"/>
            <w:tcBorders>
              <w:left w:val="single" w:color="000000" w:sz="10" w:space="0"/>
              <w:bottom w:val="single" w:color="000000" w:sz="10" w:space="0"/>
            </w:tcBorders>
            <w:vAlign w:val="top"/>
          </w:tcPr>
          <w:p w14:paraId="21866285">
            <w:pPr>
              <w:rPr>
                <w:rFonts w:ascii="Arial"/>
                <w:sz w:val="21"/>
              </w:rPr>
            </w:pPr>
          </w:p>
        </w:tc>
        <w:tc>
          <w:tcPr>
            <w:tcW w:w="1132" w:type="dxa"/>
            <w:tcBorders>
              <w:bottom w:val="single" w:color="000000" w:sz="10" w:space="0"/>
            </w:tcBorders>
            <w:vAlign w:val="top"/>
          </w:tcPr>
          <w:p w14:paraId="245001BD">
            <w:pPr>
              <w:rPr>
                <w:rFonts w:ascii="Arial"/>
                <w:sz w:val="21"/>
              </w:rPr>
            </w:pPr>
          </w:p>
        </w:tc>
        <w:tc>
          <w:tcPr>
            <w:tcW w:w="848" w:type="dxa"/>
            <w:tcBorders>
              <w:bottom w:val="single" w:color="000000" w:sz="10" w:space="0"/>
            </w:tcBorders>
            <w:vAlign w:val="top"/>
          </w:tcPr>
          <w:p w14:paraId="0D9E12F4">
            <w:pPr>
              <w:rPr>
                <w:rFonts w:ascii="Arial"/>
                <w:sz w:val="21"/>
              </w:rPr>
            </w:pPr>
          </w:p>
        </w:tc>
        <w:tc>
          <w:tcPr>
            <w:tcW w:w="706" w:type="dxa"/>
            <w:tcBorders>
              <w:bottom w:val="single" w:color="000000" w:sz="10" w:space="0"/>
            </w:tcBorders>
            <w:vAlign w:val="top"/>
          </w:tcPr>
          <w:p w14:paraId="319E9534">
            <w:pPr>
              <w:rPr>
                <w:rFonts w:ascii="Arial"/>
                <w:sz w:val="21"/>
              </w:rPr>
            </w:pPr>
          </w:p>
        </w:tc>
        <w:tc>
          <w:tcPr>
            <w:tcW w:w="708" w:type="dxa"/>
            <w:tcBorders>
              <w:bottom w:val="single" w:color="000000" w:sz="10" w:space="0"/>
            </w:tcBorders>
            <w:vAlign w:val="top"/>
          </w:tcPr>
          <w:p w14:paraId="1DB65B1E">
            <w:pPr>
              <w:rPr>
                <w:rFonts w:ascii="Arial"/>
                <w:sz w:val="21"/>
              </w:rPr>
            </w:pPr>
          </w:p>
        </w:tc>
        <w:tc>
          <w:tcPr>
            <w:tcW w:w="848" w:type="dxa"/>
            <w:tcBorders>
              <w:bottom w:val="single" w:color="000000" w:sz="10" w:space="0"/>
            </w:tcBorders>
            <w:vAlign w:val="top"/>
          </w:tcPr>
          <w:p w14:paraId="6DA37BE4">
            <w:pPr>
              <w:rPr>
                <w:rFonts w:ascii="Arial"/>
                <w:sz w:val="21"/>
              </w:rPr>
            </w:pPr>
          </w:p>
        </w:tc>
        <w:tc>
          <w:tcPr>
            <w:tcW w:w="847" w:type="dxa"/>
            <w:tcBorders>
              <w:bottom w:val="single" w:color="000000" w:sz="10" w:space="0"/>
            </w:tcBorders>
            <w:vAlign w:val="top"/>
          </w:tcPr>
          <w:p w14:paraId="6A5D4FCF">
            <w:pPr>
              <w:rPr>
                <w:rFonts w:ascii="Arial"/>
                <w:sz w:val="21"/>
              </w:rPr>
            </w:pPr>
          </w:p>
        </w:tc>
        <w:tc>
          <w:tcPr>
            <w:tcW w:w="802" w:type="dxa"/>
            <w:tcBorders>
              <w:bottom w:val="single" w:color="000000" w:sz="10" w:space="0"/>
            </w:tcBorders>
            <w:vAlign w:val="top"/>
          </w:tcPr>
          <w:p w14:paraId="43764475">
            <w:pPr>
              <w:rPr>
                <w:rFonts w:ascii="Arial"/>
                <w:sz w:val="21"/>
              </w:rPr>
            </w:pPr>
          </w:p>
        </w:tc>
        <w:tc>
          <w:tcPr>
            <w:tcW w:w="1460" w:type="dxa"/>
            <w:tcBorders>
              <w:bottom w:val="single" w:color="000000" w:sz="10" w:space="0"/>
            </w:tcBorders>
            <w:vAlign w:val="top"/>
          </w:tcPr>
          <w:p w14:paraId="694045AE">
            <w:pPr>
              <w:rPr>
                <w:rFonts w:ascii="Arial"/>
                <w:sz w:val="21"/>
              </w:rPr>
            </w:pPr>
          </w:p>
        </w:tc>
        <w:tc>
          <w:tcPr>
            <w:tcW w:w="816" w:type="dxa"/>
            <w:tcBorders>
              <w:bottom w:val="single" w:color="000000" w:sz="10" w:space="0"/>
              <w:right w:val="single" w:color="000000" w:sz="10" w:space="0"/>
            </w:tcBorders>
            <w:vAlign w:val="top"/>
          </w:tcPr>
          <w:p w14:paraId="2F9608FB">
            <w:pPr>
              <w:rPr>
                <w:rFonts w:ascii="Arial"/>
                <w:sz w:val="21"/>
              </w:rPr>
            </w:pPr>
          </w:p>
        </w:tc>
      </w:tr>
    </w:tbl>
    <w:p w14:paraId="782BBA45">
      <w:pPr>
        <w:pStyle w:val="5"/>
      </w:pPr>
    </w:p>
    <w:p w14:paraId="42F0C8C7">
      <w:pPr>
        <w:sectPr>
          <w:footerReference r:id="rId134" w:type="default"/>
          <w:pgSz w:w="11905" w:h="16843"/>
          <w:pgMar w:top="969" w:right="1355" w:bottom="1026" w:left="1480" w:header="0" w:footer="754" w:gutter="0"/>
          <w:cols w:space="0" w:num="1"/>
          <w:rtlGutter w:val="0"/>
          <w:docGrid w:linePitch="0" w:charSpace="0"/>
        </w:sectPr>
      </w:pPr>
    </w:p>
    <w:p w14:paraId="2A864832">
      <w:pPr>
        <w:pStyle w:val="5"/>
        <w:spacing w:line="272" w:lineRule="auto"/>
      </w:pPr>
    </w:p>
    <w:p w14:paraId="24EDC075">
      <w:pPr>
        <w:pStyle w:val="5"/>
        <w:spacing w:line="272" w:lineRule="auto"/>
      </w:pPr>
    </w:p>
    <w:p w14:paraId="6A0DCCAE">
      <w:pPr>
        <w:pStyle w:val="5"/>
        <w:spacing w:line="272" w:lineRule="auto"/>
      </w:pPr>
    </w:p>
    <w:p w14:paraId="6FC84F6F">
      <w:pPr>
        <w:pStyle w:val="5"/>
        <w:spacing w:line="272" w:lineRule="auto"/>
      </w:pPr>
    </w:p>
    <w:p w14:paraId="1A11A520">
      <w:pPr>
        <w:pStyle w:val="5"/>
        <w:spacing w:line="273" w:lineRule="auto"/>
      </w:pPr>
    </w:p>
    <w:p w14:paraId="2E3B432E">
      <w:pPr>
        <w:spacing w:before="78" w:line="219" w:lineRule="auto"/>
        <w:ind w:left="28"/>
        <w:rPr>
          <w:rFonts w:ascii="宋体" w:hAnsi="宋体" w:eastAsia="宋体" w:cs="宋体"/>
          <w:sz w:val="24"/>
          <w:szCs w:val="24"/>
        </w:rPr>
      </w:pPr>
      <w:bookmarkStart w:id="1227" w:name="bookmark593"/>
      <w:bookmarkEnd w:id="1227"/>
      <w:r>
        <w:rPr>
          <w:rFonts w:ascii="宋体" w:hAnsi="宋体" w:eastAsia="宋体" w:cs="宋体"/>
          <w:spacing w:val="-11"/>
          <w:sz w:val="24"/>
          <w:szCs w:val="24"/>
        </w:rPr>
        <w:t>附件</w:t>
      </w:r>
      <w:r>
        <w:rPr>
          <w:rFonts w:ascii="宋体" w:hAnsi="宋体" w:eastAsia="宋体" w:cs="宋体"/>
          <w:spacing w:val="-46"/>
          <w:sz w:val="24"/>
          <w:szCs w:val="24"/>
        </w:rPr>
        <w:t xml:space="preserve"> </w:t>
      </w:r>
      <w:r>
        <w:rPr>
          <w:rFonts w:ascii="宋体" w:hAnsi="宋体" w:eastAsia="宋体" w:cs="宋体"/>
          <w:spacing w:val="-11"/>
          <w:sz w:val="24"/>
          <w:szCs w:val="24"/>
        </w:rPr>
        <w:t>3：</w:t>
      </w:r>
    </w:p>
    <w:p w14:paraId="532E80FF">
      <w:pPr>
        <w:spacing w:before="240" w:line="219" w:lineRule="auto"/>
        <w:ind w:left="3482"/>
        <w:rPr>
          <w:rFonts w:ascii="黑体" w:hAnsi="黑体" w:eastAsia="黑体" w:cs="黑体"/>
          <w:sz w:val="28"/>
          <w:szCs w:val="28"/>
        </w:rPr>
      </w:pPr>
      <w:r>
        <w:rPr>
          <w:rFonts w:ascii="黑体" w:hAnsi="黑体" w:eastAsia="黑体" w:cs="黑体"/>
          <w:spacing w:val="-2"/>
          <w:sz w:val="28"/>
          <w:szCs w:val="28"/>
        </w:rPr>
        <w:t>工程质量保修书</w:t>
      </w:r>
    </w:p>
    <w:p w14:paraId="4CAE3435">
      <w:pPr>
        <w:spacing w:before="286" w:line="221" w:lineRule="auto"/>
        <w:ind w:left="431"/>
        <w:rPr>
          <w:rFonts w:ascii="宋体" w:hAnsi="宋体" w:eastAsia="宋体" w:cs="宋体"/>
          <w:sz w:val="21"/>
          <w:szCs w:val="21"/>
        </w:rPr>
      </w:pPr>
      <w:r>
        <w:rPr>
          <w:rFonts w:ascii="宋体" w:hAnsi="宋体" w:eastAsia="宋体" w:cs="宋体"/>
          <w:spacing w:val="-13"/>
          <w:sz w:val="21"/>
          <w:szCs w:val="21"/>
        </w:rPr>
        <w:t>发包人（全称</w:t>
      </w:r>
      <w:r>
        <w:rPr>
          <w:rFonts w:ascii="宋体" w:hAnsi="宋体" w:eastAsia="宋体" w:cs="宋体"/>
          <w:spacing w:val="-26"/>
          <w:sz w:val="21"/>
          <w:szCs w:val="21"/>
        </w:rPr>
        <w:t>）：</w:t>
      </w:r>
    </w:p>
    <w:p w14:paraId="471C03E3">
      <w:pPr>
        <w:spacing w:before="189" w:line="221" w:lineRule="auto"/>
        <w:ind w:left="430"/>
        <w:rPr>
          <w:rFonts w:ascii="宋体" w:hAnsi="宋体" w:eastAsia="宋体" w:cs="宋体"/>
          <w:sz w:val="21"/>
          <w:szCs w:val="21"/>
        </w:rPr>
      </w:pPr>
      <w:r>
        <w:rPr>
          <w:rFonts w:ascii="宋体" w:hAnsi="宋体" w:eastAsia="宋体" w:cs="宋体"/>
          <w:spacing w:val="-12"/>
          <w:sz w:val="21"/>
          <w:szCs w:val="21"/>
        </w:rPr>
        <w:t>承包人（全称</w:t>
      </w:r>
      <w:r>
        <w:rPr>
          <w:rFonts w:ascii="宋体" w:hAnsi="宋体" w:eastAsia="宋体" w:cs="宋体"/>
          <w:spacing w:val="-28"/>
          <w:sz w:val="21"/>
          <w:szCs w:val="21"/>
        </w:rPr>
        <w:t>）：</w:t>
      </w:r>
    </w:p>
    <w:p w14:paraId="3DE98B88">
      <w:pPr>
        <w:pStyle w:val="5"/>
        <w:spacing w:line="415" w:lineRule="auto"/>
      </w:pPr>
    </w:p>
    <w:p w14:paraId="4082DE00">
      <w:pPr>
        <w:spacing w:before="68" w:line="360" w:lineRule="auto"/>
        <w:ind w:left="9" w:right="15" w:firstLine="431"/>
        <w:rPr>
          <w:rFonts w:ascii="宋体" w:hAnsi="宋体" w:eastAsia="宋体" w:cs="宋体"/>
          <w:sz w:val="21"/>
          <w:szCs w:val="21"/>
        </w:rPr>
      </w:pPr>
      <w:r>
        <w:rPr>
          <w:rFonts w:ascii="宋体" w:hAnsi="宋体" w:eastAsia="宋体" w:cs="宋体"/>
          <w:spacing w:val="1"/>
          <w:sz w:val="21"/>
          <w:szCs w:val="21"/>
        </w:rPr>
        <w:t>发包人和承包人根据《中华人民共和国建筑法》和《建设工程质量管理条例》，经协商一致</w:t>
      </w:r>
      <w:r>
        <w:rPr>
          <w:rFonts w:ascii="宋体" w:hAnsi="宋体" w:eastAsia="宋体" w:cs="宋体"/>
          <w:spacing w:val="-1"/>
          <w:sz w:val="21"/>
          <w:szCs w:val="21"/>
        </w:rPr>
        <w:t>就</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（工程全称）签订工程质量保修书。</w:t>
      </w:r>
    </w:p>
    <w:p w14:paraId="773FC4E4">
      <w:pPr>
        <w:spacing w:before="1" w:line="219" w:lineRule="auto"/>
        <w:ind w:left="434"/>
        <w:rPr>
          <w:rFonts w:ascii="黑体" w:hAnsi="黑体" w:eastAsia="黑体" w:cs="黑体"/>
          <w:sz w:val="21"/>
          <w:szCs w:val="21"/>
        </w:rPr>
      </w:pPr>
      <w:r>
        <w:rPr>
          <w:rFonts w:ascii="黑体" w:hAnsi="黑体" w:eastAsia="黑体" w:cs="黑体"/>
          <w:spacing w:val="-1"/>
          <w:sz w:val="21"/>
          <w:szCs w:val="21"/>
        </w:rPr>
        <w:t>一、工程质量保修范围和内容</w:t>
      </w:r>
    </w:p>
    <w:p w14:paraId="6B33C562">
      <w:pPr>
        <w:spacing w:before="158" w:line="221" w:lineRule="auto"/>
        <w:ind w:left="430"/>
        <w:rPr>
          <w:rFonts w:ascii="宋体" w:hAnsi="宋体" w:eastAsia="宋体" w:cs="宋体"/>
          <w:sz w:val="21"/>
          <w:szCs w:val="21"/>
        </w:rPr>
      </w:pPr>
      <w:r>
        <w:rPr>
          <w:rFonts w:ascii="宋体" w:hAnsi="宋体" w:eastAsia="宋体" w:cs="宋体"/>
          <w:spacing w:val="-1"/>
          <w:sz w:val="21"/>
          <w:szCs w:val="21"/>
        </w:rPr>
        <w:t>承包人在质量保修期内，按照有关法律规定和合同约定，承担工程质量保修责任。</w:t>
      </w:r>
    </w:p>
    <w:p w14:paraId="240689FD">
      <w:pPr>
        <w:spacing w:before="157" w:line="361" w:lineRule="auto"/>
        <w:ind w:left="9" w:right="5" w:firstLine="424"/>
        <w:rPr>
          <w:rFonts w:ascii="宋体" w:hAnsi="宋体" w:eastAsia="宋体" w:cs="宋体"/>
          <w:sz w:val="21"/>
          <w:szCs w:val="21"/>
        </w:rPr>
      </w:pPr>
      <w:r>
        <w:rPr>
          <w:rFonts w:ascii="宋体" w:hAnsi="宋体" w:eastAsia="宋体" w:cs="宋体"/>
          <w:spacing w:val="1"/>
          <w:sz w:val="21"/>
          <w:szCs w:val="21"/>
        </w:rPr>
        <w:t>质量保修范围包括地基基础工程、主体结构工程，屋面防水工程、有防水要求的卫生间、房</w:t>
      </w:r>
      <w:r>
        <w:rPr>
          <w:rFonts w:ascii="宋体" w:hAnsi="宋体" w:eastAsia="宋体" w:cs="宋体"/>
          <w:spacing w:val="2"/>
          <w:sz w:val="21"/>
          <w:szCs w:val="21"/>
        </w:rPr>
        <w:t>间和外墙面的防渗漏，供热与供冷系统，电气管线、给排水管道、</w:t>
      </w:r>
      <w:r>
        <w:rPr>
          <w:rFonts w:ascii="宋体" w:hAnsi="宋体" w:eastAsia="宋体" w:cs="宋体"/>
          <w:spacing w:val="1"/>
          <w:sz w:val="21"/>
          <w:szCs w:val="21"/>
        </w:rPr>
        <w:t>设备安装和装修工程，以及双</w:t>
      </w:r>
      <w:r>
        <w:rPr>
          <w:rFonts w:ascii="宋体" w:hAnsi="宋体" w:eastAsia="宋体" w:cs="宋体"/>
          <w:spacing w:val="-2"/>
          <w:sz w:val="21"/>
          <w:szCs w:val="21"/>
        </w:rPr>
        <w:t>方约定的其他项目。具体保修的内容，双方约定如下：</w:t>
      </w:r>
    </w:p>
    <w:p w14:paraId="598893E0">
      <w:pPr>
        <w:pStyle w:val="5"/>
        <w:spacing w:line="467" w:lineRule="auto"/>
      </w:pPr>
    </w:p>
    <w:p w14:paraId="0F1DD8FD">
      <w:pPr>
        <w:tabs>
          <w:tab w:val="left" w:pos="7770"/>
        </w:tabs>
        <w:spacing w:before="69" w:line="93"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3CE4E90B">
      <w:pPr>
        <w:spacing w:before="166" w:line="220" w:lineRule="auto"/>
        <w:ind w:left="434"/>
        <w:rPr>
          <w:rFonts w:ascii="黑体" w:hAnsi="黑体" w:eastAsia="黑体" w:cs="黑体"/>
          <w:sz w:val="21"/>
          <w:szCs w:val="21"/>
        </w:rPr>
      </w:pPr>
      <w:r>
        <w:rPr>
          <w:rFonts w:ascii="黑体" w:hAnsi="黑体" w:eastAsia="黑体" w:cs="黑体"/>
          <w:spacing w:val="-2"/>
          <w:sz w:val="21"/>
          <w:szCs w:val="21"/>
        </w:rPr>
        <w:t>二、质量保修期</w:t>
      </w:r>
    </w:p>
    <w:p w14:paraId="1C97360F">
      <w:pPr>
        <w:spacing w:before="159" w:line="221" w:lineRule="auto"/>
        <w:ind w:left="428"/>
        <w:rPr>
          <w:rFonts w:ascii="宋体" w:hAnsi="宋体" w:eastAsia="宋体" w:cs="宋体"/>
          <w:sz w:val="21"/>
          <w:szCs w:val="21"/>
        </w:rPr>
      </w:pPr>
      <w:r>
        <w:rPr>
          <w:rFonts w:ascii="宋体" w:hAnsi="宋体" w:eastAsia="宋体" w:cs="宋体"/>
          <w:spacing w:val="-1"/>
          <w:sz w:val="21"/>
          <w:szCs w:val="21"/>
        </w:rPr>
        <w:t>根据《建设工程质量管理条例》及有关规定，工程的质量保修期如下：</w:t>
      </w:r>
    </w:p>
    <w:p w14:paraId="72C320B2">
      <w:pPr>
        <w:spacing w:before="157" w:line="221" w:lineRule="auto"/>
        <w:ind w:left="443"/>
        <w:rPr>
          <w:rFonts w:ascii="宋体" w:hAnsi="宋体" w:eastAsia="宋体" w:cs="宋体"/>
          <w:sz w:val="21"/>
          <w:szCs w:val="21"/>
        </w:rPr>
      </w:pPr>
      <w:r>
        <w:rPr>
          <w:rFonts w:ascii="宋体" w:hAnsi="宋体" w:eastAsia="宋体" w:cs="宋体"/>
          <w:spacing w:val="-1"/>
          <w:sz w:val="21"/>
          <w:szCs w:val="21"/>
        </w:rPr>
        <w:t>1．地基基础工程和主体结构工程为设计文</w:t>
      </w:r>
      <w:r>
        <w:rPr>
          <w:rFonts w:ascii="宋体" w:hAnsi="宋体" w:eastAsia="宋体" w:cs="宋体"/>
          <w:spacing w:val="-2"/>
          <w:sz w:val="21"/>
          <w:szCs w:val="21"/>
        </w:rPr>
        <w:t>件规定的工程合理使用年限；</w:t>
      </w:r>
    </w:p>
    <w:p w14:paraId="41517904">
      <w:pPr>
        <w:spacing w:before="157" w:line="221" w:lineRule="auto"/>
        <w:ind w:left="430"/>
        <w:rPr>
          <w:rFonts w:ascii="宋体" w:hAnsi="宋体" w:eastAsia="宋体" w:cs="宋体"/>
          <w:sz w:val="21"/>
          <w:szCs w:val="21"/>
        </w:rPr>
      </w:pPr>
      <w:r>
        <w:rPr>
          <w:rFonts w:ascii="宋体" w:hAnsi="宋体" w:eastAsia="宋体" w:cs="宋体"/>
          <w:spacing w:val="-1"/>
          <w:sz w:val="21"/>
          <w:szCs w:val="21"/>
        </w:rPr>
        <w:t>2．屋面防水工程、有防水要求的卫生间、房间和外墙面的防渗为</w:t>
      </w:r>
      <w:r>
        <w:rPr>
          <w:rFonts w:ascii="宋体" w:hAnsi="宋体" w:eastAsia="宋体" w:cs="宋体"/>
          <w:spacing w:val="-1"/>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
          <w:sz w:val="21"/>
          <w:szCs w:val="21"/>
        </w:rPr>
        <w:t>年；</w:t>
      </w:r>
    </w:p>
    <w:p w14:paraId="46C42713">
      <w:pPr>
        <w:spacing w:before="156" w:line="221" w:lineRule="auto"/>
        <w:ind w:left="432"/>
        <w:rPr>
          <w:rFonts w:ascii="宋体" w:hAnsi="宋体" w:eastAsia="宋体" w:cs="宋体"/>
          <w:sz w:val="21"/>
          <w:szCs w:val="21"/>
        </w:rPr>
      </w:pPr>
      <w:r>
        <w:rPr>
          <w:rFonts w:ascii="宋体" w:hAnsi="宋体" w:eastAsia="宋体" w:cs="宋体"/>
          <w:spacing w:val="-3"/>
          <w:sz w:val="21"/>
          <w:szCs w:val="21"/>
        </w:rPr>
        <w:t>3．装修工程为</w:t>
      </w:r>
      <w:r>
        <w:rPr>
          <w:rFonts w:ascii="宋体" w:hAnsi="宋体" w:eastAsia="宋体" w:cs="宋体"/>
          <w:spacing w:val="-3"/>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3"/>
          <w:sz w:val="21"/>
          <w:szCs w:val="21"/>
        </w:rPr>
        <w:t>年；</w:t>
      </w:r>
    </w:p>
    <w:p w14:paraId="35EC603D">
      <w:pPr>
        <w:spacing w:before="157" w:line="221" w:lineRule="auto"/>
        <w:ind w:left="427"/>
        <w:rPr>
          <w:rFonts w:ascii="宋体" w:hAnsi="宋体" w:eastAsia="宋体" w:cs="宋体"/>
          <w:sz w:val="21"/>
          <w:szCs w:val="21"/>
        </w:rPr>
      </w:pPr>
      <w:r>
        <w:rPr>
          <w:rFonts w:ascii="宋体" w:hAnsi="宋体" w:eastAsia="宋体" w:cs="宋体"/>
          <w:spacing w:val="-1"/>
          <w:sz w:val="21"/>
          <w:szCs w:val="21"/>
        </w:rPr>
        <w:t>4．电气管线、给排水管道、设备安装工程为</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2"/>
          <w:sz w:val="21"/>
          <w:szCs w:val="21"/>
        </w:rPr>
        <w:t>年；</w:t>
      </w:r>
    </w:p>
    <w:p w14:paraId="7F57F6C2">
      <w:pPr>
        <w:spacing w:before="159" w:line="220" w:lineRule="auto"/>
        <w:ind w:left="432"/>
        <w:rPr>
          <w:rFonts w:ascii="宋体" w:hAnsi="宋体" w:eastAsia="宋体" w:cs="宋体"/>
          <w:sz w:val="21"/>
          <w:szCs w:val="21"/>
        </w:rPr>
      </w:pPr>
      <w:r>
        <w:rPr>
          <w:rFonts w:ascii="宋体" w:hAnsi="宋体" w:eastAsia="宋体" w:cs="宋体"/>
          <w:spacing w:val="-1"/>
          <w:sz w:val="21"/>
          <w:szCs w:val="21"/>
        </w:rPr>
        <w:t>5．供热与供冷系统为</w:t>
      </w:r>
      <w:r>
        <w:rPr>
          <w:rFonts w:ascii="宋体" w:hAnsi="宋体" w:eastAsia="宋体" w:cs="宋体"/>
          <w:spacing w:val="-103"/>
          <w:sz w:val="21"/>
          <w:szCs w:val="21"/>
        </w:rPr>
        <w:t xml:space="preserve"> </w:t>
      </w:r>
      <w:r>
        <w:rPr>
          <w:rFonts w:ascii="宋体" w:hAnsi="宋体" w:eastAsia="宋体" w:cs="宋体"/>
          <w:spacing w:val="12"/>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
          <w:sz w:val="21"/>
          <w:szCs w:val="21"/>
        </w:rPr>
        <w:t>个采暖期、供冷期；</w:t>
      </w:r>
    </w:p>
    <w:p w14:paraId="62262162">
      <w:pPr>
        <w:spacing w:before="158" w:line="221" w:lineRule="auto"/>
        <w:ind w:left="429"/>
        <w:rPr>
          <w:rFonts w:ascii="宋体" w:hAnsi="宋体" w:eastAsia="宋体" w:cs="宋体"/>
          <w:sz w:val="21"/>
          <w:szCs w:val="21"/>
        </w:rPr>
      </w:pPr>
      <w:r>
        <w:rPr>
          <w:rFonts w:ascii="宋体" w:hAnsi="宋体" w:eastAsia="宋体" w:cs="宋体"/>
          <w:spacing w:val="-2"/>
          <w:sz w:val="21"/>
          <w:szCs w:val="21"/>
        </w:rPr>
        <w:t>6．住宅小区内的给排水设施、道路等配套工程为</w:t>
      </w:r>
      <w:r>
        <w:rPr>
          <w:rFonts w:ascii="宋体" w:hAnsi="宋体" w:eastAsia="宋体" w:cs="宋体"/>
          <w:spacing w:val="-94"/>
          <w:sz w:val="21"/>
          <w:szCs w:val="21"/>
        </w:rPr>
        <w:t xml:space="preserve"> </w:t>
      </w:r>
      <w:r>
        <w:rPr>
          <w:rFonts w:ascii="宋体" w:hAnsi="宋体" w:eastAsia="宋体" w:cs="宋体"/>
          <w:spacing w:val="12"/>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2"/>
          <w:sz w:val="21"/>
          <w:szCs w:val="21"/>
        </w:rPr>
        <w:t>年；</w:t>
      </w:r>
    </w:p>
    <w:p w14:paraId="29F45BF9">
      <w:pPr>
        <w:spacing w:before="157" w:line="221" w:lineRule="auto"/>
        <w:ind w:left="433"/>
        <w:rPr>
          <w:rFonts w:ascii="宋体" w:hAnsi="宋体" w:eastAsia="宋体" w:cs="宋体"/>
          <w:sz w:val="21"/>
          <w:szCs w:val="21"/>
        </w:rPr>
      </w:pPr>
      <w:r>
        <w:rPr>
          <w:rFonts w:ascii="宋体" w:hAnsi="宋体" w:eastAsia="宋体" w:cs="宋体"/>
          <w:spacing w:val="-3"/>
          <w:sz w:val="21"/>
          <w:szCs w:val="21"/>
        </w:rPr>
        <w:t>7．其他项目保修期限约定如下：</w:t>
      </w:r>
    </w:p>
    <w:p w14:paraId="5827E74A">
      <w:pPr>
        <w:pStyle w:val="5"/>
        <w:spacing w:line="314" w:lineRule="auto"/>
      </w:pPr>
    </w:p>
    <w:p w14:paraId="4ED55534">
      <w:pPr>
        <w:pStyle w:val="5"/>
        <w:spacing w:line="315" w:lineRule="auto"/>
      </w:pPr>
    </w:p>
    <w:p w14:paraId="42C08ECD">
      <w:pPr>
        <w:tabs>
          <w:tab w:val="left" w:pos="7770"/>
        </w:tabs>
        <w:spacing w:before="69" w:line="93"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60EE19D8">
      <w:pPr>
        <w:spacing w:before="167" w:line="221" w:lineRule="auto"/>
        <w:ind w:left="431"/>
        <w:rPr>
          <w:rFonts w:ascii="宋体" w:hAnsi="宋体" w:eastAsia="宋体" w:cs="宋体"/>
          <w:sz w:val="21"/>
          <w:szCs w:val="21"/>
        </w:rPr>
      </w:pPr>
      <w:r>
        <w:rPr>
          <w:rFonts w:ascii="宋体" w:hAnsi="宋体" w:eastAsia="宋体" w:cs="宋体"/>
          <w:spacing w:val="-2"/>
          <w:sz w:val="21"/>
          <w:szCs w:val="21"/>
        </w:rPr>
        <w:t>质量保修期自工程竣工验收合格之日起计算。</w:t>
      </w:r>
    </w:p>
    <w:p w14:paraId="73619242">
      <w:pPr>
        <w:spacing w:before="158" w:line="219" w:lineRule="auto"/>
        <w:ind w:left="432"/>
        <w:rPr>
          <w:rFonts w:ascii="黑体" w:hAnsi="黑体" w:eastAsia="黑体" w:cs="黑体"/>
          <w:sz w:val="21"/>
          <w:szCs w:val="21"/>
        </w:rPr>
      </w:pPr>
      <w:r>
        <w:rPr>
          <w:rFonts w:ascii="黑体" w:hAnsi="黑体" w:eastAsia="黑体" w:cs="黑体"/>
          <w:spacing w:val="-2"/>
          <w:sz w:val="21"/>
          <w:szCs w:val="21"/>
        </w:rPr>
        <w:t>三、缺陷责任期</w:t>
      </w:r>
    </w:p>
    <w:p w14:paraId="3A155052">
      <w:pPr>
        <w:spacing w:before="158" w:line="360" w:lineRule="auto"/>
        <w:ind w:left="12" w:firstLine="418"/>
        <w:rPr>
          <w:rFonts w:ascii="宋体" w:hAnsi="宋体" w:eastAsia="宋体" w:cs="宋体"/>
          <w:sz w:val="21"/>
          <w:szCs w:val="21"/>
        </w:rPr>
      </w:pPr>
      <w:r>
        <w:rPr>
          <w:rFonts w:ascii="宋体" w:hAnsi="宋体" w:eastAsia="宋体" w:cs="宋体"/>
          <w:sz w:val="21"/>
          <w:szCs w:val="21"/>
        </w:rPr>
        <w:t>工程缺陷责任期为</w:t>
      </w:r>
      <w:r>
        <w:rPr>
          <w:rFonts w:ascii="宋体" w:hAnsi="宋体" w:eastAsia="宋体" w:cs="宋体"/>
          <w:spacing w:val="8"/>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z w:val="21"/>
          <w:szCs w:val="21"/>
        </w:rPr>
        <w:t>个月，缺陷责任期自工程</w:t>
      </w:r>
      <w:r>
        <w:rPr>
          <w:rFonts w:ascii="宋体" w:hAnsi="宋体" w:eastAsia="宋体" w:cs="宋体"/>
          <w:spacing w:val="-1"/>
          <w:sz w:val="21"/>
          <w:szCs w:val="21"/>
        </w:rPr>
        <w:t>通过竣工验收之日起计算。单位工程</w:t>
      </w:r>
      <w:r>
        <w:rPr>
          <w:rFonts w:ascii="宋体" w:hAnsi="宋体" w:eastAsia="宋体" w:cs="宋体"/>
          <w:sz w:val="21"/>
          <w:szCs w:val="21"/>
        </w:rPr>
        <w:t>先于全部工程进行验收，单位工程缺陷责任期自单位工程验收</w:t>
      </w:r>
      <w:r>
        <w:rPr>
          <w:rFonts w:ascii="宋体" w:hAnsi="宋体" w:eastAsia="宋体" w:cs="宋体"/>
          <w:spacing w:val="-1"/>
          <w:sz w:val="21"/>
          <w:szCs w:val="21"/>
        </w:rPr>
        <w:t>合格之日起算。</w:t>
      </w:r>
    </w:p>
    <w:p w14:paraId="443A5BBD">
      <w:pPr>
        <w:spacing w:before="1" w:line="220" w:lineRule="auto"/>
        <w:ind w:left="428"/>
        <w:rPr>
          <w:rFonts w:ascii="宋体" w:hAnsi="宋体" w:eastAsia="宋体" w:cs="宋体"/>
          <w:sz w:val="21"/>
          <w:szCs w:val="21"/>
        </w:rPr>
      </w:pPr>
      <w:r>
        <w:rPr>
          <w:rFonts w:ascii="宋体" w:hAnsi="宋体" w:eastAsia="宋体" w:cs="宋体"/>
          <w:spacing w:val="-1"/>
          <w:sz w:val="21"/>
          <w:szCs w:val="21"/>
        </w:rPr>
        <w:t>缺陷责任期终止后，发包人应退还剩余的质量保证金。</w:t>
      </w:r>
    </w:p>
    <w:p w14:paraId="0EBE2574">
      <w:pPr>
        <w:spacing w:before="157" w:line="219" w:lineRule="auto"/>
        <w:ind w:left="443"/>
        <w:rPr>
          <w:rFonts w:ascii="黑体" w:hAnsi="黑体" w:eastAsia="黑体" w:cs="黑体"/>
          <w:sz w:val="21"/>
          <w:szCs w:val="21"/>
        </w:rPr>
      </w:pPr>
      <w:r>
        <w:rPr>
          <w:rFonts w:ascii="黑体" w:hAnsi="黑体" w:eastAsia="黑体" w:cs="黑体"/>
          <w:spacing w:val="-3"/>
          <w:sz w:val="21"/>
          <w:szCs w:val="21"/>
        </w:rPr>
        <w:t>四、质量保修责任</w:t>
      </w:r>
    </w:p>
    <w:p w14:paraId="6057F94D">
      <w:pPr>
        <w:spacing w:before="158" w:line="221" w:lineRule="auto"/>
        <w:jc w:val="right"/>
        <w:rPr>
          <w:rFonts w:ascii="宋体" w:hAnsi="宋体" w:eastAsia="宋体" w:cs="宋体"/>
          <w:sz w:val="21"/>
          <w:szCs w:val="21"/>
        </w:rPr>
      </w:pPr>
      <w:r>
        <w:rPr>
          <w:rFonts w:ascii="宋体" w:hAnsi="宋体" w:eastAsia="宋体" w:cs="宋体"/>
          <w:spacing w:val="-1"/>
          <w:sz w:val="21"/>
          <w:szCs w:val="21"/>
        </w:rPr>
        <w:t xml:space="preserve">1．属于保修范围、内容的项目，承包人应当在接到保修通知之日起 </w:t>
      </w:r>
      <w:r>
        <w:rPr>
          <w:rFonts w:ascii="宋体" w:hAnsi="宋体" w:eastAsia="宋体" w:cs="宋体"/>
          <w:spacing w:val="-2"/>
          <w:sz w:val="21"/>
          <w:szCs w:val="21"/>
        </w:rPr>
        <w:t>7 天内派人保修。承包</w:t>
      </w:r>
    </w:p>
    <w:p w14:paraId="1D66B28B">
      <w:pPr>
        <w:spacing w:line="221" w:lineRule="auto"/>
        <w:rPr>
          <w:rFonts w:ascii="宋体" w:hAnsi="宋体" w:eastAsia="宋体" w:cs="宋体"/>
          <w:sz w:val="21"/>
          <w:szCs w:val="21"/>
        </w:rPr>
        <w:sectPr>
          <w:footerReference r:id="rId135" w:type="default"/>
          <w:pgSz w:w="11905" w:h="16843"/>
          <w:pgMar w:top="969" w:right="1355" w:bottom="1026" w:left="1480" w:header="0" w:footer="754" w:gutter="0"/>
          <w:cols w:space="0" w:num="1"/>
          <w:rtlGutter w:val="0"/>
          <w:docGrid w:linePitch="0" w:charSpace="0"/>
        </w:sectPr>
      </w:pPr>
    </w:p>
    <w:p w14:paraId="307237BE">
      <w:pPr>
        <w:pStyle w:val="5"/>
        <w:spacing w:line="251" w:lineRule="auto"/>
      </w:pPr>
    </w:p>
    <w:p w14:paraId="1B7B5D0E">
      <w:pPr>
        <w:pStyle w:val="5"/>
        <w:spacing w:line="251" w:lineRule="auto"/>
      </w:pPr>
    </w:p>
    <w:p w14:paraId="50BBDA41">
      <w:pPr>
        <w:pStyle w:val="5"/>
        <w:spacing w:line="251" w:lineRule="auto"/>
      </w:pPr>
    </w:p>
    <w:p w14:paraId="2553B2C5">
      <w:pPr>
        <w:pStyle w:val="5"/>
        <w:spacing w:line="251" w:lineRule="auto"/>
      </w:pPr>
    </w:p>
    <w:p w14:paraId="0B379F17">
      <w:pPr>
        <w:pStyle w:val="5"/>
        <w:spacing w:line="251" w:lineRule="auto"/>
      </w:pPr>
    </w:p>
    <w:p w14:paraId="68C50D9D">
      <w:pPr>
        <w:spacing w:before="68" w:line="221" w:lineRule="auto"/>
        <w:ind w:left="115"/>
        <w:rPr>
          <w:rFonts w:ascii="宋体" w:hAnsi="宋体" w:eastAsia="宋体" w:cs="宋体"/>
          <w:sz w:val="21"/>
          <w:szCs w:val="21"/>
        </w:rPr>
      </w:pPr>
      <w:bookmarkStart w:id="1228" w:name="bookmark594"/>
      <w:bookmarkEnd w:id="1228"/>
      <w:r>
        <w:rPr>
          <w:rFonts w:ascii="宋体" w:hAnsi="宋体" w:eastAsia="宋体" w:cs="宋体"/>
          <w:sz w:val="21"/>
          <w:szCs w:val="21"/>
        </w:rPr>
        <w:t>人不在约定期限内派人保修的，发包人可以委托</w:t>
      </w:r>
      <w:r>
        <w:rPr>
          <w:rFonts w:ascii="宋体" w:hAnsi="宋体" w:eastAsia="宋体" w:cs="宋体"/>
          <w:spacing w:val="-1"/>
          <w:sz w:val="21"/>
          <w:szCs w:val="21"/>
        </w:rPr>
        <w:t>他人修理。</w:t>
      </w:r>
    </w:p>
    <w:p w14:paraId="287B06D7">
      <w:pPr>
        <w:spacing w:before="156" w:line="221" w:lineRule="auto"/>
        <w:ind w:left="545"/>
        <w:rPr>
          <w:rFonts w:ascii="宋体" w:hAnsi="宋体" w:eastAsia="宋体" w:cs="宋体"/>
          <w:sz w:val="21"/>
          <w:szCs w:val="21"/>
        </w:rPr>
      </w:pPr>
      <w:r>
        <w:rPr>
          <w:rFonts w:ascii="宋体" w:hAnsi="宋体" w:eastAsia="宋体" w:cs="宋体"/>
          <w:sz w:val="21"/>
          <w:szCs w:val="21"/>
        </w:rPr>
        <w:t>2．发生紧急事故需抢修的，承包人在接到事故通知后，应当立即到达事</w:t>
      </w:r>
      <w:r>
        <w:rPr>
          <w:rFonts w:ascii="宋体" w:hAnsi="宋体" w:eastAsia="宋体" w:cs="宋体"/>
          <w:spacing w:val="-1"/>
          <w:sz w:val="21"/>
          <w:szCs w:val="21"/>
        </w:rPr>
        <w:t>故现场抢修。</w:t>
      </w:r>
    </w:p>
    <w:p w14:paraId="345C5EC1">
      <w:pPr>
        <w:spacing w:before="158" w:line="313" w:lineRule="auto"/>
        <w:ind w:left="113" w:firstLine="433"/>
        <w:rPr>
          <w:rFonts w:ascii="宋体" w:hAnsi="宋体" w:eastAsia="宋体" w:cs="宋体"/>
          <w:sz w:val="21"/>
          <w:szCs w:val="21"/>
        </w:rPr>
      </w:pPr>
      <w:r>
        <w:rPr>
          <w:rFonts w:ascii="宋体" w:hAnsi="宋体" w:eastAsia="宋体" w:cs="宋体"/>
          <w:spacing w:val="2"/>
          <w:sz w:val="21"/>
          <w:szCs w:val="21"/>
        </w:rPr>
        <w:t>3．对于涉及结构安全的质量问题，应当按</w:t>
      </w:r>
      <w:r>
        <w:rPr>
          <w:rFonts w:ascii="宋体" w:hAnsi="宋体" w:eastAsia="宋体" w:cs="宋体"/>
          <w:spacing w:val="1"/>
          <w:sz w:val="21"/>
          <w:szCs w:val="21"/>
        </w:rPr>
        <w:t>照《建设工程质量管理条例》的规定，立即向当</w:t>
      </w:r>
      <w:r>
        <w:rPr>
          <w:rFonts w:ascii="宋体" w:hAnsi="宋体" w:eastAsia="宋体" w:cs="宋体"/>
          <w:spacing w:val="4"/>
          <w:sz w:val="21"/>
          <w:szCs w:val="21"/>
        </w:rPr>
        <w:t>地建设行政主管部门和有关部门报告，采取安全防范措施，并由原设计人或者具有相应资质等</w:t>
      </w:r>
      <w:r>
        <w:rPr>
          <w:rFonts w:ascii="宋体" w:hAnsi="宋体" w:eastAsia="宋体" w:cs="宋体"/>
          <w:spacing w:val="-1"/>
          <w:sz w:val="21"/>
          <w:szCs w:val="21"/>
        </w:rPr>
        <w:t>级的设计人提出保修方案，承包人实施保修。</w:t>
      </w:r>
    </w:p>
    <w:p w14:paraId="5487FDFF">
      <w:pPr>
        <w:spacing w:before="156" w:line="221" w:lineRule="auto"/>
        <w:ind w:left="532"/>
        <w:rPr>
          <w:rFonts w:ascii="宋体" w:hAnsi="宋体" w:eastAsia="宋体" w:cs="宋体"/>
          <w:sz w:val="21"/>
          <w:szCs w:val="21"/>
        </w:rPr>
      </w:pPr>
      <w:r>
        <w:rPr>
          <w:rFonts w:ascii="宋体" w:hAnsi="宋体" w:eastAsia="宋体" w:cs="宋体"/>
          <w:spacing w:val="-2"/>
          <w:sz w:val="21"/>
          <w:szCs w:val="21"/>
        </w:rPr>
        <w:t>4．质量保修完成后，由发包人组织验收。</w:t>
      </w:r>
    </w:p>
    <w:p w14:paraId="4D07AE45">
      <w:pPr>
        <w:spacing w:before="156" w:line="220" w:lineRule="auto"/>
        <w:ind w:left="436"/>
        <w:rPr>
          <w:rFonts w:ascii="黑体" w:hAnsi="黑体" w:eastAsia="黑体" w:cs="黑体"/>
          <w:sz w:val="21"/>
          <w:szCs w:val="21"/>
        </w:rPr>
      </w:pPr>
      <w:r>
        <w:rPr>
          <w:rFonts w:ascii="黑体" w:hAnsi="黑体" w:eastAsia="黑体" w:cs="黑体"/>
          <w:spacing w:val="-3"/>
          <w:sz w:val="21"/>
          <w:szCs w:val="21"/>
        </w:rPr>
        <w:t>五、保修费用</w:t>
      </w:r>
    </w:p>
    <w:p w14:paraId="6A4C5662">
      <w:pPr>
        <w:spacing w:before="159" w:line="221" w:lineRule="auto"/>
        <w:ind w:left="431"/>
        <w:rPr>
          <w:rFonts w:ascii="宋体" w:hAnsi="宋体" w:eastAsia="宋体" w:cs="宋体"/>
          <w:sz w:val="21"/>
          <w:szCs w:val="21"/>
        </w:rPr>
      </w:pPr>
      <w:r>
        <w:rPr>
          <w:rFonts w:ascii="宋体" w:hAnsi="宋体" w:eastAsia="宋体" w:cs="宋体"/>
          <w:spacing w:val="-2"/>
          <w:sz w:val="21"/>
          <w:szCs w:val="21"/>
        </w:rPr>
        <w:t>保修费用由造成质量缺陷的责任方承担。</w:t>
      </w:r>
    </w:p>
    <w:p w14:paraId="59ABBC9E">
      <w:pPr>
        <w:spacing w:before="157" w:line="219" w:lineRule="auto"/>
        <w:ind w:left="434"/>
        <w:rPr>
          <w:rFonts w:ascii="黑体" w:hAnsi="黑体" w:eastAsia="黑体" w:cs="黑体"/>
          <w:sz w:val="21"/>
          <w:szCs w:val="21"/>
        </w:rPr>
      </w:pPr>
      <w:r>
        <w:rPr>
          <w:rFonts w:ascii="黑体" w:hAnsi="黑体" w:eastAsia="黑体" w:cs="黑体"/>
          <w:spacing w:val="-2"/>
          <w:sz w:val="21"/>
          <w:szCs w:val="21"/>
        </w:rPr>
        <w:t>六、双方约定的其他工程质量保修事项：</w:t>
      </w:r>
    </w:p>
    <w:p w14:paraId="7BEC296C">
      <w:pPr>
        <w:pStyle w:val="5"/>
        <w:spacing w:line="300" w:lineRule="auto"/>
      </w:pPr>
    </w:p>
    <w:p w14:paraId="64E12A8F">
      <w:pPr>
        <w:pStyle w:val="5"/>
        <w:spacing w:line="301" w:lineRule="auto"/>
      </w:pPr>
    </w:p>
    <w:p w14:paraId="2C2DDB92">
      <w:pPr>
        <w:tabs>
          <w:tab w:val="left" w:pos="7770"/>
        </w:tabs>
        <w:spacing w:before="69" w:line="80" w:lineRule="auto"/>
        <w:rPr>
          <w:rFonts w:ascii="仿宋" w:hAnsi="仿宋" w:eastAsia="仿宋" w:cs="仿宋"/>
          <w:sz w:val="21"/>
          <w:szCs w:val="21"/>
        </w:rPr>
      </w:pPr>
      <w:r>
        <w:rPr>
          <w:rFonts w:ascii="仿宋" w:hAnsi="仿宋" w:eastAsia="仿宋" w:cs="仿宋"/>
          <w:sz w:val="21"/>
          <w:szCs w:val="21"/>
          <w:u w:val="single" w:color="auto"/>
        </w:rPr>
        <w:tab/>
      </w:r>
      <w:r>
        <w:rPr>
          <w:rFonts w:ascii="仿宋" w:hAnsi="仿宋" w:eastAsia="仿宋" w:cs="仿宋"/>
          <w:sz w:val="21"/>
          <w:szCs w:val="21"/>
        </w:rPr>
        <w:t>。</w:t>
      </w:r>
    </w:p>
    <w:p w14:paraId="79D32D09">
      <w:pPr>
        <w:spacing w:before="166" w:line="361" w:lineRule="auto"/>
        <w:ind w:left="10" w:right="3" w:firstLine="398"/>
        <w:rPr>
          <w:rFonts w:ascii="宋体" w:hAnsi="宋体" w:eastAsia="宋体" w:cs="宋体"/>
          <w:sz w:val="21"/>
          <w:szCs w:val="21"/>
        </w:rPr>
      </w:pPr>
      <w:r>
        <w:rPr>
          <w:rFonts w:ascii="宋体" w:hAnsi="宋体" w:eastAsia="宋体" w:cs="宋体"/>
          <w:spacing w:val="2"/>
          <w:sz w:val="21"/>
          <w:szCs w:val="21"/>
        </w:rPr>
        <w:t>工程质量保修书由发包人、承包人在工程竣工验收前共同签署，作为施工合同附件，其有效</w:t>
      </w:r>
      <w:r>
        <w:rPr>
          <w:rFonts w:ascii="宋体" w:hAnsi="宋体" w:eastAsia="宋体" w:cs="宋体"/>
          <w:spacing w:val="-1"/>
          <w:sz w:val="21"/>
          <w:szCs w:val="21"/>
        </w:rPr>
        <w:t>期限至保修期满。</w:t>
      </w:r>
    </w:p>
    <w:p w14:paraId="04F46E40">
      <w:pPr>
        <w:pStyle w:val="5"/>
        <w:spacing w:line="286" w:lineRule="auto"/>
      </w:pPr>
    </w:p>
    <w:p w14:paraId="327E984D">
      <w:pPr>
        <w:pStyle w:val="5"/>
        <w:spacing w:line="286" w:lineRule="auto"/>
      </w:pPr>
    </w:p>
    <w:p w14:paraId="7EC8295B">
      <w:pPr>
        <w:pStyle w:val="5"/>
        <w:spacing w:line="287" w:lineRule="auto"/>
      </w:pPr>
    </w:p>
    <w:p w14:paraId="5C90D05A">
      <w:pPr>
        <w:pStyle w:val="5"/>
        <w:spacing w:line="287" w:lineRule="auto"/>
      </w:pPr>
    </w:p>
    <w:p w14:paraId="7D4C6133">
      <w:pPr>
        <w:spacing w:before="69" w:line="220" w:lineRule="auto"/>
        <w:ind w:left="642"/>
        <w:rPr>
          <w:rFonts w:ascii="宋体" w:hAnsi="宋体" w:eastAsia="宋体" w:cs="宋体"/>
          <w:sz w:val="21"/>
          <w:szCs w:val="21"/>
        </w:rPr>
      </w:pPr>
      <w:r>
        <w:rPr>
          <w:rFonts w:ascii="宋体" w:hAnsi="宋体" w:eastAsia="宋体" w:cs="宋体"/>
          <w:spacing w:val="-2"/>
          <w:sz w:val="21"/>
          <w:szCs w:val="21"/>
        </w:rPr>
        <w:t>发包人（公章</w:t>
      </w:r>
      <w:r>
        <w:rPr>
          <w:rFonts w:ascii="宋体" w:hAnsi="宋体" w:eastAsia="宋体" w:cs="宋体"/>
          <w:spacing w:val="-52"/>
          <w:sz w:val="21"/>
          <w:szCs w:val="21"/>
        </w:rPr>
        <w:t>）：</w:t>
      </w:r>
      <w:r>
        <w:rPr>
          <w:rFonts w:ascii="宋体" w:hAnsi="宋体" w:eastAsia="宋体" w:cs="宋体"/>
          <w:spacing w:val="8"/>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2"/>
          <w:sz w:val="21"/>
          <w:szCs w:val="21"/>
        </w:rPr>
        <w:t>承包人（公章</w:t>
      </w:r>
      <w:r>
        <w:rPr>
          <w:rFonts w:ascii="宋体" w:hAnsi="宋体" w:eastAsia="宋体" w:cs="宋体"/>
          <w:spacing w:val="-52"/>
          <w:sz w:val="21"/>
          <w:szCs w:val="21"/>
        </w:rPr>
        <w:t>）：</w:t>
      </w:r>
      <w:r>
        <w:rPr>
          <w:rFonts w:ascii="宋体" w:hAnsi="宋体" w:eastAsia="宋体" w:cs="宋体"/>
          <w:sz w:val="21"/>
          <w:szCs w:val="21"/>
          <w:u w:val="single" w:color="auto"/>
        </w:rPr>
        <w:t xml:space="preserve">              </w:t>
      </w:r>
    </w:p>
    <w:p w14:paraId="66B41654">
      <w:pPr>
        <w:spacing w:before="158" w:line="230" w:lineRule="auto"/>
        <w:ind w:left="639"/>
        <w:rPr>
          <w:rFonts w:ascii="宋体" w:hAnsi="宋体" w:eastAsia="宋体" w:cs="宋体"/>
          <w:sz w:val="21"/>
          <w:szCs w:val="21"/>
        </w:rPr>
      </w:pPr>
      <w:r>
        <w:rPr>
          <w:rFonts w:ascii="宋体" w:hAnsi="宋体" w:eastAsia="宋体" w:cs="宋体"/>
          <w:spacing w:val="-6"/>
          <w:sz w:val="21"/>
          <w:szCs w:val="21"/>
        </w:rPr>
        <w:t>地</w:t>
      </w:r>
      <w:r>
        <w:rPr>
          <w:rFonts w:ascii="宋体" w:hAnsi="宋体" w:eastAsia="宋体" w:cs="宋体"/>
          <w:spacing w:val="6"/>
          <w:sz w:val="21"/>
          <w:szCs w:val="21"/>
        </w:rPr>
        <w:t xml:space="preserve">  </w:t>
      </w:r>
      <w:r>
        <w:rPr>
          <w:rFonts w:ascii="宋体" w:hAnsi="宋体" w:eastAsia="宋体" w:cs="宋体"/>
          <w:spacing w:val="-6"/>
          <w:sz w:val="21"/>
          <w:szCs w:val="21"/>
        </w:rPr>
        <w:t>址：</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6"/>
          <w:sz w:val="21"/>
          <w:szCs w:val="21"/>
        </w:rPr>
        <w:t>地</w:t>
      </w:r>
      <w:r>
        <w:rPr>
          <w:rFonts w:ascii="宋体" w:hAnsi="宋体" w:eastAsia="宋体" w:cs="宋体"/>
          <w:spacing w:val="4"/>
          <w:sz w:val="21"/>
          <w:szCs w:val="21"/>
        </w:rPr>
        <w:t xml:space="preserve">  </w:t>
      </w:r>
      <w:r>
        <w:rPr>
          <w:rFonts w:ascii="宋体" w:hAnsi="宋体" w:eastAsia="宋体" w:cs="宋体"/>
          <w:spacing w:val="-6"/>
          <w:sz w:val="21"/>
          <w:szCs w:val="21"/>
        </w:rPr>
        <w:t>址：</w:t>
      </w:r>
      <w:r>
        <w:rPr>
          <w:rFonts w:ascii="宋体" w:hAnsi="宋体" w:eastAsia="宋体" w:cs="宋体"/>
          <w:sz w:val="21"/>
          <w:szCs w:val="21"/>
          <w:u w:val="single" w:color="auto"/>
        </w:rPr>
        <w:t xml:space="preserve">                </w:t>
      </w:r>
    </w:p>
    <w:p w14:paraId="480E07AC">
      <w:pPr>
        <w:spacing w:before="146" w:line="221" w:lineRule="auto"/>
        <w:ind w:left="640"/>
        <w:rPr>
          <w:rFonts w:ascii="宋体" w:hAnsi="宋体" w:eastAsia="宋体" w:cs="宋体"/>
          <w:sz w:val="21"/>
          <w:szCs w:val="21"/>
        </w:rPr>
      </w:pPr>
      <w:r>
        <w:rPr>
          <w:rFonts w:ascii="宋体" w:hAnsi="宋体" w:eastAsia="宋体" w:cs="宋体"/>
          <w:spacing w:val="-1"/>
          <w:sz w:val="21"/>
          <w:szCs w:val="21"/>
        </w:rPr>
        <w:t>法定代表人（签字</w:t>
      </w:r>
      <w:r>
        <w:rPr>
          <w:rFonts w:ascii="宋体" w:hAnsi="宋体" w:eastAsia="宋体" w:cs="宋体"/>
          <w:spacing w:val="-53"/>
          <w:sz w:val="21"/>
          <w:szCs w:val="21"/>
        </w:rPr>
        <w:t>）：</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
          <w:sz w:val="21"/>
          <w:szCs w:val="21"/>
        </w:rPr>
        <w:t>法定代表人（签字</w:t>
      </w:r>
      <w:r>
        <w:rPr>
          <w:rFonts w:ascii="宋体" w:hAnsi="宋体" w:eastAsia="宋体" w:cs="宋体"/>
          <w:spacing w:val="-53"/>
          <w:sz w:val="21"/>
          <w:szCs w:val="21"/>
        </w:rPr>
        <w:t>）：</w:t>
      </w:r>
      <w:r>
        <w:rPr>
          <w:rFonts w:ascii="宋体" w:hAnsi="宋体" w:eastAsia="宋体" w:cs="宋体"/>
          <w:sz w:val="21"/>
          <w:szCs w:val="21"/>
          <w:u w:val="single" w:color="auto"/>
        </w:rPr>
        <w:t xml:space="preserve">     </w:t>
      </w:r>
    </w:p>
    <w:p w14:paraId="7F4FD484">
      <w:pPr>
        <w:spacing w:before="159" w:line="221" w:lineRule="auto"/>
        <w:ind w:left="638"/>
        <w:rPr>
          <w:rFonts w:ascii="宋体" w:hAnsi="宋体" w:eastAsia="宋体" w:cs="宋体"/>
          <w:sz w:val="21"/>
          <w:szCs w:val="21"/>
        </w:rPr>
      </w:pPr>
      <w:r>
        <w:rPr>
          <w:rFonts w:ascii="宋体" w:hAnsi="宋体" w:eastAsia="宋体" w:cs="宋体"/>
          <w:spacing w:val="-1"/>
          <w:sz w:val="21"/>
          <w:szCs w:val="21"/>
        </w:rPr>
        <w:t>委托代理人（签字</w:t>
      </w:r>
      <w:r>
        <w:rPr>
          <w:rFonts w:ascii="宋体" w:hAnsi="宋体" w:eastAsia="宋体" w:cs="宋体"/>
          <w:spacing w:val="-52"/>
          <w:sz w:val="21"/>
          <w:szCs w:val="21"/>
        </w:rPr>
        <w:t>）：</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
          <w:sz w:val="21"/>
          <w:szCs w:val="21"/>
        </w:rPr>
        <w:t>委托代理人（签字</w:t>
      </w:r>
      <w:r>
        <w:rPr>
          <w:rFonts w:ascii="宋体" w:hAnsi="宋体" w:eastAsia="宋体" w:cs="宋体"/>
          <w:spacing w:val="-52"/>
          <w:sz w:val="21"/>
          <w:szCs w:val="21"/>
        </w:rPr>
        <w:t>）：</w:t>
      </w:r>
      <w:r>
        <w:rPr>
          <w:rFonts w:ascii="宋体" w:hAnsi="宋体" w:eastAsia="宋体" w:cs="宋体"/>
          <w:sz w:val="21"/>
          <w:szCs w:val="21"/>
          <w:u w:val="single" w:color="auto"/>
        </w:rPr>
        <w:t xml:space="preserve">     </w:t>
      </w:r>
    </w:p>
    <w:p w14:paraId="2C020F76">
      <w:pPr>
        <w:spacing w:before="157" w:line="223" w:lineRule="auto"/>
        <w:ind w:left="664"/>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12"/>
          <w:sz w:val="21"/>
          <w:szCs w:val="21"/>
        </w:rPr>
        <w:t xml:space="preserve">  </w:t>
      </w:r>
      <w:r>
        <w:rPr>
          <w:rFonts w:ascii="宋体" w:hAnsi="宋体" w:eastAsia="宋体" w:cs="宋体"/>
          <w:spacing w:val="-9"/>
          <w:sz w:val="21"/>
          <w:szCs w:val="21"/>
        </w:rPr>
        <w:t>话：</w:t>
      </w:r>
      <w:r>
        <w:rPr>
          <w:rFonts w:ascii="宋体" w:hAnsi="宋体" w:eastAsia="宋体" w:cs="宋体"/>
          <w:sz w:val="21"/>
          <w:szCs w:val="21"/>
          <w:u w:val="single" w:color="auto"/>
        </w:rPr>
        <w:t xml:space="preserve">                   </w:t>
      </w:r>
      <w:r>
        <w:rPr>
          <w:rFonts w:ascii="宋体" w:hAnsi="宋体" w:eastAsia="宋体" w:cs="宋体"/>
          <w:spacing w:val="-9"/>
          <w:sz w:val="21"/>
          <w:szCs w:val="21"/>
        </w:rPr>
        <w:t xml:space="preserve">             电</w:t>
      </w:r>
      <w:r>
        <w:rPr>
          <w:rFonts w:ascii="宋体" w:hAnsi="宋体" w:eastAsia="宋体" w:cs="宋体"/>
          <w:spacing w:val="5"/>
          <w:sz w:val="21"/>
          <w:szCs w:val="21"/>
        </w:rPr>
        <w:t xml:space="preserve">  </w:t>
      </w:r>
      <w:r>
        <w:rPr>
          <w:rFonts w:ascii="宋体" w:hAnsi="宋体" w:eastAsia="宋体" w:cs="宋体"/>
          <w:spacing w:val="-9"/>
          <w:sz w:val="21"/>
          <w:szCs w:val="21"/>
        </w:rPr>
        <w:t>话：</w:t>
      </w:r>
      <w:r>
        <w:rPr>
          <w:rFonts w:ascii="宋体" w:hAnsi="宋体" w:eastAsia="宋体" w:cs="宋体"/>
          <w:sz w:val="21"/>
          <w:szCs w:val="21"/>
          <w:u w:val="single" w:color="auto"/>
        </w:rPr>
        <w:t xml:space="preserve">                </w:t>
      </w:r>
    </w:p>
    <w:p w14:paraId="2BAAA192">
      <w:pPr>
        <w:spacing w:before="154" w:line="220" w:lineRule="auto"/>
        <w:ind w:left="637"/>
        <w:rPr>
          <w:rFonts w:ascii="宋体" w:hAnsi="宋体" w:eastAsia="宋体" w:cs="宋体"/>
          <w:sz w:val="21"/>
          <w:szCs w:val="21"/>
        </w:rPr>
      </w:pPr>
      <w:r>
        <w:rPr>
          <w:rFonts w:ascii="宋体" w:hAnsi="宋体" w:eastAsia="宋体" w:cs="宋体"/>
          <w:spacing w:val="-6"/>
          <w:sz w:val="21"/>
          <w:szCs w:val="21"/>
        </w:rPr>
        <w:t>传</w:t>
      </w:r>
      <w:r>
        <w:rPr>
          <w:rFonts w:ascii="宋体" w:hAnsi="宋体" w:eastAsia="宋体" w:cs="宋体"/>
          <w:spacing w:val="7"/>
          <w:sz w:val="21"/>
          <w:szCs w:val="21"/>
        </w:rPr>
        <w:t xml:space="preserve">  </w:t>
      </w:r>
      <w:r>
        <w:rPr>
          <w:rFonts w:ascii="宋体" w:hAnsi="宋体" w:eastAsia="宋体" w:cs="宋体"/>
          <w:spacing w:val="-6"/>
          <w:sz w:val="21"/>
          <w:szCs w:val="21"/>
        </w:rPr>
        <w:t>真：</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6"/>
          <w:sz w:val="21"/>
          <w:szCs w:val="21"/>
        </w:rPr>
        <w:t>传</w:t>
      </w:r>
      <w:r>
        <w:rPr>
          <w:rFonts w:ascii="宋体" w:hAnsi="宋体" w:eastAsia="宋体" w:cs="宋体"/>
          <w:spacing w:val="8"/>
          <w:sz w:val="21"/>
          <w:szCs w:val="21"/>
        </w:rPr>
        <w:t xml:space="preserve">  </w:t>
      </w:r>
      <w:r>
        <w:rPr>
          <w:rFonts w:ascii="宋体" w:hAnsi="宋体" w:eastAsia="宋体" w:cs="宋体"/>
          <w:spacing w:val="-6"/>
          <w:sz w:val="21"/>
          <w:szCs w:val="21"/>
        </w:rPr>
        <w:t>真：</w:t>
      </w:r>
      <w:r>
        <w:rPr>
          <w:rFonts w:ascii="宋体" w:hAnsi="宋体" w:eastAsia="宋体" w:cs="宋体"/>
          <w:sz w:val="21"/>
          <w:szCs w:val="21"/>
          <w:u w:val="single" w:color="auto"/>
        </w:rPr>
        <w:t xml:space="preserve">                   </w:t>
      </w:r>
    </w:p>
    <w:p w14:paraId="22AC4BC9">
      <w:pPr>
        <w:spacing w:before="159" w:line="221" w:lineRule="auto"/>
        <w:ind w:left="640"/>
        <w:rPr>
          <w:rFonts w:ascii="宋体" w:hAnsi="宋体" w:eastAsia="宋体" w:cs="宋体"/>
          <w:sz w:val="21"/>
          <w:szCs w:val="21"/>
        </w:rPr>
      </w:pPr>
      <w:r>
        <w:rPr>
          <w:rFonts w:ascii="宋体" w:hAnsi="宋体" w:eastAsia="宋体" w:cs="宋体"/>
          <w:spacing w:val="-2"/>
          <w:sz w:val="21"/>
          <w:szCs w:val="21"/>
        </w:rPr>
        <w:t>开户银行：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开户银行：</w:t>
      </w:r>
      <w:r>
        <w:rPr>
          <w:rFonts w:ascii="宋体" w:hAnsi="宋体" w:eastAsia="宋体" w:cs="宋体"/>
          <w:spacing w:val="-2"/>
          <w:sz w:val="21"/>
          <w:szCs w:val="21"/>
          <w:u w:val="single" w:color="auto"/>
        </w:rPr>
        <w:t xml:space="preserve">                 </w:t>
      </w:r>
    </w:p>
    <w:p w14:paraId="0A06AFA4">
      <w:pPr>
        <w:spacing w:before="156" w:line="222" w:lineRule="auto"/>
        <w:ind w:left="642"/>
        <w:rPr>
          <w:rFonts w:ascii="宋体" w:hAnsi="宋体" w:eastAsia="宋体" w:cs="宋体"/>
          <w:sz w:val="21"/>
          <w:szCs w:val="21"/>
        </w:rPr>
      </w:pPr>
      <w:r>
        <w:rPr>
          <w:rFonts w:ascii="宋体" w:hAnsi="宋体" w:eastAsia="宋体" w:cs="宋体"/>
          <w:spacing w:val="-8"/>
          <w:sz w:val="21"/>
          <w:szCs w:val="21"/>
        </w:rPr>
        <w:t>账</w:t>
      </w:r>
      <w:r>
        <w:rPr>
          <w:rFonts w:ascii="宋体" w:hAnsi="宋体" w:eastAsia="宋体" w:cs="宋体"/>
          <w:spacing w:val="7"/>
          <w:sz w:val="21"/>
          <w:szCs w:val="21"/>
        </w:rPr>
        <w:t xml:space="preserve">  </w:t>
      </w:r>
      <w:r>
        <w:rPr>
          <w:rFonts w:ascii="宋体" w:hAnsi="宋体" w:eastAsia="宋体" w:cs="宋体"/>
          <w:spacing w:val="-8"/>
          <w:sz w:val="21"/>
          <w:szCs w:val="21"/>
        </w:rPr>
        <w:t>号：</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8"/>
          <w:sz w:val="21"/>
          <w:szCs w:val="21"/>
        </w:rPr>
        <w:t>账</w:t>
      </w:r>
      <w:r>
        <w:rPr>
          <w:rFonts w:ascii="宋体" w:hAnsi="宋体" w:eastAsia="宋体" w:cs="宋体"/>
          <w:spacing w:val="7"/>
          <w:sz w:val="21"/>
          <w:szCs w:val="21"/>
        </w:rPr>
        <w:t xml:space="preserve">  </w:t>
      </w:r>
      <w:r>
        <w:rPr>
          <w:rFonts w:ascii="宋体" w:hAnsi="宋体" w:eastAsia="宋体" w:cs="宋体"/>
          <w:spacing w:val="-8"/>
          <w:sz w:val="21"/>
          <w:szCs w:val="21"/>
        </w:rPr>
        <w:t>号：</w:t>
      </w:r>
      <w:r>
        <w:rPr>
          <w:rFonts w:ascii="宋体" w:hAnsi="宋体" w:eastAsia="宋体" w:cs="宋体"/>
          <w:sz w:val="21"/>
          <w:szCs w:val="21"/>
          <w:u w:val="single" w:color="auto"/>
        </w:rPr>
        <w:t xml:space="preserve">                </w:t>
      </w:r>
    </w:p>
    <w:p w14:paraId="48472390">
      <w:pPr>
        <w:spacing w:before="158" w:line="221" w:lineRule="auto"/>
        <w:ind w:left="654"/>
        <w:rPr>
          <w:rFonts w:ascii="宋体" w:hAnsi="宋体" w:eastAsia="宋体" w:cs="宋体"/>
          <w:sz w:val="21"/>
          <w:szCs w:val="21"/>
        </w:rPr>
      </w:pPr>
      <w:r>
        <w:rPr>
          <w:rFonts w:ascii="宋体" w:hAnsi="宋体" w:eastAsia="宋体" w:cs="宋体"/>
          <w:spacing w:val="-5"/>
          <w:sz w:val="21"/>
          <w:szCs w:val="21"/>
        </w:rPr>
        <w:t>邮政编码：</w:t>
      </w:r>
      <w:r>
        <w:rPr>
          <w:rFonts w:ascii="宋体" w:hAnsi="宋体" w:eastAsia="宋体" w:cs="宋体"/>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5"/>
          <w:sz w:val="21"/>
          <w:szCs w:val="21"/>
        </w:rPr>
        <w:t>邮政编码：</w:t>
      </w:r>
      <w:r>
        <w:rPr>
          <w:rFonts w:ascii="宋体" w:hAnsi="宋体" w:eastAsia="宋体" w:cs="宋体"/>
          <w:sz w:val="21"/>
          <w:szCs w:val="21"/>
          <w:u w:val="single" w:color="auto"/>
        </w:rPr>
        <w:t xml:space="preserve">                 </w:t>
      </w:r>
    </w:p>
    <w:p w14:paraId="7D8826BB">
      <w:pPr>
        <w:spacing w:line="221" w:lineRule="auto"/>
        <w:rPr>
          <w:rFonts w:ascii="宋体" w:hAnsi="宋体" w:eastAsia="宋体" w:cs="宋体"/>
          <w:sz w:val="21"/>
          <w:szCs w:val="21"/>
        </w:rPr>
        <w:sectPr>
          <w:footerReference r:id="rId136" w:type="default"/>
          <w:pgSz w:w="11905" w:h="16843"/>
          <w:pgMar w:top="969" w:right="1355" w:bottom="1026" w:left="1480" w:header="0" w:footer="754" w:gutter="0"/>
          <w:cols w:space="0" w:num="1"/>
          <w:rtlGutter w:val="0"/>
          <w:docGrid w:linePitch="0" w:charSpace="0"/>
        </w:sectPr>
      </w:pPr>
    </w:p>
    <w:p w14:paraId="63EB5EFC">
      <w:pPr>
        <w:pStyle w:val="5"/>
        <w:spacing w:line="272" w:lineRule="auto"/>
      </w:pPr>
    </w:p>
    <w:p w14:paraId="6BDF51D4">
      <w:pPr>
        <w:pStyle w:val="5"/>
        <w:spacing w:line="272" w:lineRule="auto"/>
      </w:pPr>
    </w:p>
    <w:p w14:paraId="1F645B85">
      <w:pPr>
        <w:pStyle w:val="5"/>
        <w:spacing w:line="272" w:lineRule="auto"/>
      </w:pPr>
    </w:p>
    <w:p w14:paraId="7B47713D">
      <w:pPr>
        <w:pStyle w:val="5"/>
        <w:spacing w:line="272" w:lineRule="auto"/>
      </w:pPr>
    </w:p>
    <w:p w14:paraId="32048243">
      <w:pPr>
        <w:pStyle w:val="5"/>
        <w:spacing w:line="273" w:lineRule="auto"/>
      </w:pPr>
    </w:p>
    <w:p w14:paraId="622893A8">
      <w:pPr>
        <w:spacing w:before="78" w:line="219" w:lineRule="auto"/>
        <w:ind w:left="112"/>
        <w:rPr>
          <w:rFonts w:ascii="宋体" w:hAnsi="宋体" w:eastAsia="宋体" w:cs="宋体"/>
          <w:sz w:val="24"/>
          <w:szCs w:val="24"/>
        </w:rPr>
      </w:pPr>
      <w:bookmarkStart w:id="1229" w:name="bookmark595"/>
      <w:bookmarkEnd w:id="1229"/>
      <w:r>
        <w:rPr>
          <w:rFonts w:ascii="宋体" w:hAnsi="宋体" w:eastAsia="宋体" w:cs="宋体"/>
          <w:spacing w:val="-10"/>
          <w:sz w:val="24"/>
          <w:szCs w:val="24"/>
        </w:rPr>
        <w:t>附件</w:t>
      </w:r>
      <w:r>
        <w:rPr>
          <w:rFonts w:ascii="宋体" w:hAnsi="宋体" w:eastAsia="宋体" w:cs="宋体"/>
          <w:spacing w:val="-50"/>
          <w:sz w:val="24"/>
          <w:szCs w:val="24"/>
        </w:rPr>
        <w:t xml:space="preserve"> </w:t>
      </w:r>
      <w:r>
        <w:rPr>
          <w:rFonts w:ascii="宋体" w:hAnsi="宋体" w:eastAsia="宋体" w:cs="宋体"/>
          <w:spacing w:val="-10"/>
          <w:sz w:val="24"/>
          <w:szCs w:val="24"/>
        </w:rPr>
        <w:t>4：</w:t>
      </w:r>
    </w:p>
    <w:p w14:paraId="58FCD103">
      <w:pPr>
        <w:spacing w:before="240" w:line="219" w:lineRule="auto"/>
        <w:ind w:left="3150"/>
        <w:rPr>
          <w:rFonts w:ascii="黑体" w:hAnsi="黑体" w:eastAsia="黑体" w:cs="黑体"/>
          <w:sz w:val="28"/>
          <w:szCs w:val="28"/>
        </w:rPr>
      </w:pPr>
      <w:r>
        <w:rPr>
          <w:rFonts w:ascii="黑体" w:hAnsi="黑体" w:eastAsia="黑体" w:cs="黑体"/>
          <w:spacing w:val="-2"/>
          <w:sz w:val="28"/>
          <w:szCs w:val="28"/>
        </w:rPr>
        <w:t>主要建设工程文件目录</w:t>
      </w:r>
    </w:p>
    <w:p w14:paraId="3E3B7ABA">
      <w:pPr>
        <w:spacing w:line="114" w:lineRule="exact"/>
      </w:pPr>
    </w:p>
    <w:tbl>
      <w:tblPr>
        <w:tblStyle w:val="10"/>
        <w:tblW w:w="90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4"/>
        <w:gridCol w:w="1446"/>
        <w:gridCol w:w="1240"/>
        <w:gridCol w:w="1446"/>
        <w:gridCol w:w="1678"/>
      </w:tblGrid>
      <w:tr w14:paraId="27731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2" w:type="dxa"/>
            <w:tcBorders>
              <w:top w:val="single" w:color="000000" w:sz="10" w:space="0"/>
              <w:left w:val="single" w:color="000000" w:sz="10" w:space="0"/>
            </w:tcBorders>
            <w:vAlign w:val="top"/>
          </w:tcPr>
          <w:p w14:paraId="46BEFEFB">
            <w:pPr>
              <w:pStyle w:val="11"/>
              <w:spacing w:before="177" w:line="221" w:lineRule="auto"/>
              <w:ind w:left="90"/>
            </w:pPr>
            <w:r>
              <w:rPr>
                <w:spacing w:val="-2"/>
              </w:rPr>
              <w:t>文件名称</w:t>
            </w:r>
          </w:p>
        </w:tc>
        <w:tc>
          <w:tcPr>
            <w:tcW w:w="1274" w:type="dxa"/>
            <w:tcBorders>
              <w:top w:val="single" w:color="000000" w:sz="10" w:space="0"/>
            </w:tcBorders>
            <w:vAlign w:val="top"/>
          </w:tcPr>
          <w:p w14:paraId="5AF9E131">
            <w:pPr>
              <w:pStyle w:val="11"/>
              <w:spacing w:before="177" w:line="221" w:lineRule="auto"/>
              <w:ind w:left="88"/>
            </w:pPr>
            <w:r>
              <w:rPr>
                <w:spacing w:val="-2"/>
              </w:rPr>
              <w:t>套数</w:t>
            </w:r>
          </w:p>
        </w:tc>
        <w:tc>
          <w:tcPr>
            <w:tcW w:w="1446" w:type="dxa"/>
            <w:tcBorders>
              <w:top w:val="single" w:color="000000" w:sz="10" w:space="0"/>
            </w:tcBorders>
            <w:vAlign w:val="top"/>
          </w:tcPr>
          <w:p w14:paraId="3FDAD322">
            <w:pPr>
              <w:pStyle w:val="11"/>
              <w:spacing w:before="177" w:line="221" w:lineRule="auto"/>
              <w:ind w:left="102"/>
            </w:pPr>
            <w:r>
              <w:rPr>
                <w:spacing w:val="-7"/>
              </w:rPr>
              <w:t>费用（元）</w:t>
            </w:r>
          </w:p>
        </w:tc>
        <w:tc>
          <w:tcPr>
            <w:tcW w:w="1240" w:type="dxa"/>
            <w:tcBorders>
              <w:top w:val="single" w:color="000000" w:sz="10" w:space="0"/>
            </w:tcBorders>
            <w:vAlign w:val="top"/>
          </w:tcPr>
          <w:p w14:paraId="667D82DB">
            <w:pPr>
              <w:pStyle w:val="11"/>
              <w:spacing w:before="177" w:line="221" w:lineRule="auto"/>
              <w:ind w:left="95"/>
            </w:pPr>
            <w:r>
              <w:rPr>
                <w:spacing w:val="-2"/>
              </w:rPr>
              <w:t>质量</w:t>
            </w:r>
          </w:p>
        </w:tc>
        <w:tc>
          <w:tcPr>
            <w:tcW w:w="1446" w:type="dxa"/>
            <w:tcBorders>
              <w:top w:val="single" w:color="000000" w:sz="10" w:space="0"/>
            </w:tcBorders>
            <w:vAlign w:val="top"/>
          </w:tcPr>
          <w:p w14:paraId="64925A09">
            <w:pPr>
              <w:pStyle w:val="11"/>
              <w:spacing w:before="177" w:line="222" w:lineRule="auto"/>
              <w:ind w:left="312"/>
            </w:pPr>
            <w:r>
              <w:rPr>
                <w:spacing w:val="-2"/>
              </w:rPr>
              <w:t>移交时间</w:t>
            </w:r>
          </w:p>
        </w:tc>
        <w:tc>
          <w:tcPr>
            <w:tcW w:w="1678" w:type="dxa"/>
            <w:tcBorders>
              <w:top w:val="single" w:color="000000" w:sz="10" w:space="0"/>
              <w:right w:val="single" w:color="000000" w:sz="10" w:space="0"/>
            </w:tcBorders>
            <w:vAlign w:val="top"/>
          </w:tcPr>
          <w:p w14:paraId="2D52097A">
            <w:pPr>
              <w:pStyle w:val="11"/>
              <w:spacing w:before="177" w:line="221" w:lineRule="auto"/>
              <w:ind w:left="537"/>
            </w:pPr>
            <w:r>
              <w:rPr>
                <w:spacing w:val="-3"/>
              </w:rPr>
              <w:t>责任人</w:t>
            </w:r>
          </w:p>
        </w:tc>
      </w:tr>
      <w:tr w14:paraId="18E3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962" w:type="dxa"/>
            <w:tcBorders>
              <w:left w:val="single" w:color="000000" w:sz="10" w:space="0"/>
            </w:tcBorders>
            <w:vAlign w:val="top"/>
          </w:tcPr>
          <w:p w14:paraId="5B476501">
            <w:pPr>
              <w:rPr>
                <w:rFonts w:ascii="Arial"/>
                <w:sz w:val="21"/>
              </w:rPr>
            </w:pPr>
          </w:p>
        </w:tc>
        <w:tc>
          <w:tcPr>
            <w:tcW w:w="1274" w:type="dxa"/>
            <w:vAlign w:val="top"/>
          </w:tcPr>
          <w:p w14:paraId="13441BAA">
            <w:pPr>
              <w:rPr>
                <w:rFonts w:ascii="Arial"/>
                <w:sz w:val="21"/>
              </w:rPr>
            </w:pPr>
          </w:p>
        </w:tc>
        <w:tc>
          <w:tcPr>
            <w:tcW w:w="1446" w:type="dxa"/>
            <w:vAlign w:val="top"/>
          </w:tcPr>
          <w:p w14:paraId="61BCD1FF">
            <w:pPr>
              <w:rPr>
                <w:rFonts w:ascii="Arial"/>
                <w:sz w:val="21"/>
              </w:rPr>
            </w:pPr>
          </w:p>
        </w:tc>
        <w:tc>
          <w:tcPr>
            <w:tcW w:w="1240" w:type="dxa"/>
            <w:vAlign w:val="top"/>
          </w:tcPr>
          <w:p w14:paraId="2CF3C847">
            <w:pPr>
              <w:rPr>
                <w:rFonts w:ascii="Arial"/>
                <w:sz w:val="21"/>
              </w:rPr>
            </w:pPr>
          </w:p>
        </w:tc>
        <w:tc>
          <w:tcPr>
            <w:tcW w:w="1446" w:type="dxa"/>
            <w:vAlign w:val="top"/>
          </w:tcPr>
          <w:p w14:paraId="07B22F45">
            <w:pPr>
              <w:rPr>
                <w:rFonts w:ascii="Arial"/>
                <w:sz w:val="21"/>
              </w:rPr>
            </w:pPr>
          </w:p>
        </w:tc>
        <w:tc>
          <w:tcPr>
            <w:tcW w:w="1678" w:type="dxa"/>
            <w:tcBorders>
              <w:right w:val="single" w:color="000000" w:sz="10" w:space="0"/>
            </w:tcBorders>
            <w:vAlign w:val="top"/>
          </w:tcPr>
          <w:p w14:paraId="25BAAC06">
            <w:pPr>
              <w:rPr>
                <w:rFonts w:ascii="Arial"/>
                <w:sz w:val="21"/>
              </w:rPr>
            </w:pPr>
          </w:p>
        </w:tc>
      </w:tr>
      <w:tr w14:paraId="4A5CF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340CAB8B">
            <w:pPr>
              <w:rPr>
                <w:rFonts w:ascii="Arial"/>
                <w:sz w:val="21"/>
              </w:rPr>
            </w:pPr>
          </w:p>
        </w:tc>
        <w:tc>
          <w:tcPr>
            <w:tcW w:w="1274" w:type="dxa"/>
            <w:vAlign w:val="top"/>
          </w:tcPr>
          <w:p w14:paraId="38EEDDA7">
            <w:pPr>
              <w:rPr>
                <w:rFonts w:ascii="Arial"/>
                <w:sz w:val="21"/>
              </w:rPr>
            </w:pPr>
          </w:p>
        </w:tc>
        <w:tc>
          <w:tcPr>
            <w:tcW w:w="1446" w:type="dxa"/>
            <w:vAlign w:val="top"/>
          </w:tcPr>
          <w:p w14:paraId="7E314C57">
            <w:pPr>
              <w:rPr>
                <w:rFonts w:ascii="Arial"/>
                <w:sz w:val="21"/>
              </w:rPr>
            </w:pPr>
          </w:p>
        </w:tc>
        <w:tc>
          <w:tcPr>
            <w:tcW w:w="1240" w:type="dxa"/>
            <w:vAlign w:val="top"/>
          </w:tcPr>
          <w:p w14:paraId="586AF952">
            <w:pPr>
              <w:rPr>
                <w:rFonts w:ascii="Arial"/>
                <w:sz w:val="21"/>
              </w:rPr>
            </w:pPr>
          </w:p>
        </w:tc>
        <w:tc>
          <w:tcPr>
            <w:tcW w:w="1446" w:type="dxa"/>
            <w:vAlign w:val="top"/>
          </w:tcPr>
          <w:p w14:paraId="5703CDE3">
            <w:pPr>
              <w:rPr>
                <w:rFonts w:ascii="Arial"/>
                <w:sz w:val="21"/>
              </w:rPr>
            </w:pPr>
          </w:p>
        </w:tc>
        <w:tc>
          <w:tcPr>
            <w:tcW w:w="1678" w:type="dxa"/>
            <w:tcBorders>
              <w:right w:val="single" w:color="000000" w:sz="10" w:space="0"/>
            </w:tcBorders>
            <w:vAlign w:val="top"/>
          </w:tcPr>
          <w:p w14:paraId="76B468C7">
            <w:pPr>
              <w:rPr>
                <w:rFonts w:ascii="Arial"/>
                <w:sz w:val="21"/>
              </w:rPr>
            </w:pPr>
          </w:p>
        </w:tc>
      </w:tr>
      <w:tr w14:paraId="6EF3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057F15C">
            <w:pPr>
              <w:rPr>
                <w:rFonts w:ascii="Arial"/>
                <w:sz w:val="21"/>
              </w:rPr>
            </w:pPr>
          </w:p>
        </w:tc>
        <w:tc>
          <w:tcPr>
            <w:tcW w:w="1274" w:type="dxa"/>
            <w:vAlign w:val="top"/>
          </w:tcPr>
          <w:p w14:paraId="24047730">
            <w:pPr>
              <w:rPr>
                <w:rFonts w:ascii="Arial"/>
                <w:sz w:val="21"/>
              </w:rPr>
            </w:pPr>
          </w:p>
        </w:tc>
        <w:tc>
          <w:tcPr>
            <w:tcW w:w="1446" w:type="dxa"/>
            <w:vAlign w:val="top"/>
          </w:tcPr>
          <w:p w14:paraId="3C591A7E">
            <w:pPr>
              <w:rPr>
                <w:rFonts w:ascii="Arial"/>
                <w:sz w:val="21"/>
              </w:rPr>
            </w:pPr>
          </w:p>
        </w:tc>
        <w:tc>
          <w:tcPr>
            <w:tcW w:w="1240" w:type="dxa"/>
            <w:vAlign w:val="top"/>
          </w:tcPr>
          <w:p w14:paraId="51CC1F57">
            <w:pPr>
              <w:rPr>
                <w:rFonts w:ascii="Arial"/>
                <w:sz w:val="21"/>
              </w:rPr>
            </w:pPr>
          </w:p>
        </w:tc>
        <w:tc>
          <w:tcPr>
            <w:tcW w:w="1446" w:type="dxa"/>
            <w:vAlign w:val="top"/>
          </w:tcPr>
          <w:p w14:paraId="5354D53B">
            <w:pPr>
              <w:rPr>
                <w:rFonts w:ascii="Arial"/>
                <w:sz w:val="21"/>
              </w:rPr>
            </w:pPr>
          </w:p>
        </w:tc>
        <w:tc>
          <w:tcPr>
            <w:tcW w:w="1678" w:type="dxa"/>
            <w:tcBorders>
              <w:right w:val="single" w:color="000000" w:sz="10" w:space="0"/>
            </w:tcBorders>
            <w:vAlign w:val="top"/>
          </w:tcPr>
          <w:p w14:paraId="6DA6DD2D">
            <w:pPr>
              <w:rPr>
                <w:rFonts w:ascii="Arial"/>
                <w:sz w:val="21"/>
              </w:rPr>
            </w:pPr>
          </w:p>
        </w:tc>
      </w:tr>
      <w:tr w14:paraId="13440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ADD7DD7">
            <w:pPr>
              <w:rPr>
                <w:rFonts w:ascii="Arial"/>
                <w:sz w:val="21"/>
              </w:rPr>
            </w:pPr>
          </w:p>
        </w:tc>
        <w:tc>
          <w:tcPr>
            <w:tcW w:w="1274" w:type="dxa"/>
            <w:vAlign w:val="top"/>
          </w:tcPr>
          <w:p w14:paraId="083BD551">
            <w:pPr>
              <w:rPr>
                <w:rFonts w:ascii="Arial"/>
                <w:sz w:val="21"/>
              </w:rPr>
            </w:pPr>
          </w:p>
        </w:tc>
        <w:tc>
          <w:tcPr>
            <w:tcW w:w="1446" w:type="dxa"/>
            <w:vAlign w:val="top"/>
          </w:tcPr>
          <w:p w14:paraId="22EE2581">
            <w:pPr>
              <w:rPr>
                <w:rFonts w:ascii="Arial"/>
                <w:sz w:val="21"/>
              </w:rPr>
            </w:pPr>
          </w:p>
        </w:tc>
        <w:tc>
          <w:tcPr>
            <w:tcW w:w="1240" w:type="dxa"/>
            <w:vAlign w:val="top"/>
          </w:tcPr>
          <w:p w14:paraId="71E9D93E">
            <w:pPr>
              <w:rPr>
                <w:rFonts w:ascii="Arial"/>
                <w:sz w:val="21"/>
              </w:rPr>
            </w:pPr>
          </w:p>
        </w:tc>
        <w:tc>
          <w:tcPr>
            <w:tcW w:w="1446" w:type="dxa"/>
            <w:vAlign w:val="top"/>
          </w:tcPr>
          <w:p w14:paraId="16406715">
            <w:pPr>
              <w:rPr>
                <w:rFonts w:ascii="Arial"/>
                <w:sz w:val="21"/>
              </w:rPr>
            </w:pPr>
          </w:p>
        </w:tc>
        <w:tc>
          <w:tcPr>
            <w:tcW w:w="1678" w:type="dxa"/>
            <w:tcBorders>
              <w:right w:val="single" w:color="000000" w:sz="10" w:space="0"/>
            </w:tcBorders>
            <w:vAlign w:val="top"/>
          </w:tcPr>
          <w:p w14:paraId="6B90797F">
            <w:pPr>
              <w:rPr>
                <w:rFonts w:ascii="Arial"/>
                <w:sz w:val="21"/>
              </w:rPr>
            </w:pPr>
          </w:p>
        </w:tc>
      </w:tr>
      <w:tr w14:paraId="0846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vAlign w:val="top"/>
          </w:tcPr>
          <w:p w14:paraId="5C277485">
            <w:pPr>
              <w:rPr>
                <w:rFonts w:ascii="Arial"/>
                <w:sz w:val="21"/>
              </w:rPr>
            </w:pPr>
          </w:p>
        </w:tc>
        <w:tc>
          <w:tcPr>
            <w:tcW w:w="1274" w:type="dxa"/>
            <w:vAlign w:val="top"/>
          </w:tcPr>
          <w:p w14:paraId="113248E6">
            <w:pPr>
              <w:rPr>
                <w:rFonts w:ascii="Arial"/>
                <w:sz w:val="21"/>
              </w:rPr>
            </w:pPr>
          </w:p>
        </w:tc>
        <w:tc>
          <w:tcPr>
            <w:tcW w:w="1446" w:type="dxa"/>
            <w:vAlign w:val="top"/>
          </w:tcPr>
          <w:p w14:paraId="6F58A7FB">
            <w:pPr>
              <w:rPr>
                <w:rFonts w:ascii="Arial"/>
                <w:sz w:val="21"/>
              </w:rPr>
            </w:pPr>
          </w:p>
        </w:tc>
        <w:tc>
          <w:tcPr>
            <w:tcW w:w="1240" w:type="dxa"/>
            <w:vAlign w:val="top"/>
          </w:tcPr>
          <w:p w14:paraId="1B075A7A">
            <w:pPr>
              <w:rPr>
                <w:rFonts w:ascii="Arial"/>
                <w:sz w:val="21"/>
              </w:rPr>
            </w:pPr>
          </w:p>
        </w:tc>
        <w:tc>
          <w:tcPr>
            <w:tcW w:w="1446" w:type="dxa"/>
            <w:vAlign w:val="top"/>
          </w:tcPr>
          <w:p w14:paraId="0B28B62E">
            <w:pPr>
              <w:rPr>
                <w:rFonts w:ascii="Arial"/>
                <w:sz w:val="21"/>
              </w:rPr>
            </w:pPr>
          </w:p>
        </w:tc>
        <w:tc>
          <w:tcPr>
            <w:tcW w:w="1678" w:type="dxa"/>
            <w:tcBorders>
              <w:right w:val="single" w:color="000000" w:sz="10" w:space="0"/>
            </w:tcBorders>
            <w:vAlign w:val="top"/>
          </w:tcPr>
          <w:p w14:paraId="50C979DF">
            <w:pPr>
              <w:rPr>
                <w:rFonts w:ascii="Arial"/>
                <w:sz w:val="21"/>
              </w:rPr>
            </w:pPr>
          </w:p>
        </w:tc>
      </w:tr>
      <w:tr w14:paraId="2D172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B326826">
            <w:pPr>
              <w:rPr>
                <w:rFonts w:ascii="Arial"/>
                <w:sz w:val="21"/>
              </w:rPr>
            </w:pPr>
          </w:p>
        </w:tc>
        <w:tc>
          <w:tcPr>
            <w:tcW w:w="1274" w:type="dxa"/>
            <w:vAlign w:val="top"/>
          </w:tcPr>
          <w:p w14:paraId="05D0FD85">
            <w:pPr>
              <w:rPr>
                <w:rFonts w:ascii="Arial"/>
                <w:sz w:val="21"/>
              </w:rPr>
            </w:pPr>
          </w:p>
        </w:tc>
        <w:tc>
          <w:tcPr>
            <w:tcW w:w="1446" w:type="dxa"/>
            <w:vAlign w:val="top"/>
          </w:tcPr>
          <w:p w14:paraId="63B1606C">
            <w:pPr>
              <w:rPr>
                <w:rFonts w:ascii="Arial"/>
                <w:sz w:val="21"/>
              </w:rPr>
            </w:pPr>
          </w:p>
        </w:tc>
        <w:tc>
          <w:tcPr>
            <w:tcW w:w="1240" w:type="dxa"/>
            <w:vAlign w:val="top"/>
          </w:tcPr>
          <w:p w14:paraId="0A5CC70B">
            <w:pPr>
              <w:rPr>
                <w:rFonts w:ascii="Arial"/>
                <w:sz w:val="21"/>
              </w:rPr>
            </w:pPr>
          </w:p>
        </w:tc>
        <w:tc>
          <w:tcPr>
            <w:tcW w:w="1446" w:type="dxa"/>
            <w:vAlign w:val="top"/>
          </w:tcPr>
          <w:p w14:paraId="2E725BEE">
            <w:pPr>
              <w:rPr>
                <w:rFonts w:ascii="Arial"/>
                <w:sz w:val="21"/>
              </w:rPr>
            </w:pPr>
          </w:p>
        </w:tc>
        <w:tc>
          <w:tcPr>
            <w:tcW w:w="1678" w:type="dxa"/>
            <w:tcBorders>
              <w:right w:val="single" w:color="000000" w:sz="10" w:space="0"/>
            </w:tcBorders>
            <w:vAlign w:val="top"/>
          </w:tcPr>
          <w:p w14:paraId="70188335">
            <w:pPr>
              <w:rPr>
                <w:rFonts w:ascii="Arial"/>
                <w:sz w:val="21"/>
              </w:rPr>
            </w:pPr>
          </w:p>
        </w:tc>
      </w:tr>
      <w:tr w14:paraId="6D00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84BFBC3">
            <w:pPr>
              <w:rPr>
                <w:rFonts w:ascii="Arial"/>
                <w:sz w:val="21"/>
              </w:rPr>
            </w:pPr>
          </w:p>
        </w:tc>
        <w:tc>
          <w:tcPr>
            <w:tcW w:w="1274" w:type="dxa"/>
            <w:vAlign w:val="top"/>
          </w:tcPr>
          <w:p w14:paraId="2637DA67">
            <w:pPr>
              <w:rPr>
                <w:rFonts w:ascii="Arial"/>
                <w:sz w:val="21"/>
              </w:rPr>
            </w:pPr>
          </w:p>
        </w:tc>
        <w:tc>
          <w:tcPr>
            <w:tcW w:w="1446" w:type="dxa"/>
            <w:vAlign w:val="top"/>
          </w:tcPr>
          <w:p w14:paraId="171B68AF">
            <w:pPr>
              <w:rPr>
                <w:rFonts w:ascii="Arial"/>
                <w:sz w:val="21"/>
              </w:rPr>
            </w:pPr>
          </w:p>
        </w:tc>
        <w:tc>
          <w:tcPr>
            <w:tcW w:w="1240" w:type="dxa"/>
            <w:vAlign w:val="top"/>
          </w:tcPr>
          <w:p w14:paraId="2239F65F">
            <w:pPr>
              <w:rPr>
                <w:rFonts w:ascii="Arial"/>
                <w:sz w:val="21"/>
              </w:rPr>
            </w:pPr>
          </w:p>
        </w:tc>
        <w:tc>
          <w:tcPr>
            <w:tcW w:w="1446" w:type="dxa"/>
            <w:vAlign w:val="top"/>
          </w:tcPr>
          <w:p w14:paraId="63815BFA">
            <w:pPr>
              <w:rPr>
                <w:rFonts w:ascii="Arial"/>
                <w:sz w:val="21"/>
              </w:rPr>
            </w:pPr>
          </w:p>
        </w:tc>
        <w:tc>
          <w:tcPr>
            <w:tcW w:w="1678" w:type="dxa"/>
            <w:tcBorders>
              <w:right w:val="single" w:color="000000" w:sz="10" w:space="0"/>
            </w:tcBorders>
            <w:vAlign w:val="top"/>
          </w:tcPr>
          <w:p w14:paraId="6E554578">
            <w:pPr>
              <w:rPr>
                <w:rFonts w:ascii="Arial"/>
                <w:sz w:val="21"/>
              </w:rPr>
            </w:pPr>
          </w:p>
        </w:tc>
      </w:tr>
      <w:tr w14:paraId="1DF1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D7B632A">
            <w:pPr>
              <w:rPr>
                <w:rFonts w:ascii="Arial"/>
                <w:sz w:val="21"/>
              </w:rPr>
            </w:pPr>
          </w:p>
        </w:tc>
        <w:tc>
          <w:tcPr>
            <w:tcW w:w="1274" w:type="dxa"/>
            <w:vAlign w:val="top"/>
          </w:tcPr>
          <w:p w14:paraId="63DE998B">
            <w:pPr>
              <w:rPr>
                <w:rFonts w:ascii="Arial"/>
                <w:sz w:val="21"/>
              </w:rPr>
            </w:pPr>
          </w:p>
        </w:tc>
        <w:tc>
          <w:tcPr>
            <w:tcW w:w="1446" w:type="dxa"/>
            <w:vAlign w:val="top"/>
          </w:tcPr>
          <w:p w14:paraId="32769476">
            <w:pPr>
              <w:rPr>
                <w:rFonts w:ascii="Arial"/>
                <w:sz w:val="21"/>
              </w:rPr>
            </w:pPr>
          </w:p>
        </w:tc>
        <w:tc>
          <w:tcPr>
            <w:tcW w:w="1240" w:type="dxa"/>
            <w:vAlign w:val="top"/>
          </w:tcPr>
          <w:p w14:paraId="526FC7E3">
            <w:pPr>
              <w:rPr>
                <w:rFonts w:ascii="Arial"/>
                <w:sz w:val="21"/>
              </w:rPr>
            </w:pPr>
          </w:p>
        </w:tc>
        <w:tc>
          <w:tcPr>
            <w:tcW w:w="1446" w:type="dxa"/>
            <w:vAlign w:val="top"/>
          </w:tcPr>
          <w:p w14:paraId="466EC256">
            <w:pPr>
              <w:rPr>
                <w:rFonts w:ascii="Arial"/>
                <w:sz w:val="21"/>
              </w:rPr>
            </w:pPr>
          </w:p>
        </w:tc>
        <w:tc>
          <w:tcPr>
            <w:tcW w:w="1678" w:type="dxa"/>
            <w:tcBorders>
              <w:right w:val="single" w:color="000000" w:sz="10" w:space="0"/>
            </w:tcBorders>
            <w:vAlign w:val="top"/>
          </w:tcPr>
          <w:p w14:paraId="20A46776">
            <w:pPr>
              <w:rPr>
                <w:rFonts w:ascii="Arial"/>
                <w:sz w:val="21"/>
              </w:rPr>
            </w:pPr>
          </w:p>
        </w:tc>
      </w:tr>
      <w:tr w14:paraId="2083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vAlign w:val="top"/>
          </w:tcPr>
          <w:p w14:paraId="4DCAF3E3">
            <w:pPr>
              <w:rPr>
                <w:rFonts w:ascii="Arial"/>
                <w:sz w:val="21"/>
              </w:rPr>
            </w:pPr>
          </w:p>
        </w:tc>
        <w:tc>
          <w:tcPr>
            <w:tcW w:w="1274" w:type="dxa"/>
            <w:vAlign w:val="top"/>
          </w:tcPr>
          <w:p w14:paraId="1F0D4A47">
            <w:pPr>
              <w:rPr>
                <w:rFonts w:ascii="Arial"/>
                <w:sz w:val="21"/>
              </w:rPr>
            </w:pPr>
          </w:p>
        </w:tc>
        <w:tc>
          <w:tcPr>
            <w:tcW w:w="1446" w:type="dxa"/>
            <w:vAlign w:val="top"/>
          </w:tcPr>
          <w:p w14:paraId="0BA3D6F0">
            <w:pPr>
              <w:rPr>
                <w:rFonts w:ascii="Arial"/>
                <w:sz w:val="21"/>
              </w:rPr>
            </w:pPr>
          </w:p>
        </w:tc>
        <w:tc>
          <w:tcPr>
            <w:tcW w:w="1240" w:type="dxa"/>
            <w:vAlign w:val="top"/>
          </w:tcPr>
          <w:p w14:paraId="2F16C963">
            <w:pPr>
              <w:rPr>
                <w:rFonts w:ascii="Arial"/>
                <w:sz w:val="21"/>
              </w:rPr>
            </w:pPr>
          </w:p>
        </w:tc>
        <w:tc>
          <w:tcPr>
            <w:tcW w:w="1446" w:type="dxa"/>
            <w:vAlign w:val="top"/>
          </w:tcPr>
          <w:p w14:paraId="710D15D9">
            <w:pPr>
              <w:rPr>
                <w:rFonts w:ascii="Arial"/>
                <w:sz w:val="21"/>
              </w:rPr>
            </w:pPr>
          </w:p>
        </w:tc>
        <w:tc>
          <w:tcPr>
            <w:tcW w:w="1678" w:type="dxa"/>
            <w:tcBorders>
              <w:right w:val="single" w:color="000000" w:sz="10" w:space="0"/>
            </w:tcBorders>
            <w:vAlign w:val="top"/>
          </w:tcPr>
          <w:p w14:paraId="42BF8909">
            <w:pPr>
              <w:rPr>
                <w:rFonts w:ascii="Arial"/>
                <w:sz w:val="21"/>
              </w:rPr>
            </w:pPr>
          </w:p>
        </w:tc>
      </w:tr>
      <w:tr w14:paraId="04C84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9CC713C">
            <w:pPr>
              <w:rPr>
                <w:rFonts w:ascii="Arial"/>
                <w:sz w:val="21"/>
              </w:rPr>
            </w:pPr>
          </w:p>
        </w:tc>
        <w:tc>
          <w:tcPr>
            <w:tcW w:w="1274" w:type="dxa"/>
            <w:vAlign w:val="top"/>
          </w:tcPr>
          <w:p w14:paraId="139921B5">
            <w:pPr>
              <w:rPr>
                <w:rFonts w:ascii="Arial"/>
                <w:sz w:val="21"/>
              </w:rPr>
            </w:pPr>
          </w:p>
        </w:tc>
        <w:tc>
          <w:tcPr>
            <w:tcW w:w="1446" w:type="dxa"/>
            <w:vAlign w:val="top"/>
          </w:tcPr>
          <w:p w14:paraId="0290258B">
            <w:pPr>
              <w:rPr>
                <w:rFonts w:ascii="Arial"/>
                <w:sz w:val="21"/>
              </w:rPr>
            </w:pPr>
          </w:p>
        </w:tc>
        <w:tc>
          <w:tcPr>
            <w:tcW w:w="1240" w:type="dxa"/>
            <w:vAlign w:val="top"/>
          </w:tcPr>
          <w:p w14:paraId="3E0A16CB">
            <w:pPr>
              <w:rPr>
                <w:rFonts w:ascii="Arial"/>
                <w:sz w:val="21"/>
              </w:rPr>
            </w:pPr>
          </w:p>
        </w:tc>
        <w:tc>
          <w:tcPr>
            <w:tcW w:w="1446" w:type="dxa"/>
            <w:vAlign w:val="top"/>
          </w:tcPr>
          <w:p w14:paraId="7C83BFB3">
            <w:pPr>
              <w:rPr>
                <w:rFonts w:ascii="Arial"/>
                <w:sz w:val="21"/>
              </w:rPr>
            </w:pPr>
          </w:p>
        </w:tc>
        <w:tc>
          <w:tcPr>
            <w:tcW w:w="1678" w:type="dxa"/>
            <w:tcBorders>
              <w:right w:val="single" w:color="000000" w:sz="10" w:space="0"/>
            </w:tcBorders>
            <w:vAlign w:val="top"/>
          </w:tcPr>
          <w:p w14:paraId="17A8C8CE">
            <w:pPr>
              <w:rPr>
                <w:rFonts w:ascii="Arial"/>
                <w:sz w:val="21"/>
              </w:rPr>
            </w:pPr>
          </w:p>
        </w:tc>
      </w:tr>
      <w:tr w14:paraId="2D290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0DAACA20">
            <w:pPr>
              <w:rPr>
                <w:rFonts w:ascii="Arial"/>
                <w:sz w:val="21"/>
              </w:rPr>
            </w:pPr>
          </w:p>
        </w:tc>
        <w:tc>
          <w:tcPr>
            <w:tcW w:w="1274" w:type="dxa"/>
            <w:vAlign w:val="top"/>
          </w:tcPr>
          <w:p w14:paraId="19EBB07F">
            <w:pPr>
              <w:rPr>
                <w:rFonts w:ascii="Arial"/>
                <w:sz w:val="21"/>
              </w:rPr>
            </w:pPr>
          </w:p>
        </w:tc>
        <w:tc>
          <w:tcPr>
            <w:tcW w:w="1446" w:type="dxa"/>
            <w:vAlign w:val="top"/>
          </w:tcPr>
          <w:p w14:paraId="4324D82A">
            <w:pPr>
              <w:rPr>
                <w:rFonts w:ascii="Arial"/>
                <w:sz w:val="21"/>
              </w:rPr>
            </w:pPr>
          </w:p>
        </w:tc>
        <w:tc>
          <w:tcPr>
            <w:tcW w:w="1240" w:type="dxa"/>
            <w:vAlign w:val="top"/>
          </w:tcPr>
          <w:p w14:paraId="45B962FF">
            <w:pPr>
              <w:rPr>
                <w:rFonts w:ascii="Arial"/>
                <w:sz w:val="21"/>
              </w:rPr>
            </w:pPr>
          </w:p>
        </w:tc>
        <w:tc>
          <w:tcPr>
            <w:tcW w:w="1446" w:type="dxa"/>
            <w:vAlign w:val="top"/>
          </w:tcPr>
          <w:p w14:paraId="00E0D085">
            <w:pPr>
              <w:rPr>
                <w:rFonts w:ascii="Arial"/>
                <w:sz w:val="21"/>
              </w:rPr>
            </w:pPr>
          </w:p>
        </w:tc>
        <w:tc>
          <w:tcPr>
            <w:tcW w:w="1678" w:type="dxa"/>
            <w:tcBorders>
              <w:right w:val="single" w:color="000000" w:sz="10" w:space="0"/>
            </w:tcBorders>
            <w:vAlign w:val="top"/>
          </w:tcPr>
          <w:p w14:paraId="57FC2C85">
            <w:pPr>
              <w:rPr>
                <w:rFonts w:ascii="Arial"/>
                <w:sz w:val="21"/>
              </w:rPr>
            </w:pPr>
          </w:p>
        </w:tc>
      </w:tr>
      <w:tr w14:paraId="5F81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C5855F9">
            <w:pPr>
              <w:rPr>
                <w:rFonts w:ascii="Arial"/>
                <w:sz w:val="21"/>
              </w:rPr>
            </w:pPr>
          </w:p>
        </w:tc>
        <w:tc>
          <w:tcPr>
            <w:tcW w:w="1274" w:type="dxa"/>
            <w:vAlign w:val="top"/>
          </w:tcPr>
          <w:p w14:paraId="71A22AA7">
            <w:pPr>
              <w:rPr>
                <w:rFonts w:ascii="Arial"/>
                <w:sz w:val="21"/>
              </w:rPr>
            </w:pPr>
          </w:p>
        </w:tc>
        <w:tc>
          <w:tcPr>
            <w:tcW w:w="1446" w:type="dxa"/>
            <w:vAlign w:val="top"/>
          </w:tcPr>
          <w:p w14:paraId="286F6534">
            <w:pPr>
              <w:rPr>
                <w:rFonts w:ascii="Arial"/>
                <w:sz w:val="21"/>
              </w:rPr>
            </w:pPr>
          </w:p>
        </w:tc>
        <w:tc>
          <w:tcPr>
            <w:tcW w:w="1240" w:type="dxa"/>
            <w:vAlign w:val="top"/>
          </w:tcPr>
          <w:p w14:paraId="16965370">
            <w:pPr>
              <w:rPr>
                <w:rFonts w:ascii="Arial"/>
                <w:sz w:val="21"/>
              </w:rPr>
            </w:pPr>
          </w:p>
        </w:tc>
        <w:tc>
          <w:tcPr>
            <w:tcW w:w="1446" w:type="dxa"/>
            <w:vAlign w:val="top"/>
          </w:tcPr>
          <w:p w14:paraId="5E318881">
            <w:pPr>
              <w:rPr>
                <w:rFonts w:ascii="Arial"/>
                <w:sz w:val="21"/>
              </w:rPr>
            </w:pPr>
          </w:p>
        </w:tc>
        <w:tc>
          <w:tcPr>
            <w:tcW w:w="1678" w:type="dxa"/>
            <w:tcBorders>
              <w:right w:val="single" w:color="000000" w:sz="10" w:space="0"/>
            </w:tcBorders>
            <w:vAlign w:val="top"/>
          </w:tcPr>
          <w:p w14:paraId="554BE3AE">
            <w:pPr>
              <w:rPr>
                <w:rFonts w:ascii="Arial"/>
                <w:sz w:val="21"/>
              </w:rPr>
            </w:pPr>
          </w:p>
        </w:tc>
      </w:tr>
      <w:tr w14:paraId="52C8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640A53E3">
            <w:pPr>
              <w:rPr>
                <w:rFonts w:ascii="Arial"/>
                <w:sz w:val="21"/>
              </w:rPr>
            </w:pPr>
          </w:p>
        </w:tc>
        <w:tc>
          <w:tcPr>
            <w:tcW w:w="1274" w:type="dxa"/>
            <w:vAlign w:val="top"/>
          </w:tcPr>
          <w:p w14:paraId="710894EF">
            <w:pPr>
              <w:rPr>
                <w:rFonts w:ascii="Arial"/>
                <w:sz w:val="21"/>
              </w:rPr>
            </w:pPr>
          </w:p>
        </w:tc>
        <w:tc>
          <w:tcPr>
            <w:tcW w:w="1446" w:type="dxa"/>
            <w:vAlign w:val="top"/>
          </w:tcPr>
          <w:p w14:paraId="6AA30C51">
            <w:pPr>
              <w:rPr>
                <w:rFonts w:ascii="Arial"/>
                <w:sz w:val="21"/>
              </w:rPr>
            </w:pPr>
          </w:p>
        </w:tc>
        <w:tc>
          <w:tcPr>
            <w:tcW w:w="1240" w:type="dxa"/>
            <w:vAlign w:val="top"/>
          </w:tcPr>
          <w:p w14:paraId="78864DF0">
            <w:pPr>
              <w:rPr>
                <w:rFonts w:ascii="Arial"/>
                <w:sz w:val="21"/>
              </w:rPr>
            </w:pPr>
          </w:p>
        </w:tc>
        <w:tc>
          <w:tcPr>
            <w:tcW w:w="1446" w:type="dxa"/>
            <w:vAlign w:val="top"/>
          </w:tcPr>
          <w:p w14:paraId="1470831A">
            <w:pPr>
              <w:rPr>
                <w:rFonts w:ascii="Arial"/>
                <w:sz w:val="21"/>
              </w:rPr>
            </w:pPr>
          </w:p>
        </w:tc>
        <w:tc>
          <w:tcPr>
            <w:tcW w:w="1678" w:type="dxa"/>
            <w:tcBorders>
              <w:right w:val="single" w:color="000000" w:sz="10" w:space="0"/>
            </w:tcBorders>
            <w:vAlign w:val="top"/>
          </w:tcPr>
          <w:p w14:paraId="1911798F">
            <w:pPr>
              <w:rPr>
                <w:rFonts w:ascii="Arial"/>
                <w:sz w:val="21"/>
              </w:rPr>
            </w:pPr>
          </w:p>
        </w:tc>
      </w:tr>
      <w:tr w14:paraId="465BE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0577BAF">
            <w:pPr>
              <w:rPr>
                <w:rFonts w:ascii="Arial"/>
                <w:sz w:val="21"/>
              </w:rPr>
            </w:pPr>
          </w:p>
        </w:tc>
        <w:tc>
          <w:tcPr>
            <w:tcW w:w="1274" w:type="dxa"/>
            <w:vAlign w:val="top"/>
          </w:tcPr>
          <w:p w14:paraId="540DB7EA">
            <w:pPr>
              <w:rPr>
                <w:rFonts w:ascii="Arial"/>
                <w:sz w:val="21"/>
              </w:rPr>
            </w:pPr>
          </w:p>
        </w:tc>
        <w:tc>
          <w:tcPr>
            <w:tcW w:w="1446" w:type="dxa"/>
            <w:vAlign w:val="top"/>
          </w:tcPr>
          <w:p w14:paraId="4183A354">
            <w:pPr>
              <w:rPr>
                <w:rFonts w:ascii="Arial"/>
                <w:sz w:val="21"/>
              </w:rPr>
            </w:pPr>
          </w:p>
        </w:tc>
        <w:tc>
          <w:tcPr>
            <w:tcW w:w="1240" w:type="dxa"/>
            <w:vAlign w:val="top"/>
          </w:tcPr>
          <w:p w14:paraId="77CDF35B">
            <w:pPr>
              <w:rPr>
                <w:rFonts w:ascii="Arial"/>
                <w:sz w:val="21"/>
              </w:rPr>
            </w:pPr>
          </w:p>
        </w:tc>
        <w:tc>
          <w:tcPr>
            <w:tcW w:w="1446" w:type="dxa"/>
            <w:vAlign w:val="top"/>
          </w:tcPr>
          <w:p w14:paraId="70277290">
            <w:pPr>
              <w:rPr>
                <w:rFonts w:ascii="Arial"/>
                <w:sz w:val="21"/>
              </w:rPr>
            </w:pPr>
          </w:p>
        </w:tc>
        <w:tc>
          <w:tcPr>
            <w:tcW w:w="1678" w:type="dxa"/>
            <w:tcBorders>
              <w:right w:val="single" w:color="000000" w:sz="10" w:space="0"/>
            </w:tcBorders>
            <w:vAlign w:val="top"/>
          </w:tcPr>
          <w:p w14:paraId="21D59DB5">
            <w:pPr>
              <w:rPr>
                <w:rFonts w:ascii="Arial"/>
                <w:sz w:val="21"/>
              </w:rPr>
            </w:pPr>
          </w:p>
        </w:tc>
      </w:tr>
      <w:tr w14:paraId="3917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70D0CDC">
            <w:pPr>
              <w:rPr>
                <w:rFonts w:ascii="Arial"/>
                <w:sz w:val="21"/>
              </w:rPr>
            </w:pPr>
          </w:p>
        </w:tc>
        <w:tc>
          <w:tcPr>
            <w:tcW w:w="1274" w:type="dxa"/>
            <w:vAlign w:val="top"/>
          </w:tcPr>
          <w:p w14:paraId="7A19F923">
            <w:pPr>
              <w:rPr>
                <w:rFonts w:ascii="Arial"/>
                <w:sz w:val="21"/>
              </w:rPr>
            </w:pPr>
          </w:p>
        </w:tc>
        <w:tc>
          <w:tcPr>
            <w:tcW w:w="1446" w:type="dxa"/>
            <w:vAlign w:val="top"/>
          </w:tcPr>
          <w:p w14:paraId="7A3A4454">
            <w:pPr>
              <w:rPr>
                <w:rFonts w:ascii="Arial"/>
                <w:sz w:val="21"/>
              </w:rPr>
            </w:pPr>
          </w:p>
        </w:tc>
        <w:tc>
          <w:tcPr>
            <w:tcW w:w="1240" w:type="dxa"/>
            <w:vAlign w:val="top"/>
          </w:tcPr>
          <w:p w14:paraId="786E3649">
            <w:pPr>
              <w:rPr>
                <w:rFonts w:ascii="Arial"/>
                <w:sz w:val="21"/>
              </w:rPr>
            </w:pPr>
          </w:p>
        </w:tc>
        <w:tc>
          <w:tcPr>
            <w:tcW w:w="1446" w:type="dxa"/>
            <w:vAlign w:val="top"/>
          </w:tcPr>
          <w:p w14:paraId="7319AA4A">
            <w:pPr>
              <w:rPr>
                <w:rFonts w:ascii="Arial"/>
                <w:sz w:val="21"/>
              </w:rPr>
            </w:pPr>
          </w:p>
        </w:tc>
        <w:tc>
          <w:tcPr>
            <w:tcW w:w="1678" w:type="dxa"/>
            <w:tcBorders>
              <w:right w:val="single" w:color="000000" w:sz="10" w:space="0"/>
            </w:tcBorders>
            <w:vAlign w:val="top"/>
          </w:tcPr>
          <w:p w14:paraId="0FE37FA8">
            <w:pPr>
              <w:rPr>
                <w:rFonts w:ascii="Arial"/>
                <w:sz w:val="21"/>
              </w:rPr>
            </w:pPr>
          </w:p>
        </w:tc>
      </w:tr>
      <w:tr w14:paraId="70EA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9F5B6F4">
            <w:pPr>
              <w:rPr>
                <w:rFonts w:ascii="Arial"/>
                <w:sz w:val="21"/>
              </w:rPr>
            </w:pPr>
          </w:p>
        </w:tc>
        <w:tc>
          <w:tcPr>
            <w:tcW w:w="1274" w:type="dxa"/>
            <w:vAlign w:val="top"/>
          </w:tcPr>
          <w:p w14:paraId="21278F46">
            <w:pPr>
              <w:rPr>
                <w:rFonts w:ascii="Arial"/>
                <w:sz w:val="21"/>
              </w:rPr>
            </w:pPr>
          </w:p>
        </w:tc>
        <w:tc>
          <w:tcPr>
            <w:tcW w:w="1446" w:type="dxa"/>
            <w:vAlign w:val="top"/>
          </w:tcPr>
          <w:p w14:paraId="18304070">
            <w:pPr>
              <w:rPr>
                <w:rFonts w:ascii="Arial"/>
                <w:sz w:val="21"/>
              </w:rPr>
            </w:pPr>
          </w:p>
        </w:tc>
        <w:tc>
          <w:tcPr>
            <w:tcW w:w="1240" w:type="dxa"/>
            <w:vAlign w:val="top"/>
          </w:tcPr>
          <w:p w14:paraId="52D3DAA8">
            <w:pPr>
              <w:rPr>
                <w:rFonts w:ascii="Arial"/>
                <w:sz w:val="21"/>
              </w:rPr>
            </w:pPr>
          </w:p>
        </w:tc>
        <w:tc>
          <w:tcPr>
            <w:tcW w:w="1446" w:type="dxa"/>
            <w:vAlign w:val="top"/>
          </w:tcPr>
          <w:p w14:paraId="2FDAA877">
            <w:pPr>
              <w:rPr>
                <w:rFonts w:ascii="Arial"/>
                <w:sz w:val="21"/>
              </w:rPr>
            </w:pPr>
          </w:p>
        </w:tc>
        <w:tc>
          <w:tcPr>
            <w:tcW w:w="1678" w:type="dxa"/>
            <w:tcBorders>
              <w:right w:val="single" w:color="000000" w:sz="10" w:space="0"/>
            </w:tcBorders>
            <w:vAlign w:val="top"/>
          </w:tcPr>
          <w:p w14:paraId="5B5207E8">
            <w:pPr>
              <w:rPr>
                <w:rFonts w:ascii="Arial"/>
                <w:sz w:val="21"/>
              </w:rPr>
            </w:pPr>
          </w:p>
        </w:tc>
      </w:tr>
      <w:tr w14:paraId="445D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vAlign w:val="top"/>
          </w:tcPr>
          <w:p w14:paraId="45402240">
            <w:pPr>
              <w:rPr>
                <w:rFonts w:ascii="Arial"/>
                <w:sz w:val="21"/>
              </w:rPr>
            </w:pPr>
          </w:p>
        </w:tc>
        <w:tc>
          <w:tcPr>
            <w:tcW w:w="1274" w:type="dxa"/>
            <w:vAlign w:val="top"/>
          </w:tcPr>
          <w:p w14:paraId="27D56B21">
            <w:pPr>
              <w:rPr>
                <w:rFonts w:ascii="Arial"/>
                <w:sz w:val="21"/>
              </w:rPr>
            </w:pPr>
          </w:p>
        </w:tc>
        <w:tc>
          <w:tcPr>
            <w:tcW w:w="1446" w:type="dxa"/>
            <w:vAlign w:val="top"/>
          </w:tcPr>
          <w:p w14:paraId="2DA6DF15">
            <w:pPr>
              <w:rPr>
                <w:rFonts w:ascii="Arial"/>
                <w:sz w:val="21"/>
              </w:rPr>
            </w:pPr>
          </w:p>
        </w:tc>
        <w:tc>
          <w:tcPr>
            <w:tcW w:w="1240" w:type="dxa"/>
            <w:vAlign w:val="top"/>
          </w:tcPr>
          <w:p w14:paraId="239FB307">
            <w:pPr>
              <w:rPr>
                <w:rFonts w:ascii="Arial"/>
                <w:sz w:val="21"/>
              </w:rPr>
            </w:pPr>
          </w:p>
        </w:tc>
        <w:tc>
          <w:tcPr>
            <w:tcW w:w="1446" w:type="dxa"/>
            <w:vAlign w:val="top"/>
          </w:tcPr>
          <w:p w14:paraId="5A80AADD">
            <w:pPr>
              <w:rPr>
                <w:rFonts w:ascii="Arial"/>
                <w:sz w:val="21"/>
              </w:rPr>
            </w:pPr>
          </w:p>
        </w:tc>
        <w:tc>
          <w:tcPr>
            <w:tcW w:w="1678" w:type="dxa"/>
            <w:tcBorders>
              <w:right w:val="single" w:color="000000" w:sz="10" w:space="0"/>
            </w:tcBorders>
            <w:vAlign w:val="top"/>
          </w:tcPr>
          <w:p w14:paraId="6872337A">
            <w:pPr>
              <w:rPr>
                <w:rFonts w:ascii="Arial"/>
                <w:sz w:val="21"/>
              </w:rPr>
            </w:pPr>
          </w:p>
        </w:tc>
      </w:tr>
      <w:tr w14:paraId="196C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05673DC">
            <w:pPr>
              <w:rPr>
                <w:rFonts w:ascii="Arial"/>
                <w:sz w:val="21"/>
              </w:rPr>
            </w:pPr>
          </w:p>
        </w:tc>
        <w:tc>
          <w:tcPr>
            <w:tcW w:w="1274" w:type="dxa"/>
            <w:vAlign w:val="top"/>
          </w:tcPr>
          <w:p w14:paraId="41F8FFCD">
            <w:pPr>
              <w:rPr>
                <w:rFonts w:ascii="Arial"/>
                <w:sz w:val="21"/>
              </w:rPr>
            </w:pPr>
          </w:p>
        </w:tc>
        <w:tc>
          <w:tcPr>
            <w:tcW w:w="1446" w:type="dxa"/>
            <w:vAlign w:val="top"/>
          </w:tcPr>
          <w:p w14:paraId="205841D7">
            <w:pPr>
              <w:rPr>
                <w:rFonts w:ascii="Arial"/>
                <w:sz w:val="21"/>
              </w:rPr>
            </w:pPr>
          </w:p>
        </w:tc>
        <w:tc>
          <w:tcPr>
            <w:tcW w:w="1240" w:type="dxa"/>
            <w:vAlign w:val="top"/>
          </w:tcPr>
          <w:p w14:paraId="0FCFED06">
            <w:pPr>
              <w:rPr>
                <w:rFonts w:ascii="Arial"/>
                <w:sz w:val="21"/>
              </w:rPr>
            </w:pPr>
          </w:p>
        </w:tc>
        <w:tc>
          <w:tcPr>
            <w:tcW w:w="1446" w:type="dxa"/>
            <w:vAlign w:val="top"/>
          </w:tcPr>
          <w:p w14:paraId="22810651">
            <w:pPr>
              <w:rPr>
                <w:rFonts w:ascii="Arial"/>
                <w:sz w:val="21"/>
              </w:rPr>
            </w:pPr>
          </w:p>
        </w:tc>
        <w:tc>
          <w:tcPr>
            <w:tcW w:w="1678" w:type="dxa"/>
            <w:tcBorders>
              <w:right w:val="single" w:color="000000" w:sz="10" w:space="0"/>
            </w:tcBorders>
            <w:vAlign w:val="top"/>
          </w:tcPr>
          <w:p w14:paraId="6C706443">
            <w:pPr>
              <w:rPr>
                <w:rFonts w:ascii="Arial"/>
                <w:sz w:val="21"/>
              </w:rPr>
            </w:pPr>
          </w:p>
        </w:tc>
      </w:tr>
      <w:tr w14:paraId="35A0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962" w:type="dxa"/>
            <w:tcBorders>
              <w:left w:val="single" w:color="000000" w:sz="10" w:space="0"/>
              <w:bottom w:val="single" w:color="000000" w:sz="10" w:space="0"/>
            </w:tcBorders>
            <w:vAlign w:val="top"/>
          </w:tcPr>
          <w:p w14:paraId="684E1233">
            <w:pPr>
              <w:rPr>
                <w:rFonts w:ascii="Arial"/>
                <w:sz w:val="21"/>
              </w:rPr>
            </w:pPr>
          </w:p>
        </w:tc>
        <w:tc>
          <w:tcPr>
            <w:tcW w:w="1274" w:type="dxa"/>
            <w:tcBorders>
              <w:bottom w:val="single" w:color="000000" w:sz="10" w:space="0"/>
            </w:tcBorders>
            <w:vAlign w:val="top"/>
          </w:tcPr>
          <w:p w14:paraId="46DD009F">
            <w:pPr>
              <w:rPr>
                <w:rFonts w:ascii="Arial"/>
                <w:sz w:val="21"/>
              </w:rPr>
            </w:pPr>
          </w:p>
        </w:tc>
        <w:tc>
          <w:tcPr>
            <w:tcW w:w="1446" w:type="dxa"/>
            <w:tcBorders>
              <w:bottom w:val="single" w:color="000000" w:sz="10" w:space="0"/>
            </w:tcBorders>
            <w:vAlign w:val="top"/>
          </w:tcPr>
          <w:p w14:paraId="0CA15812">
            <w:pPr>
              <w:rPr>
                <w:rFonts w:ascii="Arial"/>
                <w:sz w:val="21"/>
              </w:rPr>
            </w:pPr>
          </w:p>
        </w:tc>
        <w:tc>
          <w:tcPr>
            <w:tcW w:w="1240" w:type="dxa"/>
            <w:tcBorders>
              <w:bottom w:val="single" w:color="000000" w:sz="10" w:space="0"/>
            </w:tcBorders>
            <w:vAlign w:val="top"/>
          </w:tcPr>
          <w:p w14:paraId="18A16429">
            <w:pPr>
              <w:rPr>
                <w:rFonts w:ascii="Arial"/>
                <w:sz w:val="21"/>
              </w:rPr>
            </w:pPr>
          </w:p>
        </w:tc>
        <w:tc>
          <w:tcPr>
            <w:tcW w:w="1446" w:type="dxa"/>
            <w:tcBorders>
              <w:bottom w:val="single" w:color="000000" w:sz="10" w:space="0"/>
            </w:tcBorders>
            <w:vAlign w:val="top"/>
          </w:tcPr>
          <w:p w14:paraId="1656EAF0">
            <w:pPr>
              <w:rPr>
                <w:rFonts w:ascii="Arial"/>
                <w:sz w:val="21"/>
              </w:rPr>
            </w:pPr>
          </w:p>
        </w:tc>
        <w:tc>
          <w:tcPr>
            <w:tcW w:w="1678" w:type="dxa"/>
            <w:tcBorders>
              <w:bottom w:val="single" w:color="000000" w:sz="10" w:space="0"/>
              <w:right w:val="single" w:color="000000" w:sz="10" w:space="0"/>
            </w:tcBorders>
            <w:vAlign w:val="top"/>
          </w:tcPr>
          <w:p w14:paraId="31291656">
            <w:pPr>
              <w:rPr>
                <w:rFonts w:ascii="Arial"/>
                <w:sz w:val="21"/>
              </w:rPr>
            </w:pPr>
          </w:p>
        </w:tc>
      </w:tr>
    </w:tbl>
    <w:p w14:paraId="4733C569">
      <w:pPr>
        <w:pStyle w:val="5"/>
      </w:pPr>
    </w:p>
    <w:p w14:paraId="45B42686">
      <w:pPr>
        <w:sectPr>
          <w:footerReference r:id="rId137" w:type="default"/>
          <w:pgSz w:w="11905" w:h="16843"/>
          <w:pgMar w:top="969" w:right="1355" w:bottom="1026" w:left="1480" w:header="0" w:footer="754" w:gutter="0"/>
          <w:cols w:space="0" w:num="1"/>
          <w:rtlGutter w:val="0"/>
          <w:docGrid w:linePitch="0" w:charSpace="0"/>
        </w:sectPr>
      </w:pPr>
    </w:p>
    <w:p w14:paraId="41885F70">
      <w:pPr>
        <w:pStyle w:val="5"/>
        <w:spacing w:line="272" w:lineRule="auto"/>
      </w:pPr>
    </w:p>
    <w:p w14:paraId="3E82251B">
      <w:pPr>
        <w:pStyle w:val="5"/>
        <w:spacing w:line="272" w:lineRule="auto"/>
      </w:pPr>
    </w:p>
    <w:p w14:paraId="481CDF29">
      <w:pPr>
        <w:pStyle w:val="5"/>
        <w:spacing w:line="272" w:lineRule="auto"/>
      </w:pPr>
    </w:p>
    <w:p w14:paraId="05D1A091">
      <w:pPr>
        <w:pStyle w:val="5"/>
        <w:spacing w:line="272" w:lineRule="auto"/>
      </w:pPr>
    </w:p>
    <w:p w14:paraId="493AA4C0">
      <w:pPr>
        <w:pStyle w:val="5"/>
        <w:spacing w:line="273" w:lineRule="auto"/>
      </w:pPr>
    </w:p>
    <w:p w14:paraId="6C980EFC">
      <w:pPr>
        <w:spacing w:before="78" w:line="219" w:lineRule="auto"/>
        <w:ind w:left="71"/>
        <w:rPr>
          <w:rFonts w:ascii="宋体" w:hAnsi="宋体" w:eastAsia="宋体" w:cs="宋体"/>
          <w:sz w:val="24"/>
          <w:szCs w:val="24"/>
        </w:rPr>
      </w:pPr>
      <w:bookmarkStart w:id="1230" w:name="bookmark596"/>
      <w:bookmarkEnd w:id="1230"/>
      <w:r>
        <w:rPr>
          <w:rFonts w:ascii="宋体" w:hAnsi="宋体" w:eastAsia="宋体" w:cs="宋体"/>
          <w:spacing w:val="-11"/>
          <w:sz w:val="24"/>
          <w:szCs w:val="24"/>
        </w:rPr>
        <w:t>附件</w:t>
      </w:r>
      <w:r>
        <w:rPr>
          <w:rFonts w:ascii="宋体" w:hAnsi="宋体" w:eastAsia="宋体" w:cs="宋体"/>
          <w:spacing w:val="-46"/>
          <w:sz w:val="24"/>
          <w:szCs w:val="24"/>
        </w:rPr>
        <w:t xml:space="preserve"> </w:t>
      </w:r>
      <w:r>
        <w:rPr>
          <w:rFonts w:ascii="宋体" w:hAnsi="宋体" w:eastAsia="宋体" w:cs="宋体"/>
          <w:spacing w:val="-11"/>
          <w:sz w:val="24"/>
          <w:szCs w:val="24"/>
        </w:rPr>
        <w:t>5：</w:t>
      </w:r>
    </w:p>
    <w:p w14:paraId="623FBCCD">
      <w:pPr>
        <w:spacing w:before="240" w:line="219" w:lineRule="auto"/>
        <w:ind w:left="2263"/>
        <w:rPr>
          <w:rFonts w:ascii="黑体" w:hAnsi="黑体" w:eastAsia="黑体" w:cs="黑体"/>
          <w:sz w:val="28"/>
          <w:szCs w:val="28"/>
        </w:rPr>
      </w:pPr>
      <w:r>
        <w:rPr>
          <w:rFonts w:ascii="黑体" w:hAnsi="黑体" w:eastAsia="黑体" w:cs="黑体"/>
          <w:spacing w:val="-1"/>
          <w:sz w:val="28"/>
          <w:szCs w:val="28"/>
        </w:rPr>
        <w:t>承包人用于本工程施工的机械设备表</w:t>
      </w:r>
    </w:p>
    <w:p w14:paraId="557220CB">
      <w:pPr>
        <w:spacing w:line="114" w:lineRule="exact"/>
      </w:pPr>
    </w:p>
    <w:tbl>
      <w:tblPr>
        <w:tblStyle w:val="10"/>
        <w:tblW w:w="896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1412"/>
        <w:gridCol w:w="850"/>
        <w:gridCol w:w="706"/>
        <w:gridCol w:w="847"/>
        <w:gridCol w:w="850"/>
        <w:gridCol w:w="1273"/>
        <w:gridCol w:w="1272"/>
        <w:gridCol w:w="1003"/>
      </w:tblGrid>
      <w:tr w14:paraId="7C511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751" w:type="dxa"/>
            <w:tcBorders>
              <w:top w:val="single" w:color="000000" w:sz="10" w:space="0"/>
              <w:left w:val="single" w:color="000000" w:sz="10" w:space="0"/>
            </w:tcBorders>
            <w:vAlign w:val="top"/>
          </w:tcPr>
          <w:p w14:paraId="5DB1F291">
            <w:pPr>
              <w:spacing w:line="328" w:lineRule="auto"/>
              <w:rPr>
                <w:rFonts w:ascii="Arial"/>
                <w:sz w:val="21"/>
              </w:rPr>
            </w:pPr>
          </w:p>
          <w:p w14:paraId="1B0C7DD1">
            <w:pPr>
              <w:pStyle w:val="11"/>
              <w:spacing w:before="68" w:line="222" w:lineRule="auto"/>
              <w:ind w:left="155"/>
            </w:pPr>
            <w:r>
              <w:rPr>
                <w:spacing w:val="-2"/>
              </w:rPr>
              <w:t>序号</w:t>
            </w:r>
          </w:p>
        </w:tc>
        <w:tc>
          <w:tcPr>
            <w:tcW w:w="1412" w:type="dxa"/>
            <w:tcBorders>
              <w:top w:val="single" w:color="000000" w:sz="10" w:space="0"/>
            </w:tcBorders>
            <w:vAlign w:val="top"/>
          </w:tcPr>
          <w:p w14:paraId="65662F9D">
            <w:pPr>
              <w:pStyle w:val="11"/>
              <w:spacing w:before="176" w:line="310" w:lineRule="auto"/>
              <w:ind w:left="492" w:right="183" w:hanging="320"/>
            </w:pPr>
            <w:r>
              <w:rPr>
                <w:spacing w:val="-1"/>
              </w:rPr>
              <w:t>机械或设备</w:t>
            </w:r>
            <w:r>
              <w:rPr>
                <w:spacing w:val="-3"/>
              </w:rPr>
              <w:t>名称</w:t>
            </w:r>
          </w:p>
        </w:tc>
        <w:tc>
          <w:tcPr>
            <w:tcW w:w="850" w:type="dxa"/>
            <w:tcBorders>
              <w:top w:val="single" w:color="000000" w:sz="10" w:space="0"/>
            </w:tcBorders>
            <w:vAlign w:val="top"/>
          </w:tcPr>
          <w:p w14:paraId="5CF8C0A3">
            <w:pPr>
              <w:pStyle w:val="11"/>
              <w:spacing w:before="177" w:line="221" w:lineRule="auto"/>
              <w:ind w:left="214"/>
            </w:pPr>
            <w:r>
              <w:rPr>
                <w:spacing w:val="-2"/>
              </w:rPr>
              <w:t>规格</w:t>
            </w:r>
          </w:p>
          <w:p w14:paraId="43BF5F00">
            <w:pPr>
              <w:pStyle w:val="11"/>
              <w:spacing w:before="188" w:line="222" w:lineRule="auto"/>
              <w:ind w:left="220"/>
            </w:pPr>
            <w:r>
              <w:rPr>
                <w:spacing w:val="-4"/>
              </w:rPr>
              <w:t>型号</w:t>
            </w:r>
          </w:p>
        </w:tc>
        <w:tc>
          <w:tcPr>
            <w:tcW w:w="706" w:type="dxa"/>
            <w:tcBorders>
              <w:top w:val="single" w:color="000000" w:sz="10" w:space="0"/>
            </w:tcBorders>
            <w:vAlign w:val="top"/>
          </w:tcPr>
          <w:p w14:paraId="31E4046B">
            <w:pPr>
              <w:spacing w:line="327" w:lineRule="auto"/>
              <w:rPr>
                <w:rFonts w:ascii="Arial"/>
                <w:sz w:val="21"/>
              </w:rPr>
            </w:pPr>
          </w:p>
          <w:p w14:paraId="0C0E4793">
            <w:pPr>
              <w:pStyle w:val="11"/>
              <w:spacing w:before="68" w:line="221" w:lineRule="auto"/>
              <w:ind w:left="143"/>
            </w:pPr>
            <w:r>
              <w:rPr>
                <w:spacing w:val="-2"/>
              </w:rPr>
              <w:t>数量</w:t>
            </w:r>
          </w:p>
        </w:tc>
        <w:tc>
          <w:tcPr>
            <w:tcW w:w="847" w:type="dxa"/>
            <w:tcBorders>
              <w:top w:val="single" w:color="000000" w:sz="10" w:space="0"/>
            </w:tcBorders>
            <w:vAlign w:val="top"/>
          </w:tcPr>
          <w:p w14:paraId="2134A560">
            <w:pPr>
              <w:spacing w:line="327" w:lineRule="auto"/>
              <w:rPr>
                <w:rFonts w:ascii="Arial"/>
                <w:sz w:val="21"/>
              </w:rPr>
            </w:pPr>
          </w:p>
          <w:p w14:paraId="3D29B2E2">
            <w:pPr>
              <w:pStyle w:val="11"/>
              <w:spacing w:before="68" w:line="221" w:lineRule="auto"/>
              <w:ind w:left="217"/>
            </w:pPr>
            <w:r>
              <w:rPr>
                <w:spacing w:val="-2"/>
              </w:rPr>
              <w:t>产地</w:t>
            </w:r>
          </w:p>
        </w:tc>
        <w:tc>
          <w:tcPr>
            <w:tcW w:w="850" w:type="dxa"/>
            <w:tcBorders>
              <w:top w:val="single" w:color="000000" w:sz="10" w:space="0"/>
            </w:tcBorders>
            <w:vAlign w:val="top"/>
          </w:tcPr>
          <w:p w14:paraId="31DB753B">
            <w:pPr>
              <w:pStyle w:val="11"/>
              <w:spacing w:before="177" w:line="221" w:lineRule="auto"/>
              <w:ind w:left="221"/>
            </w:pPr>
            <w:r>
              <w:rPr>
                <w:spacing w:val="-2"/>
              </w:rPr>
              <w:t>制造</w:t>
            </w:r>
          </w:p>
          <w:p w14:paraId="7984F58B">
            <w:pPr>
              <w:pStyle w:val="11"/>
              <w:spacing w:before="186" w:line="221" w:lineRule="auto"/>
              <w:ind w:left="221"/>
            </w:pPr>
            <w:r>
              <w:rPr>
                <w:spacing w:val="-2"/>
              </w:rPr>
              <w:t>年份</w:t>
            </w:r>
          </w:p>
        </w:tc>
        <w:tc>
          <w:tcPr>
            <w:tcW w:w="1273" w:type="dxa"/>
            <w:tcBorders>
              <w:top w:val="single" w:color="000000" w:sz="10" w:space="0"/>
            </w:tcBorders>
            <w:vAlign w:val="top"/>
          </w:tcPr>
          <w:p w14:paraId="6725AE77">
            <w:pPr>
              <w:pStyle w:val="11"/>
              <w:spacing w:before="177" w:line="221" w:lineRule="auto"/>
              <w:ind w:left="225"/>
            </w:pPr>
            <w:r>
              <w:rPr>
                <w:spacing w:val="-2"/>
              </w:rPr>
              <w:t>额定功率</w:t>
            </w:r>
          </w:p>
          <w:p w14:paraId="4740F758">
            <w:pPr>
              <w:pStyle w:val="11"/>
              <w:spacing w:before="188" w:line="233" w:lineRule="auto"/>
              <w:ind w:left="334"/>
            </w:pPr>
            <w:r>
              <w:rPr>
                <w:spacing w:val="-4"/>
              </w:rPr>
              <w:t>（kW）</w:t>
            </w:r>
          </w:p>
        </w:tc>
        <w:tc>
          <w:tcPr>
            <w:tcW w:w="1272" w:type="dxa"/>
            <w:tcBorders>
              <w:top w:val="single" w:color="000000" w:sz="10" w:space="0"/>
            </w:tcBorders>
            <w:vAlign w:val="top"/>
          </w:tcPr>
          <w:p w14:paraId="41F5747C">
            <w:pPr>
              <w:spacing w:line="327" w:lineRule="auto"/>
              <w:rPr>
                <w:rFonts w:ascii="Arial"/>
                <w:sz w:val="21"/>
              </w:rPr>
            </w:pPr>
          </w:p>
          <w:p w14:paraId="5276D34A">
            <w:pPr>
              <w:pStyle w:val="11"/>
              <w:spacing w:before="68" w:line="221" w:lineRule="auto"/>
              <w:ind w:left="228"/>
            </w:pPr>
            <w:r>
              <w:rPr>
                <w:spacing w:val="-2"/>
              </w:rPr>
              <w:t>生产能力</w:t>
            </w:r>
          </w:p>
        </w:tc>
        <w:tc>
          <w:tcPr>
            <w:tcW w:w="1003" w:type="dxa"/>
            <w:tcBorders>
              <w:top w:val="single" w:color="000000" w:sz="10" w:space="0"/>
              <w:right w:val="single" w:color="000000" w:sz="10" w:space="0"/>
            </w:tcBorders>
            <w:vAlign w:val="top"/>
          </w:tcPr>
          <w:p w14:paraId="1875C149">
            <w:pPr>
              <w:spacing w:line="328" w:lineRule="auto"/>
              <w:rPr>
                <w:rFonts w:ascii="Arial"/>
                <w:sz w:val="21"/>
              </w:rPr>
            </w:pPr>
          </w:p>
          <w:p w14:paraId="2F2DCEC2">
            <w:pPr>
              <w:pStyle w:val="11"/>
              <w:spacing w:before="68" w:line="222" w:lineRule="auto"/>
              <w:ind w:left="301"/>
            </w:pPr>
            <w:r>
              <w:rPr>
                <w:spacing w:val="-3"/>
              </w:rPr>
              <w:t>备注</w:t>
            </w:r>
          </w:p>
        </w:tc>
      </w:tr>
      <w:tr w14:paraId="4C48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51" w:type="dxa"/>
            <w:tcBorders>
              <w:left w:val="single" w:color="000000" w:sz="10" w:space="0"/>
            </w:tcBorders>
            <w:vAlign w:val="top"/>
          </w:tcPr>
          <w:p w14:paraId="04E8E4DC">
            <w:pPr>
              <w:rPr>
                <w:rFonts w:ascii="Arial"/>
                <w:sz w:val="21"/>
              </w:rPr>
            </w:pPr>
          </w:p>
        </w:tc>
        <w:tc>
          <w:tcPr>
            <w:tcW w:w="1412" w:type="dxa"/>
            <w:vAlign w:val="top"/>
          </w:tcPr>
          <w:p w14:paraId="10C0258B">
            <w:pPr>
              <w:rPr>
                <w:rFonts w:ascii="Arial"/>
                <w:sz w:val="21"/>
              </w:rPr>
            </w:pPr>
          </w:p>
        </w:tc>
        <w:tc>
          <w:tcPr>
            <w:tcW w:w="850" w:type="dxa"/>
            <w:vAlign w:val="top"/>
          </w:tcPr>
          <w:p w14:paraId="5B4D57E6">
            <w:pPr>
              <w:rPr>
                <w:rFonts w:ascii="Arial"/>
                <w:sz w:val="21"/>
              </w:rPr>
            </w:pPr>
          </w:p>
        </w:tc>
        <w:tc>
          <w:tcPr>
            <w:tcW w:w="706" w:type="dxa"/>
            <w:vAlign w:val="top"/>
          </w:tcPr>
          <w:p w14:paraId="61A1438B">
            <w:pPr>
              <w:rPr>
                <w:rFonts w:ascii="Arial"/>
                <w:sz w:val="21"/>
              </w:rPr>
            </w:pPr>
          </w:p>
        </w:tc>
        <w:tc>
          <w:tcPr>
            <w:tcW w:w="847" w:type="dxa"/>
            <w:vAlign w:val="top"/>
          </w:tcPr>
          <w:p w14:paraId="29A05A7C">
            <w:pPr>
              <w:rPr>
                <w:rFonts w:ascii="Arial"/>
                <w:sz w:val="21"/>
              </w:rPr>
            </w:pPr>
          </w:p>
        </w:tc>
        <w:tc>
          <w:tcPr>
            <w:tcW w:w="850" w:type="dxa"/>
            <w:vAlign w:val="top"/>
          </w:tcPr>
          <w:p w14:paraId="34D42F86">
            <w:pPr>
              <w:rPr>
                <w:rFonts w:ascii="Arial"/>
                <w:sz w:val="21"/>
              </w:rPr>
            </w:pPr>
          </w:p>
        </w:tc>
        <w:tc>
          <w:tcPr>
            <w:tcW w:w="1273" w:type="dxa"/>
            <w:vAlign w:val="top"/>
          </w:tcPr>
          <w:p w14:paraId="3B9F0E5C">
            <w:pPr>
              <w:rPr>
                <w:rFonts w:ascii="Arial"/>
                <w:sz w:val="21"/>
              </w:rPr>
            </w:pPr>
          </w:p>
        </w:tc>
        <w:tc>
          <w:tcPr>
            <w:tcW w:w="1272" w:type="dxa"/>
            <w:vAlign w:val="top"/>
          </w:tcPr>
          <w:p w14:paraId="69A27D56">
            <w:pPr>
              <w:rPr>
                <w:rFonts w:ascii="Arial"/>
                <w:sz w:val="21"/>
              </w:rPr>
            </w:pPr>
          </w:p>
        </w:tc>
        <w:tc>
          <w:tcPr>
            <w:tcW w:w="1003" w:type="dxa"/>
            <w:tcBorders>
              <w:right w:val="single" w:color="000000" w:sz="10" w:space="0"/>
            </w:tcBorders>
            <w:vAlign w:val="top"/>
          </w:tcPr>
          <w:p w14:paraId="4C74C737">
            <w:pPr>
              <w:rPr>
                <w:rFonts w:ascii="Arial"/>
                <w:sz w:val="21"/>
              </w:rPr>
            </w:pPr>
          </w:p>
        </w:tc>
      </w:tr>
      <w:tr w14:paraId="4D56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4B4487F7">
            <w:pPr>
              <w:rPr>
                <w:rFonts w:ascii="Arial"/>
                <w:sz w:val="21"/>
              </w:rPr>
            </w:pPr>
          </w:p>
        </w:tc>
        <w:tc>
          <w:tcPr>
            <w:tcW w:w="1412" w:type="dxa"/>
            <w:vAlign w:val="top"/>
          </w:tcPr>
          <w:p w14:paraId="795BF5D3">
            <w:pPr>
              <w:rPr>
                <w:rFonts w:ascii="Arial"/>
                <w:sz w:val="21"/>
              </w:rPr>
            </w:pPr>
          </w:p>
        </w:tc>
        <w:tc>
          <w:tcPr>
            <w:tcW w:w="850" w:type="dxa"/>
            <w:vAlign w:val="top"/>
          </w:tcPr>
          <w:p w14:paraId="181546FF">
            <w:pPr>
              <w:rPr>
                <w:rFonts w:ascii="Arial"/>
                <w:sz w:val="21"/>
              </w:rPr>
            </w:pPr>
          </w:p>
        </w:tc>
        <w:tc>
          <w:tcPr>
            <w:tcW w:w="706" w:type="dxa"/>
            <w:vAlign w:val="top"/>
          </w:tcPr>
          <w:p w14:paraId="0F130FE7">
            <w:pPr>
              <w:rPr>
                <w:rFonts w:ascii="Arial"/>
                <w:sz w:val="21"/>
              </w:rPr>
            </w:pPr>
          </w:p>
        </w:tc>
        <w:tc>
          <w:tcPr>
            <w:tcW w:w="847" w:type="dxa"/>
            <w:vAlign w:val="top"/>
          </w:tcPr>
          <w:p w14:paraId="0E37399C">
            <w:pPr>
              <w:rPr>
                <w:rFonts w:ascii="Arial"/>
                <w:sz w:val="21"/>
              </w:rPr>
            </w:pPr>
          </w:p>
        </w:tc>
        <w:tc>
          <w:tcPr>
            <w:tcW w:w="850" w:type="dxa"/>
            <w:vAlign w:val="top"/>
          </w:tcPr>
          <w:p w14:paraId="58AA0E14">
            <w:pPr>
              <w:rPr>
                <w:rFonts w:ascii="Arial"/>
                <w:sz w:val="21"/>
              </w:rPr>
            </w:pPr>
          </w:p>
        </w:tc>
        <w:tc>
          <w:tcPr>
            <w:tcW w:w="1273" w:type="dxa"/>
            <w:vAlign w:val="top"/>
          </w:tcPr>
          <w:p w14:paraId="27DA9108">
            <w:pPr>
              <w:rPr>
                <w:rFonts w:ascii="Arial"/>
                <w:sz w:val="21"/>
              </w:rPr>
            </w:pPr>
          </w:p>
        </w:tc>
        <w:tc>
          <w:tcPr>
            <w:tcW w:w="1272" w:type="dxa"/>
            <w:vAlign w:val="top"/>
          </w:tcPr>
          <w:p w14:paraId="62B86D85">
            <w:pPr>
              <w:rPr>
                <w:rFonts w:ascii="Arial"/>
                <w:sz w:val="21"/>
              </w:rPr>
            </w:pPr>
          </w:p>
        </w:tc>
        <w:tc>
          <w:tcPr>
            <w:tcW w:w="1003" w:type="dxa"/>
            <w:tcBorders>
              <w:right w:val="single" w:color="000000" w:sz="10" w:space="0"/>
            </w:tcBorders>
            <w:vAlign w:val="top"/>
          </w:tcPr>
          <w:p w14:paraId="2E719C57">
            <w:pPr>
              <w:rPr>
                <w:rFonts w:ascii="Arial"/>
                <w:sz w:val="21"/>
              </w:rPr>
            </w:pPr>
          </w:p>
        </w:tc>
      </w:tr>
      <w:tr w14:paraId="6284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19E48B8C">
            <w:pPr>
              <w:rPr>
                <w:rFonts w:ascii="Arial"/>
                <w:sz w:val="21"/>
              </w:rPr>
            </w:pPr>
          </w:p>
        </w:tc>
        <w:tc>
          <w:tcPr>
            <w:tcW w:w="1412" w:type="dxa"/>
            <w:vAlign w:val="top"/>
          </w:tcPr>
          <w:p w14:paraId="0461FB1C">
            <w:pPr>
              <w:rPr>
                <w:rFonts w:ascii="Arial"/>
                <w:sz w:val="21"/>
              </w:rPr>
            </w:pPr>
          </w:p>
        </w:tc>
        <w:tc>
          <w:tcPr>
            <w:tcW w:w="850" w:type="dxa"/>
            <w:vAlign w:val="top"/>
          </w:tcPr>
          <w:p w14:paraId="7D4E44DF">
            <w:pPr>
              <w:rPr>
                <w:rFonts w:ascii="Arial"/>
                <w:sz w:val="21"/>
              </w:rPr>
            </w:pPr>
          </w:p>
        </w:tc>
        <w:tc>
          <w:tcPr>
            <w:tcW w:w="706" w:type="dxa"/>
            <w:vAlign w:val="top"/>
          </w:tcPr>
          <w:p w14:paraId="6D1C74EA">
            <w:pPr>
              <w:rPr>
                <w:rFonts w:ascii="Arial"/>
                <w:sz w:val="21"/>
              </w:rPr>
            </w:pPr>
          </w:p>
        </w:tc>
        <w:tc>
          <w:tcPr>
            <w:tcW w:w="847" w:type="dxa"/>
            <w:vAlign w:val="top"/>
          </w:tcPr>
          <w:p w14:paraId="502774C7">
            <w:pPr>
              <w:rPr>
                <w:rFonts w:ascii="Arial"/>
                <w:sz w:val="21"/>
              </w:rPr>
            </w:pPr>
          </w:p>
        </w:tc>
        <w:tc>
          <w:tcPr>
            <w:tcW w:w="850" w:type="dxa"/>
            <w:vAlign w:val="top"/>
          </w:tcPr>
          <w:p w14:paraId="42B0725E">
            <w:pPr>
              <w:rPr>
                <w:rFonts w:ascii="Arial"/>
                <w:sz w:val="21"/>
              </w:rPr>
            </w:pPr>
          </w:p>
        </w:tc>
        <w:tc>
          <w:tcPr>
            <w:tcW w:w="1273" w:type="dxa"/>
            <w:vAlign w:val="top"/>
          </w:tcPr>
          <w:p w14:paraId="1A0E640B">
            <w:pPr>
              <w:rPr>
                <w:rFonts w:ascii="Arial"/>
                <w:sz w:val="21"/>
              </w:rPr>
            </w:pPr>
          </w:p>
        </w:tc>
        <w:tc>
          <w:tcPr>
            <w:tcW w:w="1272" w:type="dxa"/>
            <w:vAlign w:val="top"/>
          </w:tcPr>
          <w:p w14:paraId="3562468F">
            <w:pPr>
              <w:rPr>
                <w:rFonts w:ascii="Arial"/>
                <w:sz w:val="21"/>
              </w:rPr>
            </w:pPr>
          </w:p>
        </w:tc>
        <w:tc>
          <w:tcPr>
            <w:tcW w:w="1003" w:type="dxa"/>
            <w:tcBorders>
              <w:right w:val="single" w:color="000000" w:sz="10" w:space="0"/>
            </w:tcBorders>
            <w:vAlign w:val="top"/>
          </w:tcPr>
          <w:p w14:paraId="3FAE42BD">
            <w:pPr>
              <w:rPr>
                <w:rFonts w:ascii="Arial"/>
                <w:sz w:val="21"/>
              </w:rPr>
            </w:pPr>
          </w:p>
        </w:tc>
      </w:tr>
      <w:tr w14:paraId="0795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51" w:type="dxa"/>
            <w:tcBorders>
              <w:left w:val="single" w:color="000000" w:sz="10" w:space="0"/>
            </w:tcBorders>
            <w:vAlign w:val="top"/>
          </w:tcPr>
          <w:p w14:paraId="185B6930">
            <w:pPr>
              <w:rPr>
                <w:rFonts w:ascii="Arial"/>
                <w:sz w:val="21"/>
              </w:rPr>
            </w:pPr>
          </w:p>
        </w:tc>
        <w:tc>
          <w:tcPr>
            <w:tcW w:w="1412" w:type="dxa"/>
            <w:vAlign w:val="top"/>
          </w:tcPr>
          <w:p w14:paraId="3FD983DA">
            <w:pPr>
              <w:rPr>
                <w:rFonts w:ascii="Arial"/>
                <w:sz w:val="21"/>
              </w:rPr>
            </w:pPr>
          </w:p>
        </w:tc>
        <w:tc>
          <w:tcPr>
            <w:tcW w:w="850" w:type="dxa"/>
            <w:vAlign w:val="top"/>
          </w:tcPr>
          <w:p w14:paraId="78ECED60">
            <w:pPr>
              <w:rPr>
                <w:rFonts w:ascii="Arial"/>
                <w:sz w:val="21"/>
              </w:rPr>
            </w:pPr>
          </w:p>
        </w:tc>
        <w:tc>
          <w:tcPr>
            <w:tcW w:w="706" w:type="dxa"/>
            <w:vAlign w:val="top"/>
          </w:tcPr>
          <w:p w14:paraId="4146A9C3">
            <w:pPr>
              <w:rPr>
                <w:rFonts w:ascii="Arial"/>
                <w:sz w:val="21"/>
              </w:rPr>
            </w:pPr>
          </w:p>
        </w:tc>
        <w:tc>
          <w:tcPr>
            <w:tcW w:w="847" w:type="dxa"/>
            <w:vAlign w:val="top"/>
          </w:tcPr>
          <w:p w14:paraId="189A8765">
            <w:pPr>
              <w:rPr>
                <w:rFonts w:ascii="Arial"/>
                <w:sz w:val="21"/>
              </w:rPr>
            </w:pPr>
          </w:p>
        </w:tc>
        <w:tc>
          <w:tcPr>
            <w:tcW w:w="850" w:type="dxa"/>
            <w:vAlign w:val="top"/>
          </w:tcPr>
          <w:p w14:paraId="58CD0081">
            <w:pPr>
              <w:rPr>
                <w:rFonts w:ascii="Arial"/>
                <w:sz w:val="21"/>
              </w:rPr>
            </w:pPr>
          </w:p>
        </w:tc>
        <w:tc>
          <w:tcPr>
            <w:tcW w:w="1273" w:type="dxa"/>
            <w:vAlign w:val="top"/>
          </w:tcPr>
          <w:p w14:paraId="599BE8BB">
            <w:pPr>
              <w:rPr>
                <w:rFonts w:ascii="Arial"/>
                <w:sz w:val="21"/>
              </w:rPr>
            </w:pPr>
          </w:p>
        </w:tc>
        <w:tc>
          <w:tcPr>
            <w:tcW w:w="1272" w:type="dxa"/>
            <w:vAlign w:val="top"/>
          </w:tcPr>
          <w:p w14:paraId="36026C71">
            <w:pPr>
              <w:rPr>
                <w:rFonts w:ascii="Arial"/>
                <w:sz w:val="21"/>
              </w:rPr>
            </w:pPr>
          </w:p>
        </w:tc>
        <w:tc>
          <w:tcPr>
            <w:tcW w:w="1003" w:type="dxa"/>
            <w:tcBorders>
              <w:right w:val="single" w:color="000000" w:sz="10" w:space="0"/>
            </w:tcBorders>
            <w:vAlign w:val="top"/>
          </w:tcPr>
          <w:p w14:paraId="31B1EBF7">
            <w:pPr>
              <w:rPr>
                <w:rFonts w:ascii="Arial"/>
                <w:sz w:val="21"/>
              </w:rPr>
            </w:pPr>
          </w:p>
        </w:tc>
      </w:tr>
      <w:tr w14:paraId="4C6C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319A45A5">
            <w:pPr>
              <w:rPr>
                <w:rFonts w:ascii="Arial"/>
                <w:sz w:val="21"/>
              </w:rPr>
            </w:pPr>
          </w:p>
        </w:tc>
        <w:tc>
          <w:tcPr>
            <w:tcW w:w="1412" w:type="dxa"/>
            <w:vAlign w:val="top"/>
          </w:tcPr>
          <w:p w14:paraId="4B0DFAD4">
            <w:pPr>
              <w:rPr>
                <w:rFonts w:ascii="Arial"/>
                <w:sz w:val="21"/>
              </w:rPr>
            </w:pPr>
          </w:p>
        </w:tc>
        <w:tc>
          <w:tcPr>
            <w:tcW w:w="850" w:type="dxa"/>
            <w:vAlign w:val="top"/>
          </w:tcPr>
          <w:p w14:paraId="453909C9">
            <w:pPr>
              <w:rPr>
                <w:rFonts w:ascii="Arial"/>
                <w:sz w:val="21"/>
              </w:rPr>
            </w:pPr>
          </w:p>
        </w:tc>
        <w:tc>
          <w:tcPr>
            <w:tcW w:w="706" w:type="dxa"/>
            <w:vAlign w:val="top"/>
          </w:tcPr>
          <w:p w14:paraId="515C0D8D">
            <w:pPr>
              <w:rPr>
                <w:rFonts w:ascii="Arial"/>
                <w:sz w:val="21"/>
              </w:rPr>
            </w:pPr>
          </w:p>
        </w:tc>
        <w:tc>
          <w:tcPr>
            <w:tcW w:w="847" w:type="dxa"/>
            <w:vAlign w:val="top"/>
          </w:tcPr>
          <w:p w14:paraId="685AAB3B">
            <w:pPr>
              <w:rPr>
                <w:rFonts w:ascii="Arial"/>
                <w:sz w:val="21"/>
              </w:rPr>
            </w:pPr>
          </w:p>
        </w:tc>
        <w:tc>
          <w:tcPr>
            <w:tcW w:w="850" w:type="dxa"/>
            <w:vAlign w:val="top"/>
          </w:tcPr>
          <w:p w14:paraId="383EF18C">
            <w:pPr>
              <w:rPr>
                <w:rFonts w:ascii="Arial"/>
                <w:sz w:val="21"/>
              </w:rPr>
            </w:pPr>
          </w:p>
        </w:tc>
        <w:tc>
          <w:tcPr>
            <w:tcW w:w="1273" w:type="dxa"/>
            <w:vAlign w:val="top"/>
          </w:tcPr>
          <w:p w14:paraId="5E6A6FD4">
            <w:pPr>
              <w:rPr>
                <w:rFonts w:ascii="Arial"/>
                <w:sz w:val="21"/>
              </w:rPr>
            </w:pPr>
          </w:p>
        </w:tc>
        <w:tc>
          <w:tcPr>
            <w:tcW w:w="1272" w:type="dxa"/>
            <w:vAlign w:val="top"/>
          </w:tcPr>
          <w:p w14:paraId="78255EC0">
            <w:pPr>
              <w:rPr>
                <w:rFonts w:ascii="Arial"/>
                <w:sz w:val="21"/>
              </w:rPr>
            </w:pPr>
          </w:p>
        </w:tc>
        <w:tc>
          <w:tcPr>
            <w:tcW w:w="1003" w:type="dxa"/>
            <w:tcBorders>
              <w:right w:val="single" w:color="000000" w:sz="10" w:space="0"/>
            </w:tcBorders>
            <w:vAlign w:val="top"/>
          </w:tcPr>
          <w:p w14:paraId="3FF11C7B">
            <w:pPr>
              <w:rPr>
                <w:rFonts w:ascii="Arial"/>
                <w:sz w:val="21"/>
              </w:rPr>
            </w:pPr>
          </w:p>
        </w:tc>
      </w:tr>
      <w:tr w14:paraId="1A1E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15619AA5">
            <w:pPr>
              <w:rPr>
                <w:rFonts w:ascii="Arial"/>
                <w:sz w:val="21"/>
              </w:rPr>
            </w:pPr>
          </w:p>
        </w:tc>
        <w:tc>
          <w:tcPr>
            <w:tcW w:w="1412" w:type="dxa"/>
            <w:vAlign w:val="top"/>
          </w:tcPr>
          <w:p w14:paraId="74470B50">
            <w:pPr>
              <w:rPr>
                <w:rFonts w:ascii="Arial"/>
                <w:sz w:val="21"/>
              </w:rPr>
            </w:pPr>
          </w:p>
        </w:tc>
        <w:tc>
          <w:tcPr>
            <w:tcW w:w="850" w:type="dxa"/>
            <w:vAlign w:val="top"/>
          </w:tcPr>
          <w:p w14:paraId="2F2C3562">
            <w:pPr>
              <w:rPr>
                <w:rFonts w:ascii="Arial"/>
                <w:sz w:val="21"/>
              </w:rPr>
            </w:pPr>
          </w:p>
        </w:tc>
        <w:tc>
          <w:tcPr>
            <w:tcW w:w="706" w:type="dxa"/>
            <w:vAlign w:val="top"/>
          </w:tcPr>
          <w:p w14:paraId="3DD0444F">
            <w:pPr>
              <w:rPr>
                <w:rFonts w:ascii="Arial"/>
                <w:sz w:val="21"/>
              </w:rPr>
            </w:pPr>
          </w:p>
        </w:tc>
        <w:tc>
          <w:tcPr>
            <w:tcW w:w="847" w:type="dxa"/>
            <w:vAlign w:val="top"/>
          </w:tcPr>
          <w:p w14:paraId="7C5F0387">
            <w:pPr>
              <w:rPr>
                <w:rFonts w:ascii="Arial"/>
                <w:sz w:val="21"/>
              </w:rPr>
            </w:pPr>
          </w:p>
        </w:tc>
        <w:tc>
          <w:tcPr>
            <w:tcW w:w="850" w:type="dxa"/>
            <w:vAlign w:val="top"/>
          </w:tcPr>
          <w:p w14:paraId="365456FC">
            <w:pPr>
              <w:rPr>
                <w:rFonts w:ascii="Arial"/>
                <w:sz w:val="21"/>
              </w:rPr>
            </w:pPr>
          </w:p>
        </w:tc>
        <w:tc>
          <w:tcPr>
            <w:tcW w:w="1273" w:type="dxa"/>
            <w:vAlign w:val="top"/>
          </w:tcPr>
          <w:p w14:paraId="611C4FCA">
            <w:pPr>
              <w:rPr>
                <w:rFonts w:ascii="Arial"/>
                <w:sz w:val="21"/>
              </w:rPr>
            </w:pPr>
          </w:p>
        </w:tc>
        <w:tc>
          <w:tcPr>
            <w:tcW w:w="1272" w:type="dxa"/>
            <w:vAlign w:val="top"/>
          </w:tcPr>
          <w:p w14:paraId="66B17EE2">
            <w:pPr>
              <w:rPr>
                <w:rFonts w:ascii="Arial"/>
                <w:sz w:val="21"/>
              </w:rPr>
            </w:pPr>
          </w:p>
        </w:tc>
        <w:tc>
          <w:tcPr>
            <w:tcW w:w="1003" w:type="dxa"/>
            <w:tcBorders>
              <w:right w:val="single" w:color="000000" w:sz="10" w:space="0"/>
            </w:tcBorders>
            <w:vAlign w:val="top"/>
          </w:tcPr>
          <w:p w14:paraId="02F1B387">
            <w:pPr>
              <w:rPr>
                <w:rFonts w:ascii="Arial"/>
                <w:sz w:val="21"/>
              </w:rPr>
            </w:pPr>
          </w:p>
        </w:tc>
      </w:tr>
      <w:tr w14:paraId="1BC5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01043EF8">
            <w:pPr>
              <w:rPr>
                <w:rFonts w:ascii="Arial"/>
                <w:sz w:val="21"/>
              </w:rPr>
            </w:pPr>
          </w:p>
        </w:tc>
        <w:tc>
          <w:tcPr>
            <w:tcW w:w="1412" w:type="dxa"/>
            <w:vAlign w:val="top"/>
          </w:tcPr>
          <w:p w14:paraId="52ED769C">
            <w:pPr>
              <w:rPr>
                <w:rFonts w:ascii="Arial"/>
                <w:sz w:val="21"/>
              </w:rPr>
            </w:pPr>
          </w:p>
        </w:tc>
        <w:tc>
          <w:tcPr>
            <w:tcW w:w="850" w:type="dxa"/>
            <w:vAlign w:val="top"/>
          </w:tcPr>
          <w:p w14:paraId="293314DB">
            <w:pPr>
              <w:rPr>
                <w:rFonts w:ascii="Arial"/>
                <w:sz w:val="21"/>
              </w:rPr>
            </w:pPr>
          </w:p>
        </w:tc>
        <w:tc>
          <w:tcPr>
            <w:tcW w:w="706" w:type="dxa"/>
            <w:vAlign w:val="top"/>
          </w:tcPr>
          <w:p w14:paraId="6EE063D2">
            <w:pPr>
              <w:rPr>
                <w:rFonts w:ascii="Arial"/>
                <w:sz w:val="21"/>
              </w:rPr>
            </w:pPr>
          </w:p>
        </w:tc>
        <w:tc>
          <w:tcPr>
            <w:tcW w:w="847" w:type="dxa"/>
            <w:vAlign w:val="top"/>
          </w:tcPr>
          <w:p w14:paraId="38F1D581">
            <w:pPr>
              <w:rPr>
                <w:rFonts w:ascii="Arial"/>
                <w:sz w:val="21"/>
              </w:rPr>
            </w:pPr>
          </w:p>
        </w:tc>
        <w:tc>
          <w:tcPr>
            <w:tcW w:w="850" w:type="dxa"/>
            <w:vAlign w:val="top"/>
          </w:tcPr>
          <w:p w14:paraId="6B51237C">
            <w:pPr>
              <w:rPr>
                <w:rFonts w:ascii="Arial"/>
                <w:sz w:val="21"/>
              </w:rPr>
            </w:pPr>
          </w:p>
        </w:tc>
        <w:tc>
          <w:tcPr>
            <w:tcW w:w="1273" w:type="dxa"/>
            <w:vAlign w:val="top"/>
          </w:tcPr>
          <w:p w14:paraId="2A1AF5A3">
            <w:pPr>
              <w:rPr>
                <w:rFonts w:ascii="Arial"/>
                <w:sz w:val="21"/>
              </w:rPr>
            </w:pPr>
          </w:p>
        </w:tc>
        <w:tc>
          <w:tcPr>
            <w:tcW w:w="1272" w:type="dxa"/>
            <w:vAlign w:val="top"/>
          </w:tcPr>
          <w:p w14:paraId="451120D5">
            <w:pPr>
              <w:rPr>
                <w:rFonts w:ascii="Arial"/>
                <w:sz w:val="21"/>
              </w:rPr>
            </w:pPr>
          </w:p>
        </w:tc>
        <w:tc>
          <w:tcPr>
            <w:tcW w:w="1003" w:type="dxa"/>
            <w:tcBorders>
              <w:right w:val="single" w:color="000000" w:sz="10" w:space="0"/>
            </w:tcBorders>
            <w:vAlign w:val="top"/>
          </w:tcPr>
          <w:p w14:paraId="23536E4A">
            <w:pPr>
              <w:rPr>
                <w:rFonts w:ascii="Arial"/>
                <w:sz w:val="21"/>
              </w:rPr>
            </w:pPr>
          </w:p>
        </w:tc>
      </w:tr>
      <w:tr w14:paraId="75DFF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0A53977C">
            <w:pPr>
              <w:rPr>
                <w:rFonts w:ascii="Arial"/>
                <w:sz w:val="21"/>
              </w:rPr>
            </w:pPr>
          </w:p>
        </w:tc>
        <w:tc>
          <w:tcPr>
            <w:tcW w:w="1412" w:type="dxa"/>
            <w:vAlign w:val="top"/>
          </w:tcPr>
          <w:p w14:paraId="3741AEB0">
            <w:pPr>
              <w:rPr>
                <w:rFonts w:ascii="Arial"/>
                <w:sz w:val="21"/>
              </w:rPr>
            </w:pPr>
          </w:p>
        </w:tc>
        <w:tc>
          <w:tcPr>
            <w:tcW w:w="850" w:type="dxa"/>
            <w:vAlign w:val="top"/>
          </w:tcPr>
          <w:p w14:paraId="6EFC5887">
            <w:pPr>
              <w:rPr>
                <w:rFonts w:ascii="Arial"/>
                <w:sz w:val="21"/>
              </w:rPr>
            </w:pPr>
          </w:p>
        </w:tc>
        <w:tc>
          <w:tcPr>
            <w:tcW w:w="706" w:type="dxa"/>
            <w:vAlign w:val="top"/>
          </w:tcPr>
          <w:p w14:paraId="21FE8CC3">
            <w:pPr>
              <w:rPr>
                <w:rFonts w:ascii="Arial"/>
                <w:sz w:val="21"/>
              </w:rPr>
            </w:pPr>
          </w:p>
        </w:tc>
        <w:tc>
          <w:tcPr>
            <w:tcW w:w="847" w:type="dxa"/>
            <w:vAlign w:val="top"/>
          </w:tcPr>
          <w:p w14:paraId="06D7E4C3">
            <w:pPr>
              <w:rPr>
                <w:rFonts w:ascii="Arial"/>
                <w:sz w:val="21"/>
              </w:rPr>
            </w:pPr>
          </w:p>
        </w:tc>
        <w:tc>
          <w:tcPr>
            <w:tcW w:w="850" w:type="dxa"/>
            <w:vAlign w:val="top"/>
          </w:tcPr>
          <w:p w14:paraId="18AAC8BE">
            <w:pPr>
              <w:rPr>
                <w:rFonts w:ascii="Arial"/>
                <w:sz w:val="21"/>
              </w:rPr>
            </w:pPr>
          </w:p>
        </w:tc>
        <w:tc>
          <w:tcPr>
            <w:tcW w:w="1273" w:type="dxa"/>
            <w:vAlign w:val="top"/>
          </w:tcPr>
          <w:p w14:paraId="22108991">
            <w:pPr>
              <w:rPr>
                <w:rFonts w:ascii="Arial"/>
                <w:sz w:val="21"/>
              </w:rPr>
            </w:pPr>
          </w:p>
        </w:tc>
        <w:tc>
          <w:tcPr>
            <w:tcW w:w="1272" w:type="dxa"/>
            <w:vAlign w:val="top"/>
          </w:tcPr>
          <w:p w14:paraId="284B979C">
            <w:pPr>
              <w:rPr>
                <w:rFonts w:ascii="Arial"/>
                <w:sz w:val="21"/>
              </w:rPr>
            </w:pPr>
          </w:p>
        </w:tc>
        <w:tc>
          <w:tcPr>
            <w:tcW w:w="1003" w:type="dxa"/>
            <w:tcBorders>
              <w:right w:val="single" w:color="000000" w:sz="10" w:space="0"/>
            </w:tcBorders>
            <w:vAlign w:val="top"/>
          </w:tcPr>
          <w:p w14:paraId="352E9143">
            <w:pPr>
              <w:rPr>
                <w:rFonts w:ascii="Arial"/>
                <w:sz w:val="21"/>
              </w:rPr>
            </w:pPr>
          </w:p>
        </w:tc>
      </w:tr>
      <w:tr w14:paraId="4686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2219093B">
            <w:pPr>
              <w:rPr>
                <w:rFonts w:ascii="Arial"/>
                <w:sz w:val="21"/>
              </w:rPr>
            </w:pPr>
          </w:p>
        </w:tc>
        <w:tc>
          <w:tcPr>
            <w:tcW w:w="1412" w:type="dxa"/>
            <w:vAlign w:val="top"/>
          </w:tcPr>
          <w:p w14:paraId="27368D22">
            <w:pPr>
              <w:rPr>
                <w:rFonts w:ascii="Arial"/>
                <w:sz w:val="21"/>
              </w:rPr>
            </w:pPr>
          </w:p>
        </w:tc>
        <w:tc>
          <w:tcPr>
            <w:tcW w:w="850" w:type="dxa"/>
            <w:vAlign w:val="top"/>
          </w:tcPr>
          <w:p w14:paraId="33503594">
            <w:pPr>
              <w:rPr>
                <w:rFonts w:ascii="Arial"/>
                <w:sz w:val="21"/>
              </w:rPr>
            </w:pPr>
          </w:p>
        </w:tc>
        <w:tc>
          <w:tcPr>
            <w:tcW w:w="706" w:type="dxa"/>
            <w:vAlign w:val="top"/>
          </w:tcPr>
          <w:p w14:paraId="7D79151D">
            <w:pPr>
              <w:rPr>
                <w:rFonts w:ascii="Arial"/>
                <w:sz w:val="21"/>
              </w:rPr>
            </w:pPr>
          </w:p>
        </w:tc>
        <w:tc>
          <w:tcPr>
            <w:tcW w:w="847" w:type="dxa"/>
            <w:vAlign w:val="top"/>
          </w:tcPr>
          <w:p w14:paraId="36E528B5">
            <w:pPr>
              <w:rPr>
                <w:rFonts w:ascii="Arial"/>
                <w:sz w:val="21"/>
              </w:rPr>
            </w:pPr>
          </w:p>
        </w:tc>
        <w:tc>
          <w:tcPr>
            <w:tcW w:w="850" w:type="dxa"/>
            <w:vAlign w:val="top"/>
          </w:tcPr>
          <w:p w14:paraId="30080695">
            <w:pPr>
              <w:rPr>
                <w:rFonts w:ascii="Arial"/>
                <w:sz w:val="21"/>
              </w:rPr>
            </w:pPr>
          </w:p>
        </w:tc>
        <w:tc>
          <w:tcPr>
            <w:tcW w:w="1273" w:type="dxa"/>
            <w:vAlign w:val="top"/>
          </w:tcPr>
          <w:p w14:paraId="70723577">
            <w:pPr>
              <w:rPr>
                <w:rFonts w:ascii="Arial"/>
                <w:sz w:val="21"/>
              </w:rPr>
            </w:pPr>
          </w:p>
        </w:tc>
        <w:tc>
          <w:tcPr>
            <w:tcW w:w="1272" w:type="dxa"/>
            <w:vAlign w:val="top"/>
          </w:tcPr>
          <w:p w14:paraId="3BC97CCB">
            <w:pPr>
              <w:rPr>
                <w:rFonts w:ascii="Arial"/>
                <w:sz w:val="21"/>
              </w:rPr>
            </w:pPr>
          </w:p>
        </w:tc>
        <w:tc>
          <w:tcPr>
            <w:tcW w:w="1003" w:type="dxa"/>
            <w:tcBorders>
              <w:right w:val="single" w:color="000000" w:sz="10" w:space="0"/>
            </w:tcBorders>
            <w:vAlign w:val="top"/>
          </w:tcPr>
          <w:p w14:paraId="33FF7899">
            <w:pPr>
              <w:rPr>
                <w:rFonts w:ascii="Arial"/>
                <w:sz w:val="21"/>
              </w:rPr>
            </w:pPr>
          </w:p>
        </w:tc>
      </w:tr>
      <w:tr w14:paraId="6D28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51" w:type="dxa"/>
            <w:tcBorders>
              <w:left w:val="single" w:color="000000" w:sz="10" w:space="0"/>
            </w:tcBorders>
            <w:vAlign w:val="top"/>
          </w:tcPr>
          <w:p w14:paraId="21618521">
            <w:pPr>
              <w:rPr>
                <w:rFonts w:ascii="Arial"/>
                <w:sz w:val="21"/>
              </w:rPr>
            </w:pPr>
          </w:p>
        </w:tc>
        <w:tc>
          <w:tcPr>
            <w:tcW w:w="1412" w:type="dxa"/>
            <w:vAlign w:val="top"/>
          </w:tcPr>
          <w:p w14:paraId="64DD68B6">
            <w:pPr>
              <w:rPr>
                <w:rFonts w:ascii="Arial"/>
                <w:sz w:val="21"/>
              </w:rPr>
            </w:pPr>
          </w:p>
        </w:tc>
        <w:tc>
          <w:tcPr>
            <w:tcW w:w="850" w:type="dxa"/>
            <w:vAlign w:val="top"/>
          </w:tcPr>
          <w:p w14:paraId="11263246">
            <w:pPr>
              <w:rPr>
                <w:rFonts w:ascii="Arial"/>
                <w:sz w:val="21"/>
              </w:rPr>
            </w:pPr>
          </w:p>
        </w:tc>
        <w:tc>
          <w:tcPr>
            <w:tcW w:w="706" w:type="dxa"/>
            <w:vAlign w:val="top"/>
          </w:tcPr>
          <w:p w14:paraId="0778B9EE">
            <w:pPr>
              <w:rPr>
                <w:rFonts w:ascii="Arial"/>
                <w:sz w:val="21"/>
              </w:rPr>
            </w:pPr>
          </w:p>
        </w:tc>
        <w:tc>
          <w:tcPr>
            <w:tcW w:w="847" w:type="dxa"/>
            <w:vAlign w:val="top"/>
          </w:tcPr>
          <w:p w14:paraId="6FE7083D">
            <w:pPr>
              <w:rPr>
                <w:rFonts w:ascii="Arial"/>
                <w:sz w:val="21"/>
              </w:rPr>
            </w:pPr>
          </w:p>
        </w:tc>
        <w:tc>
          <w:tcPr>
            <w:tcW w:w="850" w:type="dxa"/>
            <w:vAlign w:val="top"/>
          </w:tcPr>
          <w:p w14:paraId="5142E787">
            <w:pPr>
              <w:rPr>
                <w:rFonts w:ascii="Arial"/>
                <w:sz w:val="21"/>
              </w:rPr>
            </w:pPr>
          </w:p>
        </w:tc>
        <w:tc>
          <w:tcPr>
            <w:tcW w:w="1273" w:type="dxa"/>
            <w:vAlign w:val="top"/>
          </w:tcPr>
          <w:p w14:paraId="33358CEB">
            <w:pPr>
              <w:rPr>
                <w:rFonts w:ascii="Arial"/>
                <w:sz w:val="21"/>
              </w:rPr>
            </w:pPr>
          </w:p>
        </w:tc>
        <w:tc>
          <w:tcPr>
            <w:tcW w:w="1272" w:type="dxa"/>
            <w:vAlign w:val="top"/>
          </w:tcPr>
          <w:p w14:paraId="62269455">
            <w:pPr>
              <w:rPr>
                <w:rFonts w:ascii="Arial"/>
                <w:sz w:val="21"/>
              </w:rPr>
            </w:pPr>
          </w:p>
        </w:tc>
        <w:tc>
          <w:tcPr>
            <w:tcW w:w="1003" w:type="dxa"/>
            <w:tcBorders>
              <w:right w:val="single" w:color="000000" w:sz="10" w:space="0"/>
            </w:tcBorders>
            <w:vAlign w:val="top"/>
          </w:tcPr>
          <w:p w14:paraId="5A0E9523">
            <w:pPr>
              <w:rPr>
                <w:rFonts w:ascii="Arial"/>
                <w:sz w:val="21"/>
              </w:rPr>
            </w:pPr>
          </w:p>
        </w:tc>
      </w:tr>
      <w:tr w14:paraId="5BC3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25466D64">
            <w:pPr>
              <w:rPr>
                <w:rFonts w:ascii="Arial"/>
                <w:sz w:val="21"/>
              </w:rPr>
            </w:pPr>
          </w:p>
        </w:tc>
        <w:tc>
          <w:tcPr>
            <w:tcW w:w="1412" w:type="dxa"/>
            <w:vAlign w:val="top"/>
          </w:tcPr>
          <w:p w14:paraId="12427391">
            <w:pPr>
              <w:rPr>
                <w:rFonts w:ascii="Arial"/>
                <w:sz w:val="21"/>
              </w:rPr>
            </w:pPr>
          </w:p>
        </w:tc>
        <w:tc>
          <w:tcPr>
            <w:tcW w:w="850" w:type="dxa"/>
            <w:vAlign w:val="top"/>
          </w:tcPr>
          <w:p w14:paraId="4BEF25A1">
            <w:pPr>
              <w:rPr>
                <w:rFonts w:ascii="Arial"/>
                <w:sz w:val="21"/>
              </w:rPr>
            </w:pPr>
          </w:p>
        </w:tc>
        <w:tc>
          <w:tcPr>
            <w:tcW w:w="706" w:type="dxa"/>
            <w:vAlign w:val="top"/>
          </w:tcPr>
          <w:p w14:paraId="0440EDFB">
            <w:pPr>
              <w:rPr>
                <w:rFonts w:ascii="Arial"/>
                <w:sz w:val="21"/>
              </w:rPr>
            </w:pPr>
          </w:p>
        </w:tc>
        <w:tc>
          <w:tcPr>
            <w:tcW w:w="847" w:type="dxa"/>
            <w:vAlign w:val="top"/>
          </w:tcPr>
          <w:p w14:paraId="682B8574">
            <w:pPr>
              <w:rPr>
                <w:rFonts w:ascii="Arial"/>
                <w:sz w:val="21"/>
              </w:rPr>
            </w:pPr>
          </w:p>
        </w:tc>
        <w:tc>
          <w:tcPr>
            <w:tcW w:w="850" w:type="dxa"/>
            <w:vAlign w:val="top"/>
          </w:tcPr>
          <w:p w14:paraId="6807BF24">
            <w:pPr>
              <w:rPr>
                <w:rFonts w:ascii="Arial"/>
                <w:sz w:val="21"/>
              </w:rPr>
            </w:pPr>
          </w:p>
        </w:tc>
        <w:tc>
          <w:tcPr>
            <w:tcW w:w="1273" w:type="dxa"/>
            <w:vAlign w:val="top"/>
          </w:tcPr>
          <w:p w14:paraId="62833555">
            <w:pPr>
              <w:rPr>
                <w:rFonts w:ascii="Arial"/>
                <w:sz w:val="21"/>
              </w:rPr>
            </w:pPr>
          </w:p>
        </w:tc>
        <w:tc>
          <w:tcPr>
            <w:tcW w:w="1272" w:type="dxa"/>
            <w:vAlign w:val="top"/>
          </w:tcPr>
          <w:p w14:paraId="26BB8D15">
            <w:pPr>
              <w:rPr>
                <w:rFonts w:ascii="Arial"/>
                <w:sz w:val="21"/>
              </w:rPr>
            </w:pPr>
          </w:p>
        </w:tc>
        <w:tc>
          <w:tcPr>
            <w:tcW w:w="1003" w:type="dxa"/>
            <w:tcBorders>
              <w:right w:val="single" w:color="000000" w:sz="10" w:space="0"/>
            </w:tcBorders>
            <w:vAlign w:val="top"/>
          </w:tcPr>
          <w:p w14:paraId="22127037">
            <w:pPr>
              <w:rPr>
                <w:rFonts w:ascii="Arial"/>
                <w:sz w:val="21"/>
              </w:rPr>
            </w:pPr>
          </w:p>
        </w:tc>
      </w:tr>
      <w:tr w14:paraId="2BB3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6402BC03">
            <w:pPr>
              <w:rPr>
                <w:rFonts w:ascii="Arial"/>
                <w:sz w:val="21"/>
              </w:rPr>
            </w:pPr>
          </w:p>
        </w:tc>
        <w:tc>
          <w:tcPr>
            <w:tcW w:w="1412" w:type="dxa"/>
            <w:vAlign w:val="top"/>
          </w:tcPr>
          <w:p w14:paraId="385E4F41">
            <w:pPr>
              <w:rPr>
                <w:rFonts w:ascii="Arial"/>
                <w:sz w:val="21"/>
              </w:rPr>
            </w:pPr>
          </w:p>
        </w:tc>
        <w:tc>
          <w:tcPr>
            <w:tcW w:w="850" w:type="dxa"/>
            <w:vAlign w:val="top"/>
          </w:tcPr>
          <w:p w14:paraId="74C4EF9F">
            <w:pPr>
              <w:rPr>
                <w:rFonts w:ascii="Arial"/>
                <w:sz w:val="21"/>
              </w:rPr>
            </w:pPr>
          </w:p>
        </w:tc>
        <w:tc>
          <w:tcPr>
            <w:tcW w:w="706" w:type="dxa"/>
            <w:vAlign w:val="top"/>
          </w:tcPr>
          <w:p w14:paraId="08016383">
            <w:pPr>
              <w:rPr>
                <w:rFonts w:ascii="Arial"/>
                <w:sz w:val="21"/>
              </w:rPr>
            </w:pPr>
          </w:p>
        </w:tc>
        <w:tc>
          <w:tcPr>
            <w:tcW w:w="847" w:type="dxa"/>
            <w:vAlign w:val="top"/>
          </w:tcPr>
          <w:p w14:paraId="65A36809">
            <w:pPr>
              <w:rPr>
                <w:rFonts w:ascii="Arial"/>
                <w:sz w:val="21"/>
              </w:rPr>
            </w:pPr>
          </w:p>
        </w:tc>
        <w:tc>
          <w:tcPr>
            <w:tcW w:w="850" w:type="dxa"/>
            <w:vAlign w:val="top"/>
          </w:tcPr>
          <w:p w14:paraId="1068BF2B">
            <w:pPr>
              <w:rPr>
                <w:rFonts w:ascii="Arial"/>
                <w:sz w:val="21"/>
              </w:rPr>
            </w:pPr>
          </w:p>
        </w:tc>
        <w:tc>
          <w:tcPr>
            <w:tcW w:w="1273" w:type="dxa"/>
            <w:vAlign w:val="top"/>
          </w:tcPr>
          <w:p w14:paraId="608AF30E">
            <w:pPr>
              <w:rPr>
                <w:rFonts w:ascii="Arial"/>
                <w:sz w:val="21"/>
              </w:rPr>
            </w:pPr>
          </w:p>
        </w:tc>
        <w:tc>
          <w:tcPr>
            <w:tcW w:w="1272" w:type="dxa"/>
            <w:vAlign w:val="top"/>
          </w:tcPr>
          <w:p w14:paraId="034A5DA0">
            <w:pPr>
              <w:rPr>
                <w:rFonts w:ascii="Arial"/>
                <w:sz w:val="21"/>
              </w:rPr>
            </w:pPr>
          </w:p>
        </w:tc>
        <w:tc>
          <w:tcPr>
            <w:tcW w:w="1003" w:type="dxa"/>
            <w:tcBorders>
              <w:right w:val="single" w:color="000000" w:sz="10" w:space="0"/>
            </w:tcBorders>
            <w:vAlign w:val="top"/>
          </w:tcPr>
          <w:p w14:paraId="4694F198">
            <w:pPr>
              <w:rPr>
                <w:rFonts w:ascii="Arial"/>
                <w:sz w:val="21"/>
              </w:rPr>
            </w:pPr>
          </w:p>
        </w:tc>
      </w:tr>
      <w:tr w14:paraId="0721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71A72732">
            <w:pPr>
              <w:rPr>
                <w:rFonts w:ascii="Arial"/>
                <w:sz w:val="21"/>
              </w:rPr>
            </w:pPr>
          </w:p>
        </w:tc>
        <w:tc>
          <w:tcPr>
            <w:tcW w:w="1412" w:type="dxa"/>
            <w:vAlign w:val="top"/>
          </w:tcPr>
          <w:p w14:paraId="60780C5C">
            <w:pPr>
              <w:rPr>
                <w:rFonts w:ascii="Arial"/>
                <w:sz w:val="21"/>
              </w:rPr>
            </w:pPr>
          </w:p>
        </w:tc>
        <w:tc>
          <w:tcPr>
            <w:tcW w:w="850" w:type="dxa"/>
            <w:vAlign w:val="top"/>
          </w:tcPr>
          <w:p w14:paraId="60445629">
            <w:pPr>
              <w:rPr>
                <w:rFonts w:ascii="Arial"/>
                <w:sz w:val="21"/>
              </w:rPr>
            </w:pPr>
          </w:p>
        </w:tc>
        <w:tc>
          <w:tcPr>
            <w:tcW w:w="706" w:type="dxa"/>
            <w:vAlign w:val="top"/>
          </w:tcPr>
          <w:p w14:paraId="108D91FC">
            <w:pPr>
              <w:rPr>
                <w:rFonts w:ascii="Arial"/>
                <w:sz w:val="21"/>
              </w:rPr>
            </w:pPr>
          </w:p>
        </w:tc>
        <w:tc>
          <w:tcPr>
            <w:tcW w:w="847" w:type="dxa"/>
            <w:vAlign w:val="top"/>
          </w:tcPr>
          <w:p w14:paraId="0B250932">
            <w:pPr>
              <w:rPr>
                <w:rFonts w:ascii="Arial"/>
                <w:sz w:val="21"/>
              </w:rPr>
            </w:pPr>
          </w:p>
        </w:tc>
        <w:tc>
          <w:tcPr>
            <w:tcW w:w="850" w:type="dxa"/>
            <w:vAlign w:val="top"/>
          </w:tcPr>
          <w:p w14:paraId="0ED77B6C">
            <w:pPr>
              <w:rPr>
                <w:rFonts w:ascii="Arial"/>
                <w:sz w:val="21"/>
              </w:rPr>
            </w:pPr>
          </w:p>
        </w:tc>
        <w:tc>
          <w:tcPr>
            <w:tcW w:w="1273" w:type="dxa"/>
            <w:vAlign w:val="top"/>
          </w:tcPr>
          <w:p w14:paraId="51027E6C">
            <w:pPr>
              <w:rPr>
                <w:rFonts w:ascii="Arial"/>
                <w:sz w:val="21"/>
              </w:rPr>
            </w:pPr>
          </w:p>
        </w:tc>
        <w:tc>
          <w:tcPr>
            <w:tcW w:w="1272" w:type="dxa"/>
            <w:vAlign w:val="top"/>
          </w:tcPr>
          <w:p w14:paraId="6FE26337">
            <w:pPr>
              <w:rPr>
                <w:rFonts w:ascii="Arial"/>
                <w:sz w:val="21"/>
              </w:rPr>
            </w:pPr>
          </w:p>
        </w:tc>
        <w:tc>
          <w:tcPr>
            <w:tcW w:w="1003" w:type="dxa"/>
            <w:tcBorders>
              <w:right w:val="single" w:color="000000" w:sz="10" w:space="0"/>
            </w:tcBorders>
            <w:vAlign w:val="top"/>
          </w:tcPr>
          <w:p w14:paraId="5A8DFF0A">
            <w:pPr>
              <w:rPr>
                <w:rFonts w:ascii="Arial"/>
                <w:sz w:val="21"/>
              </w:rPr>
            </w:pPr>
          </w:p>
        </w:tc>
      </w:tr>
      <w:tr w14:paraId="634D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4C1A8080">
            <w:pPr>
              <w:rPr>
                <w:rFonts w:ascii="Arial"/>
                <w:sz w:val="21"/>
              </w:rPr>
            </w:pPr>
          </w:p>
        </w:tc>
        <w:tc>
          <w:tcPr>
            <w:tcW w:w="1412" w:type="dxa"/>
            <w:vAlign w:val="top"/>
          </w:tcPr>
          <w:p w14:paraId="0FA62EF0">
            <w:pPr>
              <w:rPr>
                <w:rFonts w:ascii="Arial"/>
                <w:sz w:val="21"/>
              </w:rPr>
            </w:pPr>
          </w:p>
        </w:tc>
        <w:tc>
          <w:tcPr>
            <w:tcW w:w="850" w:type="dxa"/>
            <w:vAlign w:val="top"/>
          </w:tcPr>
          <w:p w14:paraId="58DA85D8">
            <w:pPr>
              <w:rPr>
                <w:rFonts w:ascii="Arial"/>
                <w:sz w:val="21"/>
              </w:rPr>
            </w:pPr>
          </w:p>
        </w:tc>
        <w:tc>
          <w:tcPr>
            <w:tcW w:w="706" w:type="dxa"/>
            <w:vAlign w:val="top"/>
          </w:tcPr>
          <w:p w14:paraId="3BAF5E7C">
            <w:pPr>
              <w:rPr>
                <w:rFonts w:ascii="Arial"/>
                <w:sz w:val="21"/>
              </w:rPr>
            </w:pPr>
          </w:p>
        </w:tc>
        <w:tc>
          <w:tcPr>
            <w:tcW w:w="847" w:type="dxa"/>
            <w:vAlign w:val="top"/>
          </w:tcPr>
          <w:p w14:paraId="66A3FCDD">
            <w:pPr>
              <w:rPr>
                <w:rFonts w:ascii="Arial"/>
                <w:sz w:val="21"/>
              </w:rPr>
            </w:pPr>
          </w:p>
        </w:tc>
        <w:tc>
          <w:tcPr>
            <w:tcW w:w="850" w:type="dxa"/>
            <w:vAlign w:val="top"/>
          </w:tcPr>
          <w:p w14:paraId="7283B65F">
            <w:pPr>
              <w:rPr>
                <w:rFonts w:ascii="Arial"/>
                <w:sz w:val="21"/>
              </w:rPr>
            </w:pPr>
          </w:p>
        </w:tc>
        <w:tc>
          <w:tcPr>
            <w:tcW w:w="1273" w:type="dxa"/>
            <w:vAlign w:val="top"/>
          </w:tcPr>
          <w:p w14:paraId="63A511A0">
            <w:pPr>
              <w:rPr>
                <w:rFonts w:ascii="Arial"/>
                <w:sz w:val="21"/>
              </w:rPr>
            </w:pPr>
          </w:p>
        </w:tc>
        <w:tc>
          <w:tcPr>
            <w:tcW w:w="1272" w:type="dxa"/>
            <w:vAlign w:val="top"/>
          </w:tcPr>
          <w:p w14:paraId="342D8D8D">
            <w:pPr>
              <w:rPr>
                <w:rFonts w:ascii="Arial"/>
                <w:sz w:val="21"/>
              </w:rPr>
            </w:pPr>
          </w:p>
        </w:tc>
        <w:tc>
          <w:tcPr>
            <w:tcW w:w="1003" w:type="dxa"/>
            <w:tcBorders>
              <w:right w:val="single" w:color="000000" w:sz="10" w:space="0"/>
            </w:tcBorders>
            <w:vAlign w:val="top"/>
          </w:tcPr>
          <w:p w14:paraId="64185268">
            <w:pPr>
              <w:rPr>
                <w:rFonts w:ascii="Arial"/>
                <w:sz w:val="21"/>
              </w:rPr>
            </w:pPr>
          </w:p>
        </w:tc>
      </w:tr>
      <w:tr w14:paraId="5E92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634819A1">
            <w:pPr>
              <w:rPr>
                <w:rFonts w:ascii="Arial"/>
                <w:sz w:val="21"/>
              </w:rPr>
            </w:pPr>
          </w:p>
        </w:tc>
        <w:tc>
          <w:tcPr>
            <w:tcW w:w="1412" w:type="dxa"/>
            <w:vAlign w:val="top"/>
          </w:tcPr>
          <w:p w14:paraId="4FE593ED">
            <w:pPr>
              <w:rPr>
                <w:rFonts w:ascii="Arial"/>
                <w:sz w:val="21"/>
              </w:rPr>
            </w:pPr>
          </w:p>
        </w:tc>
        <w:tc>
          <w:tcPr>
            <w:tcW w:w="850" w:type="dxa"/>
            <w:vAlign w:val="top"/>
          </w:tcPr>
          <w:p w14:paraId="598BEE56">
            <w:pPr>
              <w:rPr>
                <w:rFonts w:ascii="Arial"/>
                <w:sz w:val="21"/>
              </w:rPr>
            </w:pPr>
          </w:p>
        </w:tc>
        <w:tc>
          <w:tcPr>
            <w:tcW w:w="706" w:type="dxa"/>
            <w:vAlign w:val="top"/>
          </w:tcPr>
          <w:p w14:paraId="628B5DD2">
            <w:pPr>
              <w:rPr>
                <w:rFonts w:ascii="Arial"/>
                <w:sz w:val="21"/>
              </w:rPr>
            </w:pPr>
          </w:p>
        </w:tc>
        <w:tc>
          <w:tcPr>
            <w:tcW w:w="847" w:type="dxa"/>
            <w:vAlign w:val="top"/>
          </w:tcPr>
          <w:p w14:paraId="1416A7D5">
            <w:pPr>
              <w:rPr>
                <w:rFonts w:ascii="Arial"/>
                <w:sz w:val="21"/>
              </w:rPr>
            </w:pPr>
          </w:p>
        </w:tc>
        <w:tc>
          <w:tcPr>
            <w:tcW w:w="850" w:type="dxa"/>
            <w:vAlign w:val="top"/>
          </w:tcPr>
          <w:p w14:paraId="2669E0CF">
            <w:pPr>
              <w:rPr>
                <w:rFonts w:ascii="Arial"/>
                <w:sz w:val="21"/>
              </w:rPr>
            </w:pPr>
          </w:p>
        </w:tc>
        <w:tc>
          <w:tcPr>
            <w:tcW w:w="1273" w:type="dxa"/>
            <w:vAlign w:val="top"/>
          </w:tcPr>
          <w:p w14:paraId="74D4BD22">
            <w:pPr>
              <w:rPr>
                <w:rFonts w:ascii="Arial"/>
                <w:sz w:val="21"/>
              </w:rPr>
            </w:pPr>
          </w:p>
        </w:tc>
        <w:tc>
          <w:tcPr>
            <w:tcW w:w="1272" w:type="dxa"/>
            <w:vAlign w:val="top"/>
          </w:tcPr>
          <w:p w14:paraId="60F29960">
            <w:pPr>
              <w:rPr>
                <w:rFonts w:ascii="Arial"/>
                <w:sz w:val="21"/>
              </w:rPr>
            </w:pPr>
          </w:p>
        </w:tc>
        <w:tc>
          <w:tcPr>
            <w:tcW w:w="1003" w:type="dxa"/>
            <w:tcBorders>
              <w:right w:val="single" w:color="000000" w:sz="10" w:space="0"/>
            </w:tcBorders>
            <w:vAlign w:val="top"/>
          </w:tcPr>
          <w:p w14:paraId="549E5CED">
            <w:pPr>
              <w:rPr>
                <w:rFonts w:ascii="Arial"/>
                <w:sz w:val="21"/>
              </w:rPr>
            </w:pPr>
          </w:p>
        </w:tc>
      </w:tr>
      <w:tr w14:paraId="011E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29D3E6FD">
            <w:pPr>
              <w:rPr>
                <w:rFonts w:ascii="Arial"/>
                <w:sz w:val="21"/>
              </w:rPr>
            </w:pPr>
          </w:p>
        </w:tc>
        <w:tc>
          <w:tcPr>
            <w:tcW w:w="1412" w:type="dxa"/>
            <w:vAlign w:val="top"/>
          </w:tcPr>
          <w:p w14:paraId="620B53B3">
            <w:pPr>
              <w:rPr>
                <w:rFonts w:ascii="Arial"/>
                <w:sz w:val="21"/>
              </w:rPr>
            </w:pPr>
          </w:p>
        </w:tc>
        <w:tc>
          <w:tcPr>
            <w:tcW w:w="850" w:type="dxa"/>
            <w:vAlign w:val="top"/>
          </w:tcPr>
          <w:p w14:paraId="14804987">
            <w:pPr>
              <w:rPr>
                <w:rFonts w:ascii="Arial"/>
                <w:sz w:val="21"/>
              </w:rPr>
            </w:pPr>
          </w:p>
        </w:tc>
        <w:tc>
          <w:tcPr>
            <w:tcW w:w="706" w:type="dxa"/>
            <w:vAlign w:val="top"/>
          </w:tcPr>
          <w:p w14:paraId="5A87D1EC">
            <w:pPr>
              <w:rPr>
                <w:rFonts w:ascii="Arial"/>
                <w:sz w:val="21"/>
              </w:rPr>
            </w:pPr>
          </w:p>
        </w:tc>
        <w:tc>
          <w:tcPr>
            <w:tcW w:w="847" w:type="dxa"/>
            <w:vAlign w:val="top"/>
          </w:tcPr>
          <w:p w14:paraId="79CEFA9D">
            <w:pPr>
              <w:rPr>
                <w:rFonts w:ascii="Arial"/>
                <w:sz w:val="21"/>
              </w:rPr>
            </w:pPr>
          </w:p>
        </w:tc>
        <w:tc>
          <w:tcPr>
            <w:tcW w:w="850" w:type="dxa"/>
            <w:vAlign w:val="top"/>
          </w:tcPr>
          <w:p w14:paraId="4D1A02D3">
            <w:pPr>
              <w:rPr>
                <w:rFonts w:ascii="Arial"/>
                <w:sz w:val="21"/>
              </w:rPr>
            </w:pPr>
          </w:p>
        </w:tc>
        <w:tc>
          <w:tcPr>
            <w:tcW w:w="1273" w:type="dxa"/>
            <w:vAlign w:val="top"/>
          </w:tcPr>
          <w:p w14:paraId="6198C7B0">
            <w:pPr>
              <w:rPr>
                <w:rFonts w:ascii="Arial"/>
                <w:sz w:val="21"/>
              </w:rPr>
            </w:pPr>
          </w:p>
        </w:tc>
        <w:tc>
          <w:tcPr>
            <w:tcW w:w="1272" w:type="dxa"/>
            <w:vAlign w:val="top"/>
          </w:tcPr>
          <w:p w14:paraId="606FAA95">
            <w:pPr>
              <w:rPr>
                <w:rFonts w:ascii="Arial"/>
                <w:sz w:val="21"/>
              </w:rPr>
            </w:pPr>
          </w:p>
        </w:tc>
        <w:tc>
          <w:tcPr>
            <w:tcW w:w="1003" w:type="dxa"/>
            <w:tcBorders>
              <w:right w:val="single" w:color="000000" w:sz="10" w:space="0"/>
            </w:tcBorders>
            <w:vAlign w:val="top"/>
          </w:tcPr>
          <w:p w14:paraId="040E830D">
            <w:pPr>
              <w:rPr>
                <w:rFonts w:ascii="Arial"/>
                <w:sz w:val="21"/>
              </w:rPr>
            </w:pPr>
          </w:p>
        </w:tc>
      </w:tr>
      <w:tr w14:paraId="1D36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51" w:type="dxa"/>
            <w:tcBorders>
              <w:left w:val="single" w:color="000000" w:sz="10" w:space="0"/>
            </w:tcBorders>
            <w:vAlign w:val="top"/>
          </w:tcPr>
          <w:p w14:paraId="1159BCE4">
            <w:pPr>
              <w:rPr>
                <w:rFonts w:ascii="Arial"/>
                <w:sz w:val="21"/>
              </w:rPr>
            </w:pPr>
          </w:p>
        </w:tc>
        <w:tc>
          <w:tcPr>
            <w:tcW w:w="1412" w:type="dxa"/>
            <w:vAlign w:val="top"/>
          </w:tcPr>
          <w:p w14:paraId="4AD44497">
            <w:pPr>
              <w:rPr>
                <w:rFonts w:ascii="Arial"/>
                <w:sz w:val="21"/>
              </w:rPr>
            </w:pPr>
          </w:p>
        </w:tc>
        <w:tc>
          <w:tcPr>
            <w:tcW w:w="850" w:type="dxa"/>
            <w:vAlign w:val="top"/>
          </w:tcPr>
          <w:p w14:paraId="7599106C">
            <w:pPr>
              <w:rPr>
                <w:rFonts w:ascii="Arial"/>
                <w:sz w:val="21"/>
              </w:rPr>
            </w:pPr>
          </w:p>
        </w:tc>
        <w:tc>
          <w:tcPr>
            <w:tcW w:w="706" w:type="dxa"/>
            <w:vAlign w:val="top"/>
          </w:tcPr>
          <w:p w14:paraId="2A98BC78">
            <w:pPr>
              <w:rPr>
                <w:rFonts w:ascii="Arial"/>
                <w:sz w:val="21"/>
              </w:rPr>
            </w:pPr>
          </w:p>
        </w:tc>
        <w:tc>
          <w:tcPr>
            <w:tcW w:w="847" w:type="dxa"/>
            <w:vAlign w:val="top"/>
          </w:tcPr>
          <w:p w14:paraId="16273B89">
            <w:pPr>
              <w:rPr>
                <w:rFonts w:ascii="Arial"/>
                <w:sz w:val="21"/>
              </w:rPr>
            </w:pPr>
          </w:p>
        </w:tc>
        <w:tc>
          <w:tcPr>
            <w:tcW w:w="850" w:type="dxa"/>
            <w:vAlign w:val="top"/>
          </w:tcPr>
          <w:p w14:paraId="6398E4C3">
            <w:pPr>
              <w:rPr>
                <w:rFonts w:ascii="Arial"/>
                <w:sz w:val="21"/>
              </w:rPr>
            </w:pPr>
          </w:p>
        </w:tc>
        <w:tc>
          <w:tcPr>
            <w:tcW w:w="1273" w:type="dxa"/>
            <w:vAlign w:val="top"/>
          </w:tcPr>
          <w:p w14:paraId="0928FB32">
            <w:pPr>
              <w:rPr>
                <w:rFonts w:ascii="Arial"/>
                <w:sz w:val="21"/>
              </w:rPr>
            </w:pPr>
          </w:p>
        </w:tc>
        <w:tc>
          <w:tcPr>
            <w:tcW w:w="1272" w:type="dxa"/>
            <w:vAlign w:val="top"/>
          </w:tcPr>
          <w:p w14:paraId="599EC7A5">
            <w:pPr>
              <w:rPr>
                <w:rFonts w:ascii="Arial"/>
                <w:sz w:val="21"/>
              </w:rPr>
            </w:pPr>
          </w:p>
        </w:tc>
        <w:tc>
          <w:tcPr>
            <w:tcW w:w="1003" w:type="dxa"/>
            <w:tcBorders>
              <w:right w:val="single" w:color="000000" w:sz="10" w:space="0"/>
            </w:tcBorders>
            <w:vAlign w:val="top"/>
          </w:tcPr>
          <w:p w14:paraId="07F309E6">
            <w:pPr>
              <w:rPr>
                <w:rFonts w:ascii="Arial"/>
                <w:sz w:val="21"/>
              </w:rPr>
            </w:pPr>
          </w:p>
        </w:tc>
      </w:tr>
      <w:tr w14:paraId="5168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51" w:type="dxa"/>
            <w:tcBorders>
              <w:left w:val="single" w:color="000000" w:sz="10" w:space="0"/>
            </w:tcBorders>
            <w:vAlign w:val="top"/>
          </w:tcPr>
          <w:p w14:paraId="16E7C088">
            <w:pPr>
              <w:rPr>
                <w:rFonts w:ascii="Arial"/>
                <w:sz w:val="21"/>
              </w:rPr>
            </w:pPr>
          </w:p>
        </w:tc>
        <w:tc>
          <w:tcPr>
            <w:tcW w:w="1412" w:type="dxa"/>
            <w:vAlign w:val="top"/>
          </w:tcPr>
          <w:p w14:paraId="03E625CE">
            <w:pPr>
              <w:rPr>
                <w:rFonts w:ascii="Arial"/>
                <w:sz w:val="21"/>
              </w:rPr>
            </w:pPr>
          </w:p>
        </w:tc>
        <w:tc>
          <w:tcPr>
            <w:tcW w:w="850" w:type="dxa"/>
            <w:vAlign w:val="top"/>
          </w:tcPr>
          <w:p w14:paraId="5D2BE739">
            <w:pPr>
              <w:rPr>
                <w:rFonts w:ascii="Arial"/>
                <w:sz w:val="21"/>
              </w:rPr>
            </w:pPr>
          </w:p>
        </w:tc>
        <w:tc>
          <w:tcPr>
            <w:tcW w:w="706" w:type="dxa"/>
            <w:vAlign w:val="top"/>
          </w:tcPr>
          <w:p w14:paraId="45BB6751">
            <w:pPr>
              <w:rPr>
                <w:rFonts w:ascii="Arial"/>
                <w:sz w:val="21"/>
              </w:rPr>
            </w:pPr>
          </w:p>
        </w:tc>
        <w:tc>
          <w:tcPr>
            <w:tcW w:w="847" w:type="dxa"/>
            <w:vAlign w:val="top"/>
          </w:tcPr>
          <w:p w14:paraId="39C8C9E9">
            <w:pPr>
              <w:rPr>
                <w:rFonts w:ascii="Arial"/>
                <w:sz w:val="21"/>
              </w:rPr>
            </w:pPr>
          </w:p>
        </w:tc>
        <w:tc>
          <w:tcPr>
            <w:tcW w:w="850" w:type="dxa"/>
            <w:vAlign w:val="top"/>
          </w:tcPr>
          <w:p w14:paraId="36159708">
            <w:pPr>
              <w:rPr>
                <w:rFonts w:ascii="Arial"/>
                <w:sz w:val="21"/>
              </w:rPr>
            </w:pPr>
          </w:p>
        </w:tc>
        <w:tc>
          <w:tcPr>
            <w:tcW w:w="1273" w:type="dxa"/>
            <w:vAlign w:val="top"/>
          </w:tcPr>
          <w:p w14:paraId="121139EC">
            <w:pPr>
              <w:rPr>
                <w:rFonts w:ascii="Arial"/>
                <w:sz w:val="21"/>
              </w:rPr>
            </w:pPr>
          </w:p>
        </w:tc>
        <w:tc>
          <w:tcPr>
            <w:tcW w:w="1272" w:type="dxa"/>
            <w:vAlign w:val="top"/>
          </w:tcPr>
          <w:p w14:paraId="28E732F1">
            <w:pPr>
              <w:rPr>
                <w:rFonts w:ascii="Arial"/>
                <w:sz w:val="21"/>
              </w:rPr>
            </w:pPr>
          </w:p>
        </w:tc>
        <w:tc>
          <w:tcPr>
            <w:tcW w:w="1003" w:type="dxa"/>
            <w:tcBorders>
              <w:right w:val="single" w:color="000000" w:sz="10" w:space="0"/>
            </w:tcBorders>
            <w:vAlign w:val="top"/>
          </w:tcPr>
          <w:p w14:paraId="4F4B45CB">
            <w:pPr>
              <w:rPr>
                <w:rFonts w:ascii="Arial"/>
                <w:sz w:val="21"/>
              </w:rPr>
            </w:pPr>
          </w:p>
        </w:tc>
      </w:tr>
      <w:tr w14:paraId="20B5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51" w:type="dxa"/>
            <w:tcBorders>
              <w:left w:val="single" w:color="000000" w:sz="10" w:space="0"/>
              <w:bottom w:val="single" w:color="000000" w:sz="10" w:space="0"/>
            </w:tcBorders>
            <w:vAlign w:val="top"/>
          </w:tcPr>
          <w:p w14:paraId="2AB127C1">
            <w:pPr>
              <w:rPr>
                <w:rFonts w:ascii="Arial"/>
                <w:sz w:val="21"/>
              </w:rPr>
            </w:pPr>
          </w:p>
        </w:tc>
        <w:tc>
          <w:tcPr>
            <w:tcW w:w="1412" w:type="dxa"/>
            <w:tcBorders>
              <w:bottom w:val="single" w:color="000000" w:sz="10" w:space="0"/>
            </w:tcBorders>
            <w:vAlign w:val="top"/>
          </w:tcPr>
          <w:p w14:paraId="66560E42">
            <w:pPr>
              <w:rPr>
                <w:rFonts w:ascii="Arial"/>
                <w:sz w:val="21"/>
              </w:rPr>
            </w:pPr>
          </w:p>
        </w:tc>
        <w:tc>
          <w:tcPr>
            <w:tcW w:w="850" w:type="dxa"/>
            <w:tcBorders>
              <w:bottom w:val="single" w:color="000000" w:sz="10" w:space="0"/>
            </w:tcBorders>
            <w:vAlign w:val="top"/>
          </w:tcPr>
          <w:p w14:paraId="262F4622">
            <w:pPr>
              <w:rPr>
                <w:rFonts w:ascii="Arial"/>
                <w:sz w:val="21"/>
              </w:rPr>
            </w:pPr>
          </w:p>
        </w:tc>
        <w:tc>
          <w:tcPr>
            <w:tcW w:w="706" w:type="dxa"/>
            <w:tcBorders>
              <w:bottom w:val="single" w:color="000000" w:sz="10" w:space="0"/>
            </w:tcBorders>
            <w:vAlign w:val="top"/>
          </w:tcPr>
          <w:p w14:paraId="32004DF7">
            <w:pPr>
              <w:rPr>
                <w:rFonts w:ascii="Arial"/>
                <w:sz w:val="21"/>
              </w:rPr>
            </w:pPr>
          </w:p>
        </w:tc>
        <w:tc>
          <w:tcPr>
            <w:tcW w:w="847" w:type="dxa"/>
            <w:tcBorders>
              <w:bottom w:val="single" w:color="000000" w:sz="10" w:space="0"/>
            </w:tcBorders>
            <w:vAlign w:val="top"/>
          </w:tcPr>
          <w:p w14:paraId="2FAE5B70">
            <w:pPr>
              <w:rPr>
                <w:rFonts w:ascii="Arial"/>
                <w:sz w:val="21"/>
              </w:rPr>
            </w:pPr>
          </w:p>
        </w:tc>
        <w:tc>
          <w:tcPr>
            <w:tcW w:w="850" w:type="dxa"/>
            <w:tcBorders>
              <w:bottom w:val="single" w:color="000000" w:sz="10" w:space="0"/>
            </w:tcBorders>
            <w:vAlign w:val="top"/>
          </w:tcPr>
          <w:p w14:paraId="5BD646B7">
            <w:pPr>
              <w:rPr>
                <w:rFonts w:ascii="Arial"/>
                <w:sz w:val="21"/>
              </w:rPr>
            </w:pPr>
          </w:p>
        </w:tc>
        <w:tc>
          <w:tcPr>
            <w:tcW w:w="1273" w:type="dxa"/>
            <w:tcBorders>
              <w:bottom w:val="single" w:color="000000" w:sz="10" w:space="0"/>
            </w:tcBorders>
            <w:vAlign w:val="top"/>
          </w:tcPr>
          <w:p w14:paraId="3BA25760">
            <w:pPr>
              <w:rPr>
                <w:rFonts w:ascii="Arial"/>
                <w:sz w:val="21"/>
              </w:rPr>
            </w:pPr>
          </w:p>
        </w:tc>
        <w:tc>
          <w:tcPr>
            <w:tcW w:w="1272" w:type="dxa"/>
            <w:tcBorders>
              <w:bottom w:val="single" w:color="000000" w:sz="10" w:space="0"/>
            </w:tcBorders>
            <w:vAlign w:val="top"/>
          </w:tcPr>
          <w:p w14:paraId="421E42DE">
            <w:pPr>
              <w:rPr>
                <w:rFonts w:ascii="Arial"/>
                <w:sz w:val="21"/>
              </w:rPr>
            </w:pPr>
          </w:p>
        </w:tc>
        <w:tc>
          <w:tcPr>
            <w:tcW w:w="1003" w:type="dxa"/>
            <w:tcBorders>
              <w:bottom w:val="single" w:color="000000" w:sz="10" w:space="0"/>
              <w:right w:val="single" w:color="000000" w:sz="10" w:space="0"/>
            </w:tcBorders>
            <w:vAlign w:val="top"/>
          </w:tcPr>
          <w:p w14:paraId="739045B1">
            <w:pPr>
              <w:rPr>
                <w:rFonts w:ascii="Arial"/>
                <w:sz w:val="21"/>
              </w:rPr>
            </w:pPr>
          </w:p>
        </w:tc>
      </w:tr>
    </w:tbl>
    <w:p w14:paraId="51B325FE">
      <w:pPr>
        <w:pStyle w:val="5"/>
      </w:pPr>
    </w:p>
    <w:p w14:paraId="55F0B337">
      <w:pPr>
        <w:sectPr>
          <w:footerReference r:id="rId138" w:type="default"/>
          <w:pgSz w:w="11905" w:h="16843"/>
          <w:pgMar w:top="969" w:right="1355" w:bottom="1026" w:left="1480" w:header="0" w:footer="754" w:gutter="0"/>
          <w:cols w:space="0" w:num="1"/>
          <w:rtlGutter w:val="0"/>
          <w:docGrid w:linePitch="0" w:charSpace="0"/>
        </w:sectPr>
      </w:pPr>
    </w:p>
    <w:p w14:paraId="65F12160">
      <w:pPr>
        <w:pStyle w:val="5"/>
        <w:spacing w:line="272" w:lineRule="auto"/>
      </w:pPr>
    </w:p>
    <w:p w14:paraId="41C723F8">
      <w:pPr>
        <w:pStyle w:val="5"/>
        <w:spacing w:line="272" w:lineRule="auto"/>
      </w:pPr>
    </w:p>
    <w:p w14:paraId="5A7638CB">
      <w:pPr>
        <w:pStyle w:val="5"/>
        <w:spacing w:line="272" w:lineRule="auto"/>
      </w:pPr>
    </w:p>
    <w:p w14:paraId="4C4CCEE9">
      <w:pPr>
        <w:pStyle w:val="5"/>
        <w:spacing w:line="272" w:lineRule="auto"/>
      </w:pPr>
    </w:p>
    <w:p w14:paraId="3B2A7DAD">
      <w:pPr>
        <w:pStyle w:val="5"/>
        <w:spacing w:line="273" w:lineRule="auto"/>
      </w:pPr>
    </w:p>
    <w:p w14:paraId="035B895D">
      <w:pPr>
        <w:spacing w:before="78" w:line="219" w:lineRule="auto"/>
        <w:ind w:left="496"/>
        <w:rPr>
          <w:rFonts w:ascii="宋体" w:hAnsi="宋体" w:eastAsia="宋体" w:cs="宋体"/>
          <w:sz w:val="24"/>
          <w:szCs w:val="24"/>
        </w:rPr>
      </w:pPr>
      <w:bookmarkStart w:id="1231" w:name="bookmark597"/>
      <w:bookmarkEnd w:id="1231"/>
      <w:r>
        <w:rPr>
          <w:rFonts w:ascii="宋体" w:hAnsi="宋体" w:eastAsia="宋体" w:cs="宋体"/>
          <w:spacing w:val="-10"/>
          <w:sz w:val="24"/>
          <w:szCs w:val="24"/>
        </w:rPr>
        <w:t>附件</w:t>
      </w:r>
      <w:r>
        <w:rPr>
          <w:rFonts w:ascii="宋体" w:hAnsi="宋体" w:eastAsia="宋体" w:cs="宋体"/>
          <w:spacing w:val="-49"/>
          <w:sz w:val="24"/>
          <w:szCs w:val="24"/>
        </w:rPr>
        <w:t xml:space="preserve"> </w:t>
      </w:r>
      <w:r>
        <w:rPr>
          <w:rFonts w:ascii="宋体" w:hAnsi="宋体" w:eastAsia="宋体" w:cs="宋体"/>
          <w:spacing w:val="-10"/>
          <w:sz w:val="24"/>
          <w:szCs w:val="24"/>
        </w:rPr>
        <w:t>6：</w:t>
      </w:r>
    </w:p>
    <w:p w14:paraId="42EF3311">
      <w:pPr>
        <w:spacing w:before="239" w:line="219" w:lineRule="auto"/>
        <w:ind w:left="3248"/>
        <w:rPr>
          <w:rFonts w:ascii="黑体" w:hAnsi="黑体" w:eastAsia="黑体" w:cs="黑体"/>
          <w:sz w:val="28"/>
          <w:szCs w:val="28"/>
        </w:rPr>
      </w:pPr>
      <w:r>
        <w:rPr>
          <w:rFonts w:ascii="黑体" w:hAnsi="黑体" w:eastAsia="黑体" w:cs="黑体"/>
          <w:spacing w:val="-1"/>
          <w:sz w:val="28"/>
          <w:szCs w:val="28"/>
        </w:rPr>
        <w:t>承包人主要施工管理人员表</w:t>
      </w:r>
    </w:p>
    <w:p w14:paraId="6B34ACBC">
      <w:pPr>
        <w:spacing w:line="116" w:lineRule="exact"/>
      </w:pPr>
    </w:p>
    <w:tbl>
      <w:tblPr>
        <w:tblStyle w:val="10"/>
        <w:tblW w:w="981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415"/>
        <w:gridCol w:w="1130"/>
        <w:gridCol w:w="1133"/>
        <w:gridCol w:w="4254"/>
      </w:tblGrid>
      <w:tr w14:paraId="2267F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882" w:type="dxa"/>
            <w:tcBorders>
              <w:top w:val="single" w:color="000000" w:sz="10" w:space="0"/>
              <w:left w:val="single" w:color="000000" w:sz="10" w:space="0"/>
            </w:tcBorders>
            <w:vAlign w:val="top"/>
          </w:tcPr>
          <w:p w14:paraId="2EC37280">
            <w:pPr>
              <w:pStyle w:val="11"/>
              <w:spacing w:before="177" w:line="223" w:lineRule="auto"/>
              <w:ind w:left="516"/>
            </w:pPr>
            <w:r>
              <w:rPr>
                <w:spacing w:val="-5"/>
              </w:rPr>
              <w:t>名</w:t>
            </w:r>
            <w:r>
              <w:rPr>
                <w:spacing w:val="1"/>
              </w:rPr>
              <w:t xml:space="preserve">    </w:t>
            </w:r>
            <w:r>
              <w:rPr>
                <w:spacing w:val="-5"/>
              </w:rPr>
              <w:t>称</w:t>
            </w:r>
          </w:p>
        </w:tc>
        <w:tc>
          <w:tcPr>
            <w:tcW w:w="1415" w:type="dxa"/>
            <w:tcBorders>
              <w:top w:val="single" w:color="000000" w:sz="10" w:space="0"/>
            </w:tcBorders>
            <w:vAlign w:val="top"/>
          </w:tcPr>
          <w:p w14:paraId="0E1D3C04">
            <w:pPr>
              <w:pStyle w:val="11"/>
              <w:spacing w:before="177" w:line="221" w:lineRule="auto"/>
              <w:ind w:left="492"/>
            </w:pPr>
            <w:r>
              <w:rPr>
                <w:spacing w:val="-2"/>
              </w:rPr>
              <w:t>姓名</w:t>
            </w:r>
          </w:p>
        </w:tc>
        <w:tc>
          <w:tcPr>
            <w:tcW w:w="1130" w:type="dxa"/>
            <w:tcBorders>
              <w:top w:val="single" w:color="000000" w:sz="10" w:space="0"/>
            </w:tcBorders>
            <w:vAlign w:val="top"/>
          </w:tcPr>
          <w:p w14:paraId="1DCFB662">
            <w:pPr>
              <w:pStyle w:val="11"/>
              <w:spacing w:before="177" w:line="221" w:lineRule="auto"/>
              <w:ind w:left="355"/>
            </w:pPr>
            <w:r>
              <w:rPr>
                <w:spacing w:val="-2"/>
              </w:rPr>
              <w:t>职务</w:t>
            </w:r>
          </w:p>
        </w:tc>
        <w:tc>
          <w:tcPr>
            <w:tcW w:w="1133" w:type="dxa"/>
            <w:tcBorders>
              <w:top w:val="single" w:color="000000" w:sz="10" w:space="0"/>
            </w:tcBorders>
            <w:vAlign w:val="top"/>
          </w:tcPr>
          <w:p w14:paraId="25D8D229">
            <w:pPr>
              <w:pStyle w:val="11"/>
              <w:spacing w:before="177" w:line="223" w:lineRule="auto"/>
              <w:ind w:left="360"/>
            </w:pPr>
            <w:r>
              <w:rPr>
                <w:spacing w:val="-2"/>
              </w:rPr>
              <w:t>职称</w:t>
            </w:r>
          </w:p>
        </w:tc>
        <w:tc>
          <w:tcPr>
            <w:tcW w:w="4254" w:type="dxa"/>
            <w:tcBorders>
              <w:top w:val="single" w:color="000000" w:sz="10" w:space="0"/>
              <w:right w:val="single" w:color="000000" w:sz="10" w:space="0"/>
            </w:tcBorders>
            <w:vAlign w:val="top"/>
          </w:tcPr>
          <w:p w14:paraId="5843CB2A">
            <w:pPr>
              <w:pStyle w:val="11"/>
              <w:spacing w:before="177" w:line="221" w:lineRule="auto"/>
              <w:ind w:left="659"/>
            </w:pPr>
            <w:r>
              <w:rPr>
                <w:spacing w:val="-1"/>
              </w:rPr>
              <w:t>主要资历、经验及承担过的项目</w:t>
            </w:r>
          </w:p>
        </w:tc>
      </w:tr>
      <w:tr w14:paraId="4322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14" w:type="dxa"/>
            <w:gridSpan w:val="5"/>
            <w:tcBorders>
              <w:left w:val="single" w:color="000000" w:sz="10" w:space="0"/>
              <w:right w:val="single" w:color="000000" w:sz="10" w:space="0"/>
            </w:tcBorders>
            <w:vAlign w:val="top"/>
          </w:tcPr>
          <w:p w14:paraId="0C943095">
            <w:pPr>
              <w:pStyle w:val="11"/>
              <w:spacing w:before="200" w:line="221" w:lineRule="auto"/>
              <w:ind w:left="4276"/>
            </w:pPr>
            <w:r>
              <w:rPr>
                <w:spacing w:val="-2"/>
              </w:rPr>
              <w:t>一、总部人员</w:t>
            </w:r>
          </w:p>
        </w:tc>
      </w:tr>
      <w:tr w14:paraId="0EF0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58643C05">
            <w:pPr>
              <w:pStyle w:val="11"/>
              <w:spacing w:before="172" w:line="221" w:lineRule="auto"/>
              <w:ind w:left="517"/>
            </w:pPr>
            <w:r>
              <w:rPr>
                <w:spacing w:val="-3"/>
              </w:rPr>
              <w:t>项目主管</w:t>
            </w:r>
          </w:p>
        </w:tc>
        <w:tc>
          <w:tcPr>
            <w:tcW w:w="1415" w:type="dxa"/>
            <w:vAlign w:val="top"/>
          </w:tcPr>
          <w:p w14:paraId="08F77157">
            <w:pPr>
              <w:rPr>
                <w:rFonts w:ascii="Arial"/>
                <w:sz w:val="21"/>
              </w:rPr>
            </w:pPr>
          </w:p>
        </w:tc>
        <w:tc>
          <w:tcPr>
            <w:tcW w:w="1130" w:type="dxa"/>
            <w:vAlign w:val="top"/>
          </w:tcPr>
          <w:p w14:paraId="62D33726">
            <w:pPr>
              <w:rPr>
                <w:rFonts w:ascii="Arial"/>
                <w:sz w:val="21"/>
              </w:rPr>
            </w:pPr>
          </w:p>
        </w:tc>
        <w:tc>
          <w:tcPr>
            <w:tcW w:w="1133" w:type="dxa"/>
            <w:vAlign w:val="top"/>
          </w:tcPr>
          <w:p w14:paraId="5EF74360">
            <w:pPr>
              <w:rPr>
                <w:rFonts w:ascii="Arial"/>
                <w:sz w:val="21"/>
              </w:rPr>
            </w:pPr>
          </w:p>
        </w:tc>
        <w:tc>
          <w:tcPr>
            <w:tcW w:w="4254" w:type="dxa"/>
            <w:tcBorders>
              <w:right w:val="single" w:color="000000" w:sz="10" w:space="0"/>
            </w:tcBorders>
            <w:vAlign w:val="top"/>
          </w:tcPr>
          <w:p w14:paraId="32E4AAB6">
            <w:pPr>
              <w:rPr>
                <w:rFonts w:ascii="Arial"/>
                <w:sz w:val="21"/>
              </w:rPr>
            </w:pPr>
          </w:p>
        </w:tc>
      </w:tr>
      <w:tr w14:paraId="12F3C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restart"/>
            <w:tcBorders>
              <w:left w:val="single" w:color="000000" w:sz="10" w:space="0"/>
              <w:bottom w:val="nil"/>
            </w:tcBorders>
            <w:vAlign w:val="top"/>
          </w:tcPr>
          <w:p w14:paraId="2BE3A550">
            <w:pPr>
              <w:spacing w:line="278" w:lineRule="auto"/>
              <w:rPr>
                <w:rFonts w:ascii="Arial"/>
                <w:sz w:val="21"/>
              </w:rPr>
            </w:pPr>
          </w:p>
          <w:p w14:paraId="67FA6ED5">
            <w:pPr>
              <w:spacing w:line="279" w:lineRule="auto"/>
              <w:rPr>
                <w:rFonts w:ascii="Arial"/>
                <w:sz w:val="21"/>
              </w:rPr>
            </w:pPr>
          </w:p>
          <w:p w14:paraId="41741A23">
            <w:pPr>
              <w:pStyle w:val="11"/>
              <w:spacing w:before="68" w:line="221" w:lineRule="auto"/>
              <w:ind w:left="514"/>
            </w:pPr>
            <w:r>
              <w:rPr>
                <w:spacing w:val="-2"/>
              </w:rPr>
              <w:t>其他人员</w:t>
            </w:r>
          </w:p>
        </w:tc>
        <w:tc>
          <w:tcPr>
            <w:tcW w:w="1415" w:type="dxa"/>
            <w:vAlign w:val="top"/>
          </w:tcPr>
          <w:p w14:paraId="187752B7">
            <w:pPr>
              <w:rPr>
                <w:rFonts w:ascii="Arial"/>
                <w:sz w:val="21"/>
              </w:rPr>
            </w:pPr>
          </w:p>
        </w:tc>
        <w:tc>
          <w:tcPr>
            <w:tcW w:w="1130" w:type="dxa"/>
            <w:vAlign w:val="top"/>
          </w:tcPr>
          <w:p w14:paraId="4C34401F">
            <w:pPr>
              <w:rPr>
                <w:rFonts w:ascii="Arial"/>
                <w:sz w:val="21"/>
              </w:rPr>
            </w:pPr>
          </w:p>
        </w:tc>
        <w:tc>
          <w:tcPr>
            <w:tcW w:w="1133" w:type="dxa"/>
            <w:vAlign w:val="top"/>
          </w:tcPr>
          <w:p w14:paraId="5A916956">
            <w:pPr>
              <w:rPr>
                <w:rFonts w:ascii="Arial"/>
                <w:sz w:val="21"/>
              </w:rPr>
            </w:pPr>
          </w:p>
        </w:tc>
        <w:tc>
          <w:tcPr>
            <w:tcW w:w="4254" w:type="dxa"/>
            <w:tcBorders>
              <w:right w:val="single" w:color="000000" w:sz="10" w:space="0"/>
            </w:tcBorders>
            <w:vAlign w:val="top"/>
          </w:tcPr>
          <w:p w14:paraId="0694F102">
            <w:pPr>
              <w:rPr>
                <w:rFonts w:ascii="Arial"/>
                <w:sz w:val="21"/>
              </w:rPr>
            </w:pPr>
          </w:p>
        </w:tc>
      </w:tr>
      <w:tr w14:paraId="3F53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421A70E0">
            <w:pPr>
              <w:rPr>
                <w:rFonts w:ascii="Arial"/>
                <w:sz w:val="21"/>
              </w:rPr>
            </w:pPr>
          </w:p>
        </w:tc>
        <w:tc>
          <w:tcPr>
            <w:tcW w:w="1415" w:type="dxa"/>
            <w:vAlign w:val="top"/>
          </w:tcPr>
          <w:p w14:paraId="6C4B0546">
            <w:pPr>
              <w:rPr>
                <w:rFonts w:ascii="Arial"/>
                <w:sz w:val="21"/>
              </w:rPr>
            </w:pPr>
          </w:p>
        </w:tc>
        <w:tc>
          <w:tcPr>
            <w:tcW w:w="1130" w:type="dxa"/>
            <w:vAlign w:val="top"/>
          </w:tcPr>
          <w:p w14:paraId="345CD972">
            <w:pPr>
              <w:rPr>
                <w:rFonts w:ascii="Arial"/>
                <w:sz w:val="21"/>
              </w:rPr>
            </w:pPr>
          </w:p>
        </w:tc>
        <w:tc>
          <w:tcPr>
            <w:tcW w:w="1133" w:type="dxa"/>
            <w:vAlign w:val="top"/>
          </w:tcPr>
          <w:p w14:paraId="79B8713A">
            <w:pPr>
              <w:rPr>
                <w:rFonts w:ascii="Arial"/>
                <w:sz w:val="21"/>
              </w:rPr>
            </w:pPr>
          </w:p>
        </w:tc>
        <w:tc>
          <w:tcPr>
            <w:tcW w:w="4254" w:type="dxa"/>
            <w:tcBorders>
              <w:right w:val="single" w:color="000000" w:sz="10" w:space="0"/>
            </w:tcBorders>
            <w:vAlign w:val="top"/>
          </w:tcPr>
          <w:p w14:paraId="02976C7E">
            <w:pPr>
              <w:rPr>
                <w:rFonts w:ascii="Arial"/>
                <w:sz w:val="21"/>
              </w:rPr>
            </w:pPr>
          </w:p>
        </w:tc>
      </w:tr>
      <w:tr w14:paraId="6A443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tcBorders>
            <w:vAlign w:val="top"/>
          </w:tcPr>
          <w:p w14:paraId="0CA1948F">
            <w:pPr>
              <w:rPr>
                <w:rFonts w:ascii="Arial"/>
                <w:sz w:val="21"/>
              </w:rPr>
            </w:pPr>
          </w:p>
        </w:tc>
        <w:tc>
          <w:tcPr>
            <w:tcW w:w="1415" w:type="dxa"/>
            <w:vAlign w:val="top"/>
          </w:tcPr>
          <w:p w14:paraId="55466014">
            <w:pPr>
              <w:rPr>
                <w:rFonts w:ascii="Arial"/>
                <w:sz w:val="21"/>
              </w:rPr>
            </w:pPr>
          </w:p>
        </w:tc>
        <w:tc>
          <w:tcPr>
            <w:tcW w:w="1130" w:type="dxa"/>
            <w:vAlign w:val="top"/>
          </w:tcPr>
          <w:p w14:paraId="4FE3EA97">
            <w:pPr>
              <w:rPr>
                <w:rFonts w:ascii="Arial"/>
                <w:sz w:val="21"/>
              </w:rPr>
            </w:pPr>
          </w:p>
        </w:tc>
        <w:tc>
          <w:tcPr>
            <w:tcW w:w="1133" w:type="dxa"/>
            <w:vAlign w:val="top"/>
          </w:tcPr>
          <w:p w14:paraId="22A1CCE5">
            <w:pPr>
              <w:rPr>
                <w:rFonts w:ascii="Arial"/>
                <w:sz w:val="21"/>
              </w:rPr>
            </w:pPr>
          </w:p>
        </w:tc>
        <w:tc>
          <w:tcPr>
            <w:tcW w:w="4254" w:type="dxa"/>
            <w:tcBorders>
              <w:right w:val="single" w:color="000000" w:sz="10" w:space="0"/>
            </w:tcBorders>
            <w:vAlign w:val="top"/>
          </w:tcPr>
          <w:p w14:paraId="66F180D0">
            <w:pPr>
              <w:rPr>
                <w:rFonts w:ascii="Arial"/>
                <w:sz w:val="21"/>
              </w:rPr>
            </w:pPr>
          </w:p>
        </w:tc>
      </w:tr>
      <w:tr w14:paraId="1C24C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14" w:type="dxa"/>
            <w:gridSpan w:val="5"/>
            <w:tcBorders>
              <w:left w:val="single" w:color="000000" w:sz="10" w:space="0"/>
              <w:right w:val="single" w:color="000000" w:sz="10" w:space="0"/>
            </w:tcBorders>
            <w:vAlign w:val="top"/>
          </w:tcPr>
          <w:p w14:paraId="5CBF14B5">
            <w:pPr>
              <w:pStyle w:val="11"/>
              <w:spacing w:before="176" w:line="221" w:lineRule="auto"/>
              <w:ind w:left="4276"/>
            </w:pPr>
            <w:r>
              <w:rPr>
                <w:spacing w:val="-2"/>
              </w:rPr>
              <w:t>二、现场人员</w:t>
            </w:r>
          </w:p>
        </w:tc>
      </w:tr>
      <w:tr w14:paraId="21A0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35900655">
            <w:pPr>
              <w:pStyle w:val="11"/>
              <w:spacing w:before="179" w:line="221" w:lineRule="auto"/>
              <w:ind w:left="517"/>
            </w:pPr>
            <w:r>
              <w:rPr>
                <w:spacing w:val="-3"/>
              </w:rPr>
              <w:t>项目经理</w:t>
            </w:r>
          </w:p>
        </w:tc>
        <w:tc>
          <w:tcPr>
            <w:tcW w:w="1415" w:type="dxa"/>
            <w:vAlign w:val="top"/>
          </w:tcPr>
          <w:p w14:paraId="0DB5C841">
            <w:pPr>
              <w:rPr>
                <w:rFonts w:ascii="Arial"/>
                <w:sz w:val="21"/>
              </w:rPr>
            </w:pPr>
          </w:p>
        </w:tc>
        <w:tc>
          <w:tcPr>
            <w:tcW w:w="1130" w:type="dxa"/>
            <w:vAlign w:val="top"/>
          </w:tcPr>
          <w:p w14:paraId="3B925038">
            <w:pPr>
              <w:rPr>
                <w:rFonts w:ascii="Arial"/>
                <w:sz w:val="21"/>
              </w:rPr>
            </w:pPr>
          </w:p>
        </w:tc>
        <w:tc>
          <w:tcPr>
            <w:tcW w:w="1133" w:type="dxa"/>
            <w:vAlign w:val="top"/>
          </w:tcPr>
          <w:p w14:paraId="0F86E255">
            <w:pPr>
              <w:rPr>
                <w:rFonts w:ascii="Arial"/>
                <w:sz w:val="21"/>
              </w:rPr>
            </w:pPr>
          </w:p>
        </w:tc>
        <w:tc>
          <w:tcPr>
            <w:tcW w:w="4254" w:type="dxa"/>
            <w:tcBorders>
              <w:right w:val="single" w:color="000000" w:sz="10" w:space="0"/>
            </w:tcBorders>
            <w:vAlign w:val="top"/>
          </w:tcPr>
          <w:p w14:paraId="02D12432">
            <w:pPr>
              <w:rPr>
                <w:rFonts w:ascii="Arial"/>
                <w:sz w:val="21"/>
              </w:rPr>
            </w:pPr>
          </w:p>
        </w:tc>
      </w:tr>
      <w:tr w14:paraId="1397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tcBorders>
              <w:left w:val="single" w:color="000000" w:sz="10" w:space="0"/>
            </w:tcBorders>
            <w:vAlign w:val="top"/>
          </w:tcPr>
          <w:p w14:paraId="57BB5C6F">
            <w:pPr>
              <w:pStyle w:val="11"/>
              <w:spacing w:before="177" w:line="221" w:lineRule="auto"/>
              <w:ind w:left="411"/>
            </w:pPr>
            <w:r>
              <w:rPr>
                <w:spacing w:val="-2"/>
              </w:rPr>
              <w:t>项目副经理</w:t>
            </w:r>
          </w:p>
        </w:tc>
        <w:tc>
          <w:tcPr>
            <w:tcW w:w="1415" w:type="dxa"/>
            <w:vAlign w:val="top"/>
          </w:tcPr>
          <w:p w14:paraId="62BC3E06">
            <w:pPr>
              <w:rPr>
                <w:rFonts w:ascii="Arial"/>
                <w:sz w:val="21"/>
              </w:rPr>
            </w:pPr>
          </w:p>
        </w:tc>
        <w:tc>
          <w:tcPr>
            <w:tcW w:w="1130" w:type="dxa"/>
            <w:vAlign w:val="top"/>
          </w:tcPr>
          <w:p w14:paraId="4E497F96">
            <w:pPr>
              <w:rPr>
                <w:rFonts w:ascii="Arial"/>
                <w:sz w:val="21"/>
              </w:rPr>
            </w:pPr>
          </w:p>
        </w:tc>
        <w:tc>
          <w:tcPr>
            <w:tcW w:w="1133" w:type="dxa"/>
            <w:vAlign w:val="top"/>
          </w:tcPr>
          <w:p w14:paraId="7A44909E">
            <w:pPr>
              <w:rPr>
                <w:rFonts w:ascii="Arial"/>
                <w:sz w:val="21"/>
              </w:rPr>
            </w:pPr>
          </w:p>
        </w:tc>
        <w:tc>
          <w:tcPr>
            <w:tcW w:w="4254" w:type="dxa"/>
            <w:tcBorders>
              <w:right w:val="single" w:color="000000" w:sz="10" w:space="0"/>
            </w:tcBorders>
            <w:vAlign w:val="top"/>
          </w:tcPr>
          <w:p w14:paraId="215951EE">
            <w:pPr>
              <w:rPr>
                <w:rFonts w:ascii="Arial"/>
                <w:sz w:val="21"/>
              </w:rPr>
            </w:pPr>
          </w:p>
        </w:tc>
      </w:tr>
      <w:tr w14:paraId="1931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68EF12E5">
            <w:pPr>
              <w:pStyle w:val="11"/>
              <w:spacing w:before="181" w:line="221" w:lineRule="auto"/>
              <w:ind w:left="409"/>
            </w:pPr>
            <w:r>
              <w:rPr>
                <w:spacing w:val="-2"/>
              </w:rPr>
              <w:t>技术负责人</w:t>
            </w:r>
          </w:p>
        </w:tc>
        <w:tc>
          <w:tcPr>
            <w:tcW w:w="1415" w:type="dxa"/>
            <w:vAlign w:val="top"/>
          </w:tcPr>
          <w:p w14:paraId="38D6E911">
            <w:pPr>
              <w:rPr>
                <w:rFonts w:ascii="Arial"/>
                <w:sz w:val="21"/>
              </w:rPr>
            </w:pPr>
          </w:p>
        </w:tc>
        <w:tc>
          <w:tcPr>
            <w:tcW w:w="1130" w:type="dxa"/>
            <w:vAlign w:val="top"/>
          </w:tcPr>
          <w:p w14:paraId="52538400">
            <w:pPr>
              <w:rPr>
                <w:rFonts w:ascii="Arial"/>
                <w:sz w:val="21"/>
              </w:rPr>
            </w:pPr>
          </w:p>
        </w:tc>
        <w:tc>
          <w:tcPr>
            <w:tcW w:w="1133" w:type="dxa"/>
            <w:vAlign w:val="top"/>
          </w:tcPr>
          <w:p w14:paraId="1768FABA">
            <w:pPr>
              <w:rPr>
                <w:rFonts w:ascii="Arial"/>
                <w:sz w:val="21"/>
              </w:rPr>
            </w:pPr>
          </w:p>
        </w:tc>
        <w:tc>
          <w:tcPr>
            <w:tcW w:w="4254" w:type="dxa"/>
            <w:tcBorders>
              <w:right w:val="single" w:color="000000" w:sz="10" w:space="0"/>
            </w:tcBorders>
            <w:vAlign w:val="top"/>
          </w:tcPr>
          <w:p w14:paraId="2F79C4A0">
            <w:pPr>
              <w:rPr>
                <w:rFonts w:ascii="Arial"/>
                <w:sz w:val="21"/>
              </w:rPr>
            </w:pPr>
          </w:p>
        </w:tc>
      </w:tr>
      <w:tr w14:paraId="62C4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23CA59A4">
            <w:pPr>
              <w:pStyle w:val="11"/>
              <w:spacing w:before="180" w:line="219" w:lineRule="auto"/>
              <w:ind w:left="513"/>
            </w:pPr>
            <w:r>
              <w:rPr>
                <w:spacing w:val="-1"/>
              </w:rPr>
              <w:t>造价管理</w:t>
            </w:r>
          </w:p>
        </w:tc>
        <w:tc>
          <w:tcPr>
            <w:tcW w:w="1415" w:type="dxa"/>
            <w:vAlign w:val="top"/>
          </w:tcPr>
          <w:p w14:paraId="707D4826">
            <w:pPr>
              <w:rPr>
                <w:rFonts w:ascii="Arial"/>
                <w:sz w:val="21"/>
              </w:rPr>
            </w:pPr>
          </w:p>
        </w:tc>
        <w:tc>
          <w:tcPr>
            <w:tcW w:w="1130" w:type="dxa"/>
            <w:vAlign w:val="top"/>
          </w:tcPr>
          <w:p w14:paraId="02DD449B">
            <w:pPr>
              <w:rPr>
                <w:rFonts w:ascii="Arial"/>
                <w:sz w:val="21"/>
              </w:rPr>
            </w:pPr>
          </w:p>
        </w:tc>
        <w:tc>
          <w:tcPr>
            <w:tcW w:w="1133" w:type="dxa"/>
            <w:vAlign w:val="top"/>
          </w:tcPr>
          <w:p w14:paraId="2C3992FA">
            <w:pPr>
              <w:rPr>
                <w:rFonts w:ascii="Arial"/>
                <w:sz w:val="21"/>
              </w:rPr>
            </w:pPr>
          </w:p>
        </w:tc>
        <w:tc>
          <w:tcPr>
            <w:tcW w:w="4254" w:type="dxa"/>
            <w:tcBorders>
              <w:right w:val="single" w:color="000000" w:sz="10" w:space="0"/>
            </w:tcBorders>
            <w:vAlign w:val="top"/>
          </w:tcPr>
          <w:p w14:paraId="2F205CA9">
            <w:pPr>
              <w:rPr>
                <w:rFonts w:ascii="Arial"/>
                <w:sz w:val="21"/>
              </w:rPr>
            </w:pPr>
          </w:p>
        </w:tc>
      </w:tr>
      <w:tr w14:paraId="26EB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tcBorders>
              <w:left w:val="single" w:color="000000" w:sz="10" w:space="0"/>
            </w:tcBorders>
            <w:vAlign w:val="top"/>
          </w:tcPr>
          <w:p w14:paraId="05AEEBB1">
            <w:pPr>
              <w:pStyle w:val="11"/>
              <w:spacing w:before="181" w:line="220" w:lineRule="auto"/>
              <w:ind w:left="514"/>
            </w:pPr>
            <w:r>
              <w:rPr>
                <w:spacing w:val="-2"/>
              </w:rPr>
              <w:t>质量管理</w:t>
            </w:r>
          </w:p>
        </w:tc>
        <w:tc>
          <w:tcPr>
            <w:tcW w:w="1415" w:type="dxa"/>
            <w:vAlign w:val="top"/>
          </w:tcPr>
          <w:p w14:paraId="5DC5A5FF">
            <w:pPr>
              <w:rPr>
                <w:rFonts w:ascii="Arial"/>
                <w:sz w:val="21"/>
              </w:rPr>
            </w:pPr>
          </w:p>
        </w:tc>
        <w:tc>
          <w:tcPr>
            <w:tcW w:w="1130" w:type="dxa"/>
            <w:vAlign w:val="top"/>
          </w:tcPr>
          <w:p w14:paraId="514C502F">
            <w:pPr>
              <w:rPr>
                <w:rFonts w:ascii="Arial"/>
                <w:sz w:val="21"/>
              </w:rPr>
            </w:pPr>
          </w:p>
        </w:tc>
        <w:tc>
          <w:tcPr>
            <w:tcW w:w="1133" w:type="dxa"/>
            <w:vAlign w:val="top"/>
          </w:tcPr>
          <w:p w14:paraId="4E3366E5">
            <w:pPr>
              <w:rPr>
                <w:rFonts w:ascii="Arial"/>
                <w:sz w:val="21"/>
              </w:rPr>
            </w:pPr>
          </w:p>
        </w:tc>
        <w:tc>
          <w:tcPr>
            <w:tcW w:w="4254" w:type="dxa"/>
            <w:tcBorders>
              <w:right w:val="single" w:color="000000" w:sz="10" w:space="0"/>
            </w:tcBorders>
            <w:vAlign w:val="top"/>
          </w:tcPr>
          <w:p w14:paraId="1D868E68">
            <w:pPr>
              <w:rPr>
                <w:rFonts w:ascii="Arial"/>
                <w:sz w:val="21"/>
              </w:rPr>
            </w:pPr>
          </w:p>
        </w:tc>
      </w:tr>
      <w:tr w14:paraId="2DA3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55594D28">
            <w:pPr>
              <w:pStyle w:val="11"/>
              <w:spacing w:before="183" w:line="220" w:lineRule="auto"/>
              <w:ind w:left="514"/>
            </w:pPr>
            <w:r>
              <w:rPr>
                <w:spacing w:val="-2"/>
              </w:rPr>
              <w:t>材料管理</w:t>
            </w:r>
          </w:p>
        </w:tc>
        <w:tc>
          <w:tcPr>
            <w:tcW w:w="1415" w:type="dxa"/>
            <w:vAlign w:val="top"/>
          </w:tcPr>
          <w:p w14:paraId="5F888F45">
            <w:pPr>
              <w:rPr>
                <w:rFonts w:ascii="Arial"/>
                <w:sz w:val="21"/>
              </w:rPr>
            </w:pPr>
          </w:p>
        </w:tc>
        <w:tc>
          <w:tcPr>
            <w:tcW w:w="1130" w:type="dxa"/>
            <w:vAlign w:val="top"/>
          </w:tcPr>
          <w:p w14:paraId="7A865747">
            <w:pPr>
              <w:rPr>
                <w:rFonts w:ascii="Arial"/>
                <w:sz w:val="21"/>
              </w:rPr>
            </w:pPr>
          </w:p>
        </w:tc>
        <w:tc>
          <w:tcPr>
            <w:tcW w:w="1133" w:type="dxa"/>
            <w:vAlign w:val="top"/>
          </w:tcPr>
          <w:p w14:paraId="57ADB3C2">
            <w:pPr>
              <w:rPr>
                <w:rFonts w:ascii="Arial"/>
                <w:sz w:val="21"/>
              </w:rPr>
            </w:pPr>
          </w:p>
        </w:tc>
        <w:tc>
          <w:tcPr>
            <w:tcW w:w="4254" w:type="dxa"/>
            <w:tcBorders>
              <w:right w:val="single" w:color="000000" w:sz="10" w:space="0"/>
            </w:tcBorders>
            <w:vAlign w:val="top"/>
          </w:tcPr>
          <w:p w14:paraId="3AF7FA2D">
            <w:pPr>
              <w:rPr>
                <w:rFonts w:ascii="Arial"/>
                <w:sz w:val="21"/>
              </w:rPr>
            </w:pPr>
          </w:p>
        </w:tc>
      </w:tr>
      <w:tr w14:paraId="0A94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2" w:type="dxa"/>
            <w:tcBorders>
              <w:left w:val="single" w:color="000000" w:sz="10" w:space="0"/>
            </w:tcBorders>
            <w:vAlign w:val="top"/>
          </w:tcPr>
          <w:p w14:paraId="3243CB96">
            <w:pPr>
              <w:pStyle w:val="11"/>
              <w:spacing w:before="183" w:line="219" w:lineRule="auto"/>
              <w:ind w:left="514"/>
            </w:pPr>
            <w:r>
              <w:rPr>
                <w:spacing w:val="-2"/>
              </w:rPr>
              <w:t>计划管理</w:t>
            </w:r>
          </w:p>
        </w:tc>
        <w:tc>
          <w:tcPr>
            <w:tcW w:w="1415" w:type="dxa"/>
            <w:vAlign w:val="top"/>
          </w:tcPr>
          <w:p w14:paraId="63FAB838">
            <w:pPr>
              <w:rPr>
                <w:rFonts w:ascii="Arial"/>
                <w:sz w:val="21"/>
              </w:rPr>
            </w:pPr>
          </w:p>
        </w:tc>
        <w:tc>
          <w:tcPr>
            <w:tcW w:w="1130" w:type="dxa"/>
            <w:vAlign w:val="top"/>
          </w:tcPr>
          <w:p w14:paraId="363CD46C">
            <w:pPr>
              <w:rPr>
                <w:rFonts w:ascii="Arial"/>
                <w:sz w:val="21"/>
              </w:rPr>
            </w:pPr>
          </w:p>
        </w:tc>
        <w:tc>
          <w:tcPr>
            <w:tcW w:w="1133" w:type="dxa"/>
            <w:vAlign w:val="top"/>
          </w:tcPr>
          <w:p w14:paraId="477B2DC9">
            <w:pPr>
              <w:rPr>
                <w:rFonts w:ascii="Arial"/>
                <w:sz w:val="21"/>
              </w:rPr>
            </w:pPr>
          </w:p>
        </w:tc>
        <w:tc>
          <w:tcPr>
            <w:tcW w:w="4254" w:type="dxa"/>
            <w:tcBorders>
              <w:right w:val="single" w:color="000000" w:sz="10" w:space="0"/>
            </w:tcBorders>
            <w:vAlign w:val="top"/>
          </w:tcPr>
          <w:p w14:paraId="4463E64E">
            <w:pPr>
              <w:rPr>
                <w:rFonts w:ascii="Arial"/>
                <w:sz w:val="21"/>
              </w:rPr>
            </w:pPr>
          </w:p>
        </w:tc>
      </w:tr>
      <w:tr w14:paraId="0CA2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0EBC8CD4">
            <w:pPr>
              <w:pStyle w:val="11"/>
              <w:spacing w:before="187" w:line="218" w:lineRule="auto"/>
              <w:ind w:left="518"/>
            </w:pPr>
            <w:r>
              <w:rPr>
                <w:spacing w:val="-3"/>
              </w:rPr>
              <w:t>安全管理</w:t>
            </w:r>
          </w:p>
        </w:tc>
        <w:tc>
          <w:tcPr>
            <w:tcW w:w="1415" w:type="dxa"/>
            <w:vAlign w:val="top"/>
          </w:tcPr>
          <w:p w14:paraId="0342F114">
            <w:pPr>
              <w:rPr>
                <w:rFonts w:ascii="Arial"/>
                <w:sz w:val="21"/>
              </w:rPr>
            </w:pPr>
          </w:p>
        </w:tc>
        <w:tc>
          <w:tcPr>
            <w:tcW w:w="1130" w:type="dxa"/>
            <w:vAlign w:val="top"/>
          </w:tcPr>
          <w:p w14:paraId="4EC9A9DA">
            <w:pPr>
              <w:rPr>
                <w:rFonts w:ascii="Arial"/>
                <w:sz w:val="21"/>
              </w:rPr>
            </w:pPr>
          </w:p>
        </w:tc>
        <w:tc>
          <w:tcPr>
            <w:tcW w:w="1133" w:type="dxa"/>
            <w:vAlign w:val="top"/>
          </w:tcPr>
          <w:p w14:paraId="3375269A">
            <w:pPr>
              <w:rPr>
                <w:rFonts w:ascii="Arial"/>
                <w:sz w:val="21"/>
              </w:rPr>
            </w:pPr>
          </w:p>
        </w:tc>
        <w:tc>
          <w:tcPr>
            <w:tcW w:w="4254" w:type="dxa"/>
            <w:tcBorders>
              <w:right w:val="single" w:color="000000" w:sz="10" w:space="0"/>
            </w:tcBorders>
            <w:vAlign w:val="top"/>
          </w:tcPr>
          <w:p w14:paraId="2AF45C00">
            <w:pPr>
              <w:rPr>
                <w:rFonts w:ascii="Arial"/>
                <w:sz w:val="21"/>
              </w:rPr>
            </w:pPr>
          </w:p>
        </w:tc>
      </w:tr>
      <w:tr w14:paraId="47798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restart"/>
            <w:tcBorders>
              <w:left w:val="single" w:color="000000" w:sz="10" w:space="0"/>
              <w:bottom w:val="nil"/>
            </w:tcBorders>
            <w:vAlign w:val="top"/>
          </w:tcPr>
          <w:p w14:paraId="7F76F9ED">
            <w:pPr>
              <w:spacing w:line="249" w:lineRule="auto"/>
              <w:rPr>
                <w:rFonts w:ascii="Arial"/>
                <w:sz w:val="21"/>
              </w:rPr>
            </w:pPr>
          </w:p>
          <w:p w14:paraId="44A15878">
            <w:pPr>
              <w:spacing w:line="249" w:lineRule="auto"/>
              <w:rPr>
                <w:rFonts w:ascii="Arial"/>
                <w:sz w:val="21"/>
              </w:rPr>
            </w:pPr>
          </w:p>
          <w:p w14:paraId="49669A98">
            <w:pPr>
              <w:spacing w:line="250" w:lineRule="auto"/>
              <w:rPr>
                <w:rFonts w:ascii="Arial"/>
                <w:sz w:val="21"/>
              </w:rPr>
            </w:pPr>
          </w:p>
          <w:p w14:paraId="1965558B">
            <w:pPr>
              <w:spacing w:line="250" w:lineRule="auto"/>
              <w:rPr>
                <w:rFonts w:ascii="Arial"/>
                <w:sz w:val="21"/>
              </w:rPr>
            </w:pPr>
          </w:p>
          <w:p w14:paraId="35C0661F">
            <w:pPr>
              <w:spacing w:line="250" w:lineRule="auto"/>
              <w:rPr>
                <w:rFonts w:ascii="Arial"/>
                <w:sz w:val="21"/>
              </w:rPr>
            </w:pPr>
          </w:p>
          <w:p w14:paraId="58A932A4">
            <w:pPr>
              <w:pStyle w:val="11"/>
              <w:spacing w:before="68" w:line="221" w:lineRule="auto"/>
              <w:ind w:left="514"/>
            </w:pPr>
            <w:r>
              <w:rPr>
                <w:spacing w:val="-2"/>
              </w:rPr>
              <w:t>其他人员</w:t>
            </w:r>
          </w:p>
        </w:tc>
        <w:tc>
          <w:tcPr>
            <w:tcW w:w="1415" w:type="dxa"/>
            <w:vAlign w:val="top"/>
          </w:tcPr>
          <w:p w14:paraId="5DB4487A">
            <w:pPr>
              <w:rPr>
                <w:rFonts w:ascii="Arial"/>
                <w:sz w:val="21"/>
              </w:rPr>
            </w:pPr>
          </w:p>
        </w:tc>
        <w:tc>
          <w:tcPr>
            <w:tcW w:w="1130" w:type="dxa"/>
            <w:vAlign w:val="top"/>
          </w:tcPr>
          <w:p w14:paraId="49C25717">
            <w:pPr>
              <w:rPr>
                <w:rFonts w:ascii="Arial"/>
                <w:sz w:val="21"/>
              </w:rPr>
            </w:pPr>
          </w:p>
        </w:tc>
        <w:tc>
          <w:tcPr>
            <w:tcW w:w="1133" w:type="dxa"/>
            <w:vAlign w:val="top"/>
          </w:tcPr>
          <w:p w14:paraId="007002C2">
            <w:pPr>
              <w:rPr>
                <w:rFonts w:ascii="Arial"/>
                <w:sz w:val="21"/>
              </w:rPr>
            </w:pPr>
          </w:p>
        </w:tc>
        <w:tc>
          <w:tcPr>
            <w:tcW w:w="4254" w:type="dxa"/>
            <w:tcBorders>
              <w:right w:val="single" w:color="000000" w:sz="10" w:space="0"/>
            </w:tcBorders>
            <w:vAlign w:val="top"/>
          </w:tcPr>
          <w:p w14:paraId="0B14C7DF">
            <w:pPr>
              <w:rPr>
                <w:rFonts w:ascii="Arial"/>
                <w:sz w:val="21"/>
              </w:rPr>
            </w:pPr>
          </w:p>
        </w:tc>
      </w:tr>
      <w:tr w14:paraId="292C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49735909">
            <w:pPr>
              <w:rPr>
                <w:rFonts w:ascii="Arial"/>
                <w:sz w:val="21"/>
              </w:rPr>
            </w:pPr>
          </w:p>
        </w:tc>
        <w:tc>
          <w:tcPr>
            <w:tcW w:w="1415" w:type="dxa"/>
            <w:vAlign w:val="top"/>
          </w:tcPr>
          <w:p w14:paraId="3A5CE35F">
            <w:pPr>
              <w:rPr>
                <w:rFonts w:ascii="Arial"/>
                <w:sz w:val="21"/>
              </w:rPr>
            </w:pPr>
          </w:p>
        </w:tc>
        <w:tc>
          <w:tcPr>
            <w:tcW w:w="1130" w:type="dxa"/>
            <w:vAlign w:val="top"/>
          </w:tcPr>
          <w:p w14:paraId="68687426">
            <w:pPr>
              <w:rPr>
                <w:rFonts w:ascii="Arial"/>
                <w:sz w:val="21"/>
              </w:rPr>
            </w:pPr>
          </w:p>
        </w:tc>
        <w:tc>
          <w:tcPr>
            <w:tcW w:w="1133" w:type="dxa"/>
            <w:vAlign w:val="top"/>
          </w:tcPr>
          <w:p w14:paraId="1A1D3EC7">
            <w:pPr>
              <w:rPr>
                <w:rFonts w:ascii="Arial"/>
                <w:sz w:val="21"/>
              </w:rPr>
            </w:pPr>
          </w:p>
        </w:tc>
        <w:tc>
          <w:tcPr>
            <w:tcW w:w="4254" w:type="dxa"/>
            <w:tcBorders>
              <w:right w:val="single" w:color="000000" w:sz="10" w:space="0"/>
            </w:tcBorders>
            <w:vAlign w:val="top"/>
          </w:tcPr>
          <w:p w14:paraId="1D2CF087">
            <w:pPr>
              <w:rPr>
                <w:rFonts w:ascii="Arial"/>
                <w:sz w:val="21"/>
              </w:rPr>
            </w:pPr>
          </w:p>
        </w:tc>
      </w:tr>
      <w:tr w14:paraId="71884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bottom w:val="nil"/>
            </w:tcBorders>
            <w:vAlign w:val="top"/>
          </w:tcPr>
          <w:p w14:paraId="68684CEF">
            <w:pPr>
              <w:rPr>
                <w:rFonts w:ascii="Arial"/>
                <w:sz w:val="21"/>
              </w:rPr>
            </w:pPr>
          </w:p>
        </w:tc>
        <w:tc>
          <w:tcPr>
            <w:tcW w:w="1415" w:type="dxa"/>
            <w:vAlign w:val="top"/>
          </w:tcPr>
          <w:p w14:paraId="49C4C6A1">
            <w:pPr>
              <w:rPr>
                <w:rFonts w:ascii="Arial"/>
                <w:sz w:val="21"/>
              </w:rPr>
            </w:pPr>
          </w:p>
        </w:tc>
        <w:tc>
          <w:tcPr>
            <w:tcW w:w="1130" w:type="dxa"/>
            <w:vAlign w:val="top"/>
          </w:tcPr>
          <w:p w14:paraId="44C5A9C2">
            <w:pPr>
              <w:rPr>
                <w:rFonts w:ascii="Arial"/>
                <w:sz w:val="21"/>
              </w:rPr>
            </w:pPr>
          </w:p>
        </w:tc>
        <w:tc>
          <w:tcPr>
            <w:tcW w:w="1133" w:type="dxa"/>
            <w:vAlign w:val="top"/>
          </w:tcPr>
          <w:p w14:paraId="3B7BDD9B">
            <w:pPr>
              <w:rPr>
                <w:rFonts w:ascii="Arial"/>
                <w:sz w:val="21"/>
              </w:rPr>
            </w:pPr>
          </w:p>
        </w:tc>
        <w:tc>
          <w:tcPr>
            <w:tcW w:w="4254" w:type="dxa"/>
            <w:tcBorders>
              <w:right w:val="single" w:color="000000" w:sz="10" w:space="0"/>
            </w:tcBorders>
            <w:vAlign w:val="top"/>
          </w:tcPr>
          <w:p w14:paraId="76783979">
            <w:pPr>
              <w:rPr>
                <w:rFonts w:ascii="Arial"/>
                <w:sz w:val="21"/>
              </w:rPr>
            </w:pPr>
          </w:p>
        </w:tc>
      </w:tr>
      <w:tr w14:paraId="3449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324C888E">
            <w:pPr>
              <w:rPr>
                <w:rFonts w:ascii="Arial"/>
                <w:sz w:val="21"/>
              </w:rPr>
            </w:pPr>
          </w:p>
        </w:tc>
        <w:tc>
          <w:tcPr>
            <w:tcW w:w="1415" w:type="dxa"/>
            <w:vAlign w:val="top"/>
          </w:tcPr>
          <w:p w14:paraId="5A539141">
            <w:pPr>
              <w:rPr>
                <w:rFonts w:ascii="Arial"/>
                <w:sz w:val="21"/>
              </w:rPr>
            </w:pPr>
          </w:p>
        </w:tc>
        <w:tc>
          <w:tcPr>
            <w:tcW w:w="1130" w:type="dxa"/>
            <w:vAlign w:val="top"/>
          </w:tcPr>
          <w:p w14:paraId="7FCC8057">
            <w:pPr>
              <w:rPr>
                <w:rFonts w:ascii="Arial"/>
                <w:sz w:val="21"/>
              </w:rPr>
            </w:pPr>
          </w:p>
        </w:tc>
        <w:tc>
          <w:tcPr>
            <w:tcW w:w="1133" w:type="dxa"/>
            <w:vAlign w:val="top"/>
          </w:tcPr>
          <w:p w14:paraId="31F23EA8">
            <w:pPr>
              <w:rPr>
                <w:rFonts w:ascii="Arial"/>
                <w:sz w:val="21"/>
              </w:rPr>
            </w:pPr>
          </w:p>
        </w:tc>
        <w:tc>
          <w:tcPr>
            <w:tcW w:w="4254" w:type="dxa"/>
            <w:tcBorders>
              <w:right w:val="single" w:color="000000" w:sz="10" w:space="0"/>
            </w:tcBorders>
            <w:vAlign w:val="top"/>
          </w:tcPr>
          <w:p w14:paraId="5DB02B3D">
            <w:pPr>
              <w:rPr>
                <w:rFonts w:ascii="Arial"/>
                <w:sz w:val="21"/>
              </w:rPr>
            </w:pPr>
          </w:p>
        </w:tc>
      </w:tr>
      <w:tr w14:paraId="7608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bottom w:val="nil"/>
            </w:tcBorders>
            <w:vAlign w:val="top"/>
          </w:tcPr>
          <w:p w14:paraId="05F7D56F">
            <w:pPr>
              <w:rPr>
                <w:rFonts w:ascii="Arial"/>
                <w:sz w:val="21"/>
              </w:rPr>
            </w:pPr>
          </w:p>
        </w:tc>
        <w:tc>
          <w:tcPr>
            <w:tcW w:w="1415" w:type="dxa"/>
            <w:vAlign w:val="top"/>
          </w:tcPr>
          <w:p w14:paraId="2B6DEC88">
            <w:pPr>
              <w:rPr>
                <w:rFonts w:ascii="Arial"/>
                <w:sz w:val="21"/>
              </w:rPr>
            </w:pPr>
          </w:p>
        </w:tc>
        <w:tc>
          <w:tcPr>
            <w:tcW w:w="1130" w:type="dxa"/>
            <w:vAlign w:val="top"/>
          </w:tcPr>
          <w:p w14:paraId="0928465C">
            <w:pPr>
              <w:rPr>
                <w:rFonts w:ascii="Arial"/>
                <w:sz w:val="21"/>
              </w:rPr>
            </w:pPr>
          </w:p>
        </w:tc>
        <w:tc>
          <w:tcPr>
            <w:tcW w:w="1133" w:type="dxa"/>
            <w:vAlign w:val="top"/>
          </w:tcPr>
          <w:p w14:paraId="57C19F7A">
            <w:pPr>
              <w:rPr>
                <w:rFonts w:ascii="Arial"/>
                <w:sz w:val="21"/>
              </w:rPr>
            </w:pPr>
          </w:p>
        </w:tc>
        <w:tc>
          <w:tcPr>
            <w:tcW w:w="4254" w:type="dxa"/>
            <w:tcBorders>
              <w:right w:val="single" w:color="000000" w:sz="10" w:space="0"/>
            </w:tcBorders>
            <w:vAlign w:val="top"/>
          </w:tcPr>
          <w:p w14:paraId="7ECD1832">
            <w:pPr>
              <w:rPr>
                <w:rFonts w:ascii="Arial"/>
                <w:sz w:val="21"/>
              </w:rPr>
            </w:pPr>
          </w:p>
        </w:tc>
      </w:tr>
      <w:tr w14:paraId="2DD4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2" w:type="dxa"/>
            <w:vMerge w:val="continue"/>
            <w:tcBorders>
              <w:top w:val="nil"/>
              <w:left w:val="single" w:color="000000" w:sz="10" w:space="0"/>
              <w:bottom w:val="single" w:color="000000" w:sz="10" w:space="0"/>
            </w:tcBorders>
            <w:vAlign w:val="top"/>
          </w:tcPr>
          <w:p w14:paraId="774B8DE4">
            <w:pPr>
              <w:rPr>
                <w:rFonts w:ascii="Arial"/>
                <w:sz w:val="21"/>
              </w:rPr>
            </w:pPr>
          </w:p>
        </w:tc>
        <w:tc>
          <w:tcPr>
            <w:tcW w:w="1415" w:type="dxa"/>
            <w:tcBorders>
              <w:bottom w:val="single" w:color="000000" w:sz="10" w:space="0"/>
            </w:tcBorders>
            <w:vAlign w:val="top"/>
          </w:tcPr>
          <w:p w14:paraId="396D0F56">
            <w:pPr>
              <w:rPr>
                <w:rFonts w:ascii="Arial"/>
                <w:sz w:val="21"/>
              </w:rPr>
            </w:pPr>
          </w:p>
        </w:tc>
        <w:tc>
          <w:tcPr>
            <w:tcW w:w="1130" w:type="dxa"/>
            <w:tcBorders>
              <w:bottom w:val="single" w:color="000000" w:sz="10" w:space="0"/>
            </w:tcBorders>
            <w:vAlign w:val="top"/>
          </w:tcPr>
          <w:p w14:paraId="2AD59E54">
            <w:pPr>
              <w:rPr>
                <w:rFonts w:ascii="Arial"/>
                <w:sz w:val="21"/>
              </w:rPr>
            </w:pPr>
          </w:p>
        </w:tc>
        <w:tc>
          <w:tcPr>
            <w:tcW w:w="1133" w:type="dxa"/>
            <w:tcBorders>
              <w:bottom w:val="single" w:color="000000" w:sz="10" w:space="0"/>
            </w:tcBorders>
            <w:vAlign w:val="top"/>
          </w:tcPr>
          <w:p w14:paraId="7851FC16">
            <w:pPr>
              <w:rPr>
                <w:rFonts w:ascii="Arial"/>
                <w:sz w:val="21"/>
              </w:rPr>
            </w:pPr>
          </w:p>
        </w:tc>
        <w:tc>
          <w:tcPr>
            <w:tcW w:w="4254" w:type="dxa"/>
            <w:tcBorders>
              <w:bottom w:val="single" w:color="000000" w:sz="10" w:space="0"/>
              <w:right w:val="single" w:color="000000" w:sz="10" w:space="0"/>
            </w:tcBorders>
            <w:vAlign w:val="top"/>
          </w:tcPr>
          <w:p w14:paraId="2803F59E">
            <w:pPr>
              <w:rPr>
                <w:rFonts w:ascii="Arial"/>
                <w:sz w:val="21"/>
              </w:rPr>
            </w:pPr>
          </w:p>
        </w:tc>
      </w:tr>
    </w:tbl>
    <w:p w14:paraId="27D3B60D">
      <w:pPr>
        <w:pStyle w:val="5"/>
      </w:pPr>
    </w:p>
    <w:p w14:paraId="0E013CC3">
      <w:pPr>
        <w:sectPr>
          <w:footerReference r:id="rId139" w:type="default"/>
          <w:pgSz w:w="11905" w:h="16843"/>
          <w:pgMar w:top="969" w:right="1355" w:bottom="1026" w:left="1480" w:header="0" w:footer="754" w:gutter="0"/>
          <w:cols w:space="0" w:num="1"/>
          <w:rtlGutter w:val="0"/>
          <w:docGrid w:linePitch="0" w:charSpace="0"/>
        </w:sectPr>
      </w:pPr>
    </w:p>
    <w:p w14:paraId="27137CE3">
      <w:pPr>
        <w:pStyle w:val="5"/>
        <w:spacing w:line="272" w:lineRule="auto"/>
      </w:pPr>
    </w:p>
    <w:p w14:paraId="221EB554">
      <w:pPr>
        <w:pStyle w:val="5"/>
        <w:spacing w:line="272" w:lineRule="auto"/>
      </w:pPr>
    </w:p>
    <w:p w14:paraId="13D6EAAE">
      <w:pPr>
        <w:pStyle w:val="5"/>
        <w:spacing w:line="272" w:lineRule="auto"/>
      </w:pPr>
    </w:p>
    <w:p w14:paraId="207C39B7">
      <w:pPr>
        <w:pStyle w:val="5"/>
        <w:spacing w:line="272" w:lineRule="auto"/>
      </w:pPr>
    </w:p>
    <w:p w14:paraId="080CBCFA">
      <w:pPr>
        <w:pStyle w:val="5"/>
        <w:spacing w:line="273" w:lineRule="auto"/>
      </w:pPr>
    </w:p>
    <w:p w14:paraId="07FEAA13">
      <w:pPr>
        <w:spacing w:before="78" w:line="219" w:lineRule="auto"/>
        <w:ind w:left="496"/>
        <w:rPr>
          <w:rFonts w:ascii="宋体" w:hAnsi="宋体" w:eastAsia="宋体" w:cs="宋体"/>
          <w:sz w:val="24"/>
          <w:szCs w:val="24"/>
        </w:rPr>
      </w:pPr>
      <w:bookmarkStart w:id="1232" w:name="bookmark598"/>
      <w:bookmarkEnd w:id="1232"/>
      <w:r>
        <w:rPr>
          <w:rFonts w:ascii="宋体" w:hAnsi="宋体" w:eastAsia="宋体" w:cs="宋体"/>
          <w:spacing w:val="-11"/>
          <w:sz w:val="24"/>
          <w:szCs w:val="24"/>
        </w:rPr>
        <w:t>附件</w:t>
      </w:r>
      <w:r>
        <w:rPr>
          <w:rFonts w:ascii="宋体" w:hAnsi="宋体" w:eastAsia="宋体" w:cs="宋体"/>
          <w:spacing w:val="-45"/>
          <w:sz w:val="24"/>
          <w:szCs w:val="24"/>
        </w:rPr>
        <w:t xml:space="preserve"> </w:t>
      </w:r>
      <w:r>
        <w:rPr>
          <w:rFonts w:ascii="宋体" w:hAnsi="宋体" w:eastAsia="宋体" w:cs="宋体"/>
          <w:spacing w:val="-11"/>
          <w:sz w:val="24"/>
          <w:szCs w:val="24"/>
        </w:rPr>
        <w:t>7：</w:t>
      </w:r>
    </w:p>
    <w:p w14:paraId="6EB98B5C">
      <w:pPr>
        <w:spacing w:before="239" w:line="219" w:lineRule="auto"/>
        <w:ind w:left="3256"/>
        <w:rPr>
          <w:rFonts w:ascii="黑体" w:hAnsi="黑体" w:eastAsia="黑体" w:cs="黑体"/>
          <w:sz w:val="28"/>
          <w:szCs w:val="28"/>
        </w:rPr>
      </w:pPr>
      <w:r>
        <w:rPr>
          <w:rFonts w:ascii="黑体" w:hAnsi="黑体" w:eastAsia="黑体" w:cs="黑体"/>
          <w:spacing w:val="-2"/>
          <w:sz w:val="28"/>
          <w:szCs w:val="28"/>
        </w:rPr>
        <w:t>分包人主要施工管理人员表</w:t>
      </w:r>
    </w:p>
    <w:p w14:paraId="13F7667B">
      <w:pPr>
        <w:spacing w:line="116" w:lineRule="exact"/>
      </w:pPr>
    </w:p>
    <w:tbl>
      <w:tblPr>
        <w:tblStyle w:val="10"/>
        <w:tblW w:w="981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415"/>
        <w:gridCol w:w="1130"/>
        <w:gridCol w:w="1133"/>
        <w:gridCol w:w="4254"/>
      </w:tblGrid>
      <w:tr w14:paraId="110D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882" w:type="dxa"/>
            <w:tcBorders>
              <w:top w:val="single" w:color="000000" w:sz="10" w:space="0"/>
              <w:left w:val="single" w:color="000000" w:sz="10" w:space="0"/>
            </w:tcBorders>
            <w:vAlign w:val="top"/>
          </w:tcPr>
          <w:p w14:paraId="5CAD7081">
            <w:pPr>
              <w:pStyle w:val="11"/>
              <w:spacing w:before="177" w:line="223" w:lineRule="auto"/>
              <w:ind w:left="516"/>
            </w:pPr>
            <w:r>
              <w:rPr>
                <w:spacing w:val="-5"/>
              </w:rPr>
              <w:t>名</w:t>
            </w:r>
            <w:r>
              <w:rPr>
                <w:spacing w:val="1"/>
              </w:rPr>
              <w:t xml:space="preserve">    </w:t>
            </w:r>
            <w:r>
              <w:rPr>
                <w:spacing w:val="-5"/>
              </w:rPr>
              <w:t>称</w:t>
            </w:r>
          </w:p>
        </w:tc>
        <w:tc>
          <w:tcPr>
            <w:tcW w:w="1415" w:type="dxa"/>
            <w:tcBorders>
              <w:top w:val="single" w:color="000000" w:sz="10" w:space="0"/>
            </w:tcBorders>
            <w:vAlign w:val="top"/>
          </w:tcPr>
          <w:p w14:paraId="7C4CFCC2">
            <w:pPr>
              <w:pStyle w:val="11"/>
              <w:spacing w:before="177" w:line="221" w:lineRule="auto"/>
              <w:ind w:left="492"/>
            </w:pPr>
            <w:r>
              <w:rPr>
                <w:spacing w:val="-2"/>
              </w:rPr>
              <w:t>姓名</w:t>
            </w:r>
          </w:p>
        </w:tc>
        <w:tc>
          <w:tcPr>
            <w:tcW w:w="1130" w:type="dxa"/>
            <w:tcBorders>
              <w:top w:val="single" w:color="000000" w:sz="10" w:space="0"/>
            </w:tcBorders>
            <w:vAlign w:val="top"/>
          </w:tcPr>
          <w:p w14:paraId="125BCC5D">
            <w:pPr>
              <w:pStyle w:val="11"/>
              <w:spacing w:before="177" w:line="221" w:lineRule="auto"/>
              <w:ind w:left="355"/>
            </w:pPr>
            <w:r>
              <w:rPr>
                <w:spacing w:val="-2"/>
              </w:rPr>
              <w:t>职务</w:t>
            </w:r>
          </w:p>
        </w:tc>
        <w:tc>
          <w:tcPr>
            <w:tcW w:w="1133" w:type="dxa"/>
            <w:tcBorders>
              <w:top w:val="single" w:color="000000" w:sz="10" w:space="0"/>
            </w:tcBorders>
            <w:vAlign w:val="top"/>
          </w:tcPr>
          <w:p w14:paraId="7312C96E">
            <w:pPr>
              <w:pStyle w:val="11"/>
              <w:spacing w:before="177" w:line="223" w:lineRule="auto"/>
              <w:ind w:left="360"/>
            </w:pPr>
            <w:r>
              <w:rPr>
                <w:spacing w:val="-2"/>
              </w:rPr>
              <w:t>职称</w:t>
            </w:r>
          </w:p>
        </w:tc>
        <w:tc>
          <w:tcPr>
            <w:tcW w:w="4254" w:type="dxa"/>
            <w:tcBorders>
              <w:top w:val="single" w:color="000000" w:sz="10" w:space="0"/>
              <w:right w:val="single" w:color="000000" w:sz="10" w:space="0"/>
            </w:tcBorders>
            <w:vAlign w:val="top"/>
          </w:tcPr>
          <w:p w14:paraId="343A2076">
            <w:pPr>
              <w:pStyle w:val="11"/>
              <w:spacing w:before="177" w:line="221" w:lineRule="auto"/>
              <w:ind w:left="659"/>
            </w:pPr>
            <w:r>
              <w:rPr>
                <w:spacing w:val="-1"/>
              </w:rPr>
              <w:t>主要资历、经验及承担过的项目</w:t>
            </w:r>
          </w:p>
        </w:tc>
      </w:tr>
      <w:tr w14:paraId="7339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14" w:type="dxa"/>
            <w:gridSpan w:val="5"/>
            <w:tcBorders>
              <w:left w:val="single" w:color="000000" w:sz="10" w:space="0"/>
              <w:right w:val="single" w:color="000000" w:sz="10" w:space="0"/>
            </w:tcBorders>
            <w:vAlign w:val="top"/>
          </w:tcPr>
          <w:p w14:paraId="11608962">
            <w:pPr>
              <w:pStyle w:val="11"/>
              <w:spacing w:before="200" w:line="221" w:lineRule="auto"/>
              <w:ind w:left="4276"/>
            </w:pPr>
            <w:r>
              <w:rPr>
                <w:spacing w:val="-2"/>
              </w:rPr>
              <w:t>一、总部人员</w:t>
            </w:r>
          </w:p>
        </w:tc>
      </w:tr>
      <w:tr w14:paraId="17811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45A1A23A">
            <w:pPr>
              <w:pStyle w:val="11"/>
              <w:spacing w:before="172" w:line="221" w:lineRule="auto"/>
              <w:ind w:left="517"/>
            </w:pPr>
            <w:r>
              <w:rPr>
                <w:spacing w:val="-3"/>
              </w:rPr>
              <w:t>项目主管</w:t>
            </w:r>
          </w:p>
        </w:tc>
        <w:tc>
          <w:tcPr>
            <w:tcW w:w="1415" w:type="dxa"/>
            <w:vAlign w:val="top"/>
          </w:tcPr>
          <w:p w14:paraId="53127E14">
            <w:pPr>
              <w:rPr>
                <w:rFonts w:ascii="Arial"/>
                <w:sz w:val="21"/>
              </w:rPr>
            </w:pPr>
          </w:p>
        </w:tc>
        <w:tc>
          <w:tcPr>
            <w:tcW w:w="1130" w:type="dxa"/>
            <w:vAlign w:val="top"/>
          </w:tcPr>
          <w:p w14:paraId="580BDAD5">
            <w:pPr>
              <w:rPr>
                <w:rFonts w:ascii="Arial"/>
                <w:sz w:val="21"/>
              </w:rPr>
            </w:pPr>
          </w:p>
        </w:tc>
        <w:tc>
          <w:tcPr>
            <w:tcW w:w="1133" w:type="dxa"/>
            <w:vAlign w:val="top"/>
          </w:tcPr>
          <w:p w14:paraId="3525B612">
            <w:pPr>
              <w:rPr>
                <w:rFonts w:ascii="Arial"/>
                <w:sz w:val="21"/>
              </w:rPr>
            </w:pPr>
          </w:p>
        </w:tc>
        <w:tc>
          <w:tcPr>
            <w:tcW w:w="4254" w:type="dxa"/>
            <w:tcBorders>
              <w:right w:val="single" w:color="000000" w:sz="10" w:space="0"/>
            </w:tcBorders>
            <w:vAlign w:val="top"/>
          </w:tcPr>
          <w:p w14:paraId="72F7D8B6">
            <w:pPr>
              <w:rPr>
                <w:rFonts w:ascii="Arial"/>
                <w:sz w:val="21"/>
              </w:rPr>
            </w:pPr>
          </w:p>
        </w:tc>
      </w:tr>
      <w:tr w14:paraId="3622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restart"/>
            <w:tcBorders>
              <w:left w:val="single" w:color="000000" w:sz="10" w:space="0"/>
              <w:bottom w:val="nil"/>
            </w:tcBorders>
            <w:vAlign w:val="top"/>
          </w:tcPr>
          <w:p w14:paraId="3EB15D68">
            <w:pPr>
              <w:spacing w:line="278" w:lineRule="auto"/>
              <w:rPr>
                <w:rFonts w:ascii="Arial"/>
                <w:sz w:val="21"/>
              </w:rPr>
            </w:pPr>
          </w:p>
          <w:p w14:paraId="07ABE054">
            <w:pPr>
              <w:spacing w:line="279" w:lineRule="auto"/>
              <w:rPr>
                <w:rFonts w:ascii="Arial"/>
                <w:sz w:val="21"/>
              </w:rPr>
            </w:pPr>
          </w:p>
          <w:p w14:paraId="743F707F">
            <w:pPr>
              <w:pStyle w:val="11"/>
              <w:spacing w:before="68" w:line="221" w:lineRule="auto"/>
              <w:ind w:left="514"/>
            </w:pPr>
            <w:r>
              <w:rPr>
                <w:spacing w:val="-2"/>
              </w:rPr>
              <w:t>其他人员</w:t>
            </w:r>
          </w:p>
        </w:tc>
        <w:tc>
          <w:tcPr>
            <w:tcW w:w="1415" w:type="dxa"/>
            <w:vAlign w:val="top"/>
          </w:tcPr>
          <w:p w14:paraId="4DBA5200">
            <w:pPr>
              <w:rPr>
                <w:rFonts w:ascii="Arial"/>
                <w:sz w:val="21"/>
              </w:rPr>
            </w:pPr>
          </w:p>
        </w:tc>
        <w:tc>
          <w:tcPr>
            <w:tcW w:w="1130" w:type="dxa"/>
            <w:vAlign w:val="top"/>
          </w:tcPr>
          <w:p w14:paraId="2A1D3C9D">
            <w:pPr>
              <w:rPr>
                <w:rFonts w:ascii="Arial"/>
                <w:sz w:val="21"/>
              </w:rPr>
            </w:pPr>
          </w:p>
        </w:tc>
        <w:tc>
          <w:tcPr>
            <w:tcW w:w="1133" w:type="dxa"/>
            <w:vAlign w:val="top"/>
          </w:tcPr>
          <w:p w14:paraId="52F5677E">
            <w:pPr>
              <w:rPr>
                <w:rFonts w:ascii="Arial"/>
                <w:sz w:val="21"/>
              </w:rPr>
            </w:pPr>
          </w:p>
        </w:tc>
        <w:tc>
          <w:tcPr>
            <w:tcW w:w="4254" w:type="dxa"/>
            <w:tcBorders>
              <w:right w:val="single" w:color="000000" w:sz="10" w:space="0"/>
            </w:tcBorders>
            <w:vAlign w:val="top"/>
          </w:tcPr>
          <w:p w14:paraId="2BDBF354">
            <w:pPr>
              <w:rPr>
                <w:rFonts w:ascii="Arial"/>
                <w:sz w:val="21"/>
              </w:rPr>
            </w:pPr>
          </w:p>
        </w:tc>
      </w:tr>
      <w:tr w14:paraId="228B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52B2CA7D">
            <w:pPr>
              <w:rPr>
                <w:rFonts w:ascii="Arial"/>
                <w:sz w:val="21"/>
              </w:rPr>
            </w:pPr>
          </w:p>
        </w:tc>
        <w:tc>
          <w:tcPr>
            <w:tcW w:w="1415" w:type="dxa"/>
            <w:vAlign w:val="top"/>
          </w:tcPr>
          <w:p w14:paraId="3D50ED71">
            <w:pPr>
              <w:rPr>
                <w:rFonts w:ascii="Arial"/>
                <w:sz w:val="21"/>
              </w:rPr>
            </w:pPr>
          </w:p>
        </w:tc>
        <w:tc>
          <w:tcPr>
            <w:tcW w:w="1130" w:type="dxa"/>
            <w:vAlign w:val="top"/>
          </w:tcPr>
          <w:p w14:paraId="4BA3ED95">
            <w:pPr>
              <w:rPr>
                <w:rFonts w:ascii="Arial"/>
                <w:sz w:val="21"/>
              </w:rPr>
            </w:pPr>
          </w:p>
        </w:tc>
        <w:tc>
          <w:tcPr>
            <w:tcW w:w="1133" w:type="dxa"/>
            <w:vAlign w:val="top"/>
          </w:tcPr>
          <w:p w14:paraId="02A0521C">
            <w:pPr>
              <w:rPr>
                <w:rFonts w:ascii="Arial"/>
                <w:sz w:val="21"/>
              </w:rPr>
            </w:pPr>
          </w:p>
        </w:tc>
        <w:tc>
          <w:tcPr>
            <w:tcW w:w="4254" w:type="dxa"/>
            <w:tcBorders>
              <w:right w:val="single" w:color="000000" w:sz="10" w:space="0"/>
            </w:tcBorders>
            <w:vAlign w:val="top"/>
          </w:tcPr>
          <w:p w14:paraId="2560AD30">
            <w:pPr>
              <w:rPr>
                <w:rFonts w:ascii="Arial"/>
                <w:sz w:val="21"/>
              </w:rPr>
            </w:pPr>
          </w:p>
        </w:tc>
      </w:tr>
      <w:tr w14:paraId="5B5F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tcBorders>
            <w:vAlign w:val="top"/>
          </w:tcPr>
          <w:p w14:paraId="17C7F818">
            <w:pPr>
              <w:rPr>
                <w:rFonts w:ascii="Arial"/>
                <w:sz w:val="21"/>
              </w:rPr>
            </w:pPr>
          </w:p>
        </w:tc>
        <w:tc>
          <w:tcPr>
            <w:tcW w:w="1415" w:type="dxa"/>
            <w:vAlign w:val="top"/>
          </w:tcPr>
          <w:p w14:paraId="2814B102">
            <w:pPr>
              <w:rPr>
                <w:rFonts w:ascii="Arial"/>
                <w:sz w:val="21"/>
              </w:rPr>
            </w:pPr>
          </w:p>
        </w:tc>
        <w:tc>
          <w:tcPr>
            <w:tcW w:w="1130" w:type="dxa"/>
            <w:vAlign w:val="top"/>
          </w:tcPr>
          <w:p w14:paraId="7EA47F00">
            <w:pPr>
              <w:rPr>
                <w:rFonts w:ascii="Arial"/>
                <w:sz w:val="21"/>
              </w:rPr>
            </w:pPr>
          </w:p>
        </w:tc>
        <w:tc>
          <w:tcPr>
            <w:tcW w:w="1133" w:type="dxa"/>
            <w:vAlign w:val="top"/>
          </w:tcPr>
          <w:p w14:paraId="4C949765">
            <w:pPr>
              <w:rPr>
                <w:rFonts w:ascii="Arial"/>
                <w:sz w:val="21"/>
              </w:rPr>
            </w:pPr>
          </w:p>
        </w:tc>
        <w:tc>
          <w:tcPr>
            <w:tcW w:w="4254" w:type="dxa"/>
            <w:tcBorders>
              <w:right w:val="single" w:color="000000" w:sz="10" w:space="0"/>
            </w:tcBorders>
            <w:vAlign w:val="top"/>
          </w:tcPr>
          <w:p w14:paraId="1A4C6550">
            <w:pPr>
              <w:rPr>
                <w:rFonts w:ascii="Arial"/>
                <w:sz w:val="21"/>
              </w:rPr>
            </w:pPr>
          </w:p>
        </w:tc>
      </w:tr>
      <w:tr w14:paraId="2748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14" w:type="dxa"/>
            <w:gridSpan w:val="5"/>
            <w:tcBorders>
              <w:left w:val="single" w:color="000000" w:sz="10" w:space="0"/>
              <w:right w:val="single" w:color="000000" w:sz="10" w:space="0"/>
            </w:tcBorders>
            <w:vAlign w:val="top"/>
          </w:tcPr>
          <w:p w14:paraId="7058F8C1">
            <w:pPr>
              <w:pStyle w:val="11"/>
              <w:spacing w:before="176" w:line="221" w:lineRule="auto"/>
              <w:ind w:left="4276"/>
            </w:pPr>
            <w:r>
              <w:rPr>
                <w:spacing w:val="-2"/>
              </w:rPr>
              <w:t>二、现场人员</w:t>
            </w:r>
          </w:p>
        </w:tc>
      </w:tr>
      <w:tr w14:paraId="59074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29F80967">
            <w:pPr>
              <w:pStyle w:val="11"/>
              <w:spacing w:before="179" w:line="221" w:lineRule="auto"/>
              <w:ind w:left="517"/>
            </w:pPr>
            <w:r>
              <w:rPr>
                <w:spacing w:val="-3"/>
              </w:rPr>
              <w:t>项目经理</w:t>
            </w:r>
          </w:p>
        </w:tc>
        <w:tc>
          <w:tcPr>
            <w:tcW w:w="1415" w:type="dxa"/>
            <w:vAlign w:val="top"/>
          </w:tcPr>
          <w:p w14:paraId="77415DE8">
            <w:pPr>
              <w:rPr>
                <w:rFonts w:ascii="Arial"/>
                <w:sz w:val="21"/>
              </w:rPr>
            </w:pPr>
          </w:p>
        </w:tc>
        <w:tc>
          <w:tcPr>
            <w:tcW w:w="1130" w:type="dxa"/>
            <w:vAlign w:val="top"/>
          </w:tcPr>
          <w:p w14:paraId="528311B4">
            <w:pPr>
              <w:rPr>
                <w:rFonts w:ascii="Arial"/>
                <w:sz w:val="21"/>
              </w:rPr>
            </w:pPr>
          </w:p>
        </w:tc>
        <w:tc>
          <w:tcPr>
            <w:tcW w:w="1133" w:type="dxa"/>
            <w:vAlign w:val="top"/>
          </w:tcPr>
          <w:p w14:paraId="24B31390">
            <w:pPr>
              <w:rPr>
                <w:rFonts w:ascii="Arial"/>
                <w:sz w:val="21"/>
              </w:rPr>
            </w:pPr>
          </w:p>
        </w:tc>
        <w:tc>
          <w:tcPr>
            <w:tcW w:w="4254" w:type="dxa"/>
            <w:tcBorders>
              <w:right w:val="single" w:color="000000" w:sz="10" w:space="0"/>
            </w:tcBorders>
            <w:vAlign w:val="top"/>
          </w:tcPr>
          <w:p w14:paraId="3D660D4A">
            <w:pPr>
              <w:rPr>
                <w:rFonts w:ascii="Arial"/>
                <w:sz w:val="21"/>
              </w:rPr>
            </w:pPr>
          </w:p>
        </w:tc>
      </w:tr>
      <w:tr w14:paraId="04EC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tcBorders>
              <w:left w:val="single" w:color="000000" w:sz="10" w:space="0"/>
            </w:tcBorders>
            <w:vAlign w:val="top"/>
          </w:tcPr>
          <w:p w14:paraId="5635CCF1">
            <w:pPr>
              <w:pStyle w:val="11"/>
              <w:spacing w:before="177" w:line="221" w:lineRule="auto"/>
              <w:ind w:left="411"/>
            </w:pPr>
            <w:r>
              <w:rPr>
                <w:spacing w:val="-2"/>
              </w:rPr>
              <w:t>项目副经理</w:t>
            </w:r>
          </w:p>
        </w:tc>
        <w:tc>
          <w:tcPr>
            <w:tcW w:w="1415" w:type="dxa"/>
            <w:vAlign w:val="top"/>
          </w:tcPr>
          <w:p w14:paraId="0BEA3FBC">
            <w:pPr>
              <w:rPr>
                <w:rFonts w:ascii="Arial"/>
                <w:sz w:val="21"/>
              </w:rPr>
            </w:pPr>
          </w:p>
        </w:tc>
        <w:tc>
          <w:tcPr>
            <w:tcW w:w="1130" w:type="dxa"/>
            <w:vAlign w:val="top"/>
          </w:tcPr>
          <w:p w14:paraId="778AEC37">
            <w:pPr>
              <w:rPr>
                <w:rFonts w:ascii="Arial"/>
                <w:sz w:val="21"/>
              </w:rPr>
            </w:pPr>
          </w:p>
        </w:tc>
        <w:tc>
          <w:tcPr>
            <w:tcW w:w="1133" w:type="dxa"/>
            <w:vAlign w:val="top"/>
          </w:tcPr>
          <w:p w14:paraId="00751A2C">
            <w:pPr>
              <w:rPr>
                <w:rFonts w:ascii="Arial"/>
                <w:sz w:val="21"/>
              </w:rPr>
            </w:pPr>
          </w:p>
        </w:tc>
        <w:tc>
          <w:tcPr>
            <w:tcW w:w="4254" w:type="dxa"/>
            <w:tcBorders>
              <w:right w:val="single" w:color="000000" w:sz="10" w:space="0"/>
            </w:tcBorders>
            <w:vAlign w:val="top"/>
          </w:tcPr>
          <w:p w14:paraId="2CD9F4DC">
            <w:pPr>
              <w:rPr>
                <w:rFonts w:ascii="Arial"/>
                <w:sz w:val="21"/>
              </w:rPr>
            </w:pPr>
          </w:p>
        </w:tc>
      </w:tr>
      <w:tr w14:paraId="400C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2A5988D4">
            <w:pPr>
              <w:pStyle w:val="11"/>
              <w:spacing w:before="181" w:line="221" w:lineRule="auto"/>
              <w:ind w:left="409"/>
            </w:pPr>
            <w:r>
              <w:rPr>
                <w:spacing w:val="-2"/>
              </w:rPr>
              <w:t>技术负责人</w:t>
            </w:r>
          </w:p>
        </w:tc>
        <w:tc>
          <w:tcPr>
            <w:tcW w:w="1415" w:type="dxa"/>
            <w:vAlign w:val="top"/>
          </w:tcPr>
          <w:p w14:paraId="653A1035">
            <w:pPr>
              <w:rPr>
                <w:rFonts w:ascii="Arial"/>
                <w:sz w:val="21"/>
              </w:rPr>
            </w:pPr>
          </w:p>
        </w:tc>
        <w:tc>
          <w:tcPr>
            <w:tcW w:w="1130" w:type="dxa"/>
            <w:vAlign w:val="top"/>
          </w:tcPr>
          <w:p w14:paraId="16AE0FBA">
            <w:pPr>
              <w:rPr>
                <w:rFonts w:ascii="Arial"/>
                <w:sz w:val="21"/>
              </w:rPr>
            </w:pPr>
          </w:p>
        </w:tc>
        <w:tc>
          <w:tcPr>
            <w:tcW w:w="1133" w:type="dxa"/>
            <w:vAlign w:val="top"/>
          </w:tcPr>
          <w:p w14:paraId="7768FDB6">
            <w:pPr>
              <w:rPr>
                <w:rFonts w:ascii="Arial"/>
                <w:sz w:val="21"/>
              </w:rPr>
            </w:pPr>
          </w:p>
        </w:tc>
        <w:tc>
          <w:tcPr>
            <w:tcW w:w="4254" w:type="dxa"/>
            <w:tcBorders>
              <w:right w:val="single" w:color="000000" w:sz="10" w:space="0"/>
            </w:tcBorders>
            <w:vAlign w:val="top"/>
          </w:tcPr>
          <w:p w14:paraId="729DA54C">
            <w:pPr>
              <w:rPr>
                <w:rFonts w:ascii="Arial"/>
                <w:sz w:val="21"/>
              </w:rPr>
            </w:pPr>
          </w:p>
        </w:tc>
      </w:tr>
      <w:tr w14:paraId="3220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5EED66E4">
            <w:pPr>
              <w:pStyle w:val="11"/>
              <w:spacing w:before="180" w:line="219" w:lineRule="auto"/>
              <w:ind w:left="513"/>
            </w:pPr>
            <w:r>
              <w:rPr>
                <w:spacing w:val="-1"/>
              </w:rPr>
              <w:t>造价管理</w:t>
            </w:r>
          </w:p>
        </w:tc>
        <w:tc>
          <w:tcPr>
            <w:tcW w:w="1415" w:type="dxa"/>
            <w:vAlign w:val="top"/>
          </w:tcPr>
          <w:p w14:paraId="778CA002">
            <w:pPr>
              <w:rPr>
                <w:rFonts w:ascii="Arial"/>
                <w:sz w:val="21"/>
              </w:rPr>
            </w:pPr>
          </w:p>
        </w:tc>
        <w:tc>
          <w:tcPr>
            <w:tcW w:w="1130" w:type="dxa"/>
            <w:vAlign w:val="top"/>
          </w:tcPr>
          <w:p w14:paraId="315F7966">
            <w:pPr>
              <w:rPr>
                <w:rFonts w:ascii="Arial"/>
                <w:sz w:val="21"/>
              </w:rPr>
            </w:pPr>
          </w:p>
        </w:tc>
        <w:tc>
          <w:tcPr>
            <w:tcW w:w="1133" w:type="dxa"/>
            <w:vAlign w:val="top"/>
          </w:tcPr>
          <w:p w14:paraId="15CD0C3B">
            <w:pPr>
              <w:rPr>
                <w:rFonts w:ascii="Arial"/>
                <w:sz w:val="21"/>
              </w:rPr>
            </w:pPr>
          </w:p>
        </w:tc>
        <w:tc>
          <w:tcPr>
            <w:tcW w:w="4254" w:type="dxa"/>
            <w:tcBorders>
              <w:right w:val="single" w:color="000000" w:sz="10" w:space="0"/>
            </w:tcBorders>
            <w:vAlign w:val="top"/>
          </w:tcPr>
          <w:p w14:paraId="418CC26D">
            <w:pPr>
              <w:rPr>
                <w:rFonts w:ascii="Arial"/>
                <w:sz w:val="21"/>
              </w:rPr>
            </w:pPr>
          </w:p>
        </w:tc>
      </w:tr>
      <w:tr w14:paraId="430BA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tcBorders>
              <w:left w:val="single" w:color="000000" w:sz="10" w:space="0"/>
            </w:tcBorders>
            <w:vAlign w:val="top"/>
          </w:tcPr>
          <w:p w14:paraId="0FF35E20">
            <w:pPr>
              <w:pStyle w:val="11"/>
              <w:spacing w:before="181" w:line="220" w:lineRule="auto"/>
              <w:ind w:left="514"/>
            </w:pPr>
            <w:r>
              <w:rPr>
                <w:spacing w:val="-2"/>
              </w:rPr>
              <w:t>质量管理</w:t>
            </w:r>
          </w:p>
        </w:tc>
        <w:tc>
          <w:tcPr>
            <w:tcW w:w="1415" w:type="dxa"/>
            <w:vAlign w:val="top"/>
          </w:tcPr>
          <w:p w14:paraId="5652F010">
            <w:pPr>
              <w:rPr>
                <w:rFonts w:ascii="Arial"/>
                <w:sz w:val="21"/>
              </w:rPr>
            </w:pPr>
          </w:p>
        </w:tc>
        <w:tc>
          <w:tcPr>
            <w:tcW w:w="1130" w:type="dxa"/>
            <w:vAlign w:val="top"/>
          </w:tcPr>
          <w:p w14:paraId="5F5D70E5">
            <w:pPr>
              <w:rPr>
                <w:rFonts w:ascii="Arial"/>
                <w:sz w:val="21"/>
              </w:rPr>
            </w:pPr>
          </w:p>
        </w:tc>
        <w:tc>
          <w:tcPr>
            <w:tcW w:w="1133" w:type="dxa"/>
            <w:vAlign w:val="top"/>
          </w:tcPr>
          <w:p w14:paraId="32A44B4C">
            <w:pPr>
              <w:rPr>
                <w:rFonts w:ascii="Arial"/>
                <w:sz w:val="21"/>
              </w:rPr>
            </w:pPr>
          </w:p>
        </w:tc>
        <w:tc>
          <w:tcPr>
            <w:tcW w:w="4254" w:type="dxa"/>
            <w:tcBorders>
              <w:right w:val="single" w:color="000000" w:sz="10" w:space="0"/>
            </w:tcBorders>
            <w:vAlign w:val="top"/>
          </w:tcPr>
          <w:p w14:paraId="0253B6B3">
            <w:pPr>
              <w:rPr>
                <w:rFonts w:ascii="Arial"/>
                <w:sz w:val="21"/>
              </w:rPr>
            </w:pPr>
          </w:p>
        </w:tc>
      </w:tr>
      <w:tr w14:paraId="4673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3542D362">
            <w:pPr>
              <w:pStyle w:val="11"/>
              <w:spacing w:before="183" w:line="220" w:lineRule="auto"/>
              <w:ind w:left="514"/>
            </w:pPr>
            <w:r>
              <w:rPr>
                <w:spacing w:val="-2"/>
              </w:rPr>
              <w:t>材料管理</w:t>
            </w:r>
          </w:p>
        </w:tc>
        <w:tc>
          <w:tcPr>
            <w:tcW w:w="1415" w:type="dxa"/>
            <w:vAlign w:val="top"/>
          </w:tcPr>
          <w:p w14:paraId="3F91B0C5">
            <w:pPr>
              <w:rPr>
                <w:rFonts w:ascii="Arial"/>
                <w:sz w:val="21"/>
              </w:rPr>
            </w:pPr>
          </w:p>
        </w:tc>
        <w:tc>
          <w:tcPr>
            <w:tcW w:w="1130" w:type="dxa"/>
            <w:vAlign w:val="top"/>
          </w:tcPr>
          <w:p w14:paraId="206AEDB8">
            <w:pPr>
              <w:rPr>
                <w:rFonts w:ascii="Arial"/>
                <w:sz w:val="21"/>
              </w:rPr>
            </w:pPr>
          </w:p>
        </w:tc>
        <w:tc>
          <w:tcPr>
            <w:tcW w:w="1133" w:type="dxa"/>
            <w:vAlign w:val="top"/>
          </w:tcPr>
          <w:p w14:paraId="056EA69B">
            <w:pPr>
              <w:rPr>
                <w:rFonts w:ascii="Arial"/>
                <w:sz w:val="21"/>
              </w:rPr>
            </w:pPr>
          </w:p>
        </w:tc>
        <w:tc>
          <w:tcPr>
            <w:tcW w:w="4254" w:type="dxa"/>
            <w:tcBorders>
              <w:right w:val="single" w:color="000000" w:sz="10" w:space="0"/>
            </w:tcBorders>
            <w:vAlign w:val="top"/>
          </w:tcPr>
          <w:p w14:paraId="0CCBC927">
            <w:pPr>
              <w:rPr>
                <w:rFonts w:ascii="Arial"/>
                <w:sz w:val="21"/>
              </w:rPr>
            </w:pPr>
          </w:p>
        </w:tc>
      </w:tr>
      <w:tr w14:paraId="3C19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2" w:type="dxa"/>
            <w:tcBorders>
              <w:left w:val="single" w:color="000000" w:sz="10" w:space="0"/>
            </w:tcBorders>
            <w:vAlign w:val="top"/>
          </w:tcPr>
          <w:p w14:paraId="76DD3AAA">
            <w:pPr>
              <w:pStyle w:val="11"/>
              <w:spacing w:before="183" w:line="219" w:lineRule="auto"/>
              <w:ind w:left="514"/>
            </w:pPr>
            <w:r>
              <w:rPr>
                <w:spacing w:val="-2"/>
              </w:rPr>
              <w:t>计划管理</w:t>
            </w:r>
          </w:p>
        </w:tc>
        <w:tc>
          <w:tcPr>
            <w:tcW w:w="1415" w:type="dxa"/>
            <w:vAlign w:val="top"/>
          </w:tcPr>
          <w:p w14:paraId="49076BBD">
            <w:pPr>
              <w:rPr>
                <w:rFonts w:ascii="Arial"/>
                <w:sz w:val="21"/>
              </w:rPr>
            </w:pPr>
          </w:p>
        </w:tc>
        <w:tc>
          <w:tcPr>
            <w:tcW w:w="1130" w:type="dxa"/>
            <w:vAlign w:val="top"/>
          </w:tcPr>
          <w:p w14:paraId="76B4DC01">
            <w:pPr>
              <w:rPr>
                <w:rFonts w:ascii="Arial"/>
                <w:sz w:val="21"/>
              </w:rPr>
            </w:pPr>
          </w:p>
        </w:tc>
        <w:tc>
          <w:tcPr>
            <w:tcW w:w="1133" w:type="dxa"/>
            <w:vAlign w:val="top"/>
          </w:tcPr>
          <w:p w14:paraId="7A0C09FC">
            <w:pPr>
              <w:rPr>
                <w:rFonts w:ascii="Arial"/>
                <w:sz w:val="21"/>
              </w:rPr>
            </w:pPr>
          </w:p>
        </w:tc>
        <w:tc>
          <w:tcPr>
            <w:tcW w:w="4254" w:type="dxa"/>
            <w:tcBorders>
              <w:right w:val="single" w:color="000000" w:sz="10" w:space="0"/>
            </w:tcBorders>
            <w:vAlign w:val="top"/>
          </w:tcPr>
          <w:p w14:paraId="64E2C6B3">
            <w:pPr>
              <w:rPr>
                <w:rFonts w:ascii="Arial"/>
                <w:sz w:val="21"/>
              </w:rPr>
            </w:pPr>
          </w:p>
        </w:tc>
      </w:tr>
      <w:tr w14:paraId="16D6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tcBorders>
              <w:left w:val="single" w:color="000000" w:sz="10" w:space="0"/>
            </w:tcBorders>
            <w:vAlign w:val="top"/>
          </w:tcPr>
          <w:p w14:paraId="3C47B307">
            <w:pPr>
              <w:pStyle w:val="11"/>
              <w:spacing w:before="187" w:line="218" w:lineRule="auto"/>
              <w:ind w:left="518"/>
            </w:pPr>
            <w:r>
              <w:rPr>
                <w:spacing w:val="-3"/>
              </w:rPr>
              <w:t>安全管理</w:t>
            </w:r>
          </w:p>
        </w:tc>
        <w:tc>
          <w:tcPr>
            <w:tcW w:w="1415" w:type="dxa"/>
            <w:vAlign w:val="top"/>
          </w:tcPr>
          <w:p w14:paraId="6C58BF8D">
            <w:pPr>
              <w:rPr>
                <w:rFonts w:ascii="Arial"/>
                <w:sz w:val="21"/>
              </w:rPr>
            </w:pPr>
          </w:p>
        </w:tc>
        <w:tc>
          <w:tcPr>
            <w:tcW w:w="1130" w:type="dxa"/>
            <w:vAlign w:val="top"/>
          </w:tcPr>
          <w:p w14:paraId="63486586">
            <w:pPr>
              <w:rPr>
                <w:rFonts w:ascii="Arial"/>
                <w:sz w:val="21"/>
              </w:rPr>
            </w:pPr>
          </w:p>
        </w:tc>
        <w:tc>
          <w:tcPr>
            <w:tcW w:w="1133" w:type="dxa"/>
            <w:vAlign w:val="top"/>
          </w:tcPr>
          <w:p w14:paraId="2E8658D9">
            <w:pPr>
              <w:rPr>
                <w:rFonts w:ascii="Arial"/>
                <w:sz w:val="21"/>
              </w:rPr>
            </w:pPr>
          </w:p>
        </w:tc>
        <w:tc>
          <w:tcPr>
            <w:tcW w:w="4254" w:type="dxa"/>
            <w:tcBorders>
              <w:right w:val="single" w:color="000000" w:sz="10" w:space="0"/>
            </w:tcBorders>
            <w:vAlign w:val="top"/>
          </w:tcPr>
          <w:p w14:paraId="2A5C040D">
            <w:pPr>
              <w:rPr>
                <w:rFonts w:ascii="Arial"/>
                <w:sz w:val="21"/>
              </w:rPr>
            </w:pPr>
          </w:p>
        </w:tc>
      </w:tr>
      <w:tr w14:paraId="0A354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restart"/>
            <w:tcBorders>
              <w:left w:val="single" w:color="000000" w:sz="10" w:space="0"/>
              <w:bottom w:val="nil"/>
            </w:tcBorders>
            <w:vAlign w:val="top"/>
          </w:tcPr>
          <w:p w14:paraId="11BC3C9F">
            <w:pPr>
              <w:spacing w:line="249" w:lineRule="auto"/>
              <w:rPr>
                <w:rFonts w:ascii="Arial"/>
                <w:sz w:val="21"/>
              </w:rPr>
            </w:pPr>
          </w:p>
          <w:p w14:paraId="51E66547">
            <w:pPr>
              <w:spacing w:line="249" w:lineRule="auto"/>
              <w:rPr>
                <w:rFonts w:ascii="Arial"/>
                <w:sz w:val="21"/>
              </w:rPr>
            </w:pPr>
          </w:p>
          <w:p w14:paraId="6C279471">
            <w:pPr>
              <w:spacing w:line="250" w:lineRule="auto"/>
              <w:rPr>
                <w:rFonts w:ascii="Arial"/>
                <w:sz w:val="21"/>
              </w:rPr>
            </w:pPr>
          </w:p>
          <w:p w14:paraId="2C09A8DC">
            <w:pPr>
              <w:spacing w:line="250" w:lineRule="auto"/>
              <w:rPr>
                <w:rFonts w:ascii="Arial"/>
                <w:sz w:val="21"/>
              </w:rPr>
            </w:pPr>
          </w:p>
          <w:p w14:paraId="729EE9B8">
            <w:pPr>
              <w:spacing w:line="250" w:lineRule="auto"/>
              <w:rPr>
                <w:rFonts w:ascii="Arial"/>
                <w:sz w:val="21"/>
              </w:rPr>
            </w:pPr>
          </w:p>
          <w:p w14:paraId="19273F3F">
            <w:pPr>
              <w:pStyle w:val="11"/>
              <w:spacing w:before="68" w:line="221" w:lineRule="auto"/>
              <w:ind w:left="514"/>
            </w:pPr>
            <w:r>
              <w:rPr>
                <w:spacing w:val="-2"/>
              </w:rPr>
              <w:t>其他人员</w:t>
            </w:r>
          </w:p>
        </w:tc>
        <w:tc>
          <w:tcPr>
            <w:tcW w:w="1415" w:type="dxa"/>
            <w:vAlign w:val="top"/>
          </w:tcPr>
          <w:p w14:paraId="3C89C57C">
            <w:pPr>
              <w:rPr>
                <w:rFonts w:ascii="Arial"/>
                <w:sz w:val="21"/>
              </w:rPr>
            </w:pPr>
          </w:p>
        </w:tc>
        <w:tc>
          <w:tcPr>
            <w:tcW w:w="1130" w:type="dxa"/>
            <w:vAlign w:val="top"/>
          </w:tcPr>
          <w:p w14:paraId="0C59C947">
            <w:pPr>
              <w:rPr>
                <w:rFonts w:ascii="Arial"/>
                <w:sz w:val="21"/>
              </w:rPr>
            </w:pPr>
          </w:p>
        </w:tc>
        <w:tc>
          <w:tcPr>
            <w:tcW w:w="1133" w:type="dxa"/>
            <w:vAlign w:val="top"/>
          </w:tcPr>
          <w:p w14:paraId="5F9FD814">
            <w:pPr>
              <w:rPr>
                <w:rFonts w:ascii="Arial"/>
                <w:sz w:val="21"/>
              </w:rPr>
            </w:pPr>
          </w:p>
        </w:tc>
        <w:tc>
          <w:tcPr>
            <w:tcW w:w="4254" w:type="dxa"/>
            <w:tcBorders>
              <w:right w:val="single" w:color="000000" w:sz="10" w:space="0"/>
            </w:tcBorders>
            <w:vAlign w:val="top"/>
          </w:tcPr>
          <w:p w14:paraId="67683D00">
            <w:pPr>
              <w:rPr>
                <w:rFonts w:ascii="Arial"/>
                <w:sz w:val="21"/>
              </w:rPr>
            </w:pPr>
          </w:p>
        </w:tc>
      </w:tr>
      <w:tr w14:paraId="1021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133E91A1">
            <w:pPr>
              <w:rPr>
                <w:rFonts w:ascii="Arial"/>
                <w:sz w:val="21"/>
              </w:rPr>
            </w:pPr>
          </w:p>
        </w:tc>
        <w:tc>
          <w:tcPr>
            <w:tcW w:w="1415" w:type="dxa"/>
            <w:vAlign w:val="top"/>
          </w:tcPr>
          <w:p w14:paraId="14AE1E4A">
            <w:pPr>
              <w:rPr>
                <w:rFonts w:ascii="Arial"/>
                <w:sz w:val="21"/>
              </w:rPr>
            </w:pPr>
          </w:p>
        </w:tc>
        <w:tc>
          <w:tcPr>
            <w:tcW w:w="1130" w:type="dxa"/>
            <w:vAlign w:val="top"/>
          </w:tcPr>
          <w:p w14:paraId="5163B135">
            <w:pPr>
              <w:rPr>
                <w:rFonts w:ascii="Arial"/>
                <w:sz w:val="21"/>
              </w:rPr>
            </w:pPr>
          </w:p>
        </w:tc>
        <w:tc>
          <w:tcPr>
            <w:tcW w:w="1133" w:type="dxa"/>
            <w:vAlign w:val="top"/>
          </w:tcPr>
          <w:p w14:paraId="540FC6B3">
            <w:pPr>
              <w:rPr>
                <w:rFonts w:ascii="Arial"/>
                <w:sz w:val="21"/>
              </w:rPr>
            </w:pPr>
          </w:p>
        </w:tc>
        <w:tc>
          <w:tcPr>
            <w:tcW w:w="4254" w:type="dxa"/>
            <w:tcBorders>
              <w:right w:val="single" w:color="000000" w:sz="10" w:space="0"/>
            </w:tcBorders>
            <w:vAlign w:val="top"/>
          </w:tcPr>
          <w:p w14:paraId="1D5108E0">
            <w:pPr>
              <w:rPr>
                <w:rFonts w:ascii="Arial"/>
                <w:sz w:val="21"/>
              </w:rPr>
            </w:pPr>
          </w:p>
        </w:tc>
      </w:tr>
      <w:tr w14:paraId="73A38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bottom w:val="nil"/>
            </w:tcBorders>
            <w:vAlign w:val="top"/>
          </w:tcPr>
          <w:p w14:paraId="440936B1">
            <w:pPr>
              <w:rPr>
                <w:rFonts w:ascii="Arial"/>
                <w:sz w:val="21"/>
              </w:rPr>
            </w:pPr>
          </w:p>
        </w:tc>
        <w:tc>
          <w:tcPr>
            <w:tcW w:w="1415" w:type="dxa"/>
            <w:vAlign w:val="top"/>
          </w:tcPr>
          <w:p w14:paraId="78FF1693">
            <w:pPr>
              <w:rPr>
                <w:rFonts w:ascii="Arial"/>
                <w:sz w:val="21"/>
              </w:rPr>
            </w:pPr>
          </w:p>
        </w:tc>
        <w:tc>
          <w:tcPr>
            <w:tcW w:w="1130" w:type="dxa"/>
            <w:vAlign w:val="top"/>
          </w:tcPr>
          <w:p w14:paraId="1831EFB1">
            <w:pPr>
              <w:rPr>
                <w:rFonts w:ascii="Arial"/>
                <w:sz w:val="21"/>
              </w:rPr>
            </w:pPr>
          </w:p>
        </w:tc>
        <w:tc>
          <w:tcPr>
            <w:tcW w:w="1133" w:type="dxa"/>
            <w:vAlign w:val="top"/>
          </w:tcPr>
          <w:p w14:paraId="77109969">
            <w:pPr>
              <w:rPr>
                <w:rFonts w:ascii="Arial"/>
                <w:sz w:val="21"/>
              </w:rPr>
            </w:pPr>
          </w:p>
        </w:tc>
        <w:tc>
          <w:tcPr>
            <w:tcW w:w="4254" w:type="dxa"/>
            <w:tcBorders>
              <w:right w:val="single" w:color="000000" w:sz="10" w:space="0"/>
            </w:tcBorders>
            <w:vAlign w:val="top"/>
          </w:tcPr>
          <w:p w14:paraId="384792E4">
            <w:pPr>
              <w:rPr>
                <w:rFonts w:ascii="Arial"/>
                <w:sz w:val="21"/>
              </w:rPr>
            </w:pPr>
          </w:p>
        </w:tc>
      </w:tr>
      <w:tr w14:paraId="267E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2" w:type="dxa"/>
            <w:vMerge w:val="continue"/>
            <w:tcBorders>
              <w:top w:val="nil"/>
              <w:left w:val="single" w:color="000000" w:sz="10" w:space="0"/>
              <w:bottom w:val="nil"/>
            </w:tcBorders>
            <w:vAlign w:val="top"/>
          </w:tcPr>
          <w:p w14:paraId="42FA0F44">
            <w:pPr>
              <w:rPr>
                <w:rFonts w:ascii="Arial"/>
                <w:sz w:val="21"/>
              </w:rPr>
            </w:pPr>
          </w:p>
        </w:tc>
        <w:tc>
          <w:tcPr>
            <w:tcW w:w="1415" w:type="dxa"/>
            <w:vAlign w:val="top"/>
          </w:tcPr>
          <w:p w14:paraId="1F725D03">
            <w:pPr>
              <w:rPr>
                <w:rFonts w:ascii="Arial"/>
                <w:sz w:val="21"/>
              </w:rPr>
            </w:pPr>
          </w:p>
        </w:tc>
        <w:tc>
          <w:tcPr>
            <w:tcW w:w="1130" w:type="dxa"/>
            <w:vAlign w:val="top"/>
          </w:tcPr>
          <w:p w14:paraId="6BFDE406">
            <w:pPr>
              <w:rPr>
                <w:rFonts w:ascii="Arial"/>
                <w:sz w:val="21"/>
              </w:rPr>
            </w:pPr>
          </w:p>
        </w:tc>
        <w:tc>
          <w:tcPr>
            <w:tcW w:w="1133" w:type="dxa"/>
            <w:vAlign w:val="top"/>
          </w:tcPr>
          <w:p w14:paraId="71F72600">
            <w:pPr>
              <w:rPr>
                <w:rFonts w:ascii="Arial"/>
                <w:sz w:val="21"/>
              </w:rPr>
            </w:pPr>
          </w:p>
        </w:tc>
        <w:tc>
          <w:tcPr>
            <w:tcW w:w="4254" w:type="dxa"/>
            <w:tcBorders>
              <w:right w:val="single" w:color="000000" w:sz="10" w:space="0"/>
            </w:tcBorders>
            <w:vAlign w:val="top"/>
          </w:tcPr>
          <w:p w14:paraId="24D809DB">
            <w:pPr>
              <w:rPr>
                <w:rFonts w:ascii="Arial"/>
                <w:sz w:val="21"/>
              </w:rPr>
            </w:pPr>
          </w:p>
        </w:tc>
      </w:tr>
      <w:tr w14:paraId="329FF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2" w:type="dxa"/>
            <w:vMerge w:val="continue"/>
            <w:tcBorders>
              <w:top w:val="nil"/>
              <w:left w:val="single" w:color="000000" w:sz="10" w:space="0"/>
              <w:bottom w:val="nil"/>
            </w:tcBorders>
            <w:vAlign w:val="top"/>
          </w:tcPr>
          <w:p w14:paraId="27E21FA6">
            <w:pPr>
              <w:rPr>
                <w:rFonts w:ascii="Arial"/>
                <w:sz w:val="21"/>
              </w:rPr>
            </w:pPr>
          </w:p>
        </w:tc>
        <w:tc>
          <w:tcPr>
            <w:tcW w:w="1415" w:type="dxa"/>
            <w:vAlign w:val="top"/>
          </w:tcPr>
          <w:p w14:paraId="2265F09F">
            <w:pPr>
              <w:rPr>
                <w:rFonts w:ascii="Arial"/>
                <w:sz w:val="21"/>
              </w:rPr>
            </w:pPr>
          </w:p>
        </w:tc>
        <w:tc>
          <w:tcPr>
            <w:tcW w:w="1130" w:type="dxa"/>
            <w:vAlign w:val="top"/>
          </w:tcPr>
          <w:p w14:paraId="4D744653">
            <w:pPr>
              <w:rPr>
                <w:rFonts w:ascii="Arial"/>
                <w:sz w:val="21"/>
              </w:rPr>
            </w:pPr>
          </w:p>
        </w:tc>
        <w:tc>
          <w:tcPr>
            <w:tcW w:w="1133" w:type="dxa"/>
            <w:vAlign w:val="top"/>
          </w:tcPr>
          <w:p w14:paraId="1EAE4620">
            <w:pPr>
              <w:rPr>
                <w:rFonts w:ascii="Arial"/>
                <w:sz w:val="21"/>
              </w:rPr>
            </w:pPr>
          </w:p>
        </w:tc>
        <w:tc>
          <w:tcPr>
            <w:tcW w:w="4254" w:type="dxa"/>
            <w:tcBorders>
              <w:right w:val="single" w:color="000000" w:sz="10" w:space="0"/>
            </w:tcBorders>
            <w:vAlign w:val="top"/>
          </w:tcPr>
          <w:p w14:paraId="0523E53C">
            <w:pPr>
              <w:rPr>
                <w:rFonts w:ascii="Arial"/>
                <w:sz w:val="21"/>
              </w:rPr>
            </w:pPr>
          </w:p>
        </w:tc>
      </w:tr>
      <w:tr w14:paraId="170D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2" w:type="dxa"/>
            <w:vMerge w:val="continue"/>
            <w:tcBorders>
              <w:top w:val="nil"/>
              <w:left w:val="single" w:color="000000" w:sz="10" w:space="0"/>
              <w:bottom w:val="single" w:color="000000" w:sz="10" w:space="0"/>
            </w:tcBorders>
            <w:vAlign w:val="top"/>
          </w:tcPr>
          <w:p w14:paraId="20B2FD25">
            <w:pPr>
              <w:rPr>
                <w:rFonts w:ascii="Arial"/>
                <w:sz w:val="21"/>
              </w:rPr>
            </w:pPr>
          </w:p>
        </w:tc>
        <w:tc>
          <w:tcPr>
            <w:tcW w:w="1415" w:type="dxa"/>
            <w:tcBorders>
              <w:bottom w:val="single" w:color="000000" w:sz="10" w:space="0"/>
            </w:tcBorders>
            <w:vAlign w:val="top"/>
          </w:tcPr>
          <w:p w14:paraId="5CC86526">
            <w:pPr>
              <w:rPr>
                <w:rFonts w:ascii="Arial"/>
                <w:sz w:val="21"/>
              </w:rPr>
            </w:pPr>
          </w:p>
        </w:tc>
        <w:tc>
          <w:tcPr>
            <w:tcW w:w="1130" w:type="dxa"/>
            <w:tcBorders>
              <w:bottom w:val="single" w:color="000000" w:sz="10" w:space="0"/>
            </w:tcBorders>
            <w:vAlign w:val="top"/>
          </w:tcPr>
          <w:p w14:paraId="57985786">
            <w:pPr>
              <w:rPr>
                <w:rFonts w:ascii="Arial"/>
                <w:sz w:val="21"/>
              </w:rPr>
            </w:pPr>
          </w:p>
        </w:tc>
        <w:tc>
          <w:tcPr>
            <w:tcW w:w="1133" w:type="dxa"/>
            <w:tcBorders>
              <w:bottom w:val="single" w:color="000000" w:sz="10" w:space="0"/>
            </w:tcBorders>
            <w:vAlign w:val="top"/>
          </w:tcPr>
          <w:p w14:paraId="396DAEB0">
            <w:pPr>
              <w:rPr>
                <w:rFonts w:ascii="Arial"/>
                <w:sz w:val="21"/>
              </w:rPr>
            </w:pPr>
          </w:p>
        </w:tc>
        <w:tc>
          <w:tcPr>
            <w:tcW w:w="4254" w:type="dxa"/>
            <w:tcBorders>
              <w:bottom w:val="single" w:color="000000" w:sz="10" w:space="0"/>
              <w:right w:val="single" w:color="000000" w:sz="10" w:space="0"/>
            </w:tcBorders>
            <w:vAlign w:val="top"/>
          </w:tcPr>
          <w:p w14:paraId="48665450">
            <w:pPr>
              <w:rPr>
                <w:rFonts w:ascii="Arial"/>
                <w:sz w:val="21"/>
              </w:rPr>
            </w:pPr>
          </w:p>
        </w:tc>
      </w:tr>
    </w:tbl>
    <w:p w14:paraId="2F83D871">
      <w:pPr>
        <w:pStyle w:val="5"/>
      </w:pPr>
    </w:p>
    <w:p w14:paraId="3A1A3A66">
      <w:pPr>
        <w:sectPr>
          <w:footerReference r:id="rId140" w:type="default"/>
          <w:pgSz w:w="11905" w:h="16843"/>
          <w:pgMar w:top="969" w:right="1355" w:bottom="1026" w:left="1480" w:header="0" w:footer="754" w:gutter="0"/>
          <w:cols w:space="0" w:num="1"/>
          <w:rtlGutter w:val="0"/>
          <w:docGrid w:linePitch="0" w:charSpace="0"/>
        </w:sectPr>
      </w:pPr>
    </w:p>
    <w:p w14:paraId="04EC5F1D">
      <w:pPr>
        <w:pStyle w:val="5"/>
        <w:spacing w:line="272" w:lineRule="auto"/>
      </w:pPr>
    </w:p>
    <w:p w14:paraId="5BF039C3">
      <w:pPr>
        <w:pStyle w:val="5"/>
        <w:spacing w:line="272" w:lineRule="auto"/>
      </w:pPr>
    </w:p>
    <w:p w14:paraId="677DDBC3">
      <w:pPr>
        <w:pStyle w:val="5"/>
        <w:spacing w:line="272" w:lineRule="auto"/>
      </w:pPr>
    </w:p>
    <w:p w14:paraId="6627D18D">
      <w:pPr>
        <w:pStyle w:val="5"/>
        <w:spacing w:line="272" w:lineRule="auto"/>
      </w:pPr>
    </w:p>
    <w:p w14:paraId="017D0D18">
      <w:pPr>
        <w:pStyle w:val="5"/>
        <w:spacing w:line="273" w:lineRule="auto"/>
      </w:pPr>
    </w:p>
    <w:p w14:paraId="22DE15B3">
      <w:pPr>
        <w:spacing w:before="78" w:line="219" w:lineRule="auto"/>
        <w:ind w:left="28"/>
        <w:rPr>
          <w:rFonts w:ascii="宋体" w:hAnsi="宋体" w:eastAsia="宋体" w:cs="宋体"/>
          <w:sz w:val="24"/>
          <w:szCs w:val="24"/>
        </w:rPr>
      </w:pPr>
      <w:bookmarkStart w:id="1233" w:name="bookmark599"/>
      <w:bookmarkEnd w:id="1233"/>
      <w:r>
        <w:rPr>
          <w:rFonts w:ascii="宋体" w:hAnsi="宋体" w:eastAsia="宋体" w:cs="宋体"/>
          <w:spacing w:val="-10"/>
          <w:sz w:val="24"/>
          <w:szCs w:val="24"/>
        </w:rPr>
        <w:t>附件</w:t>
      </w:r>
      <w:r>
        <w:rPr>
          <w:rFonts w:ascii="宋体" w:hAnsi="宋体" w:eastAsia="宋体" w:cs="宋体"/>
          <w:spacing w:val="-50"/>
          <w:sz w:val="24"/>
          <w:szCs w:val="24"/>
        </w:rPr>
        <w:t xml:space="preserve"> </w:t>
      </w:r>
      <w:r>
        <w:rPr>
          <w:rFonts w:ascii="宋体" w:hAnsi="宋体" w:eastAsia="宋体" w:cs="宋体"/>
          <w:spacing w:val="-10"/>
          <w:sz w:val="24"/>
          <w:szCs w:val="24"/>
        </w:rPr>
        <w:t>8：</w:t>
      </w:r>
    </w:p>
    <w:p w14:paraId="3E9BA369">
      <w:pPr>
        <w:spacing w:before="240" w:line="219" w:lineRule="auto"/>
        <w:ind w:left="3900"/>
        <w:rPr>
          <w:rFonts w:ascii="黑体" w:hAnsi="黑体" w:eastAsia="黑体" w:cs="黑体"/>
          <w:sz w:val="28"/>
          <w:szCs w:val="28"/>
        </w:rPr>
      </w:pPr>
      <w:r>
        <w:rPr>
          <w:rFonts w:ascii="黑体" w:hAnsi="黑体" w:eastAsia="黑体" w:cs="黑体"/>
          <w:spacing w:val="-2"/>
          <w:sz w:val="28"/>
          <w:szCs w:val="28"/>
        </w:rPr>
        <w:t>履约担保</w:t>
      </w:r>
    </w:p>
    <w:p w14:paraId="6A897C0B">
      <w:pPr>
        <w:pStyle w:val="5"/>
        <w:spacing w:line="327" w:lineRule="auto"/>
      </w:pPr>
    </w:p>
    <w:p w14:paraId="72DF2499">
      <w:pPr>
        <w:pStyle w:val="5"/>
        <w:spacing w:line="328" w:lineRule="auto"/>
      </w:pPr>
    </w:p>
    <w:p w14:paraId="772EB551">
      <w:pPr>
        <w:tabs>
          <w:tab w:val="left" w:pos="1680"/>
        </w:tabs>
        <w:spacing w:before="69"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sz w:val="21"/>
          <w:szCs w:val="21"/>
        </w:rPr>
        <w:t>（发包人名称</w:t>
      </w:r>
      <w:r>
        <w:rPr>
          <w:rFonts w:ascii="宋体" w:hAnsi="宋体" w:eastAsia="宋体" w:cs="宋体"/>
          <w:spacing w:val="-29"/>
          <w:sz w:val="21"/>
          <w:szCs w:val="21"/>
        </w:rPr>
        <w:t>）：</w:t>
      </w:r>
    </w:p>
    <w:p w14:paraId="55BBCB1B">
      <w:pPr>
        <w:pStyle w:val="5"/>
        <w:spacing w:line="415" w:lineRule="auto"/>
      </w:pPr>
    </w:p>
    <w:p w14:paraId="1FC45C1D">
      <w:pPr>
        <w:spacing w:before="69" w:line="359" w:lineRule="auto"/>
        <w:ind w:left="9" w:right="12" w:firstLine="420"/>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6"/>
          <w:sz w:val="21"/>
          <w:szCs w:val="21"/>
          <w:u w:val="single" w:color="auto"/>
        </w:rPr>
        <w:t xml:space="preserve">                </w:t>
      </w:r>
      <w:r>
        <w:rPr>
          <w:rFonts w:ascii="宋体" w:hAnsi="宋体" w:eastAsia="宋体" w:cs="宋体"/>
          <w:spacing w:val="-2"/>
          <w:sz w:val="21"/>
          <w:szCs w:val="21"/>
        </w:rPr>
        <w:t>（发包人名称，以下简称“发包人”）与</w:t>
      </w:r>
      <w:r>
        <w:rPr>
          <w:rFonts w:ascii="宋体" w:hAnsi="宋体" w:eastAsia="宋体" w:cs="宋体"/>
          <w:spacing w:val="-79"/>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（承包</w:t>
      </w:r>
      <w:r>
        <w:rPr>
          <w:rFonts w:ascii="宋体" w:hAnsi="宋体" w:eastAsia="宋体" w:cs="宋体"/>
          <w:spacing w:val="-3"/>
          <w:sz w:val="21"/>
          <w:szCs w:val="21"/>
        </w:rPr>
        <w:t>人名称</w:t>
      </w:r>
      <w:r>
        <w:rPr>
          <w:rFonts w:ascii="宋体" w:hAnsi="宋体" w:eastAsia="宋体" w:cs="宋体"/>
          <w:spacing w:val="-59"/>
          <w:w w:val="98"/>
          <w:sz w:val="21"/>
          <w:szCs w:val="21"/>
        </w:rPr>
        <w:t>）（</w:t>
      </w:r>
      <w:r>
        <w:rPr>
          <w:rFonts w:ascii="宋体" w:hAnsi="宋体" w:eastAsia="宋体" w:cs="宋体"/>
          <w:spacing w:val="-3"/>
          <w:sz w:val="21"/>
          <w:szCs w:val="21"/>
        </w:rPr>
        <w:t>以下称“承包人</w:t>
      </w:r>
      <w:r>
        <w:rPr>
          <w:rFonts w:ascii="宋体" w:hAnsi="宋体" w:eastAsia="宋体" w:cs="宋体"/>
          <w:spacing w:val="-77"/>
          <w:sz w:val="21"/>
          <w:szCs w:val="21"/>
        </w:rPr>
        <w:t xml:space="preserve"> </w:t>
      </w:r>
      <w:r>
        <w:rPr>
          <w:rFonts w:ascii="宋体" w:hAnsi="宋体" w:eastAsia="宋体" w:cs="宋体"/>
          <w:spacing w:val="-3"/>
          <w:sz w:val="21"/>
          <w:szCs w:val="21"/>
        </w:rPr>
        <w:t>”）于</w:t>
      </w:r>
      <w:r>
        <w:rPr>
          <w:rFonts w:ascii="宋体" w:hAnsi="宋体" w:eastAsia="宋体" w:cs="宋体"/>
          <w:spacing w:val="-93"/>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3"/>
          <w:sz w:val="21"/>
          <w:szCs w:val="21"/>
        </w:rPr>
        <w:t>年</w:t>
      </w:r>
      <w:r>
        <w:rPr>
          <w:rFonts w:ascii="宋体" w:hAnsi="宋体" w:eastAsia="宋体" w:cs="宋体"/>
          <w:spacing w:val="-105"/>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日就</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pacing w:val="-3"/>
          <w:sz w:val="21"/>
          <w:szCs w:val="21"/>
        </w:rPr>
        <w:t>（工程名称）施</w:t>
      </w:r>
      <w:r>
        <w:rPr>
          <w:rFonts w:ascii="宋体" w:hAnsi="宋体" w:eastAsia="宋体" w:cs="宋体"/>
          <w:spacing w:val="2"/>
          <w:sz w:val="21"/>
          <w:szCs w:val="21"/>
        </w:rPr>
        <w:t>工及有关事项协商一致共同签订《建设工程施工</w:t>
      </w:r>
      <w:r>
        <w:rPr>
          <w:rFonts w:ascii="宋体" w:hAnsi="宋体" w:eastAsia="宋体" w:cs="宋体"/>
          <w:spacing w:val="1"/>
          <w:sz w:val="21"/>
          <w:szCs w:val="21"/>
        </w:rPr>
        <w:t>合同》。我方愿意无条件地、不可撤销地就承包</w:t>
      </w:r>
      <w:r>
        <w:rPr>
          <w:rFonts w:ascii="宋体" w:hAnsi="宋体" w:eastAsia="宋体" w:cs="宋体"/>
          <w:spacing w:val="-1"/>
          <w:sz w:val="21"/>
          <w:szCs w:val="21"/>
        </w:rPr>
        <w:t>人履行与你方签订的合同，向你方提供连带责任担保。</w:t>
      </w:r>
    </w:p>
    <w:p w14:paraId="14C792E7">
      <w:pPr>
        <w:spacing w:line="219" w:lineRule="auto"/>
        <w:ind w:left="443"/>
        <w:rPr>
          <w:rFonts w:ascii="宋体" w:hAnsi="宋体" w:eastAsia="宋体" w:cs="宋体"/>
          <w:sz w:val="21"/>
          <w:szCs w:val="21"/>
        </w:rPr>
      </w:pPr>
      <w:r>
        <w:rPr>
          <w:rFonts w:ascii="宋体" w:hAnsi="宋体" w:eastAsia="宋体" w:cs="宋体"/>
          <w:spacing w:val="2"/>
          <w:sz w:val="21"/>
          <w:szCs w:val="21"/>
        </w:rPr>
        <w:t>1. 担保金额人民币（大写）</w:t>
      </w:r>
      <w:r>
        <w:rPr>
          <w:rFonts w:ascii="宋体" w:hAnsi="宋体" w:eastAsia="宋体" w:cs="宋体"/>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2"/>
          <w:sz w:val="21"/>
          <w:szCs w:val="21"/>
        </w:rPr>
        <w:t>元(¥</w:t>
      </w:r>
      <w:r>
        <w:rPr>
          <w:rFonts w:ascii="宋体" w:hAnsi="宋体" w:eastAsia="宋体" w:cs="宋体"/>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2"/>
          <w:sz w:val="21"/>
          <w:szCs w:val="21"/>
        </w:rPr>
        <w:t>)。</w:t>
      </w:r>
    </w:p>
    <w:p w14:paraId="5EC38D0B">
      <w:pPr>
        <w:spacing w:before="158" w:line="293" w:lineRule="auto"/>
        <w:ind w:left="44" w:right="4" w:firstLine="386"/>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60"/>
          <w:sz w:val="21"/>
          <w:szCs w:val="21"/>
        </w:rPr>
        <w:t xml:space="preserve"> </w:t>
      </w:r>
      <w:r>
        <w:rPr>
          <w:rFonts w:ascii="宋体" w:hAnsi="宋体" w:eastAsia="宋体" w:cs="宋体"/>
          <w:spacing w:val="3"/>
          <w:sz w:val="21"/>
          <w:szCs w:val="21"/>
        </w:rPr>
        <w:t>担保有效期自你方与承包人签订的合同生效之日起至你方签发或应签发工程接</w:t>
      </w:r>
      <w:r>
        <w:rPr>
          <w:rFonts w:ascii="宋体" w:hAnsi="宋体" w:eastAsia="宋体" w:cs="宋体"/>
          <w:spacing w:val="2"/>
          <w:sz w:val="21"/>
          <w:szCs w:val="21"/>
        </w:rPr>
        <w:t>收证书之</w:t>
      </w:r>
      <w:r>
        <w:rPr>
          <w:rFonts w:ascii="宋体" w:hAnsi="宋体" w:eastAsia="宋体" w:cs="宋体"/>
          <w:spacing w:val="-17"/>
          <w:sz w:val="21"/>
          <w:szCs w:val="21"/>
        </w:rPr>
        <w:t>日止。</w:t>
      </w:r>
    </w:p>
    <w:p w14:paraId="573F5660">
      <w:pPr>
        <w:spacing w:before="152" w:line="289" w:lineRule="auto"/>
        <w:ind w:left="9" w:right="4" w:firstLine="423"/>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59"/>
          <w:sz w:val="21"/>
          <w:szCs w:val="21"/>
        </w:rPr>
        <w:t xml:space="preserve"> </w:t>
      </w:r>
      <w:r>
        <w:rPr>
          <w:rFonts w:ascii="宋体" w:hAnsi="宋体" w:eastAsia="宋体" w:cs="宋体"/>
          <w:spacing w:val="3"/>
          <w:sz w:val="21"/>
          <w:szCs w:val="21"/>
        </w:rPr>
        <w:t>在本担保有效期内，因承包人违反合同约定的义务给你方造成经济损失时，我</w:t>
      </w:r>
      <w:r>
        <w:rPr>
          <w:rFonts w:ascii="宋体" w:hAnsi="宋体" w:eastAsia="宋体" w:cs="宋体"/>
          <w:spacing w:val="2"/>
          <w:sz w:val="21"/>
          <w:szCs w:val="21"/>
        </w:rPr>
        <w:t>方在收到</w:t>
      </w:r>
      <w:r>
        <w:rPr>
          <w:rFonts w:ascii="宋体" w:hAnsi="宋体" w:eastAsia="宋体" w:cs="宋体"/>
          <w:spacing w:val="-2"/>
          <w:sz w:val="21"/>
          <w:szCs w:val="21"/>
        </w:rPr>
        <w:t>你方以书面形式提出的在担保金额内的赔偿要求后，在</w:t>
      </w:r>
      <w:r>
        <w:rPr>
          <w:rFonts w:ascii="宋体" w:hAnsi="宋体" w:eastAsia="宋体" w:cs="宋体"/>
          <w:spacing w:val="-16"/>
          <w:sz w:val="21"/>
          <w:szCs w:val="21"/>
        </w:rPr>
        <w:t xml:space="preserve"> </w:t>
      </w:r>
      <w:r>
        <w:rPr>
          <w:rFonts w:ascii="宋体" w:hAnsi="宋体" w:eastAsia="宋体" w:cs="宋体"/>
          <w:spacing w:val="-2"/>
          <w:sz w:val="21"/>
          <w:szCs w:val="21"/>
        </w:rPr>
        <w:t>7</w:t>
      </w:r>
      <w:r>
        <w:rPr>
          <w:rFonts w:ascii="宋体" w:hAnsi="宋体" w:eastAsia="宋体" w:cs="宋体"/>
          <w:spacing w:val="-42"/>
          <w:sz w:val="21"/>
          <w:szCs w:val="21"/>
        </w:rPr>
        <w:t xml:space="preserve"> </w:t>
      </w:r>
      <w:r>
        <w:rPr>
          <w:rFonts w:ascii="宋体" w:hAnsi="宋体" w:eastAsia="宋体" w:cs="宋体"/>
          <w:spacing w:val="-2"/>
          <w:sz w:val="21"/>
          <w:szCs w:val="21"/>
        </w:rPr>
        <w:t>天内无条件支付。</w:t>
      </w:r>
    </w:p>
    <w:p w14:paraId="78ADF1E8">
      <w:pPr>
        <w:spacing w:before="158" w:line="220" w:lineRule="auto"/>
        <w:ind w:left="427"/>
        <w:rPr>
          <w:rFonts w:ascii="宋体" w:hAnsi="宋体" w:eastAsia="宋体" w:cs="宋体"/>
          <w:sz w:val="21"/>
          <w:szCs w:val="21"/>
        </w:rPr>
      </w:pPr>
      <w:r>
        <w:rPr>
          <w:rFonts w:ascii="宋体" w:hAnsi="宋体" w:eastAsia="宋体" w:cs="宋体"/>
          <w:spacing w:val="-1"/>
          <w:sz w:val="21"/>
          <w:szCs w:val="21"/>
        </w:rPr>
        <w:t>4. 你方和承包人按合同约定变更合同时，我方承担本担保规定的义务不变。</w:t>
      </w:r>
    </w:p>
    <w:p w14:paraId="2CF89CF3">
      <w:pPr>
        <w:spacing w:before="161" w:line="289" w:lineRule="auto"/>
        <w:ind w:left="9" w:firstLine="423"/>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45"/>
          <w:sz w:val="21"/>
          <w:szCs w:val="21"/>
        </w:rPr>
        <w:t xml:space="preserve"> </w:t>
      </w:r>
      <w:r>
        <w:rPr>
          <w:rFonts w:ascii="宋体" w:hAnsi="宋体" w:eastAsia="宋体" w:cs="宋体"/>
          <w:spacing w:val="-1"/>
          <w:sz w:val="21"/>
          <w:szCs w:val="21"/>
        </w:rPr>
        <w:t>因本保函发生的纠纷，可由双方协商解决，协商不成的，任何一方均可</w:t>
      </w:r>
      <w:r>
        <w:rPr>
          <w:rFonts w:ascii="宋体" w:hAnsi="宋体" w:eastAsia="宋体" w:cs="宋体"/>
          <w:spacing w:val="-2"/>
          <w:sz w:val="21"/>
          <w:szCs w:val="21"/>
        </w:rPr>
        <w:t>提请</w:t>
      </w:r>
      <w:r>
        <w:rPr>
          <w:rFonts w:ascii="宋体" w:hAnsi="宋体" w:eastAsia="宋体" w:cs="宋体"/>
          <w:spacing w:val="-105"/>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仲</w:t>
      </w:r>
      <w:r>
        <w:rPr>
          <w:rFonts w:ascii="宋体" w:hAnsi="宋体" w:eastAsia="宋体" w:cs="宋体"/>
          <w:spacing w:val="-3"/>
          <w:sz w:val="21"/>
          <w:szCs w:val="21"/>
        </w:rPr>
        <w:t>裁委员会仲裁。</w:t>
      </w:r>
    </w:p>
    <w:p w14:paraId="6965FABA">
      <w:pPr>
        <w:spacing w:before="158" w:line="220" w:lineRule="auto"/>
        <w:ind w:left="429"/>
        <w:rPr>
          <w:rFonts w:ascii="宋体" w:hAnsi="宋体" w:eastAsia="宋体" w:cs="宋体"/>
          <w:sz w:val="21"/>
          <w:szCs w:val="21"/>
        </w:rPr>
      </w:pPr>
      <w:r>
        <w:rPr>
          <w:rFonts w:ascii="宋体" w:hAnsi="宋体" w:eastAsia="宋体" w:cs="宋体"/>
          <w:sz w:val="21"/>
          <w:szCs w:val="21"/>
        </w:rPr>
        <w:t>6. 本保函自我方法定代表人（或其授权代理人）签字并加盖公章</w:t>
      </w:r>
      <w:r>
        <w:rPr>
          <w:rFonts w:ascii="宋体" w:hAnsi="宋体" w:eastAsia="宋体" w:cs="宋体"/>
          <w:spacing w:val="-1"/>
          <w:sz w:val="21"/>
          <w:szCs w:val="21"/>
        </w:rPr>
        <w:t>之日起生效。</w:t>
      </w:r>
    </w:p>
    <w:p w14:paraId="2EC52CDD">
      <w:pPr>
        <w:pStyle w:val="5"/>
        <w:spacing w:line="261" w:lineRule="auto"/>
      </w:pPr>
    </w:p>
    <w:p w14:paraId="7DF1EF91">
      <w:pPr>
        <w:pStyle w:val="5"/>
        <w:spacing w:line="261" w:lineRule="auto"/>
      </w:pPr>
    </w:p>
    <w:p w14:paraId="62A1758D">
      <w:pPr>
        <w:pStyle w:val="5"/>
        <w:spacing w:line="262" w:lineRule="auto"/>
      </w:pPr>
    </w:p>
    <w:p w14:paraId="163622E2">
      <w:pPr>
        <w:pStyle w:val="5"/>
        <w:spacing w:line="262" w:lineRule="auto"/>
      </w:pPr>
    </w:p>
    <w:p w14:paraId="0D865D19">
      <w:pPr>
        <w:pStyle w:val="5"/>
        <w:spacing w:line="262" w:lineRule="auto"/>
      </w:pPr>
    </w:p>
    <w:p w14:paraId="39C698AC">
      <w:pPr>
        <w:spacing w:before="69" w:line="220" w:lineRule="auto"/>
        <w:ind w:left="2844"/>
        <w:rPr>
          <w:rFonts w:ascii="宋体" w:hAnsi="宋体" w:eastAsia="宋体" w:cs="宋体"/>
          <w:sz w:val="21"/>
          <w:szCs w:val="21"/>
        </w:rPr>
      </w:pPr>
      <w:r>
        <w:rPr>
          <w:rFonts w:ascii="宋体" w:hAnsi="宋体" w:eastAsia="宋体" w:cs="宋体"/>
          <w:spacing w:val="-2"/>
          <w:sz w:val="21"/>
          <w:szCs w:val="21"/>
        </w:rPr>
        <w:t>担 保</w:t>
      </w:r>
      <w:r>
        <w:rPr>
          <w:rFonts w:ascii="宋体" w:hAnsi="宋体" w:eastAsia="宋体" w:cs="宋体"/>
          <w:spacing w:val="8"/>
          <w:sz w:val="21"/>
          <w:szCs w:val="21"/>
        </w:rPr>
        <w:t xml:space="preserve"> </w:t>
      </w:r>
      <w:r>
        <w:rPr>
          <w:rFonts w:ascii="宋体" w:hAnsi="宋体" w:eastAsia="宋体" w:cs="宋体"/>
          <w:spacing w:val="-2"/>
          <w:sz w:val="21"/>
          <w:szCs w:val="21"/>
        </w:rPr>
        <w:t>人：</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（盖单位章）</w:t>
      </w:r>
    </w:p>
    <w:p w14:paraId="35A4FE4C">
      <w:pPr>
        <w:spacing w:before="157" w:line="221" w:lineRule="auto"/>
        <w:ind w:left="2844"/>
        <w:rPr>
          <w:rFonts w:ascii="宋体" w:hAnsi="宋体" w:eastAsia="宋体" w:cs="宋体"/>
          <w:sz w:val="21"/>
          <w:szCs w:val="21"/>
        </w:rPr>
      </w:pPr>
      <w:r>
        <w:rPr>
          <w:rFonts w:ascii="宋体" w:hAnsi="宋体" w:eastAsia="宋体" w:cs="宋体"/>
          <w:spacing w:val="1"/>
          <w:sz w:val="21"/>
          <w:szCs w:val="21"/>
        </w:rPr>
        <w:t>法定代表人或其委托代理人</w:t>
      </w:r>
      <w:r>
        <w:rPr>
          <w:rFonts w:ascii="宋体" w:hAnsi="宋体" w:eastAsia="宋体" w:cs="宋体"/>
          <w:spacing w:val="-15"/>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1"/>
          <w:sz w:val="21"/>
          <w:szCs w:val="21"/>
        </w:rPr>
        <w:t>签字）</w:t>
      </w:r>
    </w:p>
    <w:p w14:paraId="4895F36D">
      <w:pPr>
        <w:spacing w:before="157" w:line="230" w:lineRule="auto"/>
        <w:ind w:left="2843"/>
        <w:rPr>
          <w:rFonts w:ascii="宋体" w:hAnsi="宋体" w:eastAsia="宋体" w:cs="宋体"/>
          <w:sz w:val="21"/>
          <w:szCs w:val="21"/>
        </w:rPr>
      </w:pPr>
      <w:r>
        <w:rPr>
          <w:rFonts w:ascii="宋体" w:hAnsi="宋体" w:eastAsia="宋体" w:cs="宋体"/>
          <w:spacing w:val="-12"/>
          <w:sz w:val="21"/>
          <w:szCs w:val="21"/>
        </w:rPr>
        <w:t>地</w:t>
      </w:r>
      <w:r>
        <w:rPr>
          <w:rFonts w:ascii="宋体" w:hAnsi="宋体" w:eastAsia="宋体" w:cs="宋体"/>
          <w:spacing w:val="2"/>
          <w:sz w:val="21"/>
          <w:szCs w:val="21"/>
        </w:rPr>
        <w:t xml:space="preserve">    </w:t>
      </w:r>
      <w:r>
        <w:rPr>
          <w:rFonts w:ascii="宋体" w:hAnsi="宋体" w:eastAsia="宋体" w:cs="宋体"/>
          <w:spacing w:val="-12"/>
          <w:sz w:val="21"/>
          <w:szCs w:val="21"/>
        </w:rPr>
        <w:t>址：</w:t>
      </w:r>
    </w:p>
    <w:p w14:paraId="40CC4680">
      <w:pPr>
        <w:spacing w:before="146" w:line="221" w:lineRule="auto"/>
        <w:ind w:left="2858"/>
        <w:rPr>
          <w:rFonts w:ascii="宋体" w:hAnsi="宋体" w:eastAsia="宋体" w:cs="宋体"/>
          <w:sz w:val="21"/>
          <w:szCs w:val="21"/>
        </w:rPr>
      </w:pPr>
      <w:r>
        <w:rPr>
          <w:rFonts w:ascii="宋体" w:hAnsi="宋体" w:eastAsia="宋体" w:cs="宋体"/>
          <w:spacing w:val="-9"/>
          <w:sz w:val="21"/>
          <w:szCs w:val="21"/>
        </w:rPr>
        <w:t>邮政编码：</w:t>
      </w:r>
    </w:p>
    <w:p w14:paraId="1D4480E8">
      <w:pPr>
        <w:spacing w:before="159" w:line="223" w:lineRule="auto"/>
        <w:ind w:left="2867"/>
        <w:rPr>
          <w:rFonts w:ascii="宋体" w:hAnsi="宋体" w:eastAsia="宋体" w:cs="宋体"/>
          <w:sz w:val="21"/>
          <w:szCs w:val="21"/>
        </w:rPr>
      </w:pPr>
      <w:r>
        <w:rPr>
          <w:rFonts w:ascii="宋体" w:hAnsi="宋体" w:eastAsia="宋体" w:cs="宋体"/>
          <w:spacing w:val="-20"/>
          <w:sz w:val="21"/>
          <w:szCs w:val="21"/>
        </w:rPr>
        <w:t>电</w:t>
      </w:r>
      <w:r>
        <w:rPr>
          <w:rFonts w:ascii="宋体" w:hAnsi="宋体" w:eastAsia="宋体" w:cs="宋体"/>
          <w:spacing w:val="2"/>
          <w:sz w:val="21"/>
          <w:szCs w:val="21"/>
        </w:rPr>
        <w:t xml:space="preserve">    </w:t>
      </w:r>
      <w:r>
        <w:rPr>
          <w:rFonts w:ascii="宋体" w:hAnsi="宋体" w:eastAsia="宋体" w:cs="宋体"/>
          <w:spacing w:val="-20"/>
          <w:sz w:val="21"/>
          <w:szCs w:val="21"/>
        </w:rPr>
        <w:t>话：</w:t>
      </w:r>
    </w:p>
    <w:p w14:paraId="118D1462">
      <w:pPr>
        <w:spacing w:before="155" w:line="220" w:lineRule="auto"/>
        <w:ind w:left="2841"/>
        <w:rPr>
          <w:rFonts w:ascii="宋体" w:hAnsi="宋体" w:eastAsia="宋体" w:cs="宋体"/>
          <w:sz w:val="21"/>
          <w:szCs w:val="21"/>
        </w:rPr>
      </w:pPr>
      <w:r>
        <w:rPr>
          <w:rFonts w:ascii="宋体" w:hAnsi="宋体" w:eastAsia="宋体" w:cs="宋体"/>
          <w:spacing w:val="-12"/>
          <w:sz w:val="21"/>
          <w:szCs w:val="21"/>
        </w:rPr>
        <w:t>传</w:t>
      </w:r>
      <w:r>
        <w:rPr>
          <w:rFonts w:ascii="宋体" w:hAnsi="宋体" w:eastAsia="宋体" w:cs="宋体"/>
          <w:spacing w:val="2"/>
          <w:sz w:val="21"/>
          <w:szCs w:val="21"/>
        </w:rPr>
        <w:t xml:space="preserve">    </w:t>
      </w:r>
      <w:r>
        <w:rPr>
          <w:rFonts w:ascii="宋体" w:hAnsi="宋体" w:eastAsia="宋体" w:cs="宋体"/>
          <w:spacing w:val="-12"/>
          <w:sz w:val="21"/>
          <w:szCs w:val="21"/>
        </w:rPr>
        <w:t>真：</w:t>
      </w:r>
    </w:p>
    <w:p w14:paraId="38663E9D">
      <w:pPr>
        <w:pStyle w:val="5"/>
        <w:spacing w:line="247" w:lineRule="auto"/>
      </w:pPr>
    </w:p>
    <w:p w14:paraId="573AB218">
      <w:pPr>
        <w:pStyle w:val="5"/>
        <w:spacing w:line="247" w:lineRule="auto"/>
      </w:pPr>
    </w:p>
    <w:p w14:paraId="2CD712FA">
      <w:pPr>
        <w:tabs>
          <w:tab w:val="left" w:pos="5355"/>
        </w:tabs>
        <w:spacing w:before="68" w:line="221" w:lineRule="auto"/>
        <w:ind w:left="420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638835EF">
      <w:pPr>
        <w:spacing w:line="221" w:lineRule="auto"/>
        <w:rPr>
          <w:rFonts w:ascii="宋体" w:hAnsi="宋体" w:eastAsia="宋体" w:cs="宋体"/>
          <w:sz w:val="21"/>
          <w:szCs w:val="21"/>
        </w:rPr>
        <w:sectPr>
          <w:footerReference r:id="rId141" w:type="default"/>
          <w:pgSz w:w="11905" w:h="16843"/>
          <w:pgMar w:top="969" w:right="1355" w:bottom="1026" w:left="1480" w:header="0" w:footer="754" w:gutter="0"/>
          <w:cols w:space="0" w:num="1"/>
          <w:rtlGutter w:val="0"/>
          <w:docGrid w:linePitch="0" w:charSpace="0"/>
        </w:sectPr>
      </w:pPr>
    </w:p>
    <w:p w14:paraId="5DAA089F">
      <w:pPr>
        <w:pStyle w:val="5"/>
        <w:spacing w:line="272" w:lineRule="auto"/>
      </w:pPr>
    </w:p>
    <w:p w14:paraId="14DC3A59">
      <w:pPr>
        <w:pStyle w:val="5"/>
        <w:spacing w:line="272" w:lineRule="auto"/>
      </w:pPr>
    </w:p>
    <w:p w14:paraId="0DB3E84C">
      <w:pPr>
        <w:pStyle w:val="5"/>
        <w:spacing w:line="272" w:lineRule="auto"/>
      </w:pPr>
    </w:p>
    <w:p w14:paraId="1167786A">
      <w:pPr>
        <w:pStyle w:val="5"/>
        <w:spacing w:line="272" w:lineRule="auto"/>
      </w:pPr>
    </w:p>
    <w:p w14:paraId="3314932D">
      <w:pPr>
        <w:pStyle w:val="5"/>
        <w:spacing w:line="273" w:lineRule="auto"/>
      </w:pPr>
    </w:p>
    <w:p w14:paraId="11F08A3D">
      <w:pPr>
        <w:spacing w:before="78" w:line="219" w:lineRule="auto"/>
        <w:ind w:left="28"/>
        <w:rPr>
          <w:rFonts w:ascii="宋体" w:hAnsi="宋体" w:eastAsia="宋体" w:cs="宋体"/>
          <w:sz w:val="24"/>
          <w:szCs w:val="24"/>
        </w:rPr>
      </w:pPr>
      <w:bookmarkStart w:id="1234" w:name="bookmark600"/>
      <w:bookmarkEnd w:id="1234"/>
      <w:r>
        <w:rPr>
          <w:rFonts w:ascii="宋体" w:hAnsi="宋体" w:eastAsia="宋体" w:cs="宋体"/>
          <w:spacing w:val="-8"/>
          <w:sz w:val="24"/>
          <w:szCs w:val="24"/>
        </w:rPr>
        <w:t>附件</w:t>
      </w:r>
      <w:r>
        <w:rPr>
          <w:rFonts w:ascii="宋体" w:hAnsi="宋体" w:eastAsia="宋体" w:cs="宋体"/>
          <w:spacing w:val="-50"/>
          <w:sz w:val="24"/>
          <w:szCs w:val="24"/>
        </w:rPr>
        <w:t xml:space="preserve"> </w:t>
      </w:r>
      <w:r>
        <w:rPr>
          <w:rFonts w:ascii="宋体" w:hAnsi="宋体" w:eastAsia="宋体" w:cs="宋体"/>
          <w:spacing w:val="-8"/>
          <w:sz w:val="24"/>
          <w:szCs w:val="24"/>
        </w:rPr>
        <w:t>9 ：</w:t>
      </w:r>
    </w:p>
    <w:p w14:paraId="0B1F13EB">
      <w:pPr>
        <w:spacing w:before="240" w:line="219" w:lineRule="auto"/>
        <w:ind w:left="3767"/>
        <w:rPr>
          <w:rFonts w:ascii="黑体" w:hAnsi="黑体" w:eastAsia="黑体" w:cs="黑体"/>
          <w:sz w:val="28"/>
          <w:szCs w:val="28"/>
        </w:rPr>
      </w:pPr>
      <w:r>
        <w:rPr>
          <w:rFonts w:ascii="黑体" w:hAnsi="黑体" w:eastAsia="黑体" w:cs="黑体"/>
          <w:spacing w:val="-3"/>
          <w:sz w:val="28"/>
          <w:szCs w:val="28"/>
        </w:rPr>
        <w:t>预付款担保</w:t>
      </w:r>
    </w:p>
    <w:p w14:paraId="3CEB7E28">
      <w:pPr>
        <w:pStyle w:val="5"/>
        <w:spacing w:line="242" w:lineRule="auto"/>
      </w:pPr>
    </w:p>
    <w:p w14:paraId="4EACF488">
      <w:pPr>
        <w:pStyle w:val="5"/>
        <w:spacing w:line="242" w:lineRule="auto"/>
      </w:pPr>
    </w:p>
    <w:p w14:paraId="419284FB">
      <w:pPr>
        <w:tabs>
          <w:tab w:val="left" w:pos="2205"/>
        </w:tabs>
        <w:spacing w:before="68"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 xml:space="preserve"> </w:t>
      </w:r>
      <w:r>
        <w:rPr>
          <w:rFonts w:ascii="宋体" w:hAnsi="宋体" w:eastAsia="宋体" w:cs="宋体"/>
          <w:sz w:val="21"/>
          <w:szCs w:val="21"/>
        </w:rPr>
        <w:t>（发包人名称</w:t>
      </w:r>
      <w:r>
        <w:rPr>
          <w:rFonts w:ascii="宋体" w:hAnsi="宋体" w:eastAsia="宋体" w:cs="宋体"/>
          <w:spacing w:val="-54"/>
          <w:w w:val="97"/>
          <w:sz w:val="21"/>
          <w:szCs w:val="21"/>
        </w:rPr>
        <w:t>）：</w:t>
      </w:r>
    </w:p>
    <w:p w14:paraId="3D37BB17">
      <w:pPr>
        <w:pStyle w:val="5"/>
        <w:spacing w:line="247" w:lineRule="auto"/>
      </w:pPr>
    </w:p>
    <w:p w14:paraId="157E76EC">
      <w:pPr>
        <w:pStyle w:val="5"/>
        <w:spacing w:line="247" w:lineRule="auto"/>
      </w:pPr>
    </w:p>
    <w:p w14:paraId="1D2E9EF8">
      <w:pPr>
        <w:spacing w:before="68" w:line="359" w:lineRule="auto"/>
        <w:ind w:left="7" w:firstLine="420"/>
        <w:jc w:val="both"/>
        <w:rPr>
          <w:rFonts w:ascii="宋体" w:hAnsi="宋体" w:eastAsia="宋体" w:cs="宋体"/>
          <w:sz w:val="21"/>
          <w:szCs w:val="21"/>
        </w:rPr>
      </w:pPr>
      <w:r>
        <w:rPr>
          <w:rFonts w:ascii="宋体" w:hAnsi="宋体" w:eastAsia="宋体" w:cs="宋体"/>
          <w:spacing w:val="-3"/>
          <w:sz w:val="21"/>
          <w:szCs w:val="21"/>
        </w:rPr>
        <w:t>根</w:t>
      </w:r>
      <w:r>
        <w:rPr>
          <w:rFonts w:ascii="宋体" w:hAnsi="宋体" w:eastAsia="宋体" w:cs="宋体"/>
          <w:spacing w:val="-47"/>
          <w:sz w:val="21"/>
          <w:szCs w:val="21"/>
        </w:rPr>
        <w:t xml:space="preserve"> </w:t>
      </w:r>
      <w:r>
        <w:rPr>
          <w:rFonts w:ascii="宋体" w:hAnsi="宋体" w:eastAsia="宋体" w:cs="宋体"/>
          <w:spacing w:val="-3"/>
          <w:sz w:val="21"/>
          <w:szCs w:val="21"/>
        </w:rPr>
        <w:t>据</w:t>
      </w:r>
      <w:r>
        <w:rPr>
          <w:rFonts w:ascii="宋体" w:hAnsi="宋体" w:eastAsia="宋体" w:cs="宋体"/>
          <w:spacing w:val="-53"/>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3"/>
          <w:sz w:val="21"/>
          <w:szCs w:val="21"/>
        </w:rPr>
        <w:t>（承</w:t>
      </w:r>
      <w:r>
        <w:rPr>
          <w:rFonts w:ascii="宋体" w:hAnsi="宋体" w:eastAsia="宋体" w:cs="宋体"/>
          <w:spacing w:val="-40"/>
          <w:sz w:val="21"/>
          <w:szCs w:val="21"/>
        </w:rPr>
        <w:t xml:space="preserve"> </w:t>
      </w:r>
      <w:r>
        <w:rPr>
          <w:rFonts w:ascii="宋体" w:hAnsi="宋体" w:eastAsia="宋体" w:cs="宋体"/>
          <w:spacing w:val="-3"/>
          <w:sz w:val="21"/>
          <w:szCs w:val="21"/>
        </w:rPr>
        <w:t>包</w:t>
      </w:r>
      <w:r>
        <w:rPr>
          <w:rFonts w:ascii="宋体" w:hAnsi="宋体" w:eastAsia="宋体" w:cs="宋体"/>
          <w:spacing w:val="-45"/>
          <w:sz w:val="21"/>
          <w:szCs w:val="21"/>
        </w:rPr>
        <w:t xml:space="preserve"> </w:t>
      </w:r>
      <w:r>
        <w:rPr>
          <w:rFonts w:ascii="宋体" w:hAnsi="宋体" w:eastAsia="宋体" w:cs="宋体"/>
          <w:spacing w:val="-3"/>
          <w:sz w:val="21"/>
          <w:szCs w:val="21"/>
        </w:rPr>
        <w:t>人</w:t>
      </w:r>
      <w:r>
        <w:rPr>
          <w:rFonts w:ascii="宋体" w:hAnsi="宋体" w:eastAsia="宋体" w:cs="宋体"/>
          <w:spacing w:val="-44"/>
          <w:sz w:val="21"/>
          <w:szCs w:val="21"/>
        </w:rPr>
        <w:t xml:space="preserve"> </w:t>
      </w:r>
      <w:r>
        <w:rPr>
          <w:rFonts w:ascii="宋体" w:hAnsi="宋体" w:eastAsia="宋体" w:cs="宋体"/>
          <w:spacing w:val="-3"/>
          <w:sz w:val="21"/>
          <w:szCs w:val="21"/>
        </w:rPr>
        <w:t>名</w:t>
      </w:r>
      <w:r>
        <w:rPr>
          <w:rFonts w:ascii="宋体" w:hAnsi="宋体" w:eastAsia="宋体" w:cs="宋体"/>
          <w:spacing w:val="-47"/>
          <w:sz w:val="21"/>
          <w:szCs w:val="21"/>
        </w:rPr>
        <w:t xml:space="preserve"> </w:t>
      </w:r>
      <w:r>
        <w:rPr>
          <w:rFonts w:ascii="宋体" w:hAnsi="宋体" w:eastAsia="宋体" w:cs="宋体"/>
          <w:spacing w:val="-3"/>
          <w:sz w:val="21"/>
          <w:szCs w:val="21"/>
        </w:rPr>
        <w:t>称</w:t>
      </w:r>
      <w:r>
        <w:rPr>
          <w:rFonts w:ascii="宋体" w:hAnsi="宋体" w:eastAsia="宋体" w:cs="宋体"/>
          <w:spacing w:val="-22"/>
          <w:sz w:val="21"/>
          <w:szCs w:val="21"/>
        </w:rPr>
        <w:t xml:space="preserve"> </w:t>
      </w:r>
      <w:r>
        <w:rPr>
          <w:rFonts w:ascii="宋体" w:hAnsi="宋体" w:eastAsia="宋体" w:cs="宋体"/>
          <w:spacing w:val="-52"/>
          <w:sz w:val="21"/>
          <w:szCs w:val="21"/>
        </w:rPr>
        <w:t>）（</w:t>
      </w:r>
      <w:r>
        <w:rPr>
          <w:rFonts w:ascii="宋体" w:hAnsi="宋体" w:eastAsia="宋体" w:cs="宋体"/>
          <w:spacing w:val="-3"/>
          <w:sz w:val="21"/>
          <w:szCs w:val="21"/>
        </w:rPr>
        <w:t>以</w:t>
      </w:r>
      <w:r>
        <w:rPr>
          <w:rFonts w:ascii="宋体" w:hAnsi="宋体" w:eastAsia="宋体" w:cs="宋体"/>
          <w:spacing w:val="-40"/>
          <w:sz w:val="21"/>
          <w:szCs w:val="21"/>
        </w:rPr>
        <w:t xml:space="preserve"> </w:t>
      </w:r>
      <w:r>
        <w:rPr>
          <w:rFonts w:ascii="宋体" w:hAnsi="宋体" w:eastAsia="宋体" w:cs="宋体"/>
          <w:spacing w:val="-3"/>
          <w:sz w:val="21"/>
          <w:szCs w:val="21"/>
        </w:rPr>
        <w:t>下</w:t>
      </w:r>
      <w:r>
        <w:rPr>
          <w:rFonts w:ascii="宋体" w:hAnsi="宋体" w:eastAsia="宋体" w:cs="宋体"/>
          <w:spacing w:val="-47"/>
          <w:sz w:val="21"/>
          <w:szCs w:val="21"/>
        </w:rPr>
        <w:t xml:space="preserve"> </w:t>
      </w:r>
      <w:r>
        <w:rPr>
          <w:rFonts w:ascii="宋体" w:hAnsi="宋体" w:eastAsia="宋体" w:cs="宋体"/>
          <w:spacing w:val="-3"/>
          <w:sz w:val="21"/>
          <w:szCs w:val="21"/>
        </w:rPr>
        <w:t>称</w:t>
      </w:r>
      <w:r>
        <w:rPr>
          <w:rFonts w:ascii="宋体" w:hAnsi="宋体" w:eastAsia="宋体" w:cs="宋体"/>
          <w:spacing w:val="-49"/>
          <w:sz w:val="21"/>
          <w:szCs w:val="21"/>
        </w:rPr>
        <w:t xml:space="preserve"> </w:t>
      </w:r>
      <w:r>
        <w:rPr>
          <w:rFonts w:ascii="宋体" w:hAnsi="宋体" w:eastAsia="宋体" w:cs="宋体"/>
          <w:spacing w:val="-3"/>
          <w:sz w:val="21"/>
          <w:szCs w:val="21"/>
        </w:rPr>
        <w:t>“</w:t>
      </w:r>
      <w:r>
        <w:rPr>
          <w:rFonts w:ascii="宋体" w:hAnsi="宋体" w:eastAsia="宋体" w:cs="宋体"/>
          <w:spacing w:val="-46"/>
          <w:sz w:val="21"/>
          <w:szCs w:val="21"/>
        </w:rPr>
        <w:t xml:space="preserve"> </w:t>
      </w:r>
      <w:r>
        <w:rPr>
          <w:rFonts w:ascii="宋体" w:hAnsi="宋体" w:eastAsia="宋体" w:cs="宋体"/>
          <w:spacing w:val="-3"/>
          <w:sz w:val="21"/>
          <w:szCs w:val="21"/>
        </w:rPr>
        <w:t>承</w:t>
      </w:r>
      <w:r>
        <w:rPr>
          <w:rFonts w:ascii="宋体" w:hAnsi="宋体" w:eastAsia="宋体" w:cs="宋体"/>
          <w:spacing w:val="-46"/>
          <w:sz w:val="21"/>
          <w:szCs w:val="21"/>
        </w:rPr>
        <w:t xml:space="preserve"> </w:t>
      </w:r>
      <w:r>
        <w:rPr>
          <w:rFonts w:ascii="宋体" w:hAnsi="宋体" w:eastAsia="宋体" w:cs="宋体"/>
          <w:spacing w:val="-3"/>
          <w:sz w:val="21"/>
          <w:szCs w:val="21"/>
        </w:rPr>
        <w:t>包</w:t>
      </w:r>
      <w:r>
        <w:rPr>
          <w:rFonts w:ascii="宋体" w:hAnsi="宋体" w:eastAsia="宋体" w:cs="宋体"/>
          <w:spacing w:val="-45"/>
          <w:sz w:val="21"/>
          <w:szCs w:val="21"/>
        </w:rPr>
        <w:t xml:space="preserve"> </w:t>
      </w:r>
      <w:r>
        <w:rPr>
          <w:rFonts w:ascii="宋体" w:hAnsi="宋体" w:eastAsia="宋体" w:cs="宋体"/>
          <w:spacing w:val="-3"/>
          <w:sz w:val="21"/>
          <w:szCs w:val="21"/>
        </w:rPr>
        <w:t>人</w:t>
      </w:r>
      <w:r>
        <w:rPr>
          <w:rFonts w:ascii="宋体" w:hAnsi="宋体" w:eastAsia="宋体" w:cs="宋体"/>
          <w:spacing w:val="-24"/>
          <w:sz w:val="21"/>
          <w:szCs w:val="21"/>
        </w:rPr>
        <w:t xml:space="preserve"> </w:t>
      </w:r>
      <w:r>
        <w:rPr>
          <w:rFonts w:ascii="宋体" w:hAnsi="宋体" w:eastAsia="宋体" w:cs="宋体"/>
          <w:spacing w:val="-3"/>
          <w:sz w:val="21"/>
          <w:szCs w:val="21"/>
        </w:rPr>
        <w:t>”）</w:t>
      </w:r>
      <w:r>
        <w:rPr>
          <w:rFonts w:ascii="宋体" w:hAnsi="宋体" w:eastAsia="宋体" w:cs="宋体"/>
          <w:spacing w:val="-42"/>
          <w:sz w:val="21"/>
          <w:szCs w:val="21"/>
        </w:rPr>
        <w:t xml:space="preserve"> </w:t>
      </w:r>
      <w:r>
        <w:rPr>
          <w:rFonts w:ascii="宋体" w:hAnsi="宋体" w:eastAsia="宋体" w:cs="宋体"/>
          <w:spacing w:val="-3"/>
          <w:sz w:val="21"/>
          <w:szCs w:val="21"/>
        </w:rPr>
        <w:t>与</w:t>
      </w:r>
      <w:r>
        <w:rPr>
          <w:rFonts w:ascii="宋体" w:hAnsi="宋体" w:eastAsia="宋体" w:cs="宋体"/>
          <w:spacing w:val="-9"/>
          <w:sz w:val="21"/>
          <w:szCs w:val="21"/>
        </w:rPr>
        <w:t>（发包人名称</w:t>
      </w:r>
      <w:r>
        <w:rPr>
          <w:rFonts w:ascii="宋体" w:hAnsi="宋体" w:eastAsia="宋体" w:cs="宋体"/>
          <w:spacing w:val="-30"/>
          <w:sz w:val="21"/>
          <w:szCs w:val="21"/>
        </w:rPr>
        <w:t>）（</w:t>
      </w:r>
      <w:r>
        <w:rPr>
          <w:rFonts w:ascii="宋体" w:hAnsi="宋体" w:eastAsia="宋体" w:cs="宋体"/>
          <w:spacing w:val="-9"/>
          <w:sz w:val="21"/>
          <w:szCs w:val="21"/>
        </w:rPr>
        <w:t>以下简称“发包人</w:t>
      </w:r>
      <w:r>
        <w:rPr>
          <w:rFonts w:ascii="宋体" w:hAnsi="宋体" w:eastAsia="宋体" w:cs="宋体"/>
          <w:spacing w:val="-76"/>
          <w:sz w:val="21"/>
          <w:szCs w:val="21"/>
        </w:rPr>
        <w:t xml:space="preserve"> </w:t>
      </w:r>
      <w:r>
        <w:rPr>
          <w:rFonts w:ascii="宋体" w:hAnsi="宋体" w:eastAsia="宋体" w:cs="宋体"/>
          <w:spacing w:val="-9"/>
          <w:sz w:val="21"/>
          <w:szCs w:val="21"/>
        </w:rPr>
        <w:t>”）于</w:t>
      </w:r>
      <w:r>
        <w:rPr>
          <w:rFonts w:ascii="宋体" w:hAnsi="宋体" w:eastAsia="宋体" w:cs="宋体"/>
          <w:spacing w:val="-9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9"/>
          <w:sz w:val="21"/>
          <w:szCs w:val="21"/>
        </w:rPr>
        <w:t>年</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9"/>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9"/>
          <w:sz w:val="21"/>
          <w:szCs w:val="21"/>
        </w:rPr>
        <w:t>日签订的</w:t>
      </w:r>
      <w:r>
        <w:rPr>
          <w:rFonts w:ascii="宋体" w:hAnsi="宋体" w:eastAsia="宋体" w:cs="宋体"/>
          <w:spacing w:val="2"/>
          <w:sz w:val="21"/>
          <w:szCs w:val="21"/>
          <w:u w:val="single" w:color="auto"/>
        </w:rPr>
        <w:t xml:space="preserve">                   </w:t>
      </w:r>
      <w:r>
        <w:rPr>
          <w:rFonts w:ascii="宋体" w:hAnsi="宋体" w:eastAsia="宋体" w:cs="宋体"/>
          <w:spacing w:val="-9"/>
          <w:sz w:val="21"/>
          <w:szCs w:val="21"/>
        </w:rPr>
        <w:t>（工</w:t>
      </w:r>
      <w:r>
        <w:rPr>
          <w:rFonts w:ascii="宋体" w:hAnsi="宋体" w:eastAsia="宋体" w:cs="宋体"/>
          <w:spacing w:val="-3"/>
          <w:sz w:val="21"/>
          <w:szCs w:val="21"/>
        </w:rPr>
        <w:t>程名称）《建设工程施工合同》，承包人按约定的金额向你方提交一份预付款担保，即有权得</w:t>
      </w:r>
      <w:r>
        <w:rPr>
          <w:rFonts w:ascii="宋体" w:hAnsi="宋体" w:eastAsia="宋体" w:cs="宋体"/>
          <w:spacing w:val="-4"/>
          <w:sz w:val="21"/>
          <w:szCs w:val="21"/>
        </w:rPr>
        <w:t>到你</w:t>
      </w:r>
      <w:r>
        <w:rPr>
          <w:rFonts w:ascii="宋体" w:hAnsi="宋体" w:eastAsia="宋体" w:cs="宋体"/>
          <w:sz w:val="21"/>
          <w:szCs w:val="21"/>
        </w:rPr>
        <w:t>方支付相等金额的预付款。我方愿意就你方提供给承包人的</w:t>
      </w:r>
      <w:r>
        <w:rPr>
          <w:rFonts w:ascii="宋体" w:hAnsi="宋体" w:eastAsia="宋体" w:cs="宋体"/>
          <w:spacing w:val="-1"/>
          <w:sz w:val="21"/>
          <w:szCs w:val="21"/>
        </w:rPr>
        <w:t>预付款为承包人提供连带责任担保。</w:t>
      </w:r>
    </w:p>
    <w:p w14:paraId="4F0FE96C">
      <w:pPr>
        <w:spacing w:before="1" w:line="219" w:lineRule="auto"/>
        <w:ind w:left="443"/>
        <w:rPr>
          <w:rFonts w:ascii="宋体" w:hAnsi="宋体" w:eastAsia="宋体" w:cs="宋体"/>
          <w:sz w:val="21"/>
          <w:szCs w:val="21"/>
        </w:rPr>
      </w:pPr>
      <w:r>
        <w:rPr>
          <w:rFonts w:ascii="宋体" w:hAnsi="宋体" w:eastAsia="宋体" w:cs="宋体"/>
          <w:spacing w:val="-3"/>
          <w:sz w:val="21"/>
          <w:szCs w:val="21"/>
        </w:rPr>
        <w:t>1. 担保金额人民币（大写）</w:t>
      </w:r>
      <w:r>
        <w:rPr>
          <w:rFonts w:ascii="宋体" w:hAnsi="宋体" w:eastAsia="宋体" w:cs="宋体"/>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3"/>
          <w:sz w:val="21"/>
          <w:szCs w:val="21"/>
        </w:rPr>
        <w:t>元 (¥</w:t>
      </w:r>
      <w:r>
        <w:rPr>
          <w:rFonts w:ascii="宋体" w:hAnsi="宋体" w:eastAsia="宋体" w:cs="宋体"/>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3"/>
          <w:sz w:val="21"/>
          <w:szCs w:val="21"/>
        </w:rPr>
        <w:t>)。</w:t>
      </w:r>
    </w:p>
    <w:p w14:paraId="0A0D6270">
      <w:pPr>
        <w:spacing w:before="158" w:line="290" w:lineRule="auto"/>
        <w:ind w:left="8" w:right="3" w:firstLine="422"/>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60"/>
          <w:sz w:val="21"/>
          <w:szCs w:val="21"/>
        </w:rPr>
        <w:t xml:space="preserve"> </w:t>
      </w:r>
      <w:r>
        <w:rPr>
          <w:rFonts w:ascii="宋体" w:hAnsi="宋体" w:eastAsia="宋体" w:cs="宋体"/>
          <w:spacing w:val="3"/>
          <w:sz w:val="21"/>
          <w:szCs w:val="21"/>
        </w:rPr>
        <w:t>担保有效期自预付款支付给承包人起生效，至你方签发的进度款支付证书说明已</w:t>
      </w:r>
      <w:r>
        <w:rPr>
          <w:rFonts w:ascii="宋体" w:hAnsi="宋体" w:eastAsia="宋体" w:cs="宋体"/>
          <w:spacing w:val="2"/>
          <w:sz w:val="21"/>
          <w:szCs w:val="21"/>
        </w:rPr>
        <w:t>完全扣</w:t>
      </w:r>
      <w:r>
        <w:rPr>
          <w:rFonts w:ascii="宋体" w:hAnsi="宋体" w:eastAsia="宋体" w:cs="宋体"/>
          <w:spacing w:val="-8"/>
          <w:sz w:val="21"/>
          <w:szCs w:val="21"/>
        </w:rPr>
        <w:t>清止。</w:t>
      </w:r>
    </w:p>
    <w:p w14:paraId="15640635">
      <w:pPr>
        <w:spacing w:before="157" w:line="313" w:lineRule="auto"/>
        <w:ind w:left="8" w:right="3" w:firstLine="424"/>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59"/>
          <w:sz w:val="21"/>
          <w:szCs w:val="21"/>
        </w:rPr>
        <w:t xml:space="preserve"> </w:t>
      </w:r>
      <w:r>
        <w:rPr>
          <w:rFonts w:ascii="宋体" w:hAnsi="宋体" w:eastAsia="宋体" w:cs="宋体"/>
          <w:spacing w:val="3"/>
          <w:sz w:val="21"/>
          <w:szCs w:val="21"/>
        </w:rPr>
        <w:t>在本保函有效期内，因承包人违反合同约定的义务而要求收回预付款时，我方在</w:t>
      </w:r>
      <w:r>
        <w:rPr>
          <w:rFonts w:ascii="宋体" w:hAnsi="宋体" w:eastAsia="宋体" w:cs="宋体"/>
          <w:spacing w:val="2"/>
          <w:sz w:val="21"/>
          <w:szCs w:val="21"/>
        </w:rPr>
        <w:t>收到你</w:t>
      </w:r>
      <w:r>
        <w:rPr>
          <w:rFonts w:ascii="宋体" w:hAnsi="宋体" w:eastAsia="宋体" w:cs="宋体"/>
          <w:spacing w:val="4"/>
          <w:sz w:val="21"/>
          <w:szCs w:val="21"/>
        </w:rPr>
        <w:t>方的书面通知后，在7天内无条件支付。但本保函的担保金额，在任何时候不应超过预付款金额</w:t>
      </w:r>
      <w:r>
        <w:rPr>
          <w:rFonts w:ascii="宋体" w:hAnsi="宋体" w:eastAsia="宋体" w:cs="宋体"/>
          <w:spacing w:val="-1"/>
          <w:sz w:val="21"/>
          <w:szCs w:val="21"/>
        </w:rPr>
        <w:t>减去你方按合同约定在向承包人签发的进度款支付证书中扣除的金额。</w:t>
      </w:r>
    </w:p>
    <w:p w14:paraId="1D9E7DEB">
      <w:pPr>
        <w:spacing w:before="158" w:line="220" w:lineRule="auto"/>
        <w:ind w:left="427"/>
        <w:rPr>
          <w:rFonts w:ascii="宋体" w:hAnsi="宋体" w:eastAsia="宋体" w:cs="宋体"/>
          <w:sz w:val="21"/>
          <w:szCs w:val="21"/>
        </w:rPr>
      </w:pPr>
      <w:r>
        <w:rPr>
          <w:rFonts w:ascii="宋体" w:hAnsi="宋体" w:eastAsia="宋体" w:cs="宋体"/>
          <w:spacing w:val="-1"/>
          <w:sz w:val="21"/>
          <w:szCs w:val="21"/>
        </w:rPr>
        <w:t>4. 你方和承包人按合同约定变更合同时，我方承担本保函规定的义务不变。</w:t>
      </w:r>
    </w:p>
    <w:p w14:paraId="6B390B90">
      <w:pPr>
        <w:spacing w:before="158" w:line="290" w:lineRule="auto"/>
        <w:ind w:left="9" w:right="187" w:firstLine="423"/>
        <w:rPr>
          <w:rFonts w:ascii="宋体" w:hAnsi="宋体" w:eastAsia="宋体" w:cs="宋体"/>
          <w:sz w:val="21"/>
          <w:szCs w:val="21"/>
        </w:rPr>
      </w:pPr>
      <w:r>
        <w:rPr>
          <w:rFonts w:ascii="宋体" w:hAnsi="宋体" w:eastAsia="宋体" w:cs="宋体"/>
          <w:sz w:val="21"/>
          <w:szCs w:val="21"/>
        </w:rPr>
        <w:t>5. 因本保函发生的纠纷，可由双方协商解决</w:t>
      </w:r>
      <w:r>
        <w:rPr>
          <w:rFonts w:ascii="宋体" w:hAnsi="宋体" w:eastAsia="宋体" w:cs="宋体"/>
          <w:spacing w:val="-1"/>
          <w:sz w:val="21"/>
          <w:szCs w:val="21"/>
        </w:rPr>
        <w:t>，协商不成的，任何一方均可提请</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仲</w:t>
      </w:r>
      <w:r>
        <w:rPr>
          <w:rFonts w:ascii="宋体" w:hAnsi="宋体" w:eastAsia="宋体" w:cs="宋体"/>
          <w:spacing w:val="-3"/>
          <w:sz w:val="21"/>
          <w:szCs w:val="21"/>
        </w:rPr>
        <w:t>裁委员会仲裁。</w:t>
      </w:r>
    </w:p>
    <w:p w14:paraId="15700026">
      <w:pPr>
        <w:spacing w:before="158" w:line="220" w:lineRule="auto"/>
        <w:ind w:left="429"/>
        <w:rPr>
          <w:rFonts w:ascii="宋体" w:hAnsi="宋体" w:eastAsia="宋体" w:cs="宋体"/>
          <w:sz w:val="21"/>
          <w:szCs w:val="21"/>
        </w:rPr>
      </w:pPr>
      <w:r>
        <w:rPr>
          <w:rFonts w:ascii="宋体" w:hAnsi="宋体" w:eastAsia="宋体" w:cs="宋体"/>
          <w:sz w:val="21"/>
          <w:szCs w:val="21"/>
        </w:rPr>
        <w:t>6. 本保函自我方法定代表人（或其授权代理人）签字并加盖公章</w:t>
      </w:r>
      <w:r>
        <w:rPr>
          <w:rFonts w:ascii="宋体" w:hAnsi="宋体" w:eastAsia="宋体" w:cs="宋体"/>
          <w:spacing w:val="-1"/>
          <w:sz w:val="21"/>
          <w:szCs w:val="21"/>
        </w:rPr>
        <w:t>之日起生效。</w:t>
      </w:r>
    </w:p>
    <w:p w14:paraId="2B6D1F0A">
      <w:pPr>
        <w:pStyle w:val="5"/>
        <w:spacing w:line="300" w:lineRule="auto"/>
      </w:pPr>
    </w:p>
    <w:p w14:paraId="63BBDF9A">
      <w:pPr>
        <w:pStyle w:val="5"/>
        <w:spacing w:line="300" w:lineRule="auto"/>
      </w:pPr>
    </w:p>
    <w:p w14:paraId="3A5901D1">
      <w:pPr>
        <w:pStyle w:val="5"/>
        <w:spacing w:line="300" w:lineRule="auto"/>
      </w:pPr>
    </w:p>
    <w:p w14:paraId="38923653">
      <w:pPr>
        <w:spacing w:before="69" w:line="220" w:lineRule="auto"/>
        <w:ind w:left="3055"/>
        <w:rPr>
          <w:rFonts w:ascii="宋体" w:hAnsi="宋体" w:eastAsia="宋体" w:cs="宋体"/>
          <w:sz w:val="21"/>
          <w:szCs w:val="21"/>
        </w:rPr>
      </w:pPr>
      <w:r>
        <w:rPr>
          <w:rFonts w:ascii="宋体" w:hAnsi="宋体" w:eastAsia="宋体" w:cs="宋体"/>
          <w:spacing w:val="3"/>
          <w:sz w:val="21"/>
          <w:szCs w:val="21"/>
        </w:rPr>
        <w:t>担保人</w:t>
      </w:r>
      <w:r>
        <w:rPr>
          <w:rFonts w:ascii="宋体" w:hAnsi="宋体" w:eastAsia="宋体" w:cs="宋体"/>
          <w:spacing w:val="-16"/>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16"/>
          <w:sz w:val="21"/>
          <w:szCs w:val="21"/>
        </w:rPr>
        <w:t>（</w:t>
      </w:r>
      <w:r>
        <w:rPr>
          <w:rFonts w:ascii="宋体" w:hAnsi="宋体" w:eastAsia="宋体" w:cs="宋体"/>
          <w:spacing w:val="3"/>
          <w:sz w:val="21"/>
          <w:szCs w:val="21"/>
        </w:rPr>
        <w:t>盖单位章）</w:t>
      </w:r>
    </w:p>
    <w:p w14:paraId="720805AF">
      <w:pPr>
        <w:spacing w:before="160" w:line="221" w:lineRule="auto"/>
        <w:ind w:left="3055"/>
        <w:rPr>
          <w:rFonts w:ascii="宋体" w:hAnsi="宋体" w:eastAsia="宋体" w:cs="宋体"/>
          <w:sz w:val="21"/>
          <w:szCs w:val="21"/>
        </w:rPr>
      </w:pPr>
      <w:r>
        <w:rPr>
          <w:rFonts w:ascii="宋体" w:hAnsi="宋体" w:eastAsia="宋体" w:cs="宋体"/>
          <w:spacing w:val="1"/>
          <w:sz w:val="21"/>
          <w:szCs w:val="21"/>
        </w:rPr>
        <w:t>法定代表人或其委托代理人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签字）</w:t>
      </w:r>
    </w:p>
    <w:p w14:paraId="4B3D5263">
      <w:pPr>
        <w:spacing w:before="157" w:line="230" w:lineRule="auto"/>
        <w:ind w:left="3054"/>
        <w:rPr>
          <w:rFonts w:ascii="宋体" w:hAnsi="宋体" w:eastAsia="宋体" w:cs="宋体"/>
          <w:sz w:val="21"/>
          <w:szCs w:val="21"/>
        </w:rPr>
      </w:pPr>
      <w:r>
        <w:rPr>
          <w:rFonts w:ascii="宋体" w:hAnsi="宋体" w:eastAsia="宋体" w:cs="宋体"/>
          <w:spacing w:val="-6"/>
          <w:sz w:val="21"/>
          <w:szCs w:val="21"/>
        </w:rPr>
        <w:t>地</w:t>
      </w:r>
      <w:r>
        <w:rPr>
          <w:rFonts w:ascii="宋体" w:hAnsi="宋体" w:eastAsia="宋体" w:cs="宋体"/>
          <w:spacing w:val="2"/>
          <w:sz w:val="21"/>
          <w:szCs w:val="21"/>
        </w:rPr>
        <w:t xml:space="preserve">    </w:t>
      </w:r>
      <w:r>
        <w:rPr>
          <w:rFonts w:ascii="宋体" w:hAnsi="宋体" w:eastAsia="宋体" w:cs="宋体"/>
          <w:spacing w:val="-6"/>
          <w:sz w:val="21"/>
          <w:szCs w:val="21"/>
        </w:rPr>
        <w:t>址：</w:t>
      </w:r>
      <w:r>
        <w:rPr>
          <w:rFonts w:ascii="宋体" w:hAnsi="宋体" w:eastAsia="宋体" w:cs="宋体"/>
          <w:sz w:val="21"/>
          <w:szCs w:val="21"/>
          <w:u w:val="single" w:color="auto"/>
        </w:rPr>
        <w:t xml:space="preserve">                                         </w:t>
      </w:r>
    </w:p>
    <w:p w14:paraId="76CDB2EB">
      <w:pPr>
        <w:spacing w:before="146" w:line="221" w:lineRule="auto"/>
        <w:ind w:left="3069"/>
        <w:rPr>
          <w:rFonts w:ascii="宋体" w:hAnsi="宋体" w:eastAsia="宋体" w:cs="宋体"/>
          <w:sz w:val="21"/>
          <w:szCs w:val="21"/>
        </w:rPr>
      </w:pPr>
      <w:r>
        <w:rPr>
          <w:rFonts w:ascii="宋体" w:hAnsi="宋体" w:eastAsia="宋体" w:cs="宋体"/>
          <w:spacing w:val="-3"/>
          <w:sz w:val="21"/>
          <w:szCs w:val="21"/>
        </w:rPr>
        <w:t>邮政编码：</w:t>
      </w:r>
      <w:r>
        <w:rPr>
          <w:rFonts w:ascii="宋体" w:hAnsi="宋体" w:eastAsia="宋体" w:cs="宋体"/>
          <w:spacing w:val="-3"/>
          <w:sz w:val="21"/>
          <w:szCs w:val="21"/>
          <w:u w:val="single" w:color="auto"/>
        </w:rPr>
        <w:t xml:space="preserve">                                          </w:t>
      </w:r>
    </w:p>
    <w:p w14:paraId="1D1B4F07">
      <w:pPr>
        <w:spacing w:before="156" w:line="223" w:lineRule="auto"/>
        <w:ind w:left="3079"/>
        <w:rPr>
          <w:rFonts w:ascii="宋体" w:hAnsi="宋体" w:eastAsia="宋体" w:cs="宋体"/>
          <w:sz w:val="21"/>
          <w:szCs w:val="21"/>
        </w:rPr>
      </w:pPr>
      <w:r>
        <w:rPr>
          <w:rFonts w:ascii="宋体" w:hAnsi="宋体" w:eastAsia="宋体" w:cs="宋体"/>
          <w:spacing w:val="-14"/>
          <w:sz w:val="21"/>
          <w:szCs w:val="21"/>
        </w:rPr>
        <w:t>电</w:t>
      </w:r>
      <w:r>
        <w:rPr>
          <w:rFonts w:ascii="宋体" w:hAnsi="宋体" w:eastAsia="宋体" w:cs="宋体"/>
          <w:spacing w:val="2"/>
          <w:sz w:val="21"/>
          <w:szCs w:val="21"/>
        </w:rPr>
        <w:t xml:space="preserve">    </w:t>
      </w:r>
      <w:r>
        <w:rPr>
          <w:rFonts w:ascii="宋体" w:hAnsi="宋体" w:eastAsia="宋体" w:cs="宋体"/>
          <w:spacing w:val="-14"/>
          <w:sz w:val="21"/>
          <w:szCs w:val="21"/>
        </w:rPr>
        <w:t>话：</w:t>
      </w:r>
      <w:r>
        <w:rPr>
          <w:rFonts w:ascii="宋体" w:hAnsi="宋体" w:eastAsia="宋体" w:cs="宋体"/>
          <w:sz w:val="21"/>
          <w:szCs w:val="21"/>
          <w:u w:val="single" w:color="auto"/>
        </w:rPr>
        <w:t xml:space="preserve">                                         </w:t>
      </w:r>
    </w:p>
    <w:p w14:paraId="1F7255A4">
      <w:pPr>
        <w:spacing w:before="157" w:line="220" w:lineRule="auto"/>
        <w:ind w:left="3052"/>
        <w:rPr>
          <w:rFonts w:ascii="宋体" w:hAnsi="宋体" w:eastAsia="宋体" w:cs="宋体"/>
          <w:sz w:val="21"/>
          <w:szCs w:val="21"/>
        </w:rPr>
      </w:pPr>
      <w:r>
        <w:rPr>
          <w:rFonts w:ascii="宋体" w:hAnsi="宋体" w:eastAsia="宋体" w:cs="宋体"/>
          <w:spacing w:val="-6"/>
          <w:sz w:val="21"/>
          <w:szCs w:val="21"/>
        </w:rPr>
        <w:t>传</w:t>
      </w:r>
      <w:r>
        <w:rPr>
          <w:rFonts w:ascii="宋体" w:hAnsi="宋体" w:eastAsia="宋体" w:cs="宋体"/>
          <w:spacing w:val="2"/>
          <w:sz w:val="21"/>
          <w:szCs w:val="21"/>
        </w:rPr>
        <w:t xml:space="preserve">    </w:t>
      </w:r>
      <w:r>
        <w:rPr>
          <w:rFonts w:ascii="宋体" w:hAnsi="宋体" w:eastAsia="宋体" w:cs="宋体"/>
          <w:spacing w:val="-6"/>
          <w:sz w:val="21"/>
          <w:szCs w:val="21"/>
        </w:rPr>
        <w:t>真：</w:t>
      </w:r>
      <w:r>
        <w:rPr>
          <w:rFonts w:ascii="宋体" w:hAnsi="宋体" w:eastAsia="宋体" w:cs="宋体"/>
          <w:sz w:val="21"/>
          <w:szCs w:val="21"/>
          <w:u w:val="single" w:color="auto"/>
        </w:rPr>
        <w:t xml:space="preserve">                                         </w:t>
      </w:r>
    </w:p>
    <w:p w14:paraId="4D5DA937">
      <w:pPr>
        <w:pStyle w:val="5"/>
        <w:spacing w:line="300" w:lineRule="auto"/>
      </w:pPr>
    </w:p>
    <w:p w14:paraId="2D56A000">
      <w:pPr>
        <w:pStyle w:val="5"/>
        <w:spacing w:line="300" w:lineRule="auto"/>
      </w:pPr>
    </w:p>
    <w:p w14:paraId="1001CF43">
      <w:pPr>
        <w:pStyle w:val="5"/>
        <w:spacing w:line="300" w:lineRule="auto"/>
      </w:pPr>
    </w:p>
    <w:p w14:paraId="0AB3EB7E">
      <w:pPr>
        <w:tabs>
          <w:tab w:val="left" w:pos="5985"/>
        </w:tabs>
        <w:spacing w:before="69" w:line="221" w:lineRule="auto"/>
        <w:ind w:left="4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0"/>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7"/>
          <w:sz w:val="21"/>
          <w:szCs w:val="21"/>
        </w:rPr>
        <w:t>月</w:t>
      </w:r>
      <w:r>
        <w:rPr>
          <w:rFonts w:ascii="宋体" w:hAnsi="宋体" w:eastAsia="宋体" w:cs="宋体"/>
          <w:spacing w:val="21"/>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7"/>
          <w:sz w:val="21"/>
          <w:szCs w:val="21"/>
        </w:rPr>
        <w:t>日</w:t>
      </w:r>
    </w:p>
    <w:p w14:paraId="66E329A3">
      <w:pPr>
        <w:spacing w:line="221" w:lineRule="auto"/>
        <w:rPr>
          <w:rFonts w:ascii="宋体" w:hAnsi="宋体" w:eastAsia="宋体" w:cs="宋体"/>
          <w:sz w:val="21"/>
          <w:szCs w:val="21"/>
        </w:rPr>
        <w:sectPr>
          <w:footerReference r:id="rId142" w:type="default"/>
          <w:pgSz w:w="11905" w:h="16843"/>
          <w:pgMar w:top="969" w:right="1355" w:bottom="1026" w:left="1480" w:header="0" w:footer="754" w:gutter="0"/>
          <w:cols w:space="0" w:num="1"/>
          <w:rtlGutter w:val="0"/>
          <w:docGrid w:linePitch="0" w:charSpace="0"/>
        </w:sectPr>
      </w:pPr>
    </w:p>
    <w:p w14:paraId="130E84EF">
      <w:pPr>
        <w:pStyle w:val="5"/>
        <w:spacing w:line="272" w:lineRule="auto"/>
      </w:pPr>
    </w:p>
    <w:p w14:paraId="4A8F25F6">
      <w:pPr>
        <w:pStyle w:val="5"/>
        <w:spacing w:line="272" w:lineRule="auto"/>
      </w:pPr>
    </w:p>
    <w:p w14:paraId="472BCD2D">
      <w:pPr>
        <w:pStyle w:val="5"/>
        <w:spacing w:line="272" w:lineRule="auto"/>
      </w:pPr>
    </w:p>
    <w:p w14:paraId="52533E39">
      <w:pPr>
        <w:pStyle w:val="5"/>
        <w:spacing w:line="272" w:lineRule="auto"/>
      </w:pPr>
    </w:p>
    <w:p w14:paraId="425EB605">
      <w:pPr>
        <w:pStyle w:val="5"/>
        <w:spacing w:line="273" w:lineRule="auto"/>
      </w:pPr>
    </w:p>
    <w:p w14:paraId="374277AB">
      <w:pPr>
        <w:spacing w:before="78" w:line="219" w:lineRule="auto"/>
        <w:ind w:left="28"/>
        <w:rPr>
          <w:rFonts w:ascii="宋体" w:hAnsi="宋体" w:eastAsia="宋体" w:cs="宋体"/>
          <w:sz w:val="24"/>
          <w:szCs w:val="24"/>
        </w:rPr>
      </w:pPr>
      <w:bookmarkStart w:id="1235" w:name="bookmark601"/>
      <w:bookmarkEnd w:id="1235"/>
      <w:r>
        <w:rPr>
          <w:rFonts w:ascii="宋体" w:hAnsi="宋体" w:eastAsia="宋体" w:cs="宋体"/>
          <w:spacing w:val="-10"/>
          <w:sz w:val="24"/>
          <w:szCs w:val="24"/>
        </w:rPr>
        <w:t>附件</w:t>
      </w:r>
      <w:r>
        <w:rPr>
          <w:rFonts w:ascii="宋体" w:hAnsi="宋体" w:eastAsia="宋体" w:cs="宋体"/>
          <w:spacing w:val="-31"/>
          <w:sz w:val="24"/>
          <w:szCs w:val="24"/>
        </w:rPr>
        <w:t xml:space="preserve"> </w:t>
      </w:r>
      <w:r>
        <w:rPr>
          <w:rFonts w:ascii="宋体" w:hAnsi="宋体" w:eastAsia="宋体" w:cs="宋体"/>
          <w:spacing w:val="-10"/>
          <w:sz w:val="24"/>
          <w:szCs w:val="24"/>
        </w:rPr>
        <w:t>10:</w:t>
      </w:r>
    </w:p>
    <w:p w14:paraId="6A45541A">
      <w:pPr>
        <w:spacing w:before="240" w:line="221" w:lineRule="auto"/>
        <w:ind w:left="3910"/>
        <w:rPr>
          <w:rFonts w:ascii="黑体" w:hAnsi="黑体" w:eastAsia="黑体" w:cs="黑体"/>
          <w:sz w:val="28"/>
          <w:szCs w:val="28"/>
        </w:rPr>
      </w:pPr>
      <w:r>
        <w:rPr>
          <w:rFonts w:ascii="黑体" w:hAnsi="黑体" w:eastAsia="黑体" w:cs="黑体"/>
          <w:spacing w:val="-4"/>
          <w:sz w:val="28"/>
          <w:szCs w:val="28"/>
        </w:rPr>
        <w:t>支付担保</w:t>
      </w:r>
    </w:p>
    <w:p w14:paraId="023F97CC">
      <w:pPr>
        <w:tabs>
          <w:tab w:val="left" w:pos="1365"/>
        </w:tabs>
        <w:spacing w:before="282"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0"/>
          <w:sz w:val="21"/>
          <w:szCs w:val="21"/>
        </w:rPr>
        <w:t>（承包人</w:t>
      </w:r>
      <w:r>
        <w:rPr>
          <w:rFonts w:ascii="宋体" w:hAnsi="宋体" w:eastAsia="宋体" w:cs="宋体"/>
          <w:spacing w:val="-19"/>
          <w:sz w:val="21"/>
          <w:szCs w:val="21"/>
        </w:rPr>
        <w:t>）：</w:t>
      </w:r>
    </w:p>
    <w:p w14:paraId="4894AD0F">
      <w:pPr>
        <w:pStyle w:val="5"/>
        <w:spacing w:line="415" w:lineRule="auto"/>
      </w:pPr>
    </w:p>
    <w:p w14:paraId="2B95A7EA">
      <w:pPr>
        <w:spacing w:before="69" w:line="360" w:lineRule="auto"/>
        <w:ind w:left="6" w:right="139" w:firstLine="424"/>
        <w:jc w:val="both"/>
        <w:rPr>
          <w:rFonts w:ascii="宋体" w:hAnsi="宋体" w:eastAsia="宋体" w:cs="宋体"/>
          <w:sz w:val="21"/>
          <w:szCs w:val="21"/>
        </w:rPr>
      </w:pPr>
      <w:r>
        <w:rPr>
          <w:rFonts w:ascii="宋体" w:hAnsi="宋体" w:eastAsia="宋体" w:cs="宋体"/>
          <w:spacing w:val="-5"/>
          <w:sz w:val="21"/>
          <w:szCs w:val="21"/>
        </w:rPr>
        <w:t>鉴于你方作为承包人已经与</w:t>
      </w:r>
      <w:r>
        <w:rPr>
          <w:rFonts w:ascii="宋体" w:hAnsi="宋体" w:eastAsia="宋体" w:cs="宋体"/>
          <w:spacing w:val="-104"/>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（发包人名称</w:t>
      </w:r>
      <w:r>
        <w:rPr>
          <w:rFonts w:ascii="宋体" w:hAnsi="宋体" w:eastAsia="宋体" w:cs="宋体"/>
          <w:spacing w:val="-32"/>
          <w:sz w:val="21"/>
          <w:szCs w:val="21"/>
        </w:rPr>
        <w:t>）（</w:t>
      </w:r>
      <w:r>
        <w:rPr>
          <w:rFonts w:ascii="宋体" w:hAnsi="宋体" w:eastAsia="宋体" w:cs="宋体"/>
          <w:spacing w:val="-5"/>
          <w:sz w:val="21"/>
          <w:szCs w:val="21"/>
        </w:rPr>
        <w:t>以下称“发包人</w:t>
      </w:r>
      <w:r>
        <w:rPr>
          <w:rFonts w:ascii="宋体" w:hAnsi="宋体" w:eastAsia="宋体" w:cs="宋体"/>
          <w:spacing w:val="-77"/>
          <w:sz w:val="21"/>
          <w:szCs w:val="21"/>
        </w:rPr>
        <w:t xml:space="preserve"> </w:t>
      </w:r>
      <w:r>
        <w:rPr>
          <w:rFonts w:ascii="宋体" w:hAnsi="宋体" w:eastAsia="宋体" w:cs="宋体"/>
          <w:spacing w:val="-5"/>
          <w:sz w:val="21"/>
          <w:szCs w:val="21"/>
        </w:rPr>
        <w:t>”）于</w:t>
      </w:r>
      <w:r>
        <w:rPr>
          <w:rFonts w:ascii="宋体" w:hAnsi="宋体" w:eastAsia="宋体" w:cs="宋体"/>
          <w:spacing w:val="-92"/>
          <w:sz w:val="21"/>
          <w:szCs w:val="21"/>
        </w:rPr>
        <w:t xml:space="preserve"> </w:t>
      </w:r>
      <w:r>
        <w:rPr>
          <w:rFonts w:ascii="宋体" w:hAnsi="宋体" w:eastAsia="宋体" w:cs="宋体"/>
          <w:spacing w:val="52"/>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5"/>
          <w:sz w:val="21"/>
          <w:szCs w:val="21"/>
        </w:rPr>
        <w:t>年</w:t>
      </w:r>
      <w:r>
        <w:rPr>
          <w:rFonts w:ascii="宋体" w:hAnsi="宋体" w:eastAsia="宋体" w:cs="宋体"/>
          <w:spacing w:val="-5"/>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5"/>
          <w:sz w:val="21"/>
          <w:szCs w:val="21"/>
        </w:rPr>
        <w:t>月日签订了</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（工</w:t>
      </w:r>
      <w:r>
        <w:rPr>
          <w:rFonts w:ascii="宋体" w:hAnsi="宋体" w:eastAsia="宋体" w:cs="宋体"/>
          <w:spacing w:val="-6"/>
          <w:sz w:val="21"/>
          <w:szCs w:val="21"/>
        </w:rPr>
        <w:t>程名称）《建设工程施工合同》（以下称“主合同</w:t>
      </w:r>
      <w:r>
        <w:rPr>
          <w:rFonts w:ascii="宋体" w:hAnsi="宋体" w:eastAsia="宋体" w:cs="宋体"/>
          <w:spacing w:val="-75"/>
          <w:sz w:val="21"/>
          <w:szCs w:val="21"/>
        </w:rPr>
        <w:t xml:space="preserve"> </w:t>
      </w:r>
      <w:r>
        <w:rPr>
          <w:rFonts w:ascii="宋体" w:hAnsi="宋体" w:eastAsia="宋体" w:cs="宋体"/>
          <w:spacing w:val="-6"/>
          <w:sz w:val="21"/>
          <w:szCs w:val="21"/>
        </w:rPr>
        <w:t>”</w:t>
      </w:r>
      <w:r>
        <w:rPr>
          <w:rFonts w:ascii="宋体" w:hAnsi="宋体" w:eastAsia="宋体" w:cs="宋体"/>
          <w:spacing w:val="-36"/>
          <w:w w:val="66"/>
          <w:sz w:val="21"/>
          <w:szCs w:val="21"/>
        </w:rPr>
        <w:t>），</w:t>
      </w:r>
      <w:r>
        <w:rPr>
          <w:rFonts w:ascii="宋体" w:hAnsi="宋体" w:eastAsia="宋体" w:cs="宋体"/>
          <w:spacing w:val="-6"/>
          <w:sz w:val="21"/>
          <w:szCs w:val="21"/>
        </w:rPr>
        <w:t>应发包人的申</w:t>
      </w:r>
      <w:r>
        <w:rPr>
          <w:rFonts w:ascii="宋体" w:hAnsi="宋体" w:eastAsia="宋体" w:cs="宋体"/>
          <w:spacing w:val="-1"/>
          <w:sz w:val="21"/>
          <w:szCs w:val="21"/>
        </w:rPr>
        <w:t>请，我方愿就发包人履行主合同约定的工程款支付义务以保证的方式向你方提供如下担保：</w:t>
      </w:r>
    </w:p>
    <w:p w14:paraId="12C87ADE">
      <w:pPr>
        <w:spacing w:before="1" w:line="219" w:lineRule="auto"/>
        <w:ind w:left="431"/>
        <w:rPr>
          <w:rFonts w:ascii="黑体" w:hAnsi="黑体" w:eastAsia="黑体" w:cs="黑体"/>
          <w:sz w:val="21"/>
          <w:szCs w:val="21"/>
        </w:rPr>
      </w:pPr>
      <w:r>
        <w:rPr>
          <w:rFonts w:ascii="黑体" w:hAnsi="黑体" w:eastAsia="黑体" w:cs="黑体"/>
          <w:spacing w:val="-1"/>
          <w:sz w:val="21"/>
          <w:szCs w:val="21"/>
        </w:rPr>
        <w:t>一、保证的范围及保证金额</w:t>
      </w:r>
    </w:p>
    <w:p w14:paraId="04E487CC">
      <w:pPr>
        <w:spacing w:before="158" w:line="221" w:lineRule="auto"/>
        <w:ind w:left="443"/>
        <w:rPr>
          <w:rFonts w:ascii="宋体" w:hAnsi="宋体" w:eastAsia="宋体" w:cs="宋体"/>
          <w:sz w:val="21"/>
          <w:szCs w:val="21"/>
        </w:rPr>
      </w:pPr>
      <w:r>
        <w:rPr>
          <w:rFonts w:ascii="宋体" w:hAnsi="宋体" w:eastAsia="宋体" w:cs="宋体"/>
          <w:spacing w:val="-1"/>
          <w:sz w:val="21"/>
          <w:szCs w:val="21"/>
        </w:rPr>
        <w:t>1. 我方的保证范围是主合同约定的工程款。</w:t>
      </w:r>
    </w:p>
    <w:p w14:paraId="00E9DBE9">
      <w:pPr>
        <w:spacing w:before="156" w:line="219" w:lineRule="auto"/>
        <w:ind w:left="430"/>
        <w:rPr>
          <w:rFonts w:ascii="宋体" w:hAnsi="宋体" w:eastAsia="宋体" w:cs="宋体"/>
          <w:sz w:val="21"/>
          <w:szCs w:val="21"/>
        </w:rPr>
      </w:pPr>
      <w:r>
        <w:rPr>
          <w:rFonts w:ascii="宋体" w:hAnsi="宋体" w:eastAsia="宋体" w:cs="宋体"/>
          <w:sz w:val="21"/>
          <w:szCs w:val="21"/>
        </w:rPr>
        <w:t>2. 本保函所称主合同约定的工程款是指主合同约定的除工程质量保证金以外</w:t>
      </w:r>
      <w:r>
        <w:rPr>
          <w:rFonts w:ascii="宋体" w:hAnsi="宋体" w:eastAsia="宋体" w:cs="宋体"/>
          <w:spacing w:val="-1"/>
          <w:sz w:val="21"/>
          <w:szCs w:val="21"/>
        </w:rPr>
        <w:t>的合同价款。</w:t>
      </w:r>
    </w:p>
    <w:p w14:paraId="54811BD6">
      <w:pPr>
        <w:spacing w:before="159" w:line="292" w:lineRule="auto"/>
        <w:ind w:left="13" w:right="643" w:firstLine="418"/>
        <w:rPr>
          <w:rFonts w:ascii="宋体" w:hAnsi="宋体" w:eastAsia="宋体" w:cs="宋体"/>
          <w:sz w:val="21"/>
          <w:szCs w:val="21"/>
        </w:rPr>
      </w:pPr>
      <w:r>
        <w:rPr>
          <w:rFonts w:ascii="宋体" w:hAnsi="宋体" w:eastAsia="宋体" w:cs="宋体"/>
          <w:sz w:val="21"/>
          <w:szCs w:val="21"/>
        </w:rPr>
        <w:t>3. 我方保证的金额是主合同约定的工程款的</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%，数额最高不超过人民币元（大</w:t>
      </w:r>
      <w:r>
        <w:rPr>
          <w:rFonts w:ascii="宋体" w:hAnsi="宋体" w:eastAsia="宋体" w:cs="宋体"/>
          <w:spacing w:val="-3"/>
          <w:sz w:val="21"/>
          <w:szCs w:val="21"/>
        </w:rPr>
        <w:t>写</w:t>
      </w:r>
      <w:r>
        <w:rPr>
          <w:rFonts w:ascii="宋体" w:hAnsi="宋体" w:eastAsia="宋体" w:cs="宋体"/>
          <w:spacing w:val="-38"/>
          <w:sz w:val="21"/>
          <w:szCs w:val="21"/>
        </w:rPr>
        <w:t>：</w:t>
      </w:r>
      <w:r>
        <w:rPr>
          <w:rFonts w:ascii="宋体" w:hAnsi="宋体" w:eastAsia="宋体" w:cs="宋体"/>
          <w:sz w:val="21"/>
          <w:szCs w:val="21"/>
          <w:u w:val="single" w:color="auto"/>
        </w:rPr>
        <w:t xml:space="preserve">        </w:t>
      </w:r>
      <w:r>
        <w:rPr>
          <w:rFonts w:ascii="宋体" w:hAnsi="宋体" w:eastAsia="宋体" w:cs="宋体"/>
          <w:spacing w:val="-38"/>
          <w:sz w:val="21"/>
          <w:szCs w:val="21"/>
        </w:rPr>
        <w:t>）</w:t>
      </w:r>
      <w:r>
        <w:rPr>
          <w:rFonts w:ascii="宋体" w:hAnsi="宋体" w:eastAsia="宋体" w:cs="宋体"/>
          <w:spacing w:val="-3"/>
          <w:sz w:val="21"/>
          <w:szCs w:val="21"/>
        </w:rPr>
        <w:t>。</w:t>
      </w:r>
    </w:p>
    <w:p w14:paraId="26134126">
      <w:pPr>
        <w:spacing w:before="154" w:line="219" w:lineRule="auto"/>
        <w:ind w:left="431"/>
        <w:rPr>
          <w:rFonts w:ascii="黑体" w:hAnsi="黑体" w:eastAsia="黑体" w:cs="黑体"/>
          <w:sz w:val="21"/>
          <w:szCs w:val="21"/>
        </w:rPr>
      </w:pPr>
      <w:r>
        <w:rPr>
          <w:rFonts w:ascii="黑体" w:hAnsi="黑体" w:eastAsia="黑体" w:cs="黑体"/>
          <w:spacing w:val="-1"/>
          <w:sz w:val="21"/>
          <w:szCs w:val="21"/>
        </w:rPr>
        <w:t>二、保证的方式及保证期间</w:t>
      </w:r>
    </w:p>
    <w:p w14:paraId="4DDA1869">
      <w:pPr>
        <w:spacing w:before="159" w:line="221" w:lineRule="auto"/>
        <w:ind w:left="443"/>
        <w:rPr>
          <w:rFonts w:ascii="宋体" w:hAnsi="宋体" w:eastAsia="宋体" w:cs="宋体"/>
          <w:sz w:val="21"/>
          <w:szCs w:val="21"/>
        </w:rPr>
      </w:pPr>
      <w:r>
        <w:rPr>
          <w:rFonts w:ascii="宋体" w:hAnsi="宋体" w:eastAsia="宋体" w:cs="宋体"/>
          <w:spacing w:val="-2"/>
          <w:sz w:val="21"/>
          <w:szCs w:val="21"/>
        </w:rPr>
        <w:t>1. 我方保证的方式为：连带责任保证。</w:t>
      </w:r>
    </w:p>
    <w:p w14:paraId="684C296E">
      <w:pPr>
        <w:spacing w:before="156" w:line="290" w:lineRule="auto"/>
        <w:ind w:left="33" w:right="107" w:firstLine="396"/>
        <w:rPr>
          <w:rFonts w:ascii="宋体" w:hAnsi="宋体" w:eastAsia="宋体" w:cs="宋体"/>
          <w:sz w:val="21"/>
          <w:szCs w:val="21"/>
        </w:rPr>
      </w:pPr>
      <w:r>
        <w:rPr>
          <w:rFonts w:ascii="宋体" w:hAnsi="宋体" w:eastAsia="宋体" w:cs="宋体"/>
          <w:spacing w:val="-1"/>
          <w:sz w:val="21"/>
          <w:szCs w:val="21"/>
        </w:rPr>
        <w:t>2. 我方保证的期间为：自本合同生效之日起至主合同约定的工程款支付完毕</w:t>
      </w:r>
      <w:r>
        <w:rPr>
          <w:rFonts w:ascii="宋体" w:hAnsi="宋体" w:eastAsia="宋体" w:cs="宋体"/>
          <w:spacing w:val="-2"/>
          <w:sz w:val="21"/>
          <w:szCs w:val="21"/>
        </w:rPr>
        <w:t>之日后</w:t>
      </w:r>
      <w:r>
        <w:rPr>
          <w:rFonts w:ascii="宋体" w:hAnsi="宋体" w:eastAsia="宋体" w:cs="宋体"/>
          <w:spacing w:val="-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w:t>
      </w:r>
      <w:r>
        <w:rPr>
          <w:rFonts w:ascii="宋体" w:hAnsi="宋体" w:eastAsia="宋体" w:cs="宋体"/>
          <w:spacing w:val="-16"/>
          <w:sz w:val="21"/>
          <w:szCs w:val="21"/>
        </w:rPr>
        <w:t>内。</w:t>
      </w:r>
    </w:p>
    <w:p w14:paraId="4C06D218">
      <w:pPr>
        <w:spacing w:before="159" w:line="290" w:lineRule="auto"/>
        <w:ind w:left="9" w:right="108" w:firstLine="423"/>
        <w:rPr>
          <w:rFonts w:ascii="宋体" w:hAnsi="宋体" w:eastAsia="宋体" w:cs="宋体"/>
          <w:sz w:val="21"/>
          <w:szCs w:val="21"/>
        </w:rPr>
      </w:pPr>
      <w:r>
        <w:rPr>
          <w:rFonts w:ascii="宋体" w:hAnsi="宋体" w:eastAsia="宋体" w:cs="宋体"/>
          <w:sz w:val="21"/>
          <w:szCs w:val="21"/>
        </w:rPr>
        <w:t>3. 你方与发包人协议变更工程款支付日期的，经我方书面同意后，保证</w:t>
      </w:r>
      <w:r>
        <w:rPr>
          <w:rFonts w:ascii="宋体" w:hAnsi="宋体" w:eastAsia="宋体" w:cs="宋体"/>
          <w:spacing w:val="-1"/>
          <w:sz w:val="21"/>
          <w:szCs w:val="21"/>
        </w:rPr>
        <w:t>期间按照变更后的支付日期做相应调整。</w:t>
      </w:r>
    </w:p>
    <w:p w14:paraId="50B6EFD6">
      <w:pPr>
        <w:spacing w:before="157" w:line="219" w:lineRule="auto"/>
        <w:ind w:left="432"/>
        <w:rPr>
          <w:rFonts w:ascii="黑体" w:hAnsi="黑体" w:eastAsia="黑体" w:cs="黑体"/>
          <w:sz w:val="21"/>
          <w:szCs w:val="21"/>
        </w:rPr>
      </w:pPr>
      <w:r>
        <w:rPr>
          <w:rFonts w:ascii="黑体" w:hAnsi="黑体" w:eastAsia="黑体" w:cs="黑体"/>
          <w:spacing w:val="-1"/>
          <w:sz w:val="21"/>
          <w:szCs w:val="21"/>
        </w:rPr>
        <w:t>三、承担保证责任的形式</w:t>
      </w:r>
    </w:p>
    <w:p w14:paraId="23DB957C">
      <w:pPr>
        <w:spacing w:before="159" w:line="360" w:lineRule="auto"/>
        <w:ind w:left="7" w:firstLine="422"/>
        <w:rPr>
          <w:rFonts w:ascii="宋体" w:hAnsi="宋体" w:eastAsia="宋体" w:cs="宋体"/>
          <w:sz w:val="21"/>
          <w:szCs w:val="21"/>
        </w:rPr>
      </w:pPr>
      <w:r>
        <w:rPr>
          <w:rFonts w:ascii="宋体" w:hAnsi="宋体" w:eastAsia="宋体" w:cs="宋体"/>
          <w:sz w:val="21"/>
          <w:szCs w:val="21"/>
        </w:rPr>
        <w:t>我方承担保证责任的形式是代为支付。发包人未按主合同约定向你方支付工程款的，</w:t>
      </w:r>
      <w:r>
        <w:rPr>
          <w:rFonts w:ascii="宋体" w:hAnsi="宋体" w:eastAsia="宋体" w:cs="宋体"/>
          <w:spacing w:val="-1"/>
          <w:sz w:val="21"/>
          <w:szCs w:val="21"/>
        </w:rPr>
        <w:t>由我方</w:t>
      </w:r>
      <w:r>
        <w:rPr>
          <w:rFonts w:ascii="宋体" w:hAnsi="宋体" w:eastAsia="宋体" w:cs="宋体"/>
          <w:spacing w:val="-2"/>
          <w:sz w:val="21"/>
          <w:szCs w:val="21"/>
        </w:rPr>
        <w:t>在保证金额内代为支付。</w:t>
      </w:r>
    </w:p>
    <w:p w14:paraId="21E9B336">
      <w:pPr>
        <w:spacing w:before="1" w:line="220" w:lineRule="auto"/>
        <w:ind w:left="440"/>
        <w:rPr>
          <w:rFonts w:ascii="黑体" w:hAnsi="黑体" w:eastAsia="黑体" w:cs="黑体"/>
          <w:sz w:val="21"/>
          <w:szCs w:val="21"/>
        </w:rPr>
      </w:pPr>
      <w:r>
        <w:rPr>
          <w:rFonts w:ascii="黑体" w:hAnsi="黑体" w:eastAsia="黑体" w:cs="黑体"/>
          <w:spacing w:val="-3"/>
          <w:sz w:val="21"/>
          <w:szCs w:val="21"/>
        </w:rPr>
        <w:t>四、代偿的安排</w:t>
      </w:r>
    </w:p>
    <w:p w14:paraId="1FACF980">
      <w:pPr>
        <w:spacing w:before="157" w:line="289" w:lineRule="auto"/>
        <w:ind w:left="10" w:right="108" w:firstLine="433"/>
        <w:rPr>
          <w:rFonts w:ascii="宋体" w:hAnsi="宋体" w:eastAsia="宋体" w:cs="宋体"/>
          <w:sz w:val="21"/>
          <w:szCs w:val="21"/>
        </w:rPr>
      </w:pPr>
      <w:r>
        <w:rPr>
          <w:rFonts w:ascii="宋体" w:hAnsi="宋体" w:eastAsia="宋体" w:cs="宋体"/>
          <w:sz w:val="21"/>
          <w:szCs w:val="21"/>
        </w:rPr>
        <w:t>1. 你方要求我方承担保证责任的，应向我方</w:t>
      </w:r>
      <w:r>
        <w:rPr>
          <w:rFonts w:ascii="宋体" w:hAnsi="宋体" w:eastAsia="宋体" w:cs="宋体"/>
          <w:spacing w:val="-1"/>
          <w:sz w:val="21"/>
          <w:szCs w:val="21"/>
        </w:rPr>
        <w:t>发出书面索赔通知及发包人未支付主合同约定工程款的证明材料。索赔通知应写明要求索赔的金额，支付款项应到达的账号。</w:t>
      </w:r>
    </w:p>
    <w:p w14:paraId="5B262E1E">
      <w:pPr>
        <w:spacing w:before="159" w:line="313" w:lineRule="auto"/>
        <w:ind w:left="9" w:firstLine="421"/>
        <w:rPr>
          <w:rFonts w:ascii="宋体" w:hAnsi="宋体" w:eastAsia="宋体" w:cs="宋体"/>
          <w:sz w:val="21"/>
          <w:szCs w:val="21"/>
        </w:rPr>
      </w:pPr>
      <w:r>
        <w:rPr>
          <w:rFonts w:ascii="宋体" w:hAnsi="宋体" w:eastAsia="宋体" w:cs="宋体"/>
          <w:sz w:val="21"/>
          <w:szCs w:val="21"/>
        </w:rPr>
        <w:t>2. 在出现你方与发包人因工程质量发生争议，发包人拒绝向你方支付工程</w:t>
      </w:r>
      <w:r>
        <w:rPr>
          <w:rFonts w:ascii="宋体" w:hAnsi="宋体" w:eastAsia="宋体" w:cs="宋体"/>
          <w:spacing w:val="-1"/>
          <w:sz w:val="21"/>
          <w:szCs w:val="21"/>
        </w:rPr>
        <w:t>款的情形时，你</w:t>
      </w:r>
      <w:r>
        <w:rPr>
          <w:rFonts w:ascii="宋体" w:hAnsi="宋体" w:eastAsia="宋体" w:cs="宋体"/>
          <w:sz w:val="21"/>
          <w:szCs w:val="21"/>
        </w:rPr>
        <w:t>方要求我方履行保证责任代为支付的，需提供符合相应条件要求的工程质量检测机构出具的</w:t>
      </w:r>
      <w:r>
        <w:rPr>
          <w:rFonts w:ascii="宋体" w:hAnsi="宋体" w:eastAsia="宋体" w:cs="宋体"/>
          <w:spacing w:val="-1"/>
          <w:sz w:val="21"/>
          <w:szCs w:val="21"/>
        </w:rPr>
        <w:t>质量</w:t>
      </w:r>
      <w:r>
        <w:rPr>
          <w:rFonts w:ascii="宋体" w:hAnsi="宋体" w:eastAsia="宋体" w:cs="宋体"/>
          <w:spacing w:val="-5"/>
          <w:sz w:val="21"/>
          <w:szCs w:val="21"/>
        </w:rPr>
        <w:t>说明材料。</w:t>
      </w:r>
    </w:p>
    <w:p w14:paraId="67FD903B">
      <w:pPr>
        <w:spacing w:before="157" w:line="220" w:lineRule="auto"/>
        <w:ind w:left="432"/>
        <w:rPr>
          <w:rFonts w:ascii="宋体" w:hAnsi="宋体" w:eastAsia="宋体" w:cs="宋体"/>
          <w:sz w:val="21"/>
          <w:szCs w:val="21"/>
        </w:rPr>
      </w:pPr>
      <w:r>
        <w:rPr>
          <w:rFonts w:ascii="宋体" w:hAnsi="宋体" w:eastAsia="宋体" w:cs="宋体"/>
          <w:spacing w:val="3"/>
          <w:sz w:val="21"/>
          <w:szCs w:val="21"/>
        </w:rPr>
        <w:t>3. 我方收到你方的书面索赔通知及相应的证明材料后7天内</w:t>
      </w:r>
      <w:r>
        <w:rPr>
          <w:rFonts w:ascii="宋体" w:hAnsi="宋体" w:eastAsia="宋体" w:cs="宋体"/>
          <w:spacing w:val="2"/>
          <w:sz w:val="21"/>
          <w:szCs w:val="21"/>
        </w:rPr>
        <w:t>无条件支付。</w:t>
      </w:r>
    </w:p>
    <w:p w14:paraId="591267F6">
      <w:pPr>
        <w:spacing w:before="158" w:line="219" w:lineRule="auto"/>
        <w:ind w:left="433"/>
        <w:rPr>
          <w:rFonts w:ascii="黑体" w:hAnsi="黑体" w:eastAsia="黑体" w:cs="黑体"/>
          <w:sz w:val="21"/>
          <w:szCs w:val="21"/>
        </w:rPr>
      </w:pPr>
      <w:r>
        <w:rPr>
          <w:rFonts w:ascii="黑体" w:hAnsi="黑体" w:eastAsia="黑体" w:cs="黑体"/>
          <w:spacing w:val="-2"/>
          <w:sz w:val="21"/>
          <w:szCs w:val="21"/>
        </w:rPr>
        <w:t>五、保证责任的解除</w:t>
      </w:r>
    </w:p>
    <w:p w14:paraId="37E02E2A">
      <w:pPr>
        <w:spacing w:before="159" w:line="291" w:lineRule="auto"/>
        <w:ind w:left="9" w:right="108" w:firstLine="434"/>
        <w:rPr>
          <w:rFonts w:ascii="宋体" w:hAnsi="宋体" w:eastAsia="宋体" w:cs="宋体"/>
          <w:sz w:val="21"/>
          <w:szCs w:val="21"/>
        </w:rPr>
      </w:pPr>
      <w:r>
        <w:rPr>
          <w:rFonts w:ascii="宋体" w:hAnsi="宋体" w:eastAsia="宋体" w:cs="宋体"/>
          <w:sz w:val="21"/>
          <w:szCs w:val="21"/>
        </w:rPr>
        <w:t>1. 在本保函承诺的保证期间内，你方未书面</w:t>
      </w:r>
      <w:r>
        <w:rPr>
          <w:rFonts w:ascii="宋体" w:hAnsi="宋体" w:eastAsia="宋体" w:cs="宋体"/>
          <w:spacing w:val="-1"/>
          <w:sz w:val="21"/>
          <w:szCs w:val="21"/>
        </w:rPr>
        <w:t>向我方主张保证责任的，自保证期间届满次日</w:t>
      </w:r>
      <w:r>
        <w:rPr>
          <w:rFonts w:ascii="宋体" w:hAnsi="宋体" w:eastAsia="宋体" w:cs="宋体"/>
          <w:spacing w:val="-2"/>
          <w:sz w:val="21"/>
          <w:szCs w:val="21"/>
        </w:rPr>
        <w:t>起，我方保证责任解除。</w:t>
      </w:r>
    </w:p>
    <w:p w14:paraId="6BE5DA0C">
      <w:pPr>
        <w:spacing w:before="157" w:line="220" w:lineRule="auto"/>
        <w:ind w:left="430"/>
        <w:rPr>
          <w:rFonts w:ascii="宋体" w:hAnsi="宋体" w:eastAsia="宋体" w:cs="宋体"/>
          <w:sz w:val="21"/>
          <w:szCs w:val="21"/>
        </w:rPr>
      </w:pPr>
      <w:r>
        <w:rPr>
          <w:rFonts w:ascii="宋体" w:hAnsi="宋体" w:eastAsia="宋体" w:cs="宋体"/>
          <w:sz w:val="21"/>
          <w:szCs w:val="21"/>
        </w:rPr>
        <w:t>2. 发包人按主合同约定履行了工程款的全部支付义务的，自本保函承诺的保</w:t>
      </w:r>
      <w:r>
        <w:rPr>
          <w:rFonts w:ascii="宋体" w:hAnsi="宋体" w:eastAsia="宋体" w:cs="宋体"/>
          <w:spacing w:val="-1"/>
          <w:sz w:val="21"/>
          <w:szCs w:val="21"/>
        </w:rPr>
        <w:t>证期间届满次</w:t>
      </w:r>
    </w:p>
    <w:p w14:paraId="1B95E804">
      <w:pPr>
        <w:spacing w:line="220" w:lineRule="auto"/>
        <w:rPr>
          <w:rFonts w:ascii="宋体" w:hAnsi="宋体" w:eastAsia="宋体" w:cs="宋体"/>
          <w:sz w:val="21"/>
          <w:szCs w:val="21"/>
        </w:rPr>
        <w:sectPr>
          <w:footerReference r:id="rId143" w:type="default"/>
          <w:pgSz w:w="11905" w:h="16843"/>
          <w:pgMar w:top="969" w:right="1355" w:bottom="1026" w:left="1480" w:header="0" w:footer="754" w:gutter="0"/>
          <w:cols w:space="0" w:num="1"/>
          <w:rtlGutter w:val="0"/>
          <w:docGrid w:linePitch="0" w:charSpace="0"/>
        </w:sectPr>
      </w:pPr>
    </w:p>
    <w:p w14:paraId="39A510AD">
      <w:pPr>
        <w:pStyle w:val="5"/>
        <w:spacing w:line="251" w:lineRule="auto"/>
      </w:pPr>
    </w:p>
    <w:p w14:paraId="6AE17B56">
      <w:pPr>
        <w:pStyle w:val="5"/>
        <w:spacing w:line="251" w:lineRule="auto"/>
      </w:pPr>
    </w:p>
    <w:p w14:paraId="251B1483">
      <w:pPr>
        <w:pStyle w:val="5"/>
        <w:spacing w:line="251" w:lineRule="auto"/>
      </w:pPr>
    </w:p>
    <w:p w14:paraId="5C90EEB5">
      <w:pPr>
        <w:pStyle w:val="5"/>
        <w:spacing w:line="251" w:lineRule="auto"/>
      </w:pPr>
    </w:p>
    <w:p w14:paraId="1EF3908F">
      <w:pPr>
        <w:pStyle w:val="5"/>
        <w:spacing w:line="251" w:lineRule="auto"/>
      </w:pPr>
    </w:p>
    <w:p w14:paraId="01D45AA8">
      <w:pPr>
        <w:spacing w:before="68" w:line="221" w:lineRule="auto"/>
        <w:ind w:left="36"/>
        <w:rPr>
          <w:rFonts w:ascii="宋体" w:hAnsi="宋体" w:eastAsia="宋体" w:cs="宋体"/>
          <w:sz w:val="21"/>
          <w:szCs w:val="21"/>
        </w:rPr>
      </w:pPr>
      <w:bookmarkStart w:id="1236" w:name="bookmark602"/>
      <w:bookmarkEnd w:id="1236"/>
      <w:r>
        <w:rPr>
          <w:rFonts w:ascii="宋体" w:hAnsi="宋体" w:eastAsia="宋体" w:cs="宋体"/>
          <w:spacing w:val="-4"/>
          <w:sz w:val="21"/>
          <w:szCs w:val="21"/>
        </w:rPr>
        <w:t>日起，我方保证责任解除。</w:t>
      </w:r>
    </w:p>
    <w:p w14:paraId="5860167D">
      <w:pPr>
        <w:spacing w:before="156" w:line="290" w:lineRule="auto"/>
        <w:ind w:right="177" w:firstLine="423"/>
        <w:rPr>
          <w:rFonts w:ascii="宋体" w:hAnsi="宋体" w:eastAsia="宋体" w:cs="宋体"/>
          <w:sz w:val="21"/>
          <w:szCs w:val="21"/>
        </w:rPr>
      </w:pPr>
      <w:r>
        <w:rPr>
          <w:rFonts w:ascii="宋体" w:hAnsi="宋体" w:eastAsia="宋体" w:cs="宋体"/>
          <w:sz w:val="21"/>
          <w:szCs w:val="21"/>
        </w:rPr>
        <w:t>3. 我方按照本保函向你方履行保证责任所支付金额达到本保函保证金额</w:t>
      </w:r>
      <w:r>
        <w:rPr>
          <w:rFonts w:ascii="宋体" w:hAnsi="宋体" w:eastAsia="宋体" w:cs="宋体"/>
          <w:spacing w:val="-1"/>
          <w:sz w:val="21"/>
          <w:szCs w:val="21"/>
        </w:rPr>
        <w:t>时，自我方向你方支付（支付款项从我方账户划出）之日起，保证责任即解除。</w:t>
      </w:r>
    </w:p>
    <w:p w14:paraId="1CA2B3CC">
      <w:pPr>
        <w:spacing w:before="156" w:line="291" w:lineRule="auto"/>
        <w:ind w:right="177" w:firstLine="419"/>
        <w:rPr>
          <w:rFonts w:ascii="宋体" w:hAnsi="宋体" w:eastAsia="宋体" w:cs="宋体"/>
          <w:sz w:val="21"/>
          <w:szCs w:val="21"/>
        </w:rPr>
      </w:pPr>
      <w:r>
        <w:rPr>
          <w:rFonts w:ascii="宋体" w:hAnsi="宋体" w:eastAsia="宋体" w:cs="宋体"/>
          <w:sz w:val="21"/>
          <w:szCs w:val="21"/>
        </w:rPr>
        <w:t>4. 按照法律法规的规定或出现应解除我方保证责任的其他情形的，我方在本保函项</w:t>
      </w:r>
      <w:r>
        <w:rPr>
          <w:rFonts w:ascii="宋体" w:hAnsi="宋体" w:eastAsia="宋体" w:cs="宋体"/>
          <w:spacing w:val="-1"/>
          <w:sz w:val="21"/>
          <w:szCs w:val="21"/>
        </w:rPr>
        <w:t>下的保</w:t>
      </w:r>
      <w:r>
        <w:rPr>
          <w:rFonts w:ascii="宋体" w:hAnsi="宋体" w:eastAsia="宋体" w:cs="宋体"/>
          <w:spacing w:val="-3"/>
          <w:sz w:val="21"/>
          <w:szCs w:val="21"/>
        </w:rPr>
        <w:t>证责任亦解除。</w:t>
      </w:r>
    </w:p>
    <w:p w14:paraId="376983A8">
      <w:pPr>
        <w:pStyle w:val="5"/>
        <w:spacing w:line="246" w:lineRule="auto"/>
      </w:pPr>
    </w:p>
    <w:p w14:paraId="4C393040">
      <w:pPr>
        <w:pStyle w:val="5"/>
        <w:spacing w:line="246" w:lineRule="auto"/>
      </w:pPr>
    </w:p>
    <w:p w14:paraId="5B494760">
      <w:pPr>
        <w:spacing w:before="69" w:line="291" w:lineRule="auto"/>
        <w:ind w:right="177" w:firstLine="423"/>
        <w:rPr>
          <w:rFonts w:ascii="宋体" w:hAnsi="宋体" w:eastAsia="宋体" w:cs="宋体"/>
          <w:sz w:val="21"/>
          <w:szCs w:val="21"/>
        </w:rPr>
      </w:pPr>
      <w:r>
        <w:rPr>
          <w:rFonts w:ascii="宋体" w:hAnsi="宋体" w:eastAsia="宋体" w:cs="宋体"/>
          <w:sz w:val="21"/>
          <w:szCs w:val="21"/>
        </w:rPr>
        <w:t>5. 我方解除保证责任后，你方应自我方保证责任解</w:t>
      </w:r>
      <w:r>
        <w:rPr>
          <w:rFonts w:ascii="宋体" w:hAnsi="宋体" w:eastAsia="宋体" w:cs="宋体"/>
          <w:spacing w:val="-1"/>
          <w:sz w:val="21"/>
          <w:szCs w:val="21"/>
        </w:rPr>
        <w:t>除之日起</w:t>
      </w:r>
      <w:r>
        <w:rPr>
          <w:rFonts w:ascii="宋体" w:hAnsi="宋体" w:eastAsia="宋体" w:cs="宋体"/>
          <w:spacing w:val="-104"/>
          <w:sz w:val="21"/>
          <w:szCs w:val="21"/>
        </w:rPr>
        <w:t xml:space="preserve"> </w:t>
      </w:r>
      <w:r>
        <w:rPr>
          <w:rFonts w:ascii="宋体" w:hAnsi="宋体" w:eastAsia="宋体" w:cs="宋体"/>
          <w:spacing w:val="103"/>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个工作日内，将本保函原件</w:t>
      </w:r>
      <w:r>
        <w:rPr>
          <w:rFonts w:ascii="宋体" w:hAnsi="宋体" w:eastAsia="宋体" w:cs="宋体"/>
          <w:spacing w:val="-5"/>
          <w:sz w:val="21"/>
          <w:szCs w:val="21"/>
        </w:rPr>
        <w:t>返还我方。</w:t>
      </w:r>
    </w:p>
    <w:p w14:paraId="5251CCEB">
      <w:pPr>
        <w:spacing w:before="155" w:line="219" w:lineRule="auto"/>
        <w:ind w:left="426"/>
        <w:rPr>
          <w:rFonts w:ascii="黑体" w:hAnsi="黑体" w:eastAsia="黑体" w:cs="黑体"/>
          <w:sz w:val="21"/>
          <w:szCs w:val="21"/>
        </w:rPr>
      </w:pPr>
      <w:r>
        <w:rPr>
          <w:rFonts w:ascii="黑体" w:hAnsi="黑体" w:eastAsia="黑体" w:cs="黑体"/>
          <w:spacing w:val="-2"/>
          <w:sz w:val="21"/>
          <w:szCs w:val="21"/>
        </w:rPr>
        <w:t>六、免责条款</w:t>
      </w:r>
    </w:p>
    <w:p w14:paraId="0D52CA91">
      <w:pPr>
        <w:spacing w:before="160" w:line="221" w:lineRule="auto"/>
        <w:ind w:left="435"/>
        <w:rPr>
          <w:rFonts w:ascii="宋体" w:hAnsi="宋体" w:eastAsia="宋体" w:cs="宋体"/>
          <w:sz w:val="21"/>
          <w:szCs w:val="21"/>
        </w:rPr>
      </w:pPr>
      <w:r>
        <w:rPr>
          <w:rFonts w:ascii="宋体" w:hAnsi="宋体" w:eastAsia="宋体" w:cs="宋体"/>
          <w:spacing w:val="-1"/>
          <w:sz w:val="21"/>
          <w:szCs w:val="21"/>
        </w:rPr>
        <w:t>1. 因你方违约致使发包人不能履行义务的，我方不承担</w:t>
      </w:r>
      <w:r>
        <w:rPr>
          <w:rFonts w:ascii="宋体" w:hAnsi="宋体" w:eastAsia="宋体" w:cs="宋体"/>
          <w:spacing w:val="-2"/>
          <w:sz w:val="21"/>
          <w:szCs w:val="21"/>
        </w:rPr>
        <w:t>保证责任。</w:t>
      </w:r>
    </w:p>
    <w:p w14:paraId="45C700D6">
      <w:pPr>
        <w:spacing w:before="156" w:line="290" w:lineRule="auto"/>
        <w:ind w:left="5" w:right="177" w:firstLine="417"/>
        <w:rPr>
          <w:rFonts w:ascii="宋体" w:hAnsi="宋体" w:eastAsia="宋体" w:cs="宋体"/>
          <w:sz w:val="21"/>
          <w:szCs w:val="21"/>
        </w:rPr>
      </w:pPr>
      <w:r>
        <w:rPr>
          <w:rFonts w:ascii="宋体" w:hAnsi="宋体" w:eastAsia="宋体" w:cs="宋体"/>
          <w:sz w:val="21"/>
          <w:szCs w:val="21"/>
        </w:rPr>
        <w:t>2. 依照法律法规的规定或你方与发包人的另行约定，免除发包人部分或全</w:t>
      </w:r>
      <w:r>
        <w:rPr>
          <w:rFonts w:ascii="宋体" w:hAnsi="宋体" w:eastAsia="宋体" w:cs="宋体"/>
          <w:spacing w:val="-1"/>
          <w:sz w:val="21"/>
          <w:szCs w:val="21"/>
        </w:rPr>
        <w:t>部义务的，我方亦免除其相应的保证责任。</w:t>
      </w:r>
    </w:p>
    <w:p w14:paraId="6F279F22">
      <w:pPr>
        <w:spacing w:before="158" w:line="313" w:lineRule="auto"/>
        <w:ind w:left="1" w:right="177" w:firstLine="422"/>
        <w:rPr>
          <w:rFonts w:ascii="宋体" w:hAnsi="宋体" w:eastAsia="宋体" w:cs="宋体"/>
          <w:sz w:val="21"/>
          <w:szCs w:val="21"/>
        </w:rPr>
      </w:pPr>
      <w:r>
        <w:rPr>
          <w:rFonts w:ascii="宋体" w:hAnsi="宋体" w:eastAsia="宋体" w:cs="宋体"/>
          <w:sz w:val="21"/>
          <w:szCs w:val="21"/>
        </w:rPr>
        <w:t>3. 你方与发包人协议变更主合同的，如加重发包人责任致使我方保证责</w:t>
      </w:r>
      <w:r>
        <w:rPr>
          <w:rFonts w:ascii="宋体" w:hAnsi="宋体" w:eastAsia="宋体" w:cs="宋体"/>
          <w:spacing w:val="-1"/>
          <w:sz w:val="21"/>
          <w:szCs w:val="21"/>
        </w:rPr>
        <w:t>任加重的，需征得我方书面同意，否则我方不再承担因此而加重部分的保证责任，但主合同第</w:t>
      </w:r>
      <w:r>
        <w:rPr>
          <w:rFonts w:ascii="宋体" w:hAnsi="宋体" w:eastAsia="宋体" w:cs="宋体"/>
          <w:spacing w:val="-26"/>
          <w:sz w:val="21"/>
          <w:szCs w:val="21"/>
        </w:rPr>
        <w:t xml:space="preserve"> </w:t>
      </w:r>
      <w:r>
        <w:rPr>
          <w:rFonts w:ascii="宋体" w:hAnsi="宋体" w:eastAsia="宋体" w:cs="宋体"/>
          <w:spacing w:val="-1"/>
          <w:sz w:val="21"/>
          <w:szCs w:val="21"/>
        </w:rPr>
        <w:t>10</w:t>
      </w:r>
      <w:r>
        <w:rPr>
          <w:rFonts w:ascii="宋体" w:hAnsi="宋体" w:eastAsia="宋体" w:cs="宋体"/>
          <w:spacing w:val="-43"/>
          <w:sz w:val="21"/>
          <w:szCs w:val="21"/>
        </w:rPr>
        <w:t xml:space="preserve"> </w:t>
      </w:r>
      <w:r>
        <w:rPr>
          <w:rFonts w:ascii="宋体" w:hAnsi="宋体" w:eastAsia="宋体" w:cs="宋体"/>
          <w:spacing w:val="-1"/>
          <w:sz w:val="21"/>
          <w:szCs w:val="21"/>
        </w:rPr>
        <w:t>条〔变更〕约定的变更不受本款限制。</w:t>
      </w:r>
    </w:p>
    <w:p w14:paraId="65B6AB21">
      <w:pPr>
        <w:spacing w:before="158" w:line="221" w:lineRule="auto"/>
        <w:ind w:left="419"/>
        <w:rPr>
          <w:rFonts w:ascii="宋体" w:hAnsi="宋体" w:eastAsia="宋体" w:cs="宋体"/>
          <w:sz w:val="21"/>
          <w:szCs w:val="21"/>
        </w:rPr>
      </w:pPr>
      <w:r>
        <w:rPr>
          <w:rFonts w:ascii="宋体" w:hAnsi="宋体" w:eastAsia="宋体" w:cs="宋体"/>
          <w:spacing w:val="-1"/>
          <w:sz w:val="21"/>
          <w:szCs w:val="21"/>
        </w:rPr>
        <w:t>4. 因不可抗力造成发包人不能履行义务的，我方不承担保证责任。</w:t>
      </w:r>
    </w:p>
    <w:p w14:paraId="47B80B2E">
      <w:pPr>
        <w:spacing w:before="157" w:line="220" w:lineRule="auto"/>
        <w:ind w:left="419"/>
        <w:rPr>
          <w:rFonts w:ascii="黑体" w:hAnsi="黑体" w:eastAsia="黑体" w:cs="黑体"/>
          <w:sz w:val="21"/>
          <w:szCs w:val="21"/>
        </w:rPr>
      </w:pPr>
      <w:r>
        <w:rPr>
          <w:rFonts w:ascii="黑体" w:hAnsi="黑体" w:eastAsia="黑体" w:cs="黑体"/>
          <w:spacing w:val="-1"/>
          <w:sz w:val="21"/>
          <w:szCs w:val="21"/>
        </w:rPr>
        <w:t>七、争议解决</w:t>
      </w:r>
    </w:p>
    <w:p w14:paraId="536092EC">
      <w:pPr>
        <w:spacing w:before="157" w:line="363" w:lineRule="auto"/>
        <w:ind w:firstLine="436"/>
        <w:rPr>
          <w:rFonts w:ascii="宋体" w:hAnsi="宋体" w:eastAsia="宋体" w:cs="宋体"/>
          <w:sz w:val="21"/>
          <w:szCs w:val="21"/>
        </w:rPr>
      </w:pPr>
      <w:r>
        <w:rPr>
          <w:rFonts w:ascii="宋体" w:hAnsi="宋体" w:eastAsia="宋体" w:cs="宋体"/>
          <w:spacing w:val="14"/>
          <w:sz w:val="21"/>
          <w:szCs w:val="21"/>
        </w:rPr>
        <w:t>因本保函或本保函相关事项发生的纠纷，</w:t>
      </w:r>
      <w:r>
        <w:rPr>
          <w:rFonts w:ascii="宋体" w:hAnsi="宋体" w:eastAsia="宋体" w:cs="宋体"/>
          <w:spacing w:val="-39"/>
          <w:sz w:val="21"/>
          <w:szCs w:val="21"/>
        </w:rPr>
        <w:t xml:space="preserve"> </w:t>
      </w:r>
      <w:r>
        <w:rPr>
          <w:rFonts w:ascii="宋体" w:hAnsi="宋体" w:eastAsia="宋体" w:cs="宋体"/>
          <w:spacing w:val="14"/>
          <w:sz w:val="21"/>
          <w:szCs w:val="21"/>
        </w:rPr>
        <w:t>可由双方协商解决，</w:t>
      </w:r>
      <w:r>
        <w:rPr>
          <w:rFonts w:ascii="宋体" w:hAnsi="宋体" w:eastAsia="宋体" w:cs="宋体"/>
          <w:spacing w:val="-56"/>
          <w:sz w:val="21"/>
          <w:szCs w:val="21"/>
        </w:rPr>
        <w:t xml:space="preserve"> </w:t>
      </w:r>
      <w:r>
        <w:rPr>
          <w:rFonts w:ascii="宋体" w:hAnsi="宋体" w:eastAsia="宋体" w:cs="宋体"/>
          <w:spacing w:val="14"/>
          <w:sz w:val="21"/>
          <w:szCs w:val="21"/>
        </w:rPr>
        <w:t>协商不成的，</w:t>
      </w:r>
      <w:r>
        <w:rPr>
          <w:rFonts w:ascii="宋体" w:hAnsi="宋体" w:eastAsia="宋体" w:cs="宋体"/>
          <w:spacing w:val="-56"/>
          <w:sz w:val="21"/>
          <w:szCs w:val="21"/>
        </w:rPr>
        <w:t xml:space="preserve"> </w:t>
      </w:r>
      <w:r>
        <w:rPr>
          <w:rFonts w:ascii="宋体" w:hAnsi="宋体" w:eastAsia="宋体" w:cs="宋体"/>
          <w:spacing w:val="14"/>
          <w:sz w:val="21"/>
          <w:szCs w:val="21"/>
        </w:rPr>
        <w:t>按下列第</w:t>
      </w:r>
      <w:r>
        <w:rPr>
          <w:rFonts w:ascii="宋体" w:hAnsi="宋体" w:eastAsia="宋体" w:cs="宋体"/>
          <w:spacing w:val="-6"/>
          <w:sz w:val="21"/>
          <w:szCs w:val="21"/>
        </w:rPr>
        <w:t>种方式解决：</w:t>
      </w:r>
    </w:p>
    <w:p w14:paraId="301C8DD1">
      <w:pPr>
        <w:spacing w:before="113" w:line="220" w:lineRule="auto"/>
        <w:ind w:left="426"/>
        <w:rPr>
          <w:rFonts w:ascii="宋体" w:hAnsi="宋体" w:eastAsia="宋体" w:cs="宋体"/>
          <w:sz w:val="21"/>
          <w:szCs w:val="21"/>
        </w:rPr>
      </w:pPr>
      <w:r>
        <w:rPr>
          <w:rFonts w:ascii="宋体" w:hAnsi="宋体" w:eastAsia="宋体" w:cs="宋体"/>
          <w:spacing w:val="-3"/>
          <w:sz w:val="21"/>
          <w:szCs w:val="21"/>
        </w:rPr>
        <w:t>（1）向</w:t>
      </w:r>
      <w:r>
        <w:rPr>
          <w:rFonts w:ascii="宋体" w:hAnsi="宋体" w:eastAsia="宋体" w:cs="宋体"/>
          <w:spacing w:val="-83"/>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3"/>
          <w:sz w:val="21"/>
          <w:szCs w:val="21"/>
        </w:rPr>
        <w:t>仲裁委员会申请仲裁；</w:t>
      </w:r>
    </w:p>
    <w:p w14:paraId="35C3678F">
      <w:pPr>
        <w:spacing w:before="158" w:line="221" w:lineRule="auto"/>
        <w:ind w:left="426"/>
        <w:rPr>
          <w:rFonts w:ascii="宋体" w:hAnsi="宋体" w:eastAsia="宋体" w:cs="宋体"/>
          <w:sz w:val="21"/>
          <w:szCs w:val="21"/>
        </w:rPr>
      </w:pPr>
      <w:r>
        <w:rPr>
          <w:rFonts w:ascii="宋体" w:hAnsi="宋体" w:eastAsia="宋体" w:cs="宋体"/>
          <w:spacing w:val="-4"/>
          <w:sz w:val="21"/>
          <w:szCs w:val="21"/>
        </w:rPr>
        <w:t>（2）向</w:t>
      </w:r>
      <w:r>
        <w:rPr>
          <w:rFonts w:ascii="宋体" w:hAnsi="宋体" w:eastAsia="宋体" w:cs="宋体"/>
          <w:spacing w:val="-83"/>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4"/>
          <w:sz w:val="21"/>
          <w:szCs w:val="21"/>
        </w:rPr>
        <w:t>人民法院起诉。</w:t>
      </w:r>
    </w:p>
    <w:p w14:paraId="2D8DF5CE">
      <w:pPr>
        <w:spacing w:before="157" w:line="219" w:lineRule="auto"/>
        <w:ind w:left="420"/>
        <w:rPr>
          <w:rFonts w:ascii="黑体" w:hAnsi="黑体" w:eastAsia="黑体" w:cs="黑体"/>
          <w:sz w:val="21"/>
          <w:szCs w:val="21"/>
        </w:rPr>
      </w:pPr>
      <w:r>
        <w:rPr>
          <w:rFonts w:ascii="黑体" w:hAnsi="黑体" w:eastAsia="黑体" w:cs="黑体"/>
          <w:spacing w:val="-1"/>
          <w:sz w:val="21"/>
          <w:szCs w:val="21"/>
        </w:rPr>
        <w:t>八、保函的生效</w:t>
      </w:r>
    </w:p>
    <w:p w14:paraId="21DB2375">
      <w:pPr>
        <w:spacing w:before="159" w:line="220" w:lineRule="auto"/>
        <w:ind w:left="420"/>
        <w:rPr>
          <w:rFonts w:ascii="宋体" w:hAnsi="宋体" w:eastAsia="宋体" w:cs="宋体"/>
          <w:sz w:val="21"/>
          <w:szCs w:val="21"/>
        </w:rPr>
      </w:pPr>
      <w:r>
        <w:rPr>
          <w:rFonts w:ascii="宋体" w:hAnsi="宋体" w:eastAsia="宋体" w:cs="宋体"/>
          <w:spacing w:val="-1"/>
          <w:sz w:val="21"/>
          <w:szCs w:val="21"/>
        </w:rPr>
        <w:t>本保函自我方法定代表人（或其授权代理人）签字并加盖公章之日起生效。</w:t>
      </w:r>
    </w:p>
    <w:p w14:paraId="7914211E">
      <w:pPr>
        <w:pStyle w:val="5"/>
        <w:spacing w:line="300" w:lineRule="auto"/>
      </w:pPr>
    </w:p>
    <w:p w14:paraId="240F7318">
      <w:pPr>
        <w:pStyle w:val="5"/>
        <w:spacing w:line="301" w:lineRule="auto"/>
      </w:pPr>
    </w:p>
    <w:p w14:paraId="0104D3C7">
      <w:pPr>
        <w:pStyle w:val="5"/>
        <w:spacing w:line="301" w:lineRule="auto"/>
      </w:pPr>
    </w:p>
    <w:p w14:paraId="2C059C25">
      <w:pPr>
        <w:spacing w:before="68" w:line="220" w:lineRule="auto"/>
        <w:ind w:left="2626"/>
        <w:rPr>
          <w:rFonts w:ascii="宋体" w:hAnsi="宋体" w:eastAsia="宋体" w:cs="宋体"/>
          <w:sz w:val="21"/>
          <w:szCs w:val="21"/>
        </w:rPr>
      </w:pPr>
      <w:r>
        <w:rPr>
          <w:rFonts w:ascii="宋体" w:hAnsi="宋体" w:eastAsia="宋体" w:cs="宋体"/>
          <w:spacing w:val="1"/>
          <w:sz w:val="21"/>
          <w:szCs w:val="21"/>
        </w:rPr>
        <w:t>担保人</w:t>
      </w:r>
      <w:r>
        <w:rPr>
          <w:rFonts w:ascii="宋体" w:hAnsi="宋体" w:eastAsia="宋体" w:cs="宋体"/>
          <w:spacing w:val="-1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13"/>
          <w:sz w:val="21"/>
          <w:szCs w:val="21"/>
        </w:rPr>
        <w:t>（</w:t>
      </w:r>
      <w:r>
        <w:rPr>
          <w:rFonts w:ascii="宋体" w:hAnsi="宋体" w:eastAsia="宋体" w:cs="宋体"/>
          <w:spacing w:val="1"/>
          <w:sz w:val="21"/>
          <w:szCs w:val="21"/>
        </w:rPr>
        <w:t>盖章）</w:t>
      </w:r>
    </w:p>
    <w:p w14:paraId="0E18F8E0">
      <w:pPr>
        <w:spacing w:before="158" w:line="221" w:lineRule="auto"/>
        <w:ind w:left="2626"/>
        <w:rPr>
          <w:rFonts w:ascii="宋体" w:hAnsi="宋体" w:eastAsia="宋体" w:cs="宋体"/>
          <w:sz w:val="21"/>
          <w:szCs w:val="21"/>
        </w:rPr>
      </w:pPr>
      <w:r>
        <w:rPr>
          <w:rFonts w:ascii="宋体" w:hAnsi="宋体" w:eastAsia="宋体" w:cs="宋体"/>
          <w:spacing w:val="-1"/>
          <w:sz w:val="21"/>
          <w:szCs w:val="21"/>
        </w:rPr>
        <w:t>法定代表人或委托代理人</w:t>
      </w:r>
      <w:r>
        <w:rPr>
          <w:rFonts w:ascii="宋体" w:hAnsi="宋体" w:eastAsia="宋体" w:cs="宋体"/>
          <w:sz w:val="21"/>
          <w:szCs w:val="21"/>
        </w:rPr>
        <w:t>：</w:t>
      </w:r>
      <w:r>
        <w:rPr>
          <w:rFonts w:ascii="宋体" w:hAnsi="宋体" w:eastAsia="宋体" w:cs="宋体"/>
          <w:spacing w:val="1"/>
          <w:sz w:val="21"/>
          <w:szCs w:val="21"/>
          <w:u w:val="single" w:color="auto"/>
        </w:rPr>
        <w:t xml:space="preserve">                    </w:t>
      </w:r>
      <w:r>
        <w:rPr>
          <w:rFonts w:ascii="宋体" w:hAnsi="宋体" w:eastAsia="宋体" w:cs="宋体"/>
          <w:sz w:val="21"/>
          <w:szCs w:val="21"/>
        </w:rPr>
        <w:t>（</w:t>
      </w:r>
      <w:r>
        <w:rPr>
          <w:rFonts w:ascii="宋体" w:hAnsi="宋体" w:eastAsia="宋体" w:cs="宋体"/>
          <w:spacing w:val="-1"/>
          <w:sz w:val="21"/>
          <w:szCs w:val="21"/>
        </w:rPr>
        <w:t>签</w:t>
      </w:r>
    </w:p>
    <w:p w14:paraId="318FBB46">
      <w:pPr>
        <w:spacing w:before="159" w:line="221" w:lineRule="auto"/>
        <w:rPr>
          <w:rFonts w:ascii="宋体" w:hAnsi="宋体" w:eastAsia="宋体" w:cs="宋体"/>
          <w:sz w:val="21"/>
          <w:szCs w:val="21"/>
        </w:rPr>
      </w:pPr>
      <w:r>
        <w:rPr>
          <w:rFonts w:ascii="宋体" w:hAnsi="宋体" w:eastAsia="宋体" w:cs="宋体"/>
          <w:spacing w:val="-6"/>
          <w:sz w:val="21"/>
          <w:szCs w:val="21"/>
        </w:rPr>
        <w:t>字）</w:t>
      </w:r>
    </w:p>
    <w:p w14:paraId="7D524665">
      <w:pPr>
        <w:spacing w:before="157" w:line="230" w:lineRule="auto"/>
        <w:ind w:left="2626"/>
        <w:rPr>
          <w:rFonts w:ascii="宋体" w:hAnsi="宋体" w:eastAsia="宋体" w:cs="宋体"/>
          <w:sz w:val="21"/>
          <w:szCs w:val="21"/>
        </w:rPr>
      </w:pPr>
      <w:r>
        <w:rPr>
          <w:rFonts w:ascii="宋体" w:hAnsi="宋体" w:eastAsia="宋体" w:cs="宋体"/>
          <w:spacing w:val="-12"/>
          <w:sz w:val="21"/>
          <w:szCs w:val="21"/>
        </w:rPr>
        <w:t>地</w:t>
      </w:r>
      <w:r>
        <w:rPr>
          <w:rFonts w:ascii="宋体" w:hAnsi="宋体" w:eastAsia="宋体" w:cs="宋体"/>
          <w:spacing w:val="2"/>
          <w:sz w:val="21"/>
          <w:szCs w:val="21"/>
        </w:rPr>
        <w:t xml:space="preserve">    </w:t>
      </w:r>
      <w:r>
        <w:rPr>
          <w:rFonts w:ascii="宋体" w:hAnsi="宋体" w:eastAsia="宋体" w:cs="宋体"/>
          <w:spacing w:val="-12"/>
          <w:sz w:val="21"/>
          <w:szCs w:val="21"/>
        </w:rPr>
        <w:t>址：</w:t>
      </w:r>
    </w:p>
    <w:p w14:paraId="449EC522">
      <w:pPr>
        <w:spacing w:before="146" w:line="221" w:lineRule="auto"/>
        <w:ind w:left="2641"/>
        <w:rPr>
          <w:rFonts w:ascii="宋体" w:hAnsi="宋体" w:eastAsia="宋体" w:cs="宋体"/>
          <w:sz w:val="21"/>
          <w:szCs w:val="21"/>
        </w:rPr>
      </w:pPr>
      <w:r>
        <w:rPr>
          <w:rFonts w:ascii="宋体" w:hAnsi="宋体" w:eastAsia="宋体" w:cs="宋体"/>
          <w:spacing w:val="-9"/>
          <w:sz w:val="21"/>
          <w:szCs w:val="21"/>
        </w:rPr>
        <w:t>邮政编码：</w:t>
      </w:r>
    </w:p>
    <w:p w14:paraId="2B9FCA9B">
      <w:pPr>
        <w:spacing w:before="157" w:line="220" w:lineRule="auto"/>
        <w:ind w:left="2624"/>
        <w:rPr>
          <w:rFonts w:ascii="宋体" w:hAnsi="宋体" w:eastAsia="宋体" w:cs="宋体"/>
          <w:sz w:val="21"/>
          <w:szCs w:val="21"/>
        </w:rPr>
      </w:pPr>
      <w:r>
        <w:rPr>
          <w:rFonts w:ascii="宋体" w:hAnsi="宋体" w:eastAsia="宋体" w:cs="宋体"/>
          <w:spacing w:val="-12"/>
          <w:sz w:val="21"/>
          <w:szCs w:val="21"/>
        </w:rPr>
        <w:t>传</w:t>
      </w:r>
      <w:r>
        <w:rPr>
          <w:rFonts w:ascii="宋体" w:hAnsi="宋体" w:eastAsia="宋体" w:cs="宋体"/>
          <w:spacing w:val="2"/>
          <w:sz w:val="21"/>
          <w:szCs w:val="21"/>
        </w:rPr>
        <w:t xml:space="preserve">    </w:t>
      </w:r>
      <w:r>
        <w:rPr>
          <w:rFonts w:ascii="宋体" w:hAnsi="宋体" w:eastAsia="宋体" w:cs="宋体"/>
          <w:spacing w:val="-12"/>
          <w:sz w:val="21"/>
          <w:szCs w:val="21"/>
        </w:rPr>
        <w:t>真：</w:t>
      </w:r>
    </w:p>
    <w:p w14:paraId="57933781">
      <w:pPr>
        <w:pStyle w:val="5"/>
        <w:spacing w:line="248" w:lineRule="auto"/>
      </w:pPr>
    </w:p>
    <w:p w14:paraId="330B8D22">
      <w:pPr>
        <w:pStyle w:val="5"/>
        <w:spacing w:line="248" w:lineRule="auto"/>
      </w:pPr>
    </w:p>
    <w:p w14:paraId="46A51A88">
      <w:pPr>
        <w:tabs>
          <w:tab w:val="left" w:pos="5557"/>
        </w:tabs>
        <w:spacing w:before="69" w:line="221" w:lineRule="auto"/>
        <w:ind w:left="398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20"/>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7"/>
          <w:sz w:val="21"/>
          <w:szCs w:val="21"/>
        </w:rPr>
        <w:t>月</w:t>
      </w:r>
      <w:r>
        <w:rPr>
          <w:rFonts w:ascii="宋体" w:hAnsi="宋体" w:eastAsia="宋体" w:cs="宋体"/>
          <w:spacing w:val="20"/>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日</w:t>
      </w:r>
    </w:p>
    <w:p w14:paraId="48176E4D">
      <w:pPr>
        <w:spacing w:line="221" w:lineRule="auto"/>
        <w:rPr>
          <w:rFonts w:ascii="宋体" w:hAnsi="宋体" w:eastAsia="宋体" w:cs="宋体"/>
          <w:sz w:val="21"/>
          <w:szCs w:val="21"/>
        </w:rPr>
        <w:sectPr>
          <w:footerReference r:id="rId144" w:type="default"/>
          <w:pgSz w:w="11905" w:h="16843"/>
          <w:pgMar w:top="969" w:right="1355" w:bottom="1026" w:left="1480" w:header="0" w:footer="754" w:gutter="0"/>
          <w:cols w:space="0" w:num="1"/>
          <w:rtlGutter w:val="0"/>
          <w:docGrid w:linePitch="0" w:charSpace="0"/>
        </w:sectPr>
      </w:pPr>
    </w:p>
    <w:p w14:paraId="16400F6B">
      <w:pPr>
        <w:pStyle w:val="5"/>
        <w:spacing w:line="272" w:lineRule="auto"/>
      </w:pPr>
    </w:p>
    <w:p w14:paraId="0A5DD044">
      <w:pPr>
        <w:pStyle w:val="5"/>
        <w:spacing w:line="272" w:lineRule="auto"/>
      </w:pPr>
    </w:p>
    <w:p w14:paraId="66EFB625">
      <w:pPr>
        <w:pStyle w:val="5"/>
        <w:spacing w:line="272" w:lineRule="auto"/>
      </w:pPr>
    </w:p>
    <w:p w14:paraId="4EBD91ED">
      <w:pPr>
        <w:pStyle w:val="5"/>
        <w:spacing w:line="272" w:lineRule="auto"/>
      </w:pPr>
    </w:p>
    <w:p w14:paraId="48B0D501">
      <w:pPr>
        <w:pStyle w:val="5"/>
        <w:spacing w:line="273" w:lineRule="auto"/>
      </w:pPr>
    </w:p>
    <w:p w14:paraId="00032B0D">
      <w:pPr>
        <w:spacing w:before="78" w:line="219" w:lineRule="auto"/>
        <w:ind w:left="140"/>
        <w:rPr>
          <w:rFonts w:ascii="宋体" w:hAnsi="宋体" w:eastAsia="宋体" w:cs="宋体"/>
          <w:sz w:val="24"/>
          <w:szCs w:val="24"/>
        </w:rPr>
      </w:pPr>
      <w:bookmarkStart w:id="1237" w:name="bookmark603"/>
      <w:bookmarkEnd w:id="1237"/>
      <w:r>
        <w:rPr>
          <w:rFonts w:ascii="宋体" w:hAnsi="宋体" w:eastAsia="宋体" w:cs="宋体"/>
          <w:spacing w:val="-12"/>
          <w:sz w:val="24"/>
          <w:szCs w:val="24"/>
        </w:rPr>
        <w:t>附件</w:t>
      </w:r>
      <w:r>
        <w:rPr>
          <w:rFonts w:ascii="宋体" w:hAnsi="宋体" w:eastAsia="宋体" w:cs="宋体"/>
          <w:spacing w:val="-30"/>
          <w:sz w:val="24"/>
          <w:szCs w:val="24"/>
        </w:rPr>
        <w:t xml:space="preserve"> </w:t>
      </w:r>
      <w:r>
        <w:rPr>
          <w:rFonts w:ascii="宋体" w:hAnsi="宋体" w:eastAsia="宋体" w:cs="宋体"/>
          <w:spacing w:val="-12"/>
          <w:sz w:val="24"/>
          <w:szCs w:val="24"/>
        </w:rPr>
        <w:t>11：</w:t>
      </w:r>
    </w:p>
    <w:p w14:paraId="006BADFB">
      <w:pPr>
        <w:spacing w:before="240" w:line="233" w:lineRule="auto"/>
        <w:ind w:left="3364"/>
        <w:rPr>
          <w:rFonts w:ascii="黑体" w:hAnsi="黑体" w:eastAsia="黑体" w:cs="黑体"/>
          <w:sz w:val="28"/>
          <w:szCs w:val="28"/>
        </w:rPr>
      </w:pPr>
      <w:r>
        <w:rPr>
          <w:rFonts w:ascii="Times New Roman" w:hAnsi="Times New Roman" w:eastAsia="Times New Roman" w:cs="Times New Roman"/>
          <w:spacing w:val="-4"/>
          <w:sz w:val="28"/>
          <w:szCs w:val="28"/>
        </w:rPr>
        <w:t>11-1</w:t>
      </w:r>
      <w:r>
        <w:rPr>
          <w:rFonts w:ascii="黑体" w:hAnsi="黑体" w:eastAsia="黑体" w:cs="黑体"/>
          <w:spacing w:val="-4"/>
          <w:sz w:val="28"/>
          <w:szCs w:val="28"/>
        </w:rPr>
        <w:t>：材料暂估价表</w:t>
      </w:r>
    </w:p>
    <w:p w14:paraId="59235BCA">
      <w:pPr>
        <w:spacing w:line="93" w:lineRule="exact"/>
      </w:pPr>
    </w:p>
    <w:tbl>
      <w:tblPr>
        <w:tblStyle w:val="10"/>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7"/>
        <w:gridCol w:w="850"/>
        <w:gridCol w:w="771"/>
        <w:gridCol w:w="1350"/>
        <w:gridCol w:w="1412"/>
        <w:gridCol w:w="1712"/>
      </w:tblGrid>
      <w:tr w14:paraId="3179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5" w:type="dxa"/>
            <w:tcBorders>
              <w:top w:val="single" w:color="000000" w:sz="10" w:space="0"/>
              <w:left w:val="single" w:color="000000" w:sz="10" w:space="0"/>
            </w:tcBorders>
            <w:vAlign w:val="top"/>
          </w:tcPr>
          <w:p w14:paraId="47D840BC">
            <w:pPr>
              <w:pStyle w:val="11"/>
              <w:spacing w:before="177" w:line="222" w:lineRule="auto"/>
              <w:ind w:left="282"/>
            </w:pPr>
            <w:r>
              <w:rPr>
                <w:spacing w:val="-2"/>
              </w:rPr>
              <w:t>序号</w:t>
            </w:r>
          </w:p>
        </w:tc>
        <w:tc>
          <w:tcPr>
            <w:tcW w:w="1977" w:type="dxa"/>
            <w:tcBorders>
              <w:top w:val="single" w:color="000000" w:sz="10" w:space="0"/>
            </w:tcBorders>
            <w:vAlign w:val="top"/>
          </w:tcPr>
          <w:p w14:paraId="650EF756">
            <w:pPr>
              <w:pStyle w:val="11"/>
              <w:spacing w:before="177" w:line="223" w:lineRule="auto"/>
              <w:ind w:left="776"/>
            </w:pPr>
            <w:r>
              <w:rPr>
                <w:spacing w:val="-3"/>
              </w:rPr>
              <w:t>名称</w:t>
            </w:r>
          </w:p>
        </w:tc>
        <w:tc>
          <w:tcPr>
            <w:tcW w:w="850" w:type="dxa"/>
            <w:tcBorders>
              <w:top w:val="single" w:color="000000" w:sz="10" w:space="0"/>
            </w:tcBorders>
            <w:vAlign w:val="top"/>
          </w:tcPr>
          <w:p w14:paraId="6C5BAA9C">
            <w:pPr>
              <w:pStyle w:val="11"/>
              <w:spacing w:before="177" w:line="221" w:lineRule="auto"/>
              <w:ind w:left="217"/>
            </w:pPr>
            <w:r>
              <w:rPr>
                <w:spacing w:val="-2"/>
              </w:rPr>
              <w:t>单位</w:t>
            </w:r>
          </w:p>
        </w:tc>
        <w:tc>
          <w:tcPr>
            <w:tcW w:w="771" w:type="dxa"/>
            <w:tcBorders>
              <w:top w:val="single" w:color="000000" w:sz="10" w:space="0"/>
            </w:tcBorders>
            <w:vAlign w:val="top"/>
          </w:tcPr>
          <w:p w14:paraId="1CCA8147">
            <w:pPr>
              <w:pStyle w:val="11"/>
              <w:spacing w:before="177" w:line="221" w:lineRule="auto"/>
              <w:ind w:left="180"/>
            </w:pPr>
            <w:r>
              <w:rPr>
                <w:spacing w:val="-2"/>
              </w:rPr>
              <w:t>数量</w:t>
            </w:r>
          </w:p>
        </w:tc>
        <w:tc>
          <w:tcPr>
            <w:tcW w:w="1350" w:type="dxa"/>
            <w:tcBorders>
              <w:top w:val="single" w:color="000000" w:sz="10" w:space="0"/>
            </w:tcBorders>
            <w:vAlign w:val="top"/>
          </w:tcPr>
          <w:p w14:paraId="234D4FB8">
            <w:pPr>
              <w:pStyle w:val="11"/>
              <w:spacing w:before="177" w:line="219" w:lineRule="auto"/>
              <w:ind w:left="156"/>
            </w:pPr>
            <w:r>
              <w:rPr>
                <w:spacing w:val="-5"/>
              </w:rPr>
              <w:t>单价（元）</w:t>
            </w:r>
          </w:p>
        </w:tc>
        <w:tc>
          <w:tcPr>
            <w:tcW w:w="1412" w:type="dxa"/>
            <w:tcBorders>
              <w:top w:val="single" w:color="000000" w:sz="10" w:space="0"/>
            </w:tcBorders>
            <w:vAlign w:val="top"/>
          </w:tcPr>
          <w:p w14:paraId="7175886D">
            <w:pPr>
              <w:pStyle w:val="11"/>
              <w:spacing w:before="177" w:line="219" w:lineRule="auto"/>
              <w:ind w:left="188"/>
            </w:pPr>
            <w:r>
              <w:rPr>
                <w:spacing w:val="-4"/>
              </w:rPr>
              <w:t>合价（元）</w:t>
            </w:r>
          </w:p>
        </w:tc>
        <w:tc>
          <w:tcPr>
            <w:tcW w:w="1712" w:type="dxa"/>
            <w:tcBorders>
              <w:top w:val="single" w:color="000000" w:sz="10" w:space="0"/>
              <w:right w:val="single" w:color="000000" w:sz="10" w:space="0"/>
            </w:tcBorders>
            <w:vAlign w:val="top"/>
          </w:tcPr>
          <w:p w14:paraId="6E0F035A">
            <w:pPr>
              <w:pStyle w:val="11"/>
              <w:spacing w:before="177" w:line="222" w:lineRule="auto"/>
              <w:ind w:left="655"/>
            </w:pPr>
            <w:r>
              <w:rPr>
                <w:spacing w:val="-3"/>
              </w:rPr>
              <w:t>备注</w:t>
            </w:r>
          </w:p>
        </w:tc>
      </w:tr>
      <w:tr w14:paraId="6F2E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5" w:type="dxa"/>
            <w:tcBorders>
              <w:left w:val="single" w:color="000000" w:sz="10" w:space="0"/>
            </w:tcBorders>
            <w:vAlign w:val="top"/>
          </w:tcPr>
          <w:p w14:paraId="0849D63A">
            <w:pPr>
              <w:rPr>
                <w:rFonts w:ascii="Arial"/>
                <w:sz w:val="21"/>
              </w:rPr>
            </w:pPr>
          </w:p>
        </w:tc>
        <w:tc>
          <w:tcPr>
            <w:tcW w:w="1977" w:type="dxa"/>
            <w:vAlign w:val="top"/>
          </w:tcPr>
          <w:p w14:paraId="5260E3DF">
            <w:pPr>
              <w:rPr>
                <w:rFonts w:ascii="Arial"/>
                <w:sz w:val="21"/>
              </w:rPr>
            </w:pPr>
          </w:p>
        </w:tc>
        <w:tc>
          <w:tcPr>
            <w:tcW w:w="850" w:type="dxa"/>
            <w:vAlign w:val="top"/>
          </w:tcPr>
          <w:p w14:paraId="209DEE20">
            <w:pPr>
              <w:rPr>
                <w:rFonts w:ascii="Arial"/>
                <w:sz w:val="21"/>
              </w:rPr>
            </w:pPr>
          </w:p>
        </w:tc>
        <w:tc>
          <w:tcPr>
            <w:tcW w:w="771" w:type="dxa"/>
            <w:vAlign w:val="top"/>
          </w:tcPr>
          <w:p w14:paraId="758E88EF">
            <w:pPr>
              <w:rPr>
                <w:rFonts w:ascii="Arial"/>
                <w:sz w:val="21"/>
              </w:rPr>
            </w:pPr>
          </w:p>
        </w:tc>
        <w:tc>
          <w:tcPr>
            <w:tcW w:w="1350" w:type="dxa"/>
            <w:vAlign w:val="top"/>
          </w:tcPr>
          <w:p w14:paraId="1BE2E616">
            <w:pPr>
              <w:rPr>
                <w:rFonts w:ascii="Arial"/>
                <w:sz w:val="21"/>
              </w:rPr>
            </w:pPr>
          </w:p>
        </w:tc>
        <w:tc>
          <w:tcPr>
            <w:tcW w:w="1412" w:type="dxa"/>
            <w:vAlign w:val="top"/>
          </w:tcPr>
          <w:p w14:paraId="4E2C0DFC">
            <w:pPr>
              <w:rPr>
                <w:rFonts w:ascii="Arial"/>
                <w:sz w:val="21"/>
              </w:rPr>
            </w:pPr>
          </w:p>
        </w:tc>
        <w:tc>
          <w:tcPr>
            <w:tcW w:w="1712" w:type="dxa"/>
            <w:tcBorders>
              <w:right w:val="single" w:color="000000" w:sz="10" w:space="0"/>
            </w:tcBorders>
            <w:vAlign w:val="top"/>
          </w:tcPr>
          <w:p w14:paraId="47D326AF">
            <w:pPr>
              <w:rPr>
                <w:rFonts w:ascii="Arial"/>
                <w:sz w:val="21"/>
              </w:rPr>
            </w:pPr>
          </w:p>
        </w:tc>
      </w:tr>
      <w:tr w14:paraId="3306D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79463146">
            <w:pPr>
              <w:rPr>
                <w:rFonts w:ascii="Arial"/>
                <w:sz w:val="21"/>
              </w:rPr>
            </w:pPr>
          </w:p>
        </w:tc>
        <w:tc>
          <w:tcPr>
            <w:tcW w:w="1977" w:type="dxa"/>
            <w:vAlign w:val="top"/>
          </w:tcPr>
          <w:p w14:paraId="2A587DF0">
            <w:pPr>
              <w:rPr>
                <w:rFonts w:ascii="Arial"/>
                <w:sz w:val="21"/>
              </w:rPr>
            </w:pPr>
          </w:p>
        </w:tc>
        <w:tc>
          <w:tcPr>
            <w:tcW w:w="850" w:type="dxa"/>
            <w:vAlign w:val="top"/>
          </w:tcPr>
          <w:p w14:paraId="77FC2CA2">
            <w:pPr>
              <w:rPr>
                <w:rFonts w:ascii="Arial"/>
                <w:sz w:val="21"/>
              </w:rPr>
            </w:pPr>
          </w:p>
        </w:tc>
        <w:tc>
          <w:tcPr>
            <w:tcW w:w="771" w:type="dxa"/>
            <w:vAlign w:val="top"/>
          </w:tcPr>
          <w:p w14:paraId="583FF44A">
            <w:pPr>
              <w:rPr>
                <w:rFonts w:ascii="Arial"/>
                <w:sz w:val="21"/>
              </w:rPr>
            </w:pPr>
          </w:p>
        </w:tc>
        <w:tc>
          <w:tcPr>
            <w:tcW w:w="1350" w:type="dxa"/>
            <w:vAlign w:val="top"/>
          </w:tcPr>
          <w:p w14:paraId="6664C721">
            <w:pPr>
              <w:rPr>
                <w:rFonts w:ascii="Arial"/>
                <w:sz w:val="21"/>
              </w:rPr>
            </w:pPr>
          </w:p>
        </w:tc>
        <w:tc>
          <w:tcPr>
            <w:tcW w:w="1412" w:type="dxa"/>
            <w:vAlign w:val="top"/>
          </w:tcPr>
          <w:p w14:paraId="72E7F2ED">
            <w:pPr>
              <w:rPr>
                <w:rFonts w:ascii="Arial"/>
                <w:sz w:val="21"/>
              </w:rPr>
            </w:pPr>
          </w:p>
        </w:tc>
        <w:tc>
          <w:tcPr>
            <w:tcW w:w="1712" w:type="dxa"/>
            <w:tcBorders>
              <w:right w:val="single" w:color="000000" w:sz="10" w:space="0"/>
            </w:tcBorders>
            <w:vAlign w:val="top"/>
          </w:tcPr>
          <w:p w14:paraId="11AF997E">
            <w:pPr>
              <w:rPr>
                <w:rFonts w:ascii="Arial"/>
                <w:sz w:val="21"/>
              </w:rPr>
            </w:pPr>
          </w:p>
        </w:tc>
      </w:tr>
      <w:tr w14:paraId="6F64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24DC76C6">
            <w:pPr>
              <w:rPr>
                <w:rFonts w:ascii="Arial"/>
                <w:sz w:val="21"/>
              </w:rPr>
            </w:pPr>
          </w:p>
        </w:tc>
        <w:tc>
          <w:tcPr>
            <w:tcW w:w="1977" w:type="dxa"/>
            <w:vAlign w:val="top"/>
          </w:tcPr>
          <w:p w14:paraId="7C0B9E9C">
            <w:pPr>
              <w:rPr>
                <w:rFonts w:ascii="Arial"/>
                <w:sz w:val="21"/>
              </w:rPr>
            </w:pPr>
          </w:p>
        </w:tc>
        <w:tc>
          <w:tcPr>
            <w:tcW w:w="850" w:type="dxa"/>
            <w:vAlign w:val="top"/>
          </w:tcPr>
          <w:p w14:paraId="20D2221E">
            <w:pPr>
              <w:rPr>
                <w:rFonts w:ascii="Arial"/>
                <w:sz w:val="21"/>
              </w:rPr>
            </w:pPr>
          </w:p>
        </w:tc>
        <w:tc>
          <w:tcPr>
            <w:tcW w:w="771" w:type="dxa"/>
            <w:vAlign w:val="top"/>
          </w:tcPr>
          <w:p w14:paraId="1CB75372">
            <w:pPr>
              <w:rPr>
                <w:rFonts w:ascii="Arial"/>
                <w:sz w:val="21"/>
              </w:rPr>
            </w:pPr>
          </w:p>
        </w:tc>
        <w:tc>
          <w:tcPr>
            <w:tcW w:w="1350" w:type="dxa"/>
            <w:vAlign w:val="top"/>
          </w:tcPr>
          <w:p w14:paraId="44C4D5F9">
            <w:pPr>
              <w:rPr>
                <w:rFonts w:ascii="Arial"/>
                <w:sz w:val="21"/>
              </w:rPr>
            </w:pPr>
          </w:p>
        </w:tc>
        <w:tc>
          <w:tcPr>
            <w:tcW w:w="1412" w:type="dxa"/>
            <w:vAlign w:val="top"/>
          </w:tcPr>
          <w:p w14:paraId="14E296E9">
            <w:pPr>
              <w:rPr>
                <w:rFonts w:ascii="Arial"/>
                <w:sz w:val="21"/>
              </w:rPr>
            </w:pPr>
          </w:p>
        </w:tc>
        <w:tc>
          <w:tcPr>
            <w:tcW w:w="1712" w:type="dxa"/>
            <w:tcBorders>
              <w:right w:val="single" w:color="000000" w:sz="10" w:space="0"/>
            </w:tcBorders>
            <w:vAlign w:val="top"/>
          </w:tcPr>
          <w:p w14:paraId="7540136C">
            <w:pPr>
              <w:rPr>
                <w:rFonts w:ascii="Arial"/>
                <w:sz w:val="21"/>
              </w:rPr>
            </w:pPr>
          </w:p>
        </w:tc>
      </w:tr>
      <w:tr w14:paraId="2926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1EB08F76">
            <w:pPr>
              <w:rPr>
                <w:rFonts w:ascii="Arial"/>
                <w:sz w:val="21"/>
              </w:rPr>
            </w:pPr>
          </w:p>
        </w:tc>
        <w:tc>
          <w:tcPr>
            <w:tcW w:w="1977" w:type="dxa"/>
            <w:vAlign w:val="top"/>
          </w:tcPr>
          <w:p w14:paraId="253B89C6">
            <w:pPr>
              <w:rPr>
                <w:rFonts w:ascii="Arial"/>
                <w:sz w:val="21"/>
              </w:rPr>
            </w:pPr>
          </w:p>
        </w:tc>
        <w:tc>
          <w:tcPr>
            <w:tcW w:w="850" w:type="dxa"/>
            <w:vAlign w:val="top"/>
          </w:tcPr>
          <w:p w14:paraId="502E3C56">
            <w:pPr>
              <w:rPr>
                <w:rFonts w:ascii="Arial"/>
                <w:sz w:val="21"/>
              </w:rPr>
            </w:pPr>
          </w:p>
        </w:tc>
        <w:tc>
          <w:tcPr>
            <w:tcW w:w="771" w:type="dxa"/>
            <w:vAlign w:val="top"/>
          </w:tcPr>
          <w:p w14:paraId="1CF68854">
            <w:pPr>
              <w:rPr>
                <w:rFonts w:ascii="Arial"/>
                <w:sz w:val="21"/>
              </w:rPr>
            </w:pPr>
          </w:p>
        </w:tc>
        <w:tc>
          <w:tcPr>
            <w:tcW w:w="1350" w:type="dxa"/>
            <w:vAlign w:val="top"/>
          </w:tcPr>
          <w:p w14:paraId="076EAE88">
            <w:pPr>
              <w:rPr>
                <w:rFonts w:ascii="Arial"/>
                <w:sz w:val="21"/>
              </w:rPr>
            </w:pPr>
          </w:p>
        </w:tc>
        <w:tc>
          <w:tcPr>
            <w:tcW w:w="1412" w:type="dxa"/>
            <w:vAlign w:val="top"/>
          </w:tcPr>
          <w:p w14:paraId="068F8ECA">
            <w:pPr>
              <w:rPr>
                <w:rFonts w:ascii="Arial"/>
                <w:sz w:val="21"/>
              </w:rPr>
            </w:pPr>
          </w:p>
        </w:tc>
        <w:tc>
          <w:tcPr>
            <w:tcW w:w="1712" w:type="dxa"/>
            <w:tcBorders>
              <w:right w:val="single" w:color="000000" w:sz="10" w:space="0"/>
            </w:tcBorders>
            <w:vAlign w:val="top"/>
          </w:tcPr>
          <w:p w14:paraId="4E84D8F8">
            <w:pPr>
              <w:rPr>
                <w:rFonts w:ascii="Arial"/>
                <w:sz w:val="21"/>
              </w:rPr>
            </w:pPr>
          </w:p>
        </w:tc>
      </w:tr>
      <w:tr w14:paraId="14A4A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1D0917C5">
            <w:pPr>
              <w:rPr>
                <w:rFonts w:ascii="Arial"/>
                <w:sz w:val="21"/>
              </w:rPr>
            </w:pPr>
          </w:p>
        </w:tc>
        <w:tc>
          <w:tcPr>
            <w:tcW w:w="1977" w:type="dxa"/>
            <w:vAlign w:val="top"/>
          </w:tcPr>
          <w:p w14:paraId="4475626A">
            <w:pPr>
              <w:rPr>
                <w:rFonts w:ascii="Arial"/>
                <w:sz w:val="21"/>
              </w:rPr>
            </w:pPr>
          </w:p>
        </w:tc>
        <w:tc>
          <w:tcPr>
            <w:tcW w:w="850" w:type="dxa"/>
            <w:vAlign w:val="top"/>
          </w:tcPr>
          <w:p w14:paraId="321A58C5">
            <w:pPr>
              <w:rPr>
                <w:rFonts w:ascii="Arial"/>
                <w:sz w:val="21"/>
              </w:rPr>
            </w:pPr>
          </w:p>
        </w:tc>
        <w:tc>
          <w:tcPr>
            <w:tcW w:w="771" w:type="dxa"/>
            <w:vAlign w:val="top"/>
          </w:tcPr>
          <w:p w14:paraId="0192C5D7">
            <w:pPr>
              <w:rPr>
                <w:rFonts w:ascii="Arial"/>
                <w:sz w:val="21"/>
              </w:rPr>
            </w:pPr>
          </w:p>
        </w:tc>
        <w:tc>
          <w:tcPr>
            <w:tcW w:w="1350" w:type="dxa"/>
            <w:vAlign w:val="top"/>
          </w:tcPr>
          <w:p w14:paraId="7095B5FA">
            <w:pPr>
              <w:rPr>
                <w:rFonts w:ascii="Arial"/>
                <w:sz w:val="21"/>
              </w:rPr>
            </w:pPr>
          </w:p>
        </w:tc>
        <w:tc>
          <w:tcPr>
            <w:tcW w:w="1412" w:type="dxa"/>
            <w:vAlign w:val="top"/>
          </w:tcPr>
          <w:p w14:paraId="0F1F56ED">
            <w:pPr>
              <w:rPr>
                <w:rFonts w:ascii="Arial"/>
                <w:sz w:val="21"/>
              </w:rPr>
            </w:pPr>
          </w:p>
        </w:tc>
        <w:tc>
          <w:tcPr>
            <w:tcW w:w="1712" w:type="dxa"/>
            <w:tcBorders>
              <w:right w:val="single" w:color="000000" w:sz="10" w:space="0"/>
            </w:tcBorders>
            <w:vAlign w:val="top"/>
          </w:tcPr>
          <w:p w14:paraId="336C3AB3">
            <w:pPr>
              <w:rPr>
                <w:rFonts w:ascii="Arial"/>
                <w:sz w:val="21"/>
              </w:rPr>
            </w:pPr>
          </w:p>
        </w:tc>
      </w:tr>
      <w:tr w14:paraId="578B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4C47507F">
            <w:pPr>
              <w:rPr>
                <w:rFonts w:ascii="Arial"/>
                <w:sz w:val="21"/>
              </w:rPr>
            </w:pPr>
          </w:p>
        </w:tc>
        <w:tc>
          <w:tcPr>
            <w:tcW w:w="1977" w:type="dxa"/>
            <w:vAlign w:val="top"/>
          </w:tcPr>
          <w:p w14:paraId="781D1A5A">
            <w:pPr>
              <w:rPr>
                <w:rFonts w:ascii="Arial"/>
                <w:sz w:val="21"/>
              </w:rPr>
            </w:pPr>
          </w:p>
        </w:tc>
        <w:tc>
          <w:tcPr>
            <w:tcW w:w="850" w:type="dxa"/>
            <w:vAlign w:val="top"/>
          </w:tcPr>
          <w:p w14:paraId="7AB41CEC">
            <w:pPr>
              <w:rPr>
                <w:rFonts w:ascii="Arial"/>
                <w:sz w:val="21"/>
              </w:rPr>
            </w:pPr>
          </w:p>
        </w:tc>
        <w:tc>
          <w:tcPr>
            <w:tcW w:w="771" w:type="dxa"/>
            <w:vAlign w:val="top"/>
          </w:tcPr>
          <w:p w14:paraId="3B82665E">
            <w:pPr>
              <w:rPr>
                <w:rFonts w:ascii="Arial"/>
                <w:sz w:val="21"/>
              </w:rPr>
            </w:pPr>
          </w:p>
        </w:tc>
        <w:tc>
          <w:tcPr>
            <w:tcW w:w="1350" w:type="dxa"/>
            <w:vAlign w:val="top"/>
          </w:tcPr>
          <w:p w14:paraId="715CAC2B">
            <w:pPr>
              <w:rPr>
                <w:rFonts w:ascii="Arial"/>
                <w:sz w:val="21"/>
              </w:rPr>
            </w:pPr>
          </w:p>
        </w:tc>
        <w:tc>
          <w:tcPr>
            <w:tcW w:w="1412" w:type="dxa"/>
            <w:vAlign w:val="top"/>
          </w:tcPr>
          <w:p w14:paraId="18C0AB60">
            <w:pPr>
              <w:rPr>
                <w:rFonts w:ascii="Arial"/>
                <w:sz w:val="21"/>
              </w:rPr>
            </w:pPr>
          </w:p>
        </w:tc>
        <w:tc>
          <w:tcPr>
            <w:tcW w:w="1712" w:type="dxa"/>
            <w:tcBorders>
              <w:right w:val="single" w:color="000000" w:sz="10" w:space="0"/>
            </w:tcBorders>
            <w:vAlign w:val="top"/>
          </w:tcPr>
          <w:p w14:paraId="3A012D8F">
            <w:pPr>
              <w:rPr>
                <w:rFonts w:ascii="Arial"/>
                <w:sz w:val="21"/>
              </w:rPr>
            </w:pPr>
          </w:p>
        </w:tc>
      </w:tr>
      <w:tr w14:paraId="606EB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57FE9F9">
            <w:pPr>
              <w:rPr>
                <w:rFonts w:ascii="Arial"/>
                <w:sz w:val="21"/>
              </w:rPr>
            </w:pPr>
          </w:p>
        </w:tc>
        <w:tc>
          <w:tcPr>
            <w:tcW w:w="1977" w:type="dxa"/>
            <w:vAlign w:val="top"/>
          </w:tcPr>
          <w:p w14:paraId="24DA7628">
            <w:pPr>
              <w:rPr>
                <w:rFonts w:ascii="Arial"/>
                <w:sz w:val="21"/>
              </w:rPr>
            </w:pPr>
          </w:p>
        </w:tc>
        <w:tc>
          <w:tcPr>
            <w:tcW w:w="850" w:type="dxa"/>
            <w:vAlign w:val="top"/>
          </w:tcPr>
          <w:p w14:paraId="70C02D46">
            <w:pPr>
              <w:rPr>
                <w:rFonts w:ascii="Arial"/>
                <w:sz w:val="21"/>
              </w:rPr>
            </w:pPr>
          </w:p>
        </w:tc>
        <w:tc>
          <w:tcPr>
            <w:tcW w:w="771" w:type="dxa"/>
            <w:vAlign w:val="top"/>
          </w:tcPr>
          <w:p w14:paraId="1BC99215">
            <w:pPr>
              <w:rPr>
                <w:rFonts w:ascii="Arial"/>
                <w:sz w:val="21"/>
              </w:rPr>
            </w:pPr>
          </w:p>
        </w:tc>
        <w:tc>
          <w:tcPr>
            <w:tcW w:w="1350" w:type="dxa"/>
            <w:vAlign w:val="top"/>
          </w:tcPr>
          <w:p w14:paraId="2C816BDD">
            <w:pPr>
              <w:rPr>
                <w:rFonts w:ascii="Arial"/>
                <w:sz w:val="21"/>
              </w:rPr>
            </w:pPr>
          </w:p>
        </w:tc>
        <w:tc>
          <w:tcPr>
            <w:tcW w:w="1412" w:type="dxa"/>
            <w:vAlign w:val="top"/>
          </w:tcPr>
          <w:p w14:paraId="3A77D23F">
            <w:pPr>
              <w:rPr>
                <w:rFonts w:ascii="Arial"/>
                <w:sz w:val="21"/>
              </w:rPr>
            </w:pPr>
          </w:p>
        </w:tc>
        <w:tc>
          <w:tcPr>
            <w:tcW w:w="1712" w:type="dxa"/>
            <w:tcBorders>
              <w:right w:val="single" w:color="000000" w:sz="10" w:space="0"/>
            </w:tcBorders>
            <w:vAlign w:val="top"/>
          </w:tcPr>
          <w:p w14:paraId="32872C7B">
            <w:pPr>
              <w:rPr>
                <w:rFonts w:ascii="Arial"/>
                <w:sz w:val="21"/>
              </w:rPr>
            </w:pPr>
          </w:p>
        </w:tc>
      </w:tr>
      <w:tr w14:paraId="3E78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772D4CF7">
            <w:pPr>
              <w:rPr>
                <w:rFonts w:ascii="Arial"/>
                <w:sz w:val="21"/>
              </w:rPr>
            </w:pPr>
          </w:p>
        </w:tc>
        <w:tc>
          <w:tcPr>
            <w:tcW w:w="1977" w:type="dxa"/>
            <w:vAlign w:val="top"/>
          </w:tcPr>
          <w:p w14:paraId="0F9066D9">
            <w:pPr>
              <w:rPr>
                <w:rFonts w:ascii="Arial"/>
                <w:sz w:val="21"/>
              </w:rPr>
            </w:pPr>
          </w:p>
        </w:tc>
        <w:tc>
          <w:tcPr>
            <w:tcW w:w="850" w:type="dxa"/>
            <w:vAlign w:val="top"/>
          </w:tcPr>
          <w:p w14:paraId="341CA5CE">
            <w:pPr>
              <w:rPr>
                <w:rFonts w:ascii="Arial"/>
                <w:sz w:val="21"/>
              </w:rPr>
            </w:pPr>
          </w:p>
        </w:tc>
        <w:tc>
          <w:tcPr>
            <w:tcW w:w="771" w:type="dxa"/>
            <w:vAlign w:val="top"/>
          </w:tcPr>
          <w:p w14:paraId="4EEF8EC7">
            <w:pPr>
              <w:rPr>
                <w:rFonts w:ascii="Arial"/>
                <w:sz w:val="21"/>
              </w:rPr>
            </w:pPr>
          </w:p>
        </w:tc>
        <w:tc>
          <w:tcPr>
            <w:tcW w:w="1350" w:type="dxa"/>
            <w:vAlign w:val="top"/>
          </w:tcPr>
          <w:p w14:paraId="182E6D77">
            <w:pPr>
              <w:rPr>
                <w:rFonts w:ascii="Arial"/>
                <w:sz w:val="21"/>
              </w:rPr>
            </w:pPr>
          </w:p>
        </w:tc>
        <w:tc>
          <w:tcPr>
            <w:tcW w:w="1412" w:type="dxa"/>
            <w:vAlign w:val="top"/>
          </w:tcPr>
          <w:p w14:paraId="5E1CDEB0">
            <w:pPr>
              <w:rPr>
                <w:rFonts w:ascii="Arial"/>
                <w:sz w:val="21"/>
              </w:rPr>
            </w:pPr>
          </w:p>
        </w:tc>
        <w:tc>
          <w:tcPr>
            <w:tcW w:w="1712" w:type="dxa"/>
            <w:tcBorders>
              <w:right w:val="single" w:color="000000" w:sz="10" w:space="0"/>
            </w:tcBorders>
            <w:vAlign w:val="top"/>
          </w:tcPr>
          <w:p w14:paraId="5213AC21">
            <w:pPr>
              <w:rPr>
                <w:rFonts w:ascii="Arial"/>
                <w:sz w:val="21"/>
              </w:rPr>
            </w:pPr>
          </w:p>
        </w:tc>
      </w:tr>
      <w:tr w14:paraId="278E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629E218F">
            <w:pPr>
              <w:rPr>
                <w:rFonts w:ascii="Arial"/>
                <w:sz w:val="21"/>
              </w:rPr>
            </w:pPr>
          </w:p>
        </w:tc>
        <w:tc>
          <w:tcPr>
            <w:tcW w:w="1977" w:type="dxa"/>
            <w:vAlign w:val="top"/>
          </w:tcPr>
          <w:p w14:paraId="28E3FE35">
            <w:pPr>
              <w:rPr>
                <w:rFonts w:ascii="Arial"/>
                <w:sz w:val="21"/>
              </w:rPr>
            </w:pPr>
          </w:p>
        </w:tc>
        <w:tc>
          <w:tcPr>
            <w:tcW w:w="850" w:type="dxa"/>
            <w:vAlign w:val="top"/>
          </w:tcPr>
          <w:p w14:paraId="6CAB2393">
            <w:pPr>
              <w:rPr>
                <w:rFonts w:ascii="Arial"/>
                <w:sz w:val="21"/>
              </w:rPr>
            </w:pPr>
          </w:p>
        </w:tc>
        <w:tc>
          <w:tcPr>
            <w:tcW w:w="771" w:type="dxa"/>
            <w:vAlign w:val="top"/>
          </w:tcPr>
          <w:p w14:paraId="2EA9AF51">
            <w:pPr>
              <w:rPr>
                <w:rFonts w:ascii="Arial"/>
                <w:sz w:val="21"/>
              </w:rPr>
            </w:pPr>
          </w:p>
        </w:tc>
        <w:tc>
          <w:tcPr>
            <w:tcW w:w="1350" w:type="dxa"/>
            <w:vAlign w:val="top"/>
          </w:tcPr>
          <w:p w14:paraId="0EB0027A">
            <w:pPr>
              <w:rPr>
                <w:rFonts w:ascii="Arial"/>
                <w:sz w:val="21"/>
              </w:rPr>
            </w:pPr>
          </w:p>
        </w:tc>
        <w:tc>
          <w:tcPr>
            <w:tcW w:w="1412" w:type="dxa"/>
            <w:vAlign w:val="top"/>
          </w:tcPr>
          <w:p w14:paraId="4B48FA8B">
            <w:pPr>
              <w:rPr>
                <w:rFonts w:ascii="Arial"/>
                <w:sz w:val="21"/>
              </w:rPr>
            </w:pPr>
          </w:p>
        </w:tc>
        <w:tc>
          <w:tcPr>
            <w:tcW w:w="1712" w:type="dxa"/>
            <w:tcBorders>
              <w:right w:val="single" w:color="000000" w:sz="10" w:space="0"/>
            </w:tcBorders>
            <w:vAlign w:val="top"/>
          </w:tcPr>
          <w:p w14:paraId="64836C51">
            <w:pPr>
              <w:rPr>
                <w:rFonts w:ascii="Arial"/>
                <w:sz w:val="21"/>
              </w:rPr>
            </w:pPr>
          </w:p>
        </w:tc>
      </w:tr>
      <w:tr w14:paraId="45C74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93A9A57">
            <w:pPr>
              <w:rPr>
                <w:rFonts w:ascii="Arial"/>
                <w:sz w:val="21"/>
              </w:rPr>
            </w:pPr>
          </w:p>
        </w:tc>
        <w:tc>
          <w:tcPr>
            <w:tcW w:w="1977" w:type="dxa"/>
            <w:vAlign w:val="top"/>
          </w:tcPr>
          <w:p w14:paraId="3E01BD6B">
            <w:pPr>
              <w:rPr>
                <w:rFonts w:ascii="Arial"/>
                <w:sz w:val="21"/>
              </w:rPr>
            </w:pPr>
          </w:p>
        </w:tc>
        <w:tc>
          <w:tcPr>
            <w:tcW w:w="850" w:type="dxa"/>
            <w:vAlign w:val="top"/>
          </w:tcPr>
          <w:p w14:paraId="0EFE8A2B">
            <w:pPr>
              <w:rPr>
                <w:rFonts w:ascii="Arial"/>
                <w:sz w:val="21"/>
              </w:rPr>
            </w:pPr>
          </w:p>
        </w:tc>
        <w:tc>
          <w:tcPr>
            <w:tcW w:w="771" w:type="dxa"/>
            <w:vAlign w:val="top"/>
          </w:tcPr>
          <w:p w14:paraId="23872DFB">
            <w:pPr>
              <w:rPr>
                <w:rFonts w:ascii="Arial"/>
                <w:sz w:val="21"/>
              </w:rPr>
            </w:pPr>
          </w:p>
        </w:tc>
        <w:tc>
          <w:tcPr>
            <w:tcW w:w="1350" w:type="dxa"/>
            <w:vAlign w:val="top"/>
          </w:tcPr>
          <w:p w14:paraId="47FCFC4A">
            <w:pPr>
              <w:rPr>
                <w:rFonts w:ascii="Arial"/>
                <w:sz w:val="21"/>
              </w:rPr>
            </w:pPr>
          </w:p>
        </w:tc>
        <w:tc>
          <w:tcPr>
            <w:tcW w:w="1412" w:type="dxa"/>
            <w:vAlign w:val="top"/>
          </w:tcPr>
          <w:p w14:paraId="7BD431CD">
            <w:pPr>
              <w:rPr>
                <w:rFonts w:ascii="Arial"/>
                <w:sz w:val="21"/>
              </w:rPr>
            </w:pPr>
          </w:p>
        </w:tc>
        <w:tc>
          <w:tcPr>
            <w:tcW w:w="1712" w:type="dxa"/>
            <w:tcBorders>
              <w:right w:val="single" w:color="000000" w:sz="10" w:space="0"/>
            </w:tcBorders>
            <w:vAlign w:val="top"/>
          </w:tcPr>
          <w:p w14:paraId="3F427997">
            <w:pPr>
              <w:rPr>
                <w:rFonts w:ascii="Arial"/>
                <w:sz w:val="21"/>
              </w:rPr>
            </w:pPr>
          </w:p>
        </w:tc>
      </w:tr>
      <w:tr w14:paraId="2FDFE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6BB82DD9">
            <w:pPr>
              <w:rPr>
                <w:rFonts w:ascii="Arial"/>
                <w:sz w:val="21"/>
              </w:rPr>
            </w:pPr>
          </w:p>
        </w:tc>
        <w:tc>
          <w:tcPr>
            <w:tcW w:w="1977" w:type="dxa"/>
            <w:vAlign w:val="top"/>
          </w:tcPr>
          <w:p w14:paraId="053BE9E2">
            <w:pPr>
              <w:rPr>
                <w:rFonts w:ascii="Arial"/>
                <w:sz w:val="21"/>
              </w:rPr>
            </w:pPr>
          </w:p>
        </w:tc>
        <w:tc>
          <w:tcPr>
            <w:tcW w:w="850" w:type="dxa"/>
            <w:vAlign w:val="top"/>
          </w:tcPr>
          <w:p w14:paraId="333F6EB0">
            <w:pPr>
              <w:rPr>
                <w:rFonts w:ascii="Arial"/>
                <w:sz w:val="21"/>
              </w:rPr>
            </w:pPr>
          </w:p>
        </w:tc>
        <w:tc>
          <w:tcPr>
            <w:tcW w:w="771" w:type="dxa"/>
            <w:vAlign w:val="top"/>
          </w:tcPr>
          <w:p w14:paraId="3DF62FBD">
            <w:pPr>
              <w:rPr>
                <w:rFonts w:ascii="Arial"/>
                <w:sz w:val="21"/>
              </w:rPr>
            </w:pPr>
          </w:p>
        </w:tc>
        <w:tc>
          <w:tcPr>
            <w:tcW w:w="1350" w:type="dxa"/>
            <w:vAlign w:val="top"/>
          </w:tcPr>
          <w:p w14:paraId="57FC20E0">
            <w:pPr>
              <w:rPr>
                <w:rFonts w:ascii="Arial"/>
                <w:sz w:val="21"/>
              </w:rPr>
            </w:pPr>
          </w:p>
        </w:tc>
        <w:tc>
          <w:tcPr>
            <w:tcW w:w="1412" w:type="dxa"/>
            <w:vAlign w:val="top"/>
          </w:tcPr>
          <w:p w14:paraId="3FC32B67">
            <w:pPr>
              <w:rPr>
                <w:rFonts w:ascii="Arial"/>
                <w:sz w:val="21"/>
              </w:rPr>
            </w:pPr>
          </w:p>
        </w:tc>
        <w:tc>
          <w:tcPr>
            <w:tcW w:w="1712" w:type="dxa"/>
            <w:tcBorders>
              <w:right w:val="single" w:color="000000" w:sz="10" w:space="0"/>
            </w:tcBorders>
            <w:vAlign w:val="top"/>
          </w:tcPr>
          <w:p w14:paraId="76E268F6">
            <w:pPr>
              <w:rPr>
                <w:rFonts w:ascii="Arial"/>
                <w:sz w:val="21"/>
              </w:rPr>
            </w:pPr>
          </w:p>
        </w:tc>
      </w:tr>
      <w:tr w14:paraId="7C7F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79B6135A">
            <w:pPr>
              <w:rPr>
                <w:rFonts w:ascii="Arial"/>
                <w:sz w:val="21"/>
              </w:rPr>
            </w:pPr>
          </w:p>
        </w:tc>
        <w:tc>
          <w:tcPr>
            <w:tcW w:w="1977" w:type="dxa"/>
            <w:vAlign w:val="top"/>
          </w:tcPr>
          <w:p w14:paraId="65234F07">
            <w:pPr>
              <w:rPr>
                <w:rFonts w:ascii="Arial"/>
                <w:sz w:val="21"/>
              </w:rPr>
            </w:pPr>
          </w:p>
        </w:tc>
        <w:tc>
          <w:tcPr>
            <w:tcW w:w="850" w:type="dxa"/>
            <w:vAlign w:val="top"/>
          </w:tcPr>
          <w:p w14:paraId="787DB8EE">
            <w:pPr>
              <w:rPr>
                <w:rFonts w:ascii="Arial"/>
                <w:sz w:val="21"/>
              </w:rPr>
            </w:pPr>
          </w:p>
        </w:tc>
        <w:tc>
          <w:tcPr>
            <w:tcW w:w="771" w:type="dxa"/>
            <w:vAlign w:val="top"/>
          </w:tcPr>
          <w:p w14:paraId="0E0D330D">
            <w:pPr>
              <w:rPr>
                <w:rFonts w:ascii="Arial"/>
                <w:sz w:val="21"/>
              </w:rPr>
            </w:pPr>
          </w:p>
        </w:tc>
        <w:tc>
          <w:tcPr>
            <w:tcW w:w="1350" w:type="dxa"/>
            <w:vAlign w:val="top"/>
          </w:tcPr>
          <w:p w14:paraId="1995D98F">
            <w:pPr>
              <w:rPr>
                <w:rFonts w:ascii="Arial"/>
                <w:sz w:val="21"/>
              </w:rPr>
            </w:pPr>
          </w:p>
        </w:tc>
        <w:tc>
          <w:tcPr>
            <w:tcW w:w="1412" w:type="dxa"/>
            <w:vAlign w:val="top"/>
          </w:tcPr>
          <w:p w14:paraId="315EBFE9">
            <w:pPr>
              <w:rPr>
                <w:rFonts w:ascii="Arial"/>
                <w:sz w:val="21"/>
              </w:rPr>
            </w:pPr>
          </w:p>
        </w:tc>
        <w:tc>
          <w:tcPr>
            <w:tcW w:w="1712" w:type="dxa"/>
            <w:tcBorders>
              <w:right w:val="single" w:color="000000" w:sz="10" w:space="0"/>
            </w:tcBorders>
            <w:vAlign w:val="top"/>
          </w:tcPr>
          <w:p w14:paraId="23D0A942">
            <w:pPr>
              <w:rPr>
                <w:rFonts w:ascii="Arial"/>
                <w:sz w:val="21"/>
              </w:rPr>
            </w:pPr>
          </w:p>
        </w:tc>
      </w:tr>
      <w:tr w14:paraId="3A577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0BE453E2">
            <w:pPr>
              <w:rPr>
                <w:rFonts w:ascii="Arial"/>
                <w:sz w:val="21"/>
              </w:rPr>
            </w:pPr>
          </w:p>
        </w:tc>
        <w:tc>
          <w:tcPr>
            <w:tcW w:w="1977" w:type="dxa"/>
            <w:vAlign w:val="top"/>
          </w:tcPr>
          <w:p w14:paraId="79645439">
            <w:pPr>
              <w:rPr>
                <w:rFonts w:ascii="Arial"/>
                <w:sz w:val="21"/>
              </w:rPr>
            </w:pPr>
          </w:p>
        </w:tc>
        <w:tc>
          <w:tcPr>
            <w:tcW w:w="850" w:type="dxa"/>
            <w:vAlign w:val="top"/>
          </w:tcPr>
          <w:p w14:paraId="22A0B7B3">
            <w:pPr>
              <w:rPr>
                <w:rFonts w:ascii="Arial"/>
                <w:sz w:val="21"/>
              </w:rPr>
            </w:pPr>
          </w:p>
        </w:tc>
        <w:tc>
          <w:tcPr>
            <w:tcW w:w="771" w:type="dxa"/>
            <w:vAlign w:val="top"/>
          </w:tcPr>
          <w:p w14:paraId="1F6BD358">
            <w:pPr>
              <w:rPr>
                <w:rFonts w:ascii="Arial"/>
                <w:sz w:val="21"/>
              </w:rPr>
            </w:pPr>
          </w:p>
        </w:tc>
        <w:tc>
          <w:tcPr>
            <w:tcW w:w="1350" w:type="dxa"/>
            <w:vAlign w:val="top"/>
          </w:tcPr>
          <w:p w14:paraId="51FC817E">
            <w:pPr>
              <w:rPr>
                <w:rFonts w:ascii="Arial"/>
                <w:sz w:val="21"/>
              </w:rPr>
            </w:pPr>
          </w:p>
        </w:tc>
        <w:tc>
          <w:tcPr>
            <w:tcW w:w="1412" w:type="dxa"/>
            <w:vAlign w:val="top"/>
          </w:tcPr>
          <w:p w14:paraId="04F5C696">
            <w:pPr>
              <w:rPr>
                <w:rFonts w:ascii="Arial"/>
                <w:sz w:val="21"/>
              </w:rPr>
            </w:pPr>
          </w:p>
        </w:tc>
        <w:tc>
          <w:tcPr>
            <w:tcW w:w="1712" w:type="dxa"/>
            <w:tcBorders>
              <w:right w:val="single" w:color="000000" w:sz="10" w:space="0"/>
            </w:tcBorders>
            <w:vAlign w:val="top"/>
          </w:tcPr>
          <w:p w14:paraId="0494586C">
            <w:pPr>
              <w:rPr>
                <w:rFonts w:ascii="Arial"/>
                <w:sz w:val="21"/>
              </w:rPr>
            </w:pPr>
          </w:p>
        </w:tc>
      </w:tr>
      <w:tr w14:paraId="48F52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4CBAADBD">
            <w:pPr>
              <w:rPr>
                <w:rFonts w:ascii="Arial"/>
                <w:sz w:val="21"/>
              </w:rPr>
            </w:pPr>
          </w:p>
        </w:tc>
        <w:tc>
          <w:tcPr>
            <w:tcW w:w="1977" w:type="dxa"/>
            <w:vAlign w:val="top"/>
          </w:tcPr>
          <w:p w14:paraId="196FE89E">
            <w:pPr>
              <w:rPr>
                <w:rFonts w:ascii="Arial"/>
                <w:sz w:val="21"/>
              </w:rPr>
            </w:pPr>
          </w:p>
        </w:tc>
        <w:tc>
          <w:tcPr>
            <w:tcW w:w="850" w:type="dxa"/>
            <w:vAlign w:val="top"/>
          </w:tcPr>
          <w:p w14:paraId="3B35C731">
            <w:pPr>
              <w:rPr>
                <w:rFonts w:ascii="Arial"/>
                <w:sz w:val="21"/>
              </w:rPr>
            </w:pPr>
          </w:p>
        </w:tc>
        <w:tc>
          <w:tcPr>
            <w:tcW w:w="771" w:type="dxa"/>
            <w:vAlign w:val="top"/>
          </w:tcPr>
          <w:p w14:paraId="553DAFFB">
            <w:pPr>
              <w:rPr>
                <w:rFonts w:ascii="Arial"/>
                <w:sz w:val="21"/>
              </w:rPr>
            </w:pPr>
          </w:p>
        </w:tc>
        <w:tc>
          <w:tcPr>
            <w:tcW w:w="1350" w:type="dxa"/>
            <w:vAlign w:val="top"/>
          </w:tcPr>
          <w:p w14:paraId="3E3ACCAF">
            <w:pPr>
              <w:rPr>
                <w:rFonts w:ascii="Arial"/>
                <w:sz w:val="21"/>
              </w:rPr>
            </w:pPr>
          </w:p>
        </w:tc>
        <w:tc>
          <w:tcPr>
            <w:tcW w:w="1412" w:type="dxa"/>
            <w:vAlign w:val="top"/>
          </w:tcPr>
          <w:p w14:paraId="39D8D05B">
            <w:pPr>
              <w:rPr>
                <w:rFonts w:ascii="Arial"/>
                <w:sz w:val="21"/>
              </w:rPr>
            </w:pPr>
          </w:p>
        </w:tc>
        <w:tc>
          <w:tcPr>
            <w:tcW w:w="1712" w:type="dxa"/>
            <w:tcBorders>
              <w:right w:val="single" w:color="000000" w:sz="10" w:space="0"/>
            </w:tcBorders>
            <w:vAlign w:val="top"/>
          </w:tcPr>
          <w:p w14:paraId="2B9DEA8A">
            <w:pPr>
              <w:rPr>
                <w:rFonts w:ascii="Arial"/>
                <w:sz w:val="21"/>
              </w:rPr>
            </w:pPr>
          </w:p>
        </w:tc>
      </w:tr>
      <w:tr w14:paraId="4312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EA8632D">
            <w:pPr>
              <w:rPr>
                <w:rFonts w:ascii="Arial"/>
                <w:sz w:val="21"/>
              </w:rPr>
            </w:pPr>
          </w:p>
        </w:tc>
        <w:tc>
          <w:tcPr>
            <w:tcW w:w="1977" w:type="dxa"/>
            <w:vAlign w:val="top"/>
          </w:tcPr>
          <w:p w14:paraId="739A5ED7">
            <w:pPr>
              <w:rPr>
                <w:rFonts w:ascii="Arial"/>
                <w:sz w:val="21"/>
              </w:rPr>
            </w:pPr>
          </w:p>
        </w:tc>
        <w:tc>
          <w:tcPr>
            <w:tcW w:w="850" w:type="dxa"/>
            <w:vAlign w:val="top"/>
          </w:tcPr>
          <w:p w14:paraId="1CEE8332">
            <w:pPr>
              <w:rPr>
                <w:rFonts w:ascii="Arial"/>
                <w:sz w:val="21"/>
              </w:rPr>
            </w:pPr>
          </w:p>
        </w:tc>
        <w:tc>
          <w:tcPr>
            <w:tcW w:w="771" w:type="dxa"/>
            <w:vAlign w:val="top"/>
          </w:tcPr>
          <w:p w14:paraId="5EE69783">
            <w:pPr>
              <w:rPr>
                <w:rFonts w:ascii="Arial"/>
                <w:sz w:val="21"/>
              </w:rPr>
            </w:pPr>
          </w:p>
        </w:tc>
        <w:tc>
          <w:tcPr>
            <w:tcW w:w="1350" w:type="dxa"/>
            <w:vAlign w:val="top"/>
          </w:tcPr>
          <w:p w14:paraId="16F09D1E">
            <w:pPr>
              <w:rPr>
                <w:rFonts w:ascii="Arial"/>
                <w:sz w:val="21"/>
              </w:rPr>
            </w:pPr>
          </w:p>
        </w:tc>
        <w:tc>
          <w:tcPr>
            <w:tcW w:w="1412" w:type="dxa"/>
            <w:vAlign w:val="top"/>
          </w:tcPr>
          <w:p w14:paraId="2B7FE75C">
            <w:pPr>
              <w:rPr>
                <w:rFonts w:ascii="Arial"/>
                <w:sz w:val="21"/>
              </w:rPr>
            </w:pPr>
          </w:p>
        </w:tc>
        <w:tc>
          <w:tcPr>
            <w:tcW w:w="1712" w:type="dxa"/>
            <w:tcBorders>
              <w:right w:val="single" w:color="000000" w:sz="10" w:space="0"/>
            </w:tcBorders>
            <w:vAlign w:val="top"/>
          </w:tcPr>
          <w:p w14:paraId="330B046A">
            <w:pPr>
              <w:rPr>
                <w:rFonts w:ascii="Arial"/>
                <w:sz w:val="21"/>
              </w:rPr>
            </w:pPr>
          </w:p>
        </w:tc>
      </w:tr>
      <w:tr w14:paraId="302D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299BB2E7">
            <w:pPr>
              <w:rPr>
                <w:rFonts w:ascii="Arial"/>
                <w:sz w:val="21"/>
              </w:rPr>
            </w:pPr>
          </w:p>
        </w:tc>
        <w:tc>
          <w:tcPr>
            <w:tcW w:w="1977" w:type="dxa"/>
            <w:vAlign w:val="top"/>
          </w:tcPr>
          <w:p w14:paraId="027A4D0D">
            <w:pPr>
              <w:rPr>
                <w:rFonts w:ascii="Arial"/>
                <w:sz w:val="21"/>
              </w:rPr>
            </w:pPr>
          </w:p>
        </w:tc>
        <w:tc>
          <w:tcPr>
            <w:tcW w:w="850" w:type="dxa"/>
            <w:vAlign w:val="top"/>
          </w:tcPr>
          <w:p w14:paraId="649A37C8">
            <w:pPr>
              <w:rPr>
                <w:rFonts w:ascii="Arial"/>
                <w:sz w:val="21"/>
              </w:rPr>
            </w:pPr>
          </w:p>
        </w:tc>
        <w:tc>
          <w:tcPr>
            <w:tcW w:w="771" w:type="dxa"/>
            <w:vAlign w:val="top"/>
          </w:tcPr>
          <w:p w14:paraId="35695BE1">
            <w:pPr>
              <w:rPr>
                <w:rFonts w:ascii="Arial"/>
                <w:sz w:val="21"/>
              </w:rPr>
            </w:pPr>
          </w:p>
        </w:tc>
        <w:tc>
          <w:tcPr>
            <w:tcW w:w="1350" w:type="dxa"/>
            <w:vAlign w:val="top"/>
          </w:tcPr>
          <w:p w14:paraId="74D10EA6">
            <w:pPr>
              <w:rPr>
                <w:rFonts w:ascii="Arial"/>
                <w:sz w:val="21"/>
              </w:rPr>
            </w:pPr>
          </w:p>
        </w:tc>
        <w:tc>
          <w:tcPr>
            <w:tcW w:w="1412" w:type="dxa"/>
            <w:vAlign w:val="top"/>
          </w:tcPr>
          <w:p w14:paraId="426474A0">
            <w:pPr>
              <w:rPr>
                <w:rFonts w:ascii="Arial"/>
                <w:sz w:val="21"/>
              </w:rPr>
            </w:pPr>
          </w:p>
        </w:tc>
        <w:tc>
          <w:tcPr>
            <w:tcW w:w="1712" w:type="dxa"/>
            <w:tcBorders>
              <w:right w:val="single" w:color="000000" w:sz="10" w:space="0"/>
            </w:tcBorders>
            <w:vAlign w:val="top"/>
          </w:tcPr>
          <w:p w14:paraId="6CC6E9F2">
            <w:pPr>
              <w:rPr>
                <w:rFonts w:ascii="Arial"/>
                <w:sz w:val="21"/>
              </w:rPr>
            </w:pPr>
          </w:p>
        </w:tc>
      </w:tr>
      <w:tr w14:paraId="2968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5B000DF3">
            <w:pPr>
              <w:rPr>
                <w:rFonts w:ascii="Arial"/>
                <w:sz w:val="21"/>
              </w:rPr>
            </w:pPr>
          </w:p>
        </w:tc>
        <w:tc>
          <w:tcPr>
            <w:tcW w:w="1977" w:type="dxa"/>
            <w:vAlign w:val="top"/>
          </w:tcPr>
          <w:p w14:paraId="0B2AA79C">
            <w:pPr>
              <w:rPr>
                <w:rFonts w:ascii="Arial"/>
                <w:sz w:val="21"/>
              </w:rPr>
            </w:pPr>
          </w:p>
        </w:tc>
        <w:tc>
          <w:tcPr>
            <w:tcW w:w="850" w:type="dxa"/>
            <w:vAlign w:val="top"/>
          </w:tcPr>
          <w:p w14:paraId="1EC03B4E">
            <w:pPr>
              <w:rPr>
                <w:rFonts w:ascii="Arial"/>
                <w:sz w:val="21"/>
              </w:rPr>
            </w:pPr>
          </w:p>
        </w:tc>
        <w:tc>
          <w:tcPr>
            <w:tcW w:w="771" w:type="dxa"/>
            <w:vAlign w:val="top"/>
          </w:tcPr>
          <w:p w14:paraId="2D5D355E">
            <w:pPr>
              <w:rPr>
                <w:rFonts w:ascii="Arial"/>
                <w:sz w:val="21"/>
              </w:rPr>
            </w:pPr>
          </w:p>
        </w:tc>
        <w:tc>
          <w:tcPr>
            <w:tcW w:w="1350" w:type="dxa"/>
            <w:vAlign w:val="top"/>
          </w:tcPr>
          <w:p w14:paraId="5EA71202">
            <w:pPr>
              <w:rPr>
                <w:rFonts w:ascii="Arial"/>
                <w:sz w:val="21"/>
              </w:rPr>
            </w:pPr>
          </w:p>
        </w:tc>
        <w:tc>
          <w:tcPr>
            <w:tcW w:w="1412" w:type="dxa"/>
            <w:vAlign w:val="top"/>
          </w:tcPr>
          <w:p w14:paraId="38EF9293">
            <w:pPr>
              <w:rPr>
                <w:rFonts w:ascii="Arial"/>
                <w:sz w:val="21"/>
              </w:rPr>
            </w:pPr>
          </w:p>
        </w:tc>
        <w:tc>
          <w:tcPr>
            <w:tcW w:w="1712" w:type="dxa"/>
            <w:tcBorders>
              <w:right w:val="single" w:color="000000" w:sz="10" w:space="0"/>
            </w:tcBorders>
            <w:vAlign w:val="top"/>
          </w:tcPr>
          <w:p w14:paraId="6DBFF858">
            <w:pPr>
              <w:rPr>
                <w:rFonts w:ascii="Arial"/>
                <w:sz w:val="21"/>
              </w:rPr>
            </w:pPr>
          </w:p>
        </w:tc>
      </w:tr>
      <w:tr w14:paraId="384C2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5DBA2873">
            <w:pPr>
              <w:rPr>
                <w:rFonts w:ascii="Arial"/>
                <w:sz w:val="21"/>
              </w:rPr>
            </w:pPr>
          </w:p>
        </w:tc>
        <w:tc>
          <w:tcPr>
            <w:tcW w:w="1977" w:type="dxa"/>
            <w:vAlign w:val="top"/>
          </w:tcPr>
          <w:p w14:paraId="4B092BB5">
            <w:pPr>
              <w:rPr>
                <w:rFonts w:ascii="Arial"/>
                <w:sz w:val="21"/>
              </w:rPr>
            </w:pPr>
          </w:p>
        </w:tc>
        <w:tc>
          <w:tcPr>
            <w:tcW w:w="850" w:type="dxa"/>
            <w:vAlign w:val="top"/>
          </w:tcPr>
          <w:p w14:paraId="31D1679C">
            <w:pPr>
              <w:rPr>
                <w:rFonts w:ascii="Arial"/>
                <w:sz w:val="21"/>
              </w:rPr>
            </w:pPr>
          </w:p>
        </w:tc>
        <w:tc>
          <w:tcPr>
            <w:tcW w:w="771" w:type="dxa"/>
            <w:vAlign w:val="top"/>
          </w:tcPr>
          <w:p w14:paraId="59606C01">
            <w:pPr>
              <w:rPr>
                <w:rFonts w:ascii="Arial"/>
                <w:sz w:val="21"/>
              </w:rPr>
            </w:pPr>
          </w:p>
        </w:tc>
        <w:tc>
          <w:tcPr>
            <w:tcW w:w="1350" w:type="dxa"/>
            <w:vAlign w:val="top"/>
          </w:tcPr>
          <w:p w14:paraId="1CF6665F">
            <w:pPr>
              <w:rPr>
                <w:rFonts w:ascii="Arial"/>
                <w:sz w:val="21"/>
              </w:rPr>
            </w:pPr>
          </w:p>
        </w:tc>
        <w:tc>
          <w:tcPr>
            <w:tcW w:w="1412" w:type="dxa"/>
            <w:vAlign w:val="top"/>
          </w:tcPr>
          <w:p w14:paraId="0A98A554">
            <w:pPr>
              <w:rPr>
                <w:rFonts w:ascii="Arial"/>
                <w:sz w:val="21"/>
              </w:rPr>
            </w:pPr>
          </w:p>
        </w:tc>
        <w:tc>
          <w:tcPr>
            <w:tcW w:w="1712" w:type="dxa"/>
            <w:tcBorders>
              <w:right w:val="single" w:color="000000" w:sz="10" w:space="0"/>
            </w:tcBorders>
            <w:vAlign w:val="top"/>
          </w:tcPr>
          <w:p w14:paraId="6B89BD02">
            <w:pPr>
              <w:rPr>
                <w:rFonts w:ascii="Arial"/>
                <w:sz w:val="21"/>
              </w:rPr>
            </w:pPr>
          </w:p>
        </w:tc>
      </w:tr>
      <w:tr w14:paraId="661B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9F0D87C">
            <w:pPr>
              <w:rPr>
                <w:rFonts w:ascii="Arial"/>
                <w:sz w:val="21"/>
              </w:rPr>
            </w:pPr>
          </w:p>
        </w:tc>
        <w:tc>
          <w:tcPr>
            <w:tcW w:w="1977" w:type="dxa"/>
            <w:vAlign w:val="top"/>
          </w:tcPr>
          <w:p w14:paraId="4B7B1BF1">
            <w:pPr>
              <w:rPr>
                <w:rFonts w:ascii="Arial"/>
                <w:sz w:val="21"/>
              </w:rPr>
            </w:pPr>
          </w:p>
        </w:tc>
        <w:tc>
          <w:tcPr>
            <w:tcW w:w="850" w:type="dxa"/>
            <w:vAlign w:val="top"/>
          </w:tcPr>
          <w:p w14:paraId="197F80B3">
            <w:pPr>
              <w:rPr>
                <w:rFonts w:ascii="Arial"/>
                <w:sz w:val="21"/>
              </w:rPr>
            </w:pPr>
          </w:p>
        </w:tc>
        <w:tc>
          <w:tcPr>
            <w:tcW w:w="771" w:type="dxa"/>
            <w:vAlign w:val="top"/>
          </w:tcPr>
          <w:p w14:paraId="0EA48E72">
            <w:pPr>
              <w:rPr>
                <w:rFonts w:ascii="Arial"/>
                <w:sz w:val="21"/>
              </w:rPr>
            </w:pPr>
          </w:p>
        </w:tc>
        <w:tc>
          <w:tcPr>
            <w:tcW w:w="1350" w:type="dxa"/>
            <w:vAlign w:val="top"/>
          </w:tcPr>
          <w:p w14:paraId="2CA6F7BD">
            <w:pPr>
              <w:rPr>
                <w:rFonts w:ascii="Arial"/>
                <w:sz w:val="21"/>
              </w:rPr>
            </w:pPr>
          </w:p>
        </w:tc>
        <w:tc>
          <w:tcPr>
            <w:tcW w:w="1412" w:type="dxa"/>
            <w:vAlign w:val="top"/>
          </w:tcPr>
          <w:p w14:paraId="277555F7">
            <w:pPr>
              <w:rPr>
                <w:rFonts w:ascii="Arial"/>
                <w:sz w:val="21"/>
              </w:rPr>
            </w:pPr>
          </w:p>
        </w:tc>
        <w:tc>
          <w:tcPr>
            <w:tcW w:w="1712" w:type="dxa"/>
            <w:tcBorders>
              <w:right w:val="single" w:color="000000" w:sz="10" w:space="0"/>
            </w:tcBorders>
            <w:vAlign w:val="top"/>
          </w:tcPr>
          <w:p w14:paraId="0DFBE1DB">
            <w:pPr>
              <w:rPr>
                <w:rFonts w:ascii="Arial"/>
                <w:sz w:val="21"/>
              </w:rPr>
            </w:pPr>
          </w:p>
        </w:tc>
      </w:tr>
      <w:tr w14:paraId="796C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14B364CD">
            <w:pPr>
              <w:rPr>
                <w:rFonts w:ascii="Arial"/>
                <w:sz w:val="21"/>
              </w:rPr>
            </w:pPr>
          </w:p>
        </w:tc>
        <w:tc>
          <w:tcPr>
            <w:tcW w:w="1977" w:type="dxa"/>
            <w:vAlign w:val="top"/>
          </w:tcPr>
          <w:p w14:paraId="2C05D188">
            <w:pPr>
              <w:rPr>
                <w:rFonts w:ascii="Arial"/>
                <w:sz w:val="21"/>
              </w:rPr>
            </w:pPr>
          </w:p>
        </w:tc>
        <w:tc>
          <w:tcPr>
            <w:tcW w:w="850" w:type="dxa"/>
            <w:vAlign w:val="top"/>
          </w:tcPr>
          <w:p w14:paraId="45BAB069">
            <w:pPr>
              <w:rPr>
                <w:rFonts w:ascii="Arial"/>
                <w:sz w:val="21"/>
              </w:rPr>
            </w:pPr>
          </w:p>
        </w:tc>
        <w:tc>
          <w:tcPr>
            <w:tcW w:w="771" w:type="dxa"/>
            <w:vAlign w:val="top"/>
          </w:tcPr>
          <w:p w14:paraId="5E40B01E">
            <w:pPr>
              <w:rPr>
                <w:rFonts w:ascii="Arial"/>
                <w:sz w:val="21"/>
              </w:rPr>
            </w:pPr>
          </w:p>
        </w:tc>
        <w:tc>
          <w:tcPr>
            <w:tcW w:w="1350" w:type="dxa"/>
            <w:vAlign w:val="top"/>
          </w:tcPr>
          <w:p w14:paraId="3B6DD939">
            <w:pPr>
              <w:rPr>
                <w:rFonts w:ascii="Arial"/>
                <w:sz w:val="21"/>
              </w:rPr>
            </w:pPr>
          </w:p>
        </w:tc>
        <w:tc>
          <w:tcPr>
            <w:tcW w:w="1412" w:type="dxa"/>
            <w:vAlign w:val="top"/>
          </w:tcPr>
          <w:p w14:paraId="2A3441BC">
            <w:pPr>
              <w:rPr>
                <w:rFonts w:ascii="Arial"/>
                <w:sz w:val="21"/>
              </w:rPr>
            </w:pPr>
          </w:p>
        </w:tc>
        <w:tc>
          <w:tcPr>
            <w:tcW w:w="1712" w:type="dxa"/>
            <w:tcBorders>
              <w:right w:val="single" w:color="000000" w:sz="10" w:space="0"/>
            </w:tcBorders>
            <w:vAlign w:val="top"/>
          </w:tcPr>
          <w:p w14:paraId="0DD92DB2">
            <w:pPr>
              <w:rPr>
                <w:rFonts w:ascii="Arial"/>
                <w:sz w:val="21"/>
              </w:rPr>
            </w:pPr>
          </w:p>
        </w:tc>
      </w:tr>
      <w:tr w14:paraId="2584C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5C7E3BB1">
            <w:pPr>
              <w:rPr>
                <w:rFonts w:ascii="Arial"/>
                <w:sz w:val="21"/>
              </w:rPr>
            </w:pPr>
          </w:p>
        </w:tc>
        <w:tc>
          <w:tcPr>
            <w:tcW w:w="1977" w:type="dxa"/>
            <w:vAlign w:val="top"/>
          </w:tcPr>
          <w:p w14:paraId="2893283E">
            <w:pPr>
              <w:rPr>
                <w:rFonts w:ascii="Arial"/>
                <w:sz w:val="21"/>
              </w:rPr>
            </w:pPr>
          </w:p>
        </w:tc>
        <w:tc>
          <w:tcPr>
            <w:tcW w:w="850" w:type="dxa"/>
            <w:vAlign w:val="top"/>
          </w:tcPr>
          <w:p w14:paraId="7241413A">
            <w:pPr>
              <w:rPr>
                <w:rFonts w:ascii="Arial"/>
                <w:sz w:val="21"/>
              </w:rPr>
            </w:pPr>
          </w:p>
        </w:tc>
        <w:tc>
          <w:tcPr>
            <w:tcW w:w="771" w:type="dxa"/>
            <w:vAlign w:val="top"/>
          </w:tcPr>
          <w:p w14:paraId="5BFCB13F">
            <w:pPr>
              <w:rPr>
                <w:rFonts w:ascii="Arial"/>
                <w:sz w:val="21"/>
              </w:rPr>
            </w:pPr>
          </w:p>
        </w:tc>
        <w:tc>
          <w:tcPr>
            <w:tcW w:w="1350" w:type="dxa"/>
            <w:vAlign w:val="top"/>
          </w:tcPr>
          <w:p w14:paraId="04BB7FA2">
            <w:pPr>
              <w:rPr>
                <w:rFonts w:ascii="Arial"/>
                <w:sz w:val="21"/>
              </w:rPr>
            </w:pPr>
          </w:p>
        </w:tc>
        <w:tc>
          <w:tcPr>
            <w:tcW w:w="1412" w:type="dxa"/>
            <w:vAlign w:val="top"/>
          </w:tcPr>
          <w:p w14:paraId="57AF6439">
            <w:pPr>
              <w:rPr>
                <w:rFonts w:ascii="Arial"/>
                <w:sz w:val="21"/>
              </w:rPr>
            </w:pPr>
          </w:p>
        </w:tc>
        <w:tc>
          <w:tcPr>
            <w:tcW w:w="1712" w:type="dxa"/>
            <w:tcBorders>
              <w:right w:val="single" w:color="000000" w:sz="10" w:space="0"/>
            </w:tcBorders>
            <w:vAlign w:val="top"/>
          </w:tcPr>
          <w:p w14:paraId="4D982905">
            <w:pPr>
              <w:rPr>
                <w:rFonts w:ascii="Arial"/>
                <w:sz w:val="21"/>
              </w:rPr>
            </w:pPr>
          </w:p>
        </w:tc>
      </w:tr>
      <w:tr w14:paraId="185D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0010331">
            <w:pPr>
              <w:rPr>
                <w:rFonts w:ascii="Arial"/>
                <w:sz w:val="21"/>
              </w:rPr>
            </w:pPr>
          </w:p>
        </w:tc>
        <w:tc>
          <w:tcPr>
            <w:tcW w:w="1977" w:type="dxa"/>
            <w:vAlign w:val="top"/>
          </w:tcPr>
          <w:p w14:paraId="3EF5B928">
            <w:pPr>
              <w:rPr>
                <w:rFonts w:ascii="Arial"/>
                <w:sz w:val="21"/>
              </w:rPr>
            </w:pPr>
          </w:p>
        </w:tc>
        <w:tc>
          <w:tcPr>
            <w:tcW w:w="850" w:type="dxa"/>
            <w:vAlign w:val="top"/>
          </w:tcPr>
          <w:p w14:paraId="39582838">
            <w:pPr>
              <w:rPr>
                <w:rFonts w:ascii="Arial"/>
                <w:sz w:val="21"/>
              </w:rPr>
            </w:pPr>
          </w:p>
        </w:tc>
        <w:tc>
          <w:tcPr>
            <w:tcW w:w="771" w:type="dxa"/>
            <w:vAlign w:val="top"/>
          </w:tcPr>
          <w:p w14:paraId="276E04F6">
            <w:pPr>
              <w:rPr>
                <w:rFonts w:ascii="Arial"/>
                <w:sz w:val="21"/>
              </w:rPr>
            </w:pPr>
          </w:p>
        </w:tc>
        <w:tc>
          <w:tcPr>
            <w:tcW w:w="1350" w:type="dxa"/>
            <w:vAlign w:val="top"/>
          </w:tcPr>
          <w:p w14:paraId="13879649">
            <w:pPr>
              <w:rPr>
                <w:rFonts w:ascii="Arial"/>
                <w:sz w:val="21"/>
              </w:rPr>
            </w:pPr>
          </w:p>
        </w:tc>
        <w:tc>
          <w:tcPr>
            <w:tcW w:w="1412" w:type="dxa"/>
            <w:vAlign w:val="top"/>
          </w:tcPr>
          <w:p w14:paraId="660E7CD1">
            <w:pPr>
              <w:rPr>
                <w:rFonts w:ascii="Arial"/>
                <w:sz w:val="21"/>
              </w:rPr>
            </w:pPr>
          </w:p>
        </w:tc>
        <w:tc>
          <w:tcPr>
            <w:tcW w:w="1712" w:type="dxa"/>
            <w:tcBorders>
              <w:right w:val="single" w:color="000000" w:sz="10" w:space="0"/>
            </w:tcBorders>
            <w:vAlign w:val="top"/>
          </w:tcPr>
          <w:p w14:paraId="2419B45B">
            <w:pPr>
              <w:rPr>
                <w:rFonts w:ascii="Arial"/>
                <w:sz w:val="21"/>
              </w:rPr>
            </w:pPr>
          </w:p>
        </w:tc>
      </w:tr>
      <w:tr w14:paraId="74FAB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bottom w:val="single" w:color="000000" w:sz="10" w:space="0"/>
            </w:tcBorders>
            <w:vAlign w:val="top"/>
          </w:tcPr>
          <w:p w14:paraId="29D5B212">
            <w:pPr>
              <w:rPr>
                <w:rFonts w:ascii="Arial"/>
                <w:sz w:val="21"/>
              </w:rPr>
            </w:pPr>
          </w:p>
        </w:tc>
        <w:tc>
          <w:tcPr>
            <w:tcW w:w="1977" w:type="dxa"/>
            <w:tcBorders>
              <w:bottom w:val="single" w:color="000000" w:sz="10" w:space="0"/>
            </w:tcBorders>
            <w:vAlign w:val="top"/>
          </w:tcPr>
          <w:p w14:paraId="5E8452BC">
            <w:pPr>
              <w:rPr>
                <w:rFonts w:ascii="Arial"/>
                <w:sz w:val="21"/>
              </w:rPr>
            </w:pPr>
          </w:p>
        </w:tc>
        <w:tc>
          <w:tcPr>
            <w:tcW w:w="850" w:type="dxa"/>
            <w:tcBorders>
              <w:bottom w:val="single" w:color="000000" w:sz="10" w:space="0"/>
            </w:tcBorders>
            <w:vAlign w:val="top"/>
          </w:tcPr>
          <w:p w14:paraId="3789EDD2">
            <w:pPr>
              <w:rPr>
                <w:rFonts w:ascii="Arial"/>
                <w:sz w:val="21"/>
              </w:rPr>
            </w:pPr>
          </w:p>
        </w:tc>
        <w:tc>
          <w:tcPr>
            <w:tcW w:w="771" w:type="dxa"/>
            <w:tcBorders>
              <w:bottom w:val="single" w:color="000000" w:sz="10" w:space="0"/>
            </w:tcBorders>
            <w:vAlign w:val="top"/>
          </w:tcPr>
          <w:p w14:paraId="7FD8A602">
            <w:pPr>
              <w:rPr>
                <w:rFonts w:ascii="Arial"/>
                <w:sz w:val="21"/>
              </w:rPr>
            </w:pPr>
          </w:p>
        </w:tc>
        <w:tc>
          <w:tcPr>
            <w:tcW w:w="1350" w:type="dxa"/>
            <w:tcBorders>
              <w:bottom w:val="single" w:color="000000" w:sz="10" w:space="0"/>
            </w:tcBorders>
            <w:vAlign w:val="top"/>
          </w:tcPr>
          <w:p w14:paraId="3377243B">
            <w:pPr>
              <w:rPr>
                <w:rFonts w:ascii="Arial"/>
                <w:sz w:val="21"/>
              </w:rPr>
            </w:pPr>
          </w:p>
        </w:tc>
        <w:tc>
          <w:tcPr>
            <w:tcW w:w="1412" w:type="dxa"/>
            <w:tcBorders>
              <w:bottom w:val="single" w:color="000000" w:sz="10" w:space="0"/>
            </w:tcBorders>
            <w:vAlign w:val="top"/>
          </w:tcPr>
          <w:p w14:paraId="1FFD8107">
            <w:pPr>
              <w:rPr>
                <w:rFonts w:ascii="Arial"/>
                <w:sz w:val="21"/>
              </w:rPr>
            </w:pPr>
          </w:p>
        </w:tc>
        <w:tc>
          <w:tcPr>
            <w:tcW w:w="1712" w:type="dxa"/>
            <w:tcBorders>
              <w:bottom w:val="single" w:color="000000" w:sz="10" w:space="0"/>
              <w:right w:val="single" w:color="000000" w:sz="10" w:space="0"/>
            </w:tcBorders>
            <w:vAlign w:val="top"/>
          </w:tcPr>
          <w:p w14:paraId="70011214">
            <w:pPr>
              <w:rPr>
                <w:rFonts w:ascii="Arial"/>
                <w:sz w:val="21"/>
              </w:rPr>
            </w:pPr>
          </w:p>
        </w:tc>
      </w:tr>
    </w:tbl>
    <w:p w14:paraId="29A5A284">
      <w:pPr>
        <w:pStyle w:val="5"/>
      </w:pPr>
    </w:p>
    <w:p w14:paraId="48170F77">
      <w:pPr>
        <w:sectPr>
          <w:footerReference r:id="rId145" w:type="default"/>
          <w:pgSz w:w="11905" w:h="16843"/>
          <w:pgMar w:top="969" w:right="1355" w:bottom="1026" w:left="1480" w:header="0" w:footer="754" w:gutter="0"/>
          <w:cols w:space="0" w:num="1"/>
          <w:rtlGutter w:val="0"/>
          <w:docGrid w:linePitch="0" w:charSpace="0"/>
        </w:sectPr>
      </w:pPr>
    </w:p>
    <w:p w14:paraId="35FCE71F">
      <w:pPr>
        <w:pStyle w:val="5"/>
        <w:spacing w:line="262" w:lineRule="auto"/>
      </w:pPr>
    </w:p>
    <w:p w14:paraId="12151519">
      <w:pPr>
        <w:pStyle w:val="5"/>
        <w:spacing w:line="263" w:lineRule="auto"/>
      </w:pPr>
    </w:p>
    <w:p w14:paraId="7529B47C">
      <w:pPr>
        <w:pStyle w:val="5"/>
        <w:spacing w:line="263" w:lineRule="auto"/>
      </w:pPr>
    </w:p>
    <w:p w14:paraId="300CDE83">
      <w:pPr>
        <w:pStyle w:val="5"/>
        <w:spacing w:line="263" w:lineRule="auto"/>
      </w:pPr>
    </w:p>
    <w:p w14:paraId="6D409CDF">
      <w:pPr>
        <w:pStyle w:val="5"/>
        <w:spacing w:line="263" w:lineRule="auto"/>
      </w:pPr>
    </w:p>
    <w:p w14:paraId="5C682090">
      <w:pPr>
        <w:spacing w:before="91" w:line="233" w:lineRule="auto"/>
        <w:ind w:left="3083"/>
        <w:rPr>
          <w:rFonts w:ascii="黑体" w:hAnsi="黑体" w:eastAsia="黑体" w:cs="黑体"/>
          <w:sz w:val="28"/>
          <w:szCs w:val="28"/>
        </w:rPr>
      </w:pPr>
      <w:bookmarkStart w:id="1238" w:name="bookmark604"/>
      <w:bookmarkEnd w:id="1238"/>
      <w:r>
        <w:rPr>
          <w:rFonts w:ascii="Times New Roman" w:hAnsi="Times New Roman" w:eastAsia="Times New Roman" w:cs="Times New Roman"/>
          <w:spacing w:val="-4"/>
          <w:sz w:val="28"/>
          <w:szCs w:val="28"/>
        </w:rPr>
        <w:t>11-2</w:t>
      </w:r>
      <w:r>
        <w:rPr>
          <w:rFonts w:ascii="黑体" w:hAnsi="黑体" w:eastAsia="黑体" w:cs="黑体"/>
          <w:spacing w:val="-4"/>
          <w:sz w:val="28"/>
          <w:szCs w:val="28"/>
        </w:rPr>
        <w:t>：工程设备暂估价表</w:t>
      </w:r>
    </w:p>
    <w:p w14:paraId="75AB30C7">
      <w:pPr>
        <w:spacing w:line="93" w:lineRule="exact"/>
      </w:pPr>
    </w:p>
    <w:tbl>
      <w:tblPr>
        <w:tblStyle w:val="10"/>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7"/>
        <w:gridCol w:w="850"/>
        <w:gridCol w:w="771"/>
        <w:gridCol w:w="1350"/>
        <w:gridCol w:w="1412"/>
        <w:gridCol w:w="1712"/>
      </w:tblGrid>
      <w:tr w14:paraId="6E43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5" w:type="dxa"/>
            <w:tcBorders>
              <w:top w:val="single" w:color="000000" w:sz="10" w:space="0"/>
              <w:left w:val="single" w:color="000000" w:sz="10" w:space="0"/>
            </w:tcBorders>
            <w:vAlign w:val="top"/>
          </w:tcPr>
          <w:p w14:paraId="55245ED0">
            <w:pPr>
              <w:pStyle w:val="11"/>
              <w:spacing w:before="177" w:line="222" w:lineRule="auto"/>
              <w:ind w:left="282"/>
            </w:pPr>
            <w:r>
              <w:rPr>
                <w:spacing w:val="-2"/>
              </w:rPr>
              <w:t>序号</w:t>
            </w:r>
          </w:p>
        </w:tc>
        <w:tc>
          <w:tcPr>
            <w:tcW w:w="1977" w:type="dxa"/>
            <w:tcBorders>
              <w:top w:val="single" w:color="000000" w:sz="10" w:space="0"/>
            </w:tcBorders>
            <w:vAlign w:val="top"/>
          </w:tcPr>
          <w:p w14:paraId="62685D39">
            <w:pPr>
              <w:pStyle w:val="11"/>
              <w:spacing w:before="177" w:line="223" w:lineRule="auto"/>
              <w:ind w:left="776"/>
            </w:pPr>
            <w:r>
              <w:rPr>
                <w:spacing w:val="-3"/>
              </w:rPr>
              <w:t>名称</w:t>
            </w:r>
          </w:p>
        </w:tc>
        <w:tc>
          <w:tcPr>
            <w:tcW w:w="850" w:type="dxa"/>
            <w:tcBorders>
              <w:top w:val="single" w:color="000000" w:sz="10" w:space="0"/>
            </w:tcBorders>
            <w:vAlign w:val="top"/>
          </w:tcPr>
          <w:p w14:paraId="7187FA27">
            <w:pPr>
              <w:pStyle w:val="11"/>
              <w:spacing w:before="177" w:line="221" w:lineRule="auto"/>
              <w:ind w:left="217"/>
            </w:pPr>
            <w:r>
              <w:rPr>
                <w:spacing w:val="-2"/>
              </w:rPr>
              <w:t>单位</w:t>
            </w:r>
          </w:p>
        </w:tc>
        <w:tc>
          <w:tcPr>
            <w:tcW w:w="771" w:type="dxa"/>
            <w:tcBorders>
              <w:top w:val="single" w:color="000000" w:sz="10" w:space="0"/>
            </w:tcBorders>
            <w:vAlign w:val="top"/>
          </w:tcPr>
          <w:p w14:paraId="0D2CEEB3">
            <w:pPr>
              <w:pStyle w:val="11"/>
              <w:spacing w:before="177" w:line="221" w:lineRule="auto"/>
              <w:ind w:left="180"/>
            </w:pPr>
            <w:r>
              <w:rPr>
                <w:spacing w:val="-2"/>
              </w:rPr>
              <w:t>数量</w:t>
            </w:r>
          </w:p>
        </w:tc>
        <w:tc>
          <w:tcPr>
            <w:tcW w:w="1350" w:type="dxa"/>
            <w:tcBorders>
              <w:top w:val="single" w:color="000000" w:sz="10" w:space="0"/>
            </w:tcBorders>
            <w:vAlign w:val="top"/>
          </w:tcPr>
          <w:p w14:paraId="6B3E6508">
            <w:pPr>
              <w:pStyle w:val="11"/>
              <w:spacing w:before="177" w:line="219" w:lineRule="auto"/>
              <w:ind w:left="156"/>
            </w:pPr>
            <w:r>
              <w:rPr>
                <w:spacing w:val="-5"/>
              </w:rPr>
              <w:t>单价（元）</w:t>
            </w:r>
          </w:p>
        </w:tc>
        <w:tc>
          <w:tcPr>
            <w:tcW w:w="1412" w:type="dxa"/>
            <w:tcBorders>
              <w:top w:val="single" w:color="000000" w:sz="10" w:space="0"/>
            </w:tcBorders>
            <w:vAlign w:val="top"/>
          </w:tcPr>
          <w:p w14:paraId="12A4AEB2">
            <w:pPr>
              <w:pStyle w:val="11"/>
              <w:spacing w:before="177" w:line="219" w:lineRule="auto"/>
              <w:ind w:left="188"/>
            </w:pPr>
            <w:r>
              <w:rPr>
                <w:spacing w:val="-4"/>
              </w:rPr>
              <w:t>合价（元）</w:t>
            </w:r>
          </w:p>
        </w:tc>
        <w:tc>
          <w:tcPr>
            <w:tcW w:w="1712" w:type="dxa"/>
            <w:tcBorders>
              <w:top w:val="single" w:color="000000" w:sz="10" w:space="0"/>
              <w:right w:val="single" w:color="000000" w:sz="10" w:space="0"/>
            </w:tcBorders>
            <w:vAlign w:val="top"/>
          </w:tcPr>
          <w:p w14:paraId="3B607D09">
            <w:pPr>
              <w:pStyle w:val="11"/>
              <w:spacing w:before="177" w:line="222" w:lineRule="auto"/>
              <w:ind w:left="655"/>
            </w:pPr>
            <w:r>
              <w:rPr>
                <w:spacing w:val="-3"/>
              </w:rPr>
              <w:t>备注</w:t>
            </w:r>
          </w:p>
        </w:tc>
      </w:tr>
      <w:tr w14:paraId="00AC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5" w:type="dxa"/>
            <w:tcBorders>
              <w:left w:val="single" w:color="000000" w:sz="10" w:space="0"/>
            </w:tcBorders>
            <w:vAlign w:val="top"/>
          </w:tcPr>
          <w:p w14:paraId="0CC523E4">
            <w:pPr>
              <w:rPr>
                <w:rFonts w:ascii="Arial"/>
                <w:sz w:val="21"/>
              </w:rPr>
            </w:pPr>
          </w:p>
        </w:tc>
        <w:tc>
          <w:tcPr>
            <w:tcW w:w="1977" w:type="dxa"/>
            <w:vAlign w:val="top"/>
          </w:tcPr>
          <w:p w14:paraId="18E85F71">
            <w:pPr>
              <w:rPr>
                <w:rFonts w:ascii="Arial"/>
                <w:sz w:val="21"/>
              </w:rPr>
            </w:pPr>
          </w:p>
        </w:tc>
        <w:tc>
          <w:tcPr>
            <w:tcW w:w="850" w:type="dxa"/>
            <w:vAlign w:val="top"/>
          </w:tcPr>
          <w:p w14:paraId="2CC9C5D2">
            <w:pPr>
              <w:rPr>
                <w:rFonts w:ascii="Arial"/>
                <w:sz w:val="21"/>
              </w:rPr>
            </w:pPr>
          </w:p>
        </w:tc>
        <w:tc>
          <w:tcPr>
            <w:tcW w:w="771" w:type="dxa"/>
            <w:vAlign w:val="top"/>
          </w:tcPr>
          <w:p w14:paraId="67CB06E1">
            <w:pPr>
              <w:rPr>
                <w:rFonts w:ascii="Arial"/>
                <w:sz w:val="21"/>
              </w:rPr>
            </w:pPr>
          </w:p>
        </w:tc>
        <w:tc>
          <w:tcPr>
            <w:tcW w:w="1350" w:type="dxa"/>
            <w:vAlign w:val="top"/>
          </w:tcPr>
          <w:p w14:paraId="48E4F1B7">
            <w:pPr>
              <w:rPr>
                <w:rFonts w:ascii="Arial"/>
                <w:sz w:val="21"/>
              </w:rPr>
            </w:pPr>
          </w:p>
        </w:tc>
        <w:tc>
          <w:tcPr>
            <w:tcW w:w="1412" w:type="dxa"/>
            <w:vAlign w:val="top"/>
          </w:tcPr>
          <w:p w14:paraId="503A28ED">
            <w:pPr>
              <w:rPr>
                <w:rFonts w:ascii="Arial"/>
                <w:sz w:val="21"/>
              </w:rPr>
            </w:pPr>
          </w:p>
        </w:tc>
        <w:tc>
          <w:tcPr>
            <w:tcW w:w="1712" w:type="dxa"/>
            <w:tcBorders>
              <w:right w:val="single" w:color="000000" w:sz="10" w:space="0"/>
            </w:tcBorders>
            <w:vAlign w:val="top"/>
          </w:tcPr>
          <w:p w14:paraId="259D45D2">
            <w:pPr>
              <w:rPr>
                <w:rFonts w:ascii="Arial"/>
                <w:sz w:val="21"/>
              </w:rPr>
            </w:pPr>
          </w:p>
        </w:tc>
      </w:tr>
      <w:tr w14:paraId="71A4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18C91618">
            <w:pPr>
              <w:rPr>
                <w:rFonts w:ascii="Arial"/>
                <w:sz w:val="21"/>
              </w:rPr>
            </w:pPr>
          </w:p>
        </w:tc>
        <w:tc>
          <w:tcPr>
            <w:tcW w:w="1977" w:type="dxa"/>
            <w:vAlign w:val="top"/>
          </w:tcPr>
          <w:p w14:paraId="2914941F">
            <w:pPr>
              <w:rPr>
                <w:rFonts w:ascii="Arial"/>
                <w:sz w:val="21"/>
              </w:rPr>
            </w:pPr>
          </w:p>
        </w:tc>
        <w:tc>
          <w:tcPr>
            <w:tcW w:w="850" w:type="dxa"/>
            <w:vAlign w:val="top"/>
          </w:tcPr>
          <w:p w14:paraId="486AD55B">
            <w:pPr>
              <w:rPr>
                <w:rFonts w:ascii="Arial"/>
                <w:sz w:val="21"/>
              </w:rPr>
            </w:pPr>
          </w:p>
        </w:tc>
        <w:tc>
          <w:tcPr>
            <w:tcW w:w="771" w:type="dxa"/>
            <w:vAlign w:val="top"/>
          </w:tcPr>
          <w:p w14:paraId="06CFCB31">
            <w:pPr>
              <w:rPr>
                <w:rFonts w:ascii="Arial"/>
                <w:sz w:val="21"/>
              </w:rPr>
            </w:pPr>
          </w:p>
        </w:tc>
        <w:tc>
          <w:tcPr>
            <w:tcW w:w="1350" w:type="dxa"/>
            <w:vAlign w:val="top"/>
          </w:tcPr>
          <w:p w14:paraId="4A929F6F">
            <w:pPr>
              <w:rPr>
                <w:rFonts w:ascii="Arial"/>
                <w:sz w:val="21"/>
              </w:rPr>
            </w:pPr>
          </w:p>
        </w:tc>
        <w:tc>
          <w:tcPr>
            <w:tcW w:w="1412" w:type="dxa"/>
            <w:vAlign w:val="top"/>
          </w:tcPr>
          <w:p w14:paraId="61EDA008">
            <w:pPr>
              <w:rPr>
                <w:rFonts w:ascii="Arial"/>
                <w:sz w:val="21"/>
              </w:rPr>
            </w:pPr>
          </w:p>
        </w:tc>
        <w:tc>
          <w:tcPr>
            <w:tcW w:w="1712" w:type="dxa"/>
            <w:tcBorders>
              <w:right w:val="single" w:color="000000" w:sz="10" w:space="0"/>
            </w:tcBorders>
            <w:vAlign w:val="top"/>
          </w:tcPr>
          <w:p w14:paraId="7B59105B">
            <w:pPr>
              <w:rPr>
                <w:rFonts w:ascii="Arial"/>
                <w:sz w:val="21"/>
              </w:rPr>
            </w:pPr>
          </w:p>
        </w:tc>
      </w:tr>
      <w:tr w14:paraId="7E3D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01B426C2">
            <w:pPr>
              <w:rPr>
                <w:rFonts w:ascii="Arial"/>
                <w:sz w:val="21"/>
              </w:rPr>
            </w:pPr>
          </w:p>
        </w:tc>
        <w:tc>
          <w:tcPr>
            <w:tcW w:w="1977" w:type="dxa"/>
            <w:vAlign w:val="top"/>
          </w:tcPr>
          <w:p w14:paraId="51F117BD">
            <w:pPr>
              <w:rPr>
                <w:rFonts w:ascii="Arial"/>
                <w:sz w:val="21"/>
              </w:rPr>
            </w:pPr>
          </w:p>
        </w:tc>
        <w:tc>
          <w:tcPr>
            <w:tcW w:w="850" w:type="dxa"/>
            <w:vAlign w:val="top"/>
          </w:tcPr>
          <w:p w14:paraId="537F6104">
            <w:pPr>
              <w:rPr>
                <w:rFonts w:ascii="Arial"/>
                <w:sz w:val="21"/>
              </w:rPr>
            </w:pPr>
          </w:p>
        </w:tc>
        <w:tc>
          <w:tcPr>
            <w:tcW w:w="771" w:type="dxa"/>
            <w:vAlign w:val="top"/>
          </w:tcPr>
          <w:p w14:paraId="7209EEB5">
            <w:pPr>
              <w:rPr>
                <w:rFonts w:ascii="Arial"/>
                <w:sz w:val="21"/>
              </w:rPr>
            </w:pPr>
          </w:p>
        </w:tc>
        <w:tc>
          <w:tcPr>
            <w:tcW w:w="1350" w:type="dxa"/>
            <w:vAlign w:val="top"/>
          </w:tcPr>
          <w:p w14:paraId="67112D93">
            <w:pPr>
              <w:rPr>
                <w:rFonts w:ascii="Arial"/>
                <w:sz w:val="21"/>
              </w:rPr>
            </w:pPr>
          </w:p>
        </w:tc>
        <w:tc>
          <w:tcPr>
            <w:tcW w:w="1412" w:type="dxa"/>
            <w:vAlign w:val="top"/>
          </w:tcPr>
          <w:p w14:paraId="29B04543">
            <w:pPr>
              <w:rPr>
                <w:rFonts w:ascii="Arial"/>
                <w:sz w:val="21"/>
              </w:rPr>
            </w:pPr>
          </w:p>
        </w:tc>
        <w:tc>
          <w:tcPr>
            <w:tcW w:w="1712" w:type="dxa"/>
            <w:tcBorders>
              <w:right w:val="single" w:color="000000" w:sz="10" w:space="0"/>
            </w:tcBorders>
            <w:vAlign w:val="top"/>
          </w:tcPr>
          <w:p w14:paraId="2AA1C0EC">
            <w:pPr>
              <w:rPr>
                <w:rFonts w:ascii="Arial"/>
                <w:sz w:val="21"/>
              </w:rPr>
            </w:pPr>
          </w:p>
        </w:tc>
      </w:tr>
      <w:tr w14:paraId="016D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13887F7A">
            <w:pPr>
              <w:rPr>
                <w:rFonts w:ascii="Arial"/>
                <w:sz w:val="21"/>
              </w:rPr>
            </w:pPr>
          </w:p>
        </w:tc>
        <w:tc>
          <w:tcPr>
            <w:tcW w:w="1977" w:type="dxa"/>
            <w:vAlign w:val="top"/>
          </w:tcPr>
          <w:p w14:paraId="545845BF">
            <w:pPr>
              <w:rPr>
                <w:rFonts w:ascii="Arial"/>
                <w:sz w:val="21"/>
              </w:rPr>
            </w:pPr>
          </w:p>
        </w:tc>
        <w:tc>
          <w:tcPr>
            <w:tcW w:w="850" w:type="dxa"/>
            <w:vAlign w:val="top"/>
          </w:tcPr>
          <w:p w14:paraId="1AC03F86">
            <w:pPr>
              <w:rPr>
                <w:rFonts w:ascii="Arial"/>
                <w:sz w:val="21"/>
              </w:rPr>
            </w:pPr>
          </w:p>
        </w:tc>
        <w:tc>
          <w:tcPr>
            <w:tcW w:w="771" w:type="dxa"/>
            <w:vAlign w:val="top"/>
          </w:tcPr>
          <w:p w14:paraId="3F627138">
            <w:pPr>
              <w:rPr>
                <w:rFonts w:ascii="Arial"/>
                <w:sz w:val="21"/>
              </w:rPr>
            </w:pPr>
          </w:p>
        </w:tc>
        <w:tc>
          <w:tcPr>
            <w:tcW w:w="1350" w:type="dxa"/>
            <w:vAlign w:val="top"/>
          </w:tcPr>
          <w:p w14:paraId="3F5E2EB7">
            <w:pPr>
              <w:rPr>
                <w:rFonts w:ascii="Arial"/>
                <w:sz w:val="21"/>
              </w:rPr>
            </w:pPr>
          </w:p>
        </w:tc>
        <w:tc>
          <w:tcPr>
            <w:tcW w:w="1412" w:type="dxa"/>
            <w:vAlign w:val="top"/>
          </w:tcPr>
          <w:p w14:paraId="00BFED52">
            <w:pPr>
              <w:rPr>
                <w:rFonts w:ascii="Arial"/>
                <w:sz w:val="21"/>
              </w:rPr>
            </w:pPr>
          </w:p>
        </w:tc>
        <w:tc>
          <w:tcPr>
            <w:tcW w:w="1712" w:type="dxa"/>
            <w:tcBorders>
              <w:right w:val="single" w:color="000000" w:sz="10" w:space="0"/>
            </w:tcBorders>
            <w:vAlign w:val="top"/>
          </w:tcPr>
          <w:p w14:paraId="22CF62EB">
            <w:pPr>
              <w:rPr>
                <w:rFonts w:ascii="Arial"/>
                <w:sz w:val="21"/>
              </w:rPr>
            </w:pPr>
          </w:p>
        </w:tc>
      </w:tr>
      <w:tr w14:paraId="4A67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3926B238">
            <w:pPr>
              <w:rPr>
                <w:rFonts w:ascii="Arial"/>
                <w:sz w:val="21"/>
              </w:rPr>
            </w:pPr>
          </w:p>
        </w:tc>
        <w:tc>
          <w:tcPr>
            <w:tcW w:w="1977" w:type="dxa"/>
            <w:vAlign w:val="top"/>
          </w:tcPr>
          <w:p w14:paraId="06D35B16">
            <w:pPr>
              <w:rPr>
                <w:rFonts w:ascii="Arial"/>
                <w:sz w:val="21"/>
              </w:rPr>
            </w:pPr>
          </w:p>
        </w:tc>
        <w:tc>
          <w:tcPr>
            <w:tcW w:w="850" w:type="dxa"/>
            <w:vAlign w:val="top"/>
          </w:tcPr>
          <w:p w14:paraId="1AF67EA0">
            <w:pPr>
              <w:rPr>
                <w:rFonts w:ascii="Arial"/>
                <w:sz w:val="21"/>
              </w:rPr>
            </w:pPr>
          </w:p>
        </w:tc>
        <w:tc>
          <w:tcPr>
            <w:tcW w:w="771" w:type="dxa"/>
            <w:vAlign w:val="top"/>
          </w:tcPr>
          <w:p w14:paraId="105F83E4">
            <w:pPr>
              <w:rPr>
                <w:rFonts w:ascii="Arial"/>
                <w:sz w:val="21"/>
              </w:rPr>
            </w:pPr>
          </w:p>
        </w:tc>
        <w:tc>
          <w:tcPr>
            <w:tcW w:w="1350" w:type="dxa"/>
            <w:vAlign w:val="top"/>
          </w:tcPr>
          <w:p w14:paraId="4EE2EA90">
            <w:pPr>
              <w:rPr>
                <w:rFonts w:ascii="Arial"/>
                <w:sz w:val="21"/>
              </w:rPr>
            </w:pPr>
          </w:p>
        </w:tc>
        <w:tc>
          <w:tcPr>
            <w:tcW w:w="1412" w:type="dxa"/>
            <w:vAlign w:val="top"/>
          </w:tcPr>
          <w:p w14:paraId="28B51583">
            <w:pPr>
              <w:rPr>
                <w:rFonts w:ascii="Arial"/>
                <w:sz w:val="21"/>
              </w:rPr>
            </w:pPr>
          </w:p>
        </w:tc>
        <w:tc>
          <w:tcPr>
            <w:tcW w:w="1712" w:type="dxa"/>
            <w:tcBorders>
              <w:right w:val="single" w:color="000000" w:sz="10" w:space="0"/>
            </w:tcBorders>
            <w:vAlign w:val="top"/>
          </w:tcPr>
          <w:p w14:paraId="05031EA9">
            <w:pPr>
              <w:rPr>
                <w:rFonts w:ascii="Arial"/>
                <w:sz w:val="21"/>
              </w:rPr>
            </w:pPr>
          </w:p>
        </w:tc>
      </w:tr>
      <w:tr w14:paraId="33C2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22835566">
            <w:pPr>
              <w:rPr>
                <w:rFonts w:ascii="Arial"/>
                <w:sz w:val="21"/>
              </w:rPr>
            </w:pPr>
          </w:p>
        </w:tc>
        <w:tc>
          <w:tcPr>
            <w:tcW w:w="1977" w:type="dxa"/>
            <w:vAlign w:val="top"/>
          </w:tcPr>
          <w:p w14:paraId="3CFE7109">
            <w:pPr>
              <w:rPr>
                <w:rFonts w:ascii="Arial"/>
                <w:sz w:val="21"/>
              </w:rPr>
            </w:pPr>
          </w:p>
        </w:tc>
        <w:tc>
          <w:tcPr>
            <w:tcW w:w="850" w:type="dxa"/>
            <w:vAlign w:val="top"/>
          </w:tcPr>
          <w:p w14:paraId="3EB8EB15">
            <w:pPr>
              <w:rPr>
                <w:rFonts w:ascii="Arial"/>
                <w:sz w:val="21"/>
              </w:rPr>
            </w:pPr>
          </w:p>
        </w:tc>
        <w:tc>
          <w:tcPr>
            <w:tcW w:w="771" w:type="dxa"/>
            <w:vAlign w:val="top"/>
          </w:tcPr>
          <w:p w14:paraId="333BCE29">
            <w:pPr>
              <w:rPr>
                <w:rFonts w:ascii="Arial"/>
                <w:sz w:val="21"/>
              </w:rPr>
            </w:pPr>
          </w:p>
        </w:tc>
        <w:tc>
          <w:tcPr>
            <w:tcW w:w="1350" w:type="dxa"/>
            <w:vAlign w:val="top"/>
          </w:tcPr>
          <w:p w14:paraId="653CD633">
            <w:pPr>
              <w:rPr>
                <w:rFonts w:ascii="Arial"/>
                <w:sz w:val="21"/>
              </w:rPr>
            </w:pPr>
          </w:p>
        </w:tc>
        <w:tc>
          <w:tcPr>
            <w:tcW w:w="1412" w:type="dxa"/>
            <w:vAlign w:val="top"/>
          </w:tcPr>
          <w:p w14:paraId="3E716B1C">
            <w:pPr>
              <w:rPr>
                <w:rFonts w:ascii="Arial"/>
                <w:sz w:val="21"/>
              </w:rPr>
            </w:pPr>
          </w:p>
        </w:tc>
        <w:tc>
          <w:tcPr>
            <w:tcW w:w="1712" w:type="dxa"/>
            <w:tcBorders>
              <w:right w:val="single" w:color="000000" w:sz="10" w:space="0"/>
            </w:tcBorders>
            <w:vAlign w:val="top"/>
          </w:tcPr>
          <w:p w14:paraId="2D2029B3">
            <w:pPr>
              <w:rPr>
                <w:rFonts w:ascii="Arial"/>
                <w:sz w:val="21"/>
              </w:rPr>
            </w:pPr>
          </w:p>
        </w:tc>
      </w:tr>
      <w:tr w14:paraId="752A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1AC6DD0A">
            <w:pPr>
              <w:rPr>
                <w:rFonts w:ascii="Arial"/>
                <w:sz w:val="21"/>
              </w:rPr>
            </w:pPr>
          </w:p>
        </w:tc>
        <w:tc>
          <w:tcPr>
            <w:tcW w:w="1977" w:type="dxa"/>
            <w:vAlign w:val="top"/>
          </w:tcPr>
          <w:p w14:paraId="414F01BC">
            <w:pPr>
              <w:rPr>
                <w:rFonts w:ascii="Arial"/>
                <w:sz w:val="21"/>
              </w:rPr>
            </w:pPr>
          </w:p>
        </w:tc>
        <w:tc>
          <w:tcPr>
            <w:tcW w:w="850" w:type="dxa"/>
            <w:vAlign w:val="top"/>
          </w:tcPr>
          <w:p w14:paraId="2DA73FE6">
            <w:pPr>
              <w:rPr>
                <w:rFonts w:ascii="Arial"/>
                <w:sz w:val="21"/>
              </w:rPr>
            </w:pPr>
          </w:p>
        </w:tc>
        <w:tc>
          <w:tcPr>
            <w:tcW w:w="771" w:type="dxa"/>
            <w:vAlign w:val="top"/>
          </w:tcPr>
          <w:p w14:paraId="6FDFE178">
            <w:pPr>
              <w:rPr>
                <w:rFonts w:ascii="Arial"/>
                <w:sz w:val="21"/>
              </w:rPr>
            </w:pPr>
          </w:p>
        </w:tc>
        <w:tc>
          <w:tcPr>
            <w:tcW w:w="1350" w:type="dxa"/>
            <w:vAlign w:val="top"/>
          </w:tcPr>
          <w:p w14:paraId="40578ADA">
            <w:pPr>
              <w:rPr>
                <w:rFonts w:ascii="Arial"/>
                <w:sz w:val="21"/>
              </w:rPr>
            </w:pPr>
          </w:p>
        </w:tc>
        <w:tc>
          <w:tcPr>
            <w:tcW w:w="1412" w:type="dxa"/>
            <w:vAlign w:val="top"/>
          </w:tcPr>
          <w:p w14:paraId="23CB3CE5">
            <w:pPr>
              <w:rPr>
                <w:rFonts w:ascii="Arial"/>
                <w:sz w:val="21"/>
              </w:rPr>
            </w:pPr>
          </w:p>
        </w:tc>
        <w:tc>
          <w:tcPr>
            <w:tcW w:w="1712" w:type="dxa"/>
            <w:tcBorders>
              <w:right w:val="single" w:color="000000" w:sz="10" w:space="0"/>
            </w:tcBorders>
            <w:vAlign w:val="top"/>
          </w:tcPr>
          <w:p w14:paraId="1692E745">
            <w:pPr>
              <w:rPr>
                <w:rFonts w:ascii="Arial"/>
                <w:sz w:val="21"/>
              </w:rPr>
            </w:pPr>
          </w:p>
        </w:tc>
      </w:tr>
      <w:tr w14:paraId="42C5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565CC6C5">
            <w:pPr>
              <w:rPr>
                <w:rFonts w:ascii="Arial"/>
                <w:sz w:val="21"/>
              </w:rPr>
            </w:pPr>
          </w:p>
        </w:tc>
        <w:tc>
          <w:tcPr>
            <w:tcW w:w="1977" w:type="dxa"/>
            <w:vAlign w:val="top"/>
          </w:tcPr>
          <w:p w14:paraId="7C5C256E">
            <w:pPr>
              <w:rPr>
                <w:rFonts w:ascii="Arial"/>
                <w:sz w:val="21"/>
              </w:rPr>
            </w:pPr>
          </w:p>
        </w:tc>
        <w:tc>
          <w:tcPr>
            <w:tcW w:w="850" w:type="dxa"/>
            <w:vAlign w:val="top"/>
          </w:tcPr>
          <w:p w14:paraId="0E1084D0">
            <w:pPr>
              <w:rPr>
                <w:rFonts w:ascii="Arial"/>
                <w:sz w:val="21"/>
              </w:rPr>
            </w:pPr>
          </w:p>
        </w:tc>
        <w:tc>
          <w:tcPr>
            <w:tcW w:w="771" w:type="dxa"/>
            <w:vAlign w:val="top"/>
          </w:tcPr>
          <w:p w14:paraId="41E0D66B">
            <w:pPr>
              <w:rPr>
                <w:rFonts w:ascii="Arial"/>
                <w:sz w:val="21"/>
              </w:rPr>
            </w:pPr>
          </w:p>
        </w:tc>
        <w:tc>
          <w:tcPr>
            <w:tcW w:w="1350" w:type="dxa"/>
            <w:vAlign w:val="top"/>
          </w:tcPr>
          <w:p w14:paraId="43AD459F">
            <w:pPr>
              <w:rPr>
                <w:rFonts w:ascii="Arial"/>
                <w:sz w:val="21"/>
              </w:rPr>
            </w:pPr>
          </w:p>
        </w:tc>
        <w:tc>
          <w:tcPr>
            <w:tcW w:w="1412" w:type="dxa"/>
            <w:vAlign w:val="top"/>
          </w:tcPr>
          <w:p w14:paraId="1FB5F644">
            <w:pPr>
              <w:rPr>
                <w:rFonts w:ascii="Arial"/>
                <w:sz w:val="21"/>
              </w:rPr>
            </w:pPr>
          </w:p>
        </w:tc>
        <w:tc>
          <w:tcPr>
            <w:tcW w:w="1712" w:type="dxa"/>
            <w:tcBorders>
              <w:right w:val="single" w:color="000000" w:sz="10" w:space="0"/>
            </w:tcBorders>
            <w:vAlign w:val="top"/>
          </w:tcPr>
          <w:p w14:paraId="6BFCE162">
            <w:pPr>
              <w:rPr>
                <w:rFonts w:ascii="Arial"/>
                <w:sz w:val="21"/>
              </w:rPr>
            </w:pPr>
          </w:p>
        </w:tc>
      </w:tr>
      <w:tr w14:paraId="4ACD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637B8DDB">
            <w:pPr>
              <w:rPr>
                <w:rFonts w:ascii="Arial"/>
                <w:sz w:val="21"/>
              </w:rPr>
            </w:pPr>
          </w:p>
        </w:tc>
        <w:tc>
          <w:tcPr>
            <w:tcW w:w="1977" w:type="dxa"/>
            <w:vAlign w:val="top"/>
          </w:tcPr>
          <w:p w14:paraId="0A3BF5CE">
            <w:pPr>
              <w:rPr>
                <w:rFonts w:ascii="Arial"/>
                <w:sz w:val="21"/>
              </w:rPr>
            </w:pPr>
          </w:p>
        </w:tc>
        <w:tc>
          <w:tcPr>
            <w:tcW w:w="850" w:type="dxa"/>
            <w:vAlign w:val="top"/>
          </w:tcPr>
          <w:p w14:paraId="6ABC364A">
            <w:pPr>
              <w:rPr>
                <w:rFonts w:ascii="Arial"/>
                <w:sz w:val="21"/>
              </w:rPr>
            </w:pPr>
          </w:p>
        </w:tc>
        <w:tc>
          <w:tcPr>
            <w:tcW w:w="771" w:type="dxa"/>
            <w:vAlign w:val="top"/>
          </w:tcPr>
          <w:p w14:paraId="42BA28F2">
            <w:pPr>
              <w:rPr>
                <w:rFonts w:ascii="Arial"/>
                <w:sz w:val="21"/>
              </w:rPr>
            </w:pPr>
          </w:p>
        </w:tc>
        <w:tc>
          <w:tcPr>
            <w:tcW w:w="1350" w:type="dxa"/>
            <w:vAlign w:val="top"/>
          </w:tcPr>
          <w:p w14:paraId="1FFB9B41">
            <w:pPr>
              <w:rPr>
                <w:rFonts w:ascii="Arial"/>
                <w:sz w:val="21"/>
              </w:rPr>
            </w:pPr>
          </w:p>
        </w:tc>
        <w:tc>
          <w:tcPr>
            <w:tcW w:w="1412" w:type="dxa"/>
            <w:vAlign w:val="top"/>
          </w:tcPr>
          <w:p w14:paraId="244294AF">
            <w:pPr>
              <w:rPr>
                <w:rFonts w:ascii="Arial"/>
                <w:sz w:val="21"/>
              </w:rPr>
            </w:pPr>
          </w:p>
        </w:tc>
        <w:tc>
          <w:tcPr>
            <w:tcW w:w="1712" w:type="dxa"/>
            <w:tcBorders>
              <w:right w:val="single" w:color="000000" w:sz="10" w:space="0"/>
            </w:tcBorders>
            <w:vAlign w:val="top"/>
          </w:tcPr>
          <w:p w14:paraId="00CFC50F">
            <w:pPr>
              <w:rPr>
                <w:rFonts w:ascii="Arial"/>
                <w:sz w:val="21"/>
              </w:rPr>
            </w:pPr>
          </w:p>
        </w:tc>
      </w:tr>
      <w:tr w14:paraId="434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6649D9AF">
            <w:pPr>
              <w:rPr>
                <w:rFonts w:ascii="Arial"/>
                <w:sz w:val="21"/>
              </w:rPr>
            </w:pPr>
          </w:p>
        </w:tc>
        <w:tc>
          <w:tcPr>
            <w:tcW w:w="1977" w:type="dxa"/>
            <w:vAlign w:val="top"/>
          </w:tcPr>
          <w:p w14:paraId="004A0357">
            <w:pPr>
              <w:rPr>
                <w:rFonts w:ascii="Arial"/>
                <w:sz w:val="21"/>
              </w:rPr>
            </w:pPr>
          </w:p>
        </w:tc>
        <w:tc>
          <w:tcPr>
            <w:tcW w:w="850" w:type="dxa"/>
            <w:vAlign w:val="top"/>
          </w:tcPr>
          <w:p w14:paraId="08C9F373">
            <w:pPr>
              <w:rPr>
                <w:rFonts w:ascii="Arial"/>
                <w:sz w:val="21"/>
              </w:rPr>
            </w:pPr>
          </w:p>
        </w:tc>
        <w:tc>
          <w:tcPr>
            <w:tcW w:w="771" w:type="dxa"/>
            <w:vAlign w:val="top"/>
          </w:tcPr>
          <w:p w14:paraId="5AA15A1E">
            <w:pPr>
              <w:rPr>
                <w:rFonts w:ascii="Arial"/>
                <w:sz w:val="21"/>
              </w:rPr>
            </w:pPr>
          </w:p>
        </w:tc>
        <w:tc>
          <w:tcPr>
            <w:tcW w:w="1350" w:type="dxa"/>
            <w:vAlign w:val="top"/>
          </w:tcPr>
          <w:p w14:paraId="04175D8C">
            <w:pPr>
              <w:rPr>
                <w:rFonts w:ascii="Arial"/>
                <w:sz w:val="21"/>
              </w:rPr>
            </w:pPr>
          </w:p>
        </w:tc>
        <w:tc>
          <w:tcPr>
            <w:tcW w:w="1412" w:type="dxa"/>
            <w:vAlign w:val="top"/>
          </w:tcPr>
          <w:p w14:paraId="1384F527">
            <w:pPr>
              <w:rPr>
                <w:rFonts w:ascii="Arial"/>
                <w:sz w:val="21"/>
              </w:rPr>
            </w:pPr>
          </w:p>
        </w:tc>
        <w:tc>
          <w:tcPr>
            <w:tcW w:w="1712" w:type="dxa"/>
            <w:tcBorders>
              <w:right w:val="single" w:color="000000" w:sz="10" w:space="0"/>
            </w:tcBorders>
            <w:vAlign w:val="top"/>
          </w:tcPr>
          <w:p w14:paraId="5184CA81">
            <w:pPr>
              <w:rPr>
                <w:rFonts w:ascii="Arial"/>
                <w:sz w:val="21"/>
              </w:rPr>
            </w:pPr>
          </w:p>
        </w:tc>
      </w:tr>
      <w:tr w14:paraId="5A9F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5B73504E">
            <w:pPr>
              <w:rPr>
                <w:rFonts w:ascii="Arial"/>
                <w:sz w:val="21"/>
              </w:rPr>
            </w:pPr>
          </w:p>
        </w:tc>
        <w:tc>
          <w:tcPr>
            <w:tcW w:w="1977" w:type="dxa"/>
            <w:vAlign w:val="top"/>
          </w:tcPr>
          <w:p w14:paraId="11686195">
            <w:pPr>
              <w:rPr>
                <w:rFonts w:ascii="Arial"/>
                <w:sz w:val="21"/>
              </w:rPr>
            </w:pPr>
          </w:p>
        </w:tc>
        <w:tc>
          <w:tcPr>
            <w:tcW w:w="850" w:type="dxa"/>
            <w:vAlign w:val="top"/>
          </w:tcPr>
          <w:p w14:paraId="17287AE4">
            <w:pPr>
              <w:rPr>
                <w:rFonts w:ascii="Arial"/>
                <w:sz w:val="21"/>
              </w:rPr>
            </w:pPr>
          </w:p>
        </w:tc>
        <w:tc>
          <w:tcPr>
            <w:tcW w:w="771" w:type="dxa"/>
            <w:vAlign w:val="top"/>
          </w:tcPr>
          <w:p w14:paraId="16CC0BA5">
            <w:pPr>
              <w:rPr>
                <w:rFonts w:ascii="Arial"/>
                <w:sz w:val="21"/>
              </w:rPr>
            </w:pPr>
          </w:p>
        </w:tc>
        <w:tc>
          <w:tcPr>
            <w:tcW w:w="1350" w:type="dxa"/>
            <w:vAlign w:val="top"/>
          </w:tcPr>
          <w:p w14:paraId="517B452F">
            <w:pPr>
              <w:rPr>
                <w:rFonts w:ascii="Arial"/>
                <w:sz w:val="21"/>
              </w:rPr>
            </w:pPr>
          </w:p>
        </w:tc>
        <w:tc>
          <w:tcPr>
            <w:tcW w:w="1412" w:type="dxa"/>
            <w:vAlign w:val="top"/>
          </w:tcPr>
          <w:p w14:paraId="093A25B5">
            <w:pPr>
              <w:rPr>
                <w:rFonts w:ascii="Arial"/>
                <w:sz w:val="21"/>
              </w:rPr>
            </w:pPr>
          </w:p>
        </w:tc>
        <w:tc>
          <w:tcPr>
            <w:tcW w:w="1712" w:type="dxa"/>
            <w:tcBorders>
              <w:right w:val="single" w:color="000000" w:sz="10" w:space="0"/>
            </w:tcBorders>
            <w:vAlign w:val="top"/>
          </w:tcPr>
          <w:p w14:paraId="46487F2E">
            <w:pPr>
              <w:rPr>
                <w:rFonts w:ascii="Arial"/>
                <w:sz w:val="21"/>
              </w:rPr>
            </w:pPr>
          </w:p>
        </w:tc>
      </w:tr>
      <w:tr w14:paraId="4BA02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10333A73">
            <w:pPr>
              <w:rPr>
                <w:rFonts w:ascii="Arial"/>
                <w:sz w:val="21"/>
              </w:rPr>
            </w:pPr>
          </w:p>
        </w:tc>
        <w:tc>
          <w:tcPr>
            <w:tcW w:w="1977" w:type="dxa"/>
            <w:vAlign w:val="top"/>
          </w:tcPr>
          <w:p w14:paraId="4122C54E">
            <w:pPr>
              <w:rPr>
                <w:rFonts w:ascii="Arial"/>
                <w:sz w:val="21"/>
              </w:rPr>
            </w:pPr>
          </w:p>
        </w:tc>
        <w:tc>
          <w:tcPr>
            <w:tcW w:w="850" w:type="dxa"/>
            <w:vAlign w:val="top"/>
          </w:tcPr>
          <w:p w14:paraId="7ED8C980">
            <w:pPr>
              <w:rPr>
                <w:rFonts w:ascii="Arial"/>
                <w:sz w:val="21"/>
              </w:rPr>
            </w:pPr>
          </w:p>
        </w:tc>
        <w:tc>
          <w:tcPr>
            <w:tcW w:w="771" w:type="dxa"/>
            <w:vAlign w:val="top"/>
          </w:tcPr>
          <w:p w14:paraId="6DD7960A">
            <w:pPr>
              <w:rPr>
                <w:rFonts w:ascii="Arial"/>
                <w:sz w:val="21"/>
              </w:rPr>
            </w:pPr>
          </w:p>
        </w:tc>
        <w:tc>
          <w:tcPr>
            <w:tcW w:w="1350" w:type="dxa"/>
            <w:vAlign w:val="top"/>
          </w:tcPr>
          <w:p w14:paraId="4DD720E2">
            <w:pPr>
              <w:rPr>
                <w:rFonts w:ascii="Arial"/>
                <w:sz w:val="21"/>
              </w:rPr>
            </w:pPr>
          </w:p>
        </w:tc>
        <w:tc>
          <w:tcPr>
            <w:tcW w:w="1412" w:type="dxa"/>
            <w:vAlign w:val="top"/>
          </w:tcPr>
          <w:p w14:paraId="26AA3BA3">
            <w:pPr>
              <w:rPr>
                <w:rFonts w:ascii="Arial"/>
                <w:sz w:val="21"/>
              </w:rPr>
            </w:pPr>
          </w:p>
        </w:tc>
        <w:tc>
          <w:tcPr>
            <w:tcW w:w="1712" w:type="dxa"/>
            <w:tcBorders>
              <w:right w:val="single" w:color="000000" w:sz="10" w:space="0"/>
            </w:tcBorders>
            <w:vAlign w:val="top"/>
          </w:tcPr>
          <w:p w14:paraId="3C324FFA">
            <w:pPr>
              <w:rPr>
                <w:rFonts w:ascii="Arial"/>
                <w:sz w:val="21"/>
              </w:rPr>
            </w:pPr>
          </w:p>
        </w:tc>
      </w:tr>
      <w:tr w14:paraId="1C972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6881ACF3">
            <w:pPr>
              <w:rPr>
                <w:rFonts w:ascii="Arial"/>
                <w:sz w:val="21"/>
              </w:rPr>
            </w:pPr>
          </w:p>
        </w:tc>
        <w:tc>
          <w:tcPr>
            <w:tcW w:w="1977" w:type="dxa"/>
            <w:vAlign w:val="top"/>
          </w:tcPr>
          <w:p w14:paraId="21E0662E">
            <w:pPr>
              <w:rPr>
                <w:rFonts w:ascii="Arial"/>
                <w:sz w:val="21"/>
              </w:rPr>
            </w:pPr>
          </w:p>
        </w:tc>
        <w:tc>
          <w:tcPr>
            <w:tcW w:w="850" w:type="dxa"/>
            <w:vAlign w:val="top"/>
          </w:tcPr>
          <w:p w14:paraId="6EA665AB">
            <w:pPr>
              <w:rPr>
                <w:rFonts w:ascii="Arial"/>
                <w:sz w:val="21"/>
              </w:rPr>
            </w:pPr>
          </w:p>
        </w:tc>
        <w:tc>
          <w:tcPr>
            <w:tcW w:w="771" w:type="dxa"/>
            <w:vAlign w:val="top"/>
          </w:tcPr>
          <w:p w14:paraId="19D874D5">
            <w:pPr>
              <w:rPr>
                <w:rFonts w:ascii="Arial"/>
                <w:sz w:val="21"/>
              </w:rPr>
            </w:pPr>
          </w:p>
        </w:tc>
        <w:tc>
          <w:tcPr>
            <w:tcW w:w="1350" w:type="dxa"/>
            <w:vAlign w:val="top"/>
          </w:tcPr>
          <w:p w14:paraId="0A96B5C5">
            <w:pPr>
              <w:rPr>
                <w:rFonts w:ascii="Arial"/>
                <w:sz w:val="21"/>
              </w:rPr>
            </w:pPr>
          </w:p>
        </w:tc>
        <w:tc>
          <w:tcPr>
            <w:tcW w:w="1412" w:type="dxa"/>
            <w:vAlign w:val="top"/>
          </w:tcPr>
          <w:p w14:paraId="6E436C03">
            <w:pPr>
              <w:rPr>
                <w:rFonts w:ascii="Arial"/>
                <w:sz w:val="21"/>
              </w:rPr>
            </w:pPr>
          </w:p>
        </w:tc>
        <w:tc>
          <w:tcPr>
            <w:tcW w:w="1712" w:type="dxa"/>
            <w:tcBorders>
              <w:right w:val="single" w:color="000000" w:sz="10" w:space="0"/>
            </w:tcBorders>
            <w:vAlign w:val="top"/>
          </w:tcPr>
          <w:p w14:paraId="2EB2CAEF">
            <w:pPr>
              <w:rPr>
                <w:rFonts w:ascii="Arial"/>
                <w:sz w:val="21"/>
              </w:rPr>
            </w:pPr>
          </w:p>
        </w:tc>
      </w:tr>
      <w:tr w14:paraId="07A90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58725048">
            <w:pPr>
              <w:rPr>
                <w:rFonts w:ascii="Arial"/>
                <w:sz w:val="21"/>
              </w:rPr>
            </w:pPr>
          </w:p>
        </w:tc>
        <w:tc>
          <w:tcPr>
            <w:tcW w:w="1977" w:type="dxa"/>
            <w:vAlign w:val="top"/>
          </w:tcPr>
          <w:p w14:paraId="4EC26532">
            <w:pPr>
              <w:rPr>
                <w:rFonts w:ascii="Arial"/>
                <w:sz w:val="21"/>
              </w:rPr>
            </w:pPr>
          </w:p>
        </w:tc>
        <w:tc>
          <w:tcPr>
            <w:tcW w:w="850" w:type="dxa"/>
            <w:vAlign w:val="top"/>
          </w:tcPr>
          <w:p w14:paraId="3E417FC6">
            <w:pPr>
              <w:rPr>
                <w:rFonts w:ascii="Arial"/>
                <w:sz w:val="21"/>
              </w:rPr>
            </w:pPr>
          </w:p>
        </w:tc>
        <w:tc>
          <w:tcPr>
            <w:tcW w:w="771" w:type="dxa"/>
            <w:vAlign w:val="top"/>
          </w:tcPr>
          <w:p w14:paraId="38AFFC94">
            <w:pPr>
              <w:rPr>
                <w:rFonts w:ascii="Arial"/>
                <w:sz w:val="21"/>
              </w:rPr>
            </w:pPr>
          </w:p>
        </w:tc>
        <w:tc>
          <w:tcPr>
            <w:tcW w:w="1350" w:type="dxa"/>
            <w:vAlign w:val="top"/>
          </w:tcPr>
          <w:p w14:paraId="5BC10B03">
            <w:pPr>
              <w:rPr>
                <w:rFonts w:ascii="Arial"/>
                <w:sz w:val="21"/>
              </w:rPr>
            </w:pPr>
          </w:p>
        </w:tc>
        <w:tc>
          <w:tcPr>
            <w:tcW w:w="1412" w:type="dxa"/>
            <w:vAlign w:val="top"/>
          </w:tcPr>
          <w:p w14:paraId="5F4E81EC">
            <w:pPr>
              <w:rPr>
                <w:rFonts w:ascii="Arial"/>
                <w:sz w:val="21"/>
              </w:rPr>
            </w:pPr>
          </w:p>
        </w:tc>
        <w:tc>
          <w:tcPr>
            <w:tcW w:w="1712" w:type="dxa"/>
            <w:tcBorders>
              <w:right w:val="single" w:color="000000" w:sz="10" w:space="0"/>
            </w:tcBorders>
            <w:vAlign w:val="top"/>
          </w:tcPr>
          <w:p w14:paraId="11DAEF82">
            <w:pPr>
              <w:rPr>
                <w:rFonts w:ascii="Arial"/>
                <w:sz w:val="21"/>
              </w:rPr>
            </w:pPr>
          </w:p>
        </w:tc>
      </w:tr>
      <w:tr w14:paraId="7593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16E9D0C8">
            <w:pPr>
              <w:rPr>
                <w:rFonts w:ascii="Arial"/>
                <w:sz w:val="21"/>
              </w:rPr>
            </w:pPr>
          </w:p>
        </w:tc>
        <w:tc>
          <w:tcPr>
            <w:tcW w:w="1977" w:type="dxa"/>
            <w:vAlign w:val="top"/>
          </w:tcPr>
          <w:p w14:paraId="5D79C9FF">
            <w:pPr>
              <w:rPr>
                <w:rFonts w:ascii="Arial"/>
                <w:sz w:val="21"/>
              </w:rPr>
            </w:pPr>
          </w:p>
        </w:tc>
        <w:tc>
          <w:tcPr>
            <w:tcW w:w="850" w:type="dxa"/>
            <w:vAlign w:val="top"/>
          </w:tcPr>
          <w:p w14:paraId="3C8EA2DC">
            <w:pPr>
              <w:rPr>
                <w:rFonts w:ascii="Arial"/>
                <w:sz w:val="21"/>
              </w:rPr>
            </w:pPr>
          </w:p>
        </w:tc>
        <w:tc>
          <w:tcPr>
            <w:tcW w:w="771" w:type="dxa"/>
            <w:vAlign w:val="top"/>
          </w:tcPr>
          <w:p w14:paraId="66C8D11B">
            <w:pPr>
              <w:rPr>
                <w:rFonts w:ascii="Arial"/>
                <w:sz w:val="21"/>
              </w:rPr>
            </w:pPr>
          </w:p>
        </w:tc>
        <w:tc>
          <w:tcPr>
            <w:tcW w:w="1350" w:type="dxa"/>
            <w:vAlign w:val="top"/>
          </w:tcPr>
          <w:p w14:paraId="3F1EE14E">
            <w:pPr>
              <w:rPr>
                <w:rFonts w:ascii="Arial"/>
                <w:sz w:val="21"/>
              </w:rPr>
            </w:pPr>
          </w:p>
        </w:tc>
        <w:tc>
          <w:tcPr>
            <w:tcW w:w="1412" w:type="dxa"/>
            <w:vAlign w:val="top"/>
          </w:tcPr>
          <w:p w14:paraId="29680725">
            <w:pPr>
              <w:rPr>
                <w:rFonts w:ascii="Arial"/>
                <w:sz w:val="21"/>
              </w:rPr>
            </w:pPr>
          </w:p>
        </w:tc>
        <w:tc>
          <w:tcPr>
            <w:tcW w:w="1712" w:type="dxa"/>
            <w:tcBorders>
              <w:right w:val="single" w:color="000000" w:sz="10" w:space="0"/>
            </w:tcBorders>
            <w:vAlign w:val="top"/>
          </w:tcPr>
          <w:p w14:paraId="3378FB4E">
            <w:pPr>
              <w:rPr>
                <w:rFonts w:ascii="Arial"/>
                <w:sz w:val="21"/>
              </w:rPr>
            </w:pPr>
          </w:p>
        </w:tc>
      </w:tr>
      <w:tr w14:paraId="4F8F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56B5ED9C">
            <w:pPr>
              <w:rPr>
                <w:rFonts w:ascii="Arial"/>
                <w:sz w:val="21"/>
              </w:rPr>
            </w:pPr>
          </w:p>
        </w:tc>
        <w:tc>
          <w:tcPr>
            <w:tcW w:w="1977" w:type="dxa"/>
            <w:vAlign w:val="top"/>
          </w:tcPr>
          <w:p w14:paraId="7F62F990">
            <w:pPr>
              <w:rPr>
                <w:rFonts w:ascii="Arial"/>
                <w:sz w:val="21"/>
              </w:rPr>
            </w:pPr>
          </w:p>
        </w:tc>
        <w:tc>
          <w:tcPr>
            <w:tcW w:w="850" w:type="dxa"/>
            <w:vAlign w:val="top"/>
          </w:tcPr>
          <w:p w14:paraId="3D3575C8">
            <w:pPr>
              <w:rPr>
                <w:rFonts w:ascii="Arial"/>
                <w:sz w:val="21"/>
              </w:rPr>
            </w:pPr>
          </w:p>
        </w:tc>
        <w:tc>
          <w:tcPr>
            <w:tcW w:w="771" w:type="dxa"/>
            <w:vAlign w:val="top"/>
          </w:tcPr>
          <w:p w14:paraId="6E64AE86">
            <w:pPr>
              <w:rPr>
                <w:rFonts w:ascii="Arial"/>
                <w:sz w:val="21"/>
              </w:rPr>
            </w:pPr>
          </w:p>
        </w:tc>
        <w:tc>
          <w:tcPr>
            <w:tcW w:w="1350" w:type="dxa"/>
            <w:vAlign w:val="top"/>
          </w:tcPr>
          <w:p w14:paraId="371E0E4B">
            <w:pPr>
              <w:rPr>
                <w:rFonts w:ascii="Arial"/>
                <w:sz w:val="21"/>
              </w:rPr>
            </w:pPr>
          </w:p>
        </w:tc>
        <w:tc>
          <w:tcPr>
            <w:tcW w:w="1412" w:type="dxa"/>
            <w:vAlign w:val="top"/>
          </w:tcPr>
          <w:p w14:paraId="076433BE">
            <w:pPr>
              <w:rPr>
                <w:rFonts w:ascii="Arial"/>
                <w:sz w:val="21"/>
              </w:rPr>
            </w:pPr>
          </w:p>
        </w:tc>
        <w:tc>
          <w:tcPr>
            <w:tcW w:w="1712" w:type="dxa"/>
            <w:tcBorders>
              <w:right w:val="single" w:color="000000" w:sz="10" w:space="0"/>
            </w:tcBorders>
            <w:vAlign w:val="top"/>
          </w:tcPr>
          <w:p w14:paraId="38CE3F6A">
            <w:pPr>
              <w:rPr>
                <w:rFonts w:ascii="Arial"/>
                <w:sz w:val="21"/>
              </w:rPr>
            </w:pPr>
          </w:p>
        </w:tc>
      </w:tr>
      <w:tr w14:paraId="45CF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09BFFC05">
            <w:pPr>
              <w:rPr>
                <w:rFonts w:ascii="Arial"/>
                <w:sz w:val="21"/>
              </w:rPr>
            </w:pPr>
          </w:p>
        </w:tc>
        <w:tc>
          <w:tcPr>
            <w:tcW w:w="1977" w:type="dxa"/>
            <w:vAlign w:val="top"/>
          </w:tcPr>
          <w:p w14:paraId="73346B37">
            <w:pPr>
              <w:rPr>
                <w:rFonts w:ascii="Arial"/>
                <w:sz w:val="21"/>
              </w:rPr>
            </w:pPr>
          </w:p>
        </w:tc>
        <w:tc>
          <w:tcPr>
            <w:tcW w:w="850" w:type="dxa"/>
            <w:vAlign w:val="top"/>
          </w:tcPr>
          <w:p w14:paraId="42F9952D">
            <w:pPr>
              <w:rPr>
                <w:rFonts w:ascii="Arial"/>
                <w:sz w:val="21"/>
              </w:rPr>
            </w:pPr>
          </w:p>
        </w:tc>
        <w:tc>
          <w:tcPr>
            <w:tcW w:w="771" w:type="dxa"/>
            <w:vAlign w:val="top"/>
          </w:tcPr>
          <w:p w14:paraId="515A07EA">
            <w:pPr>
              <w:rPr>
                <w:rFonts w:ascii="Arial"/>
                <w:sz w:val="21"/>
              </w:rPr>
            </w:pPr>
          </w:p>
        </w:tc>
        <w:tc>
          <w:tcPr>
            <w:tcW w:w="1350" w:type="dxa"/>
            <w:vAlign w:val="top"/>
          </w:tcPr>
          <w:p w14:paraId="56100EE7">
            <w:pPr>
              <w:rPr>
                <w:rFonts w:ascii="Arial"/>
                <w:sz w:val="21"/>
              </w:rPr>
            </w:pPr>
          </w:p>
        </w:tc>
        <w:tc>
          <w:tcPr>
            <w:tcW w:w="1412" w:type="dxa"/>
            <w:vAlign w:val="top"/>
          </w:tcPr>
          <w:p w14:paraId="691A3D21">
            <w:pPr>
              <w:rPr>
                <w:rFonts w:ascii="Arial"/>
                <w:sz w:val="21"/>
              </w:rPr>
            </w:pPr>
          </w:p>
        </w:tc>
        <w:tc>
          <w:tcPr>
            <w:tcW w:w="1712" w:type="dxa"/>
            <w:tcBorders>
              <w:right w:val="single" w:color="000000" w:sz="10" w:space="0"/>
            </w:tcBorders>
            <w:vAlign w:val="top"/>
          </w:tcPr>
          <w:p w14:paraId="0442FD41">
            <w:pPr>
              <w:rPr>
                <w:rFonts w:ascii="Arial"/>
                <w:sz w:val="21"/>
              </w:rPr>
            </w:pPr>
          </w:p>
        </w:tc>
      </w:tr>
      <w:tr w14:paraId="65D7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33E0DF3F">
            <w:pPr>
              <w:rPr>
                <w:rFonts w:ascii="Arial"/>
                <w:sz w:val="21"/>
              </w:rPr>
            </w:pPr>
          </w:p>
        </w:tc>
        <w:tc>
          <w:tcPr>
            <w:tcW w:w="1977" w:type="dxa"/>
            <w:vAlign w:val="top"/>
          </w:tcPr>
          <w:p w14:paraId="6D70FF59">
            <w:pPr>
              <w:rPr>
                <w:rFonts w:ascii="Arial"/>
                <w:sz w:val="21"/>
              </w:rPr>
            </w:pPr>
          </w:p>
        </w:tc>
        <w:tc>
          <w:tcPr>
            <w:tcW w:w="850" w:type="dxa"/>
            <w:vAlign w:val="top"/>
          </w:tcPr>
          <w:p w14:paraId="40FAEA28">
            <w:pPr>
              <w:rPr>
                <w:rFonts w:ascii="Arial"/>
                <w:sz w:val="21"/>
              </w:rPr>
            </w:pPr>
          </w:p>
        </w:tc>
        <w:tc>
          <w:tcPr>
            <w:tcW w:w="771" w:type="dxa"/>
            <w:vAlign w:val="top"/>
          </w:tcPr>
          <w:p w14:paraId="5FDAD54B">
            <w:pPr>
              <w:rPr>
                <w:rFonts w:ascii="Arial"/>
                <w:sz w:val="21"/>
              </w:rPr>
            </w:pPr>
          </w:p>
        </w:tc>
        <w:tc>
          <w:tcPr>
            <w:tcW w:w="1350" w:type="dxa"/>
            <w:vAlign w:val="top"/>
          </w:tcPr>
          <w:p w14:paraId="066137E1">
            <w:pPr>
              <w:rPr>
                <w:rFonts w:ascii="Arial"/>
                <w:sz w:val="21"/>
              </w:rPr>
            </w:pPr>
          </w:p>
        </w:tc>
        <w:tc>
          <w:tcPr>
            <w:tcW w:w="1412" w:type="dxa"/>
            <w:vAlign w:val="top"/>
          </w:tcPr>
          <w:p w14:paraId="0A619108">
            <w:pPr>
              <w:rPr>
                <w:rFonts w:ascii="Arial"/>
                <w:sz w:val="21"/>
              </w:rPr>
            </w:pPr>
          </w:p>
        </w:tc>
        <w:tc>
          <w:tcPr>
            <w:tcW w:w="1712" w:type="dxa"/>
            <w:tcBorders>
              <w:right w:val="single" w:color="000000" w:sz="10" w:space="0"/>
            </w:tcBorders>
            <w:vAlign w:val="top"/>
          </w:tcPr>
          <w:p w14:paraId="308CA7A1">
            <w:pPr>
              <w:rPr>
                <w:rFonts w:ascii="Arial"/>
                <w:sz w:val="21"/>
              </w:rPr>
            </w:pPr>
          </w:p>
        </w:tc>
      </w:tr>
      <w:tr w14:paraId="4208C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7EC49E62">
            <w:pPr>
              <w:rPr>
                <w:rFonts w:ascii="Arial"/>
                <w:sz w:val="21"/>
              </w:rPr>
            </w:pPr>
          </w:p>
        </w:tc>
        <w:tc>
          <w:tcPr>
            <w:tcW w:w="1977" w:type="dxa"/>
            <w:vAlign w:val="top"/>
          </w:tcPr>
          <w:p w14:paraId="0764583A">
            <w:pPr>
              <w:rPr>
                <w:rFonts w:ascii="Arial"/>
                <w:sz w:val="21"/>
              </w:rPr>
            </w:pPr>
          </w:p>
        </w:tc>
        <w:tc>
          <w:tcPr>
            <w:tcW w:w="850" w:type="dxa"/>
            <w:vAlign w:val="top"/>
          </w:tcPr>
          <w:p w14:paraId="21AC915B">
            <w:pPr>
              <w:rPr>
                <w:rFonts w:ascii="Arial"/>
                <w:sz w:val="21"/>
              </w:rPr>
            </w:pPr>
          </w:p>
        </w:tc>
        <w:tc>
          <w:tcPr>
            <w:tcW w:w="771" w:type="dxa"/>
            <w:vAlign w:val="top"/>
          </w:tcPr>
          <w:p w14:paraId="52BB7E19">
            <w:pPr>
              <w:rPr>
                <w:rFonts w:ascii="Arial"/>
                <w:sz w:val="21"/>
              </w:rPr>
            </w:pPr>
          </w:p>
        </w:tc>
        <w:tc>
          <w:tcPr>
            <w:tcW w:w="1350" w:type="dxa"/>
            <w:vAlign w:val="top"/>
          </w:tcPr>
          <w:p w14:paraId="3E2FBE54">
            <w:pPr>
              <w:rPr>
                <w:rFonts w:ascii="Arial"/>
                <w:sz w:val="21"/>
              </w:rPr>
            </w:pPr>
          </w:p>
        </w:tc>
        <w:tc>
          <w:tcPr>
            <w:tcW w:w="1412" w:type="dxa"/>
            <w:vAlign w:val="top"/>
          </w:tcPr>
          <w:p w14:paraId="0847CEB6">
            <w:pPr>
              <w:rPr>
                <w:rFonts w:ascii="Arial"/>
                <w:sz w:val="21"/>
              </w:rPr>
            </w:pPr>
          </w:p>
        </w:tc>
        <w:tc>
          <w:tcPr>
            <w:tcW w:w="1712" w:type="dxa"/>
            <w:tcBorders>
              <w:right w:val="single" w:color="000000" w:sz="10" w:space="0"/>
            </w:tcBorders>
            <w:vAlign w:val="top"/>
          </w:tcPr>
          <w:p w14:paraId="2AB493F8">
            <w:pPr>
              <w:rPr>
                <w:rFonts w:ascii="Arial"/>
                <w:sz w:val="21"/>
              </w:rPr>
            </w:pPr>
          </w:p>
        </w:tc>
      </w:tr>
      <w:tr w14:paraId="5E5CB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vAlign w:val="top"/>
          </w:tcPr>
          <w:p w14:paraId="5A69E644">
            <w:pPr>
              <w:rPr>
                <w:rFonts w:ascii="Arial"/>
                <w:sz w:val="21"/>
              </w:rPr>
            </w:pPr>
          </w:p>
        </w:tc>
        <w:tc>
          <w:tcPr>
            <w:tcW w:w="1977" w:type="dxa"/>
            <w:vAlign w:val="top"/>
          </w:tcPr>
          <w:p w14:paraId="74F26911">
            <w:pPr>
              <w:rPr>
                <w:rFonts w:ascii="Arial"/>
                <w:sz w:val="21"/>
              </w:rPr>
            </w:pPr>
          </w:p>
        </w:tc>
        <w:tc>
          <w:tcPr>
            <w:tcW w:w="850" w:type="dxa"/>
            <w:vAlign w:val="top"/>
          </w:tcPr>
          <w:p w14:paraId="487272A2">
            <w:pPr>
              <w:rPr>
                <w:rFonts w:ascii="Arial"/>
                <w:sz w:val="21"/>
              </w:rPr>
            </w:pPr>
          </w:p>
        </w:tc>
        <w:tc>
          <w:tcPr>
            <w:tcW w:w="771" w:type="dxa"/>
            <w:vAlign w:val="top"/>
          </w:tcPr>
          <w:p w14:paraId="7EADBDFA">
            <w:pPr>
              <w:rPr>
                <w:rFonts w:ascii="Arial"/>
                <w:sz w:val="21"/>
              </w:rPr>
            </w:pPr>
          </w:p>
        </w:tc>
        <w:tc>
          <w:tcPr>
            <w:tcW w:w="1350" w:type="dxa"/>
            <w:vAlign w:val="top"/>
          </w:tcPr>
          <w:p w14:paraId="21EC689D">
            <w:pPr>
              <w:rPr>
                <w:rFonts w:ascii="Arial"/>
                <w:sz w:val="21"/>
              </w:rPr>
            </w:pPr>
          </w:p>
        </w:tc>
        <w:tc>
          <w:tcPr>
            <w:tcW w:w="1412" w:type="dxa"/>
            <w:vAlign w:val="top"/>
          </w:tcPr>
          <w:p w14:paraId="47478E0A">
            <w:pPr>
              <w:rPr>
                <w:rFonts w:ascii="Arial"/>
                <w:sz w:val="21"/>
              </w:rPr>
            </w:pPr>
          </w:p>
        </w:tc>
        <w:tc>
          <w:tcPr>
            <w:tcW w:w="1712" w:type="dxa"/>
            <w:tcBorders>
              <w:right w:val="single" w:color="000000" w:sz="10" w:space="0"/>
            </w:tcBorders>
            <w:vAlign w:val="top"/>
          </w:tcPr>
          <w:p w14:paraId="6DBAE4B4">
            <w:pPr>
              <w:rPr>
                <w:rFonts w:ascii="Arial"/>
                <w:sz w:val="21"/>
              </w:rPr>
            </w:pPr>
          </w:p>
        </w:tc>
      </w:tr>
      <w:tr w14:paraId="45AA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2875A1EB">
            <w:pPr>
              <w:rPr>
                <w:rFonts w:ascii="Arial"/>
                <w:sz w:val="21"/>
              </w:rPr>
            </w:pPr>
          </w:p>
        </w:tc>
        <w:tc>
          <w:tcPr>
            <w:tcW w:w="1977" w:type="dxa"/>
            <w:vAlign w:val="top"/>
          </w:tcPr>
          <w:p w14:paraId="0580E785">
            <w:pPr>
              <w:rPr>
                <w:rFonts w:ascii="Arial"/>
                <w:sz w:val="21"/>
              </w:rPr>
            </w:pPr>
          </w:p>
        </w:tc>
        <w:tc>
          <w:tcPr>
            <w:tcW w:w="850" w:type="dxa"/>
            <w:vAlign w:val="top"/>
          </w:tcPr>
          <w:p w14:paraId="1E192D66">
            <w:pPr>
              <w:rPr>
                <w:rFonts w:ascii="Arial"/>
                <w:sz w:val="21"/>
              </w:rPr>
            </w:pPr>
          </w:p>
        </w:tc>
        <w:tc>
          <w:tcPr>
            <w:tcW w:w="771" w:type="dxa"/>
            <w:vAlign w:val="top"/>
          </w:tcPr>
          <w:p w14:paraId="43312877">
            <w:pPr>
              <w:rPr>
                <w:rFonts w:ascii="Arial"/>
                <w:sz w:val="21"/>
              </w:rPr>
            </w:pPr>
          </w:p>
        </w:tc>
        <w:tc>
          <w:tcPr>
            <w:tcW w:w="1350" w:type="dxa"/>
            <w:vAlign w:val="top"/>
          </w:tcPr>
          <w:p w14:paraId="0952DDBA">
            <w:pPr>
              <w:rPr>
                <w:rFonts w:ascii="Arial"/>
                <w:sz w:val="21"/>
              </w:rPr>
            </w:pPr>
          </w:p>
        </w:tc>
        <w:tc>
          <w:tcPr>
            <w:tcW w:w="1412" w:type="dxa"/>
            <w:vAlign w:val="top"/>
          </w:tcPr>
          <w:p w14:paraId="417D73CE">
            <w:pPr>
              <w:rPr>
                <w:rFonts w:ascii="Arial"/>
                <w:sz w:val="21"/>
              </w:rPr>
            </w:pPr>
          </w:p>
        </w:tc>
        <w:tc>
          <w:tcPr>
            <w:tcW w:w="1712" w:type="dxa"/>
            <w:tcBorders>
              <w:right w:val="single" w:color="000000" w:sz="10" w:space="0"/>
            </w:tcBorders>
            <w:vAlign w:val="top"/>
          </w:tcPr>
          <w:p w14:paraId="36DF7EB6">
            <w:pPr>
              <w:rPr>
                <w:rFonts w:ascii="Arial"/>
                <w:sz w:val="21"/>
              </w:rPr>
            </w:pPr>
          </w:p>
        </w:tc>
      </w:tr>
      <w:tr w14:paraId="25AFD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090D74EA">
            <w:pPr>
              <w:rPr>
                <w:rFonts w:ascii="Arial"/>
                <w:sz w:val="21"/>
              </w:rPr>
            </w:pPr>
          </w:p>
        </w:tc>
        <w:tc>
          <w:tcPr>
            <w:tcW w:w="1977" w:type="dxa"/>
            <w:vAlign w:val="top"/>
          </w:tcPr>
          <w:p w14:paraId="1351644D">
            <w:pPr>
              <w:rPr>
                <w:rFonts w:ascii="Arial"/>
                <w:sz w:val="21"/>
              </w:rPr>
            </w:pPr>
          </w:p>
        </w:tc>
        <w:tc>
          <w:tcPr>
            <w:tcW w:w="850" w:type="dxa"/>
            <w:vAlign w:val="top"/>
          </w:tcPr>
          <w:p w14:paraId="200E6BAF">
            <w:pPr>
              <w:rPr>
                <w:rFonts w:ascii="Arial"/>
                <w:sz w:val="21"/>
              </w:rPr>
            </w:pPr>
          </w:p>
        </w:tc>
        <w:tc>
          <w:tcPr>
            <w:tcW w:w="771" w:type="dxa"/>
            <w:vAlign w:val="top"/>
          </w:tcPr>
          <w:p w14:paraId="4CC5547C">
            <w:pPr>
              <w:rPr>
                <w:rFonts w:ascii="Arial"/>
                <w:sz w:val="21"/>
              </w:rPr>
            </w:pPr>
          </w:p>
        </w:tc>
        <w:tc>
          <w:tcPr>
            <w:tcW w:w="1350" w:type="dxa"/>
            <w:vAlign w:val="top"/>
          </w:tcPr>
          <w:p w14:paraId="759FD7A1">
            <w:pPr>
              <w:rPr>
                <w:rFonts w:ascii="Arial"/>
                <w:sz w:val="21"/>
              </w:rPr>
            </w:pPr>
          </w:p>
        </w:tc>
        <w:tc>
          <w:tcPr>
            <w:tcW w:w="1412" w:type="dxa"/>
            <w:vAlign w:val="top"/>
          </w:tcPr>
          <w:p w14:paraId="49530AB9">
            <w:pPr>
              <w:rPr>
                <w:rFonts w:ascii="Arial"/>
                <w:sz w:val="21"/>
              </w:rPr>
            </w:pPr>
          </w:p>
        </w:tc>
        <w:tc>
          <w:tcPr>
            <w:tcW w:w="1712" w:type="dxa"/>
            <w:tcBorders>
              <w:right w:val="single" w:color="000000" w:sz="10" w:space="0"/>
            </w:tcBorders>
            <w:vAlign w:val="top"/>
          </w:tcPr>
          <w:p w14:paraId="7D13DD2B">
            <w:pPr>
              <w:rPr>
                <w:rFonts w:ascii="Arial"/>
                <w:sz w:val="21"/>
              </w:rPr>
            </w:pPr>
          </w:p>
        </w:tc>
      </w:tr>
      <w:tr w14:paraId="1CA3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vAlign w:val="top"/>
          </w:tcPr>
          <w:p w14:paraId="6DB13FE4">
            <w:pPr>
              <w:rPr>
                <w:rFonts w:ascii="Arial"/>
                <w:sz w:val="21"/>
              </w:rPr>
            </w:pPr>
          </w:p>
        </w:tc>
        <w:tc>
          <w:tcPr>
            <w:tcW w:w="1977" w:type="dxa"/>
            <w:vAlign w:val="top"/>
          </w:tcPr>
          <w:p w14:paraId="5D0A7812">
            <w:pPr>
              <w:rPr>
                <w:rFonts w:ascii="Arial"/>
                <w:sz w:val="21"/>
              </w:rPr>
            </w:pPr>
          </w:p>
        </w:tc>
        <w:tc>
          <w:tcPr>
            <w:tcW w:w="850" w:type="dxa"/>
            <w:vAlign w:val="top"/>
          </w:tcPr>
          <w:p w14:paraId="2F716E4B">
            <w:pPr>
              <w:rPr>
                <w:rFonts w:ascii="Arial"/>
                <w:sz w:val="21"/>
              </w:rPr>
            </w:pPr>
          </w:p>
        </w:tc>
        <w:tc>
          <w:tcPr>
            <w:tcW w:w="771" w:type="dxa"/>
            <w:vAlign w:val="top"/>
          </w:tcPr>
          <w:p w14:paraId="1F1843D8">
            <w:pPr>
              <w:rPr>
                <w:rFonts w:ascii="Arial"/>
                <w:sz w:val="21"/>
              </w:rPr>
            </w:pPr>
          </w:p>
        </w:tc>
        <w:tc>
          <w:tcPr>
            <w:tcW w:w="1350" w:type="dxa"/>
            <w:vAlign w:val="top"/>
          </w:tcPr>
          <w:p w14:paraId="2309EEC1">
            <w:pPr>
              <w:rPr>
                <w:rFonts w:ascii="Arial"/>
                <w:sz w:val="21"/>
              </w:rPr>
            </w:pPr>
          </w:p>
        </w:tc>
        <w:tc>
          <w:tcPr>
            <w:tcW w:w="1412" w:type="dxa"/>
            <w:vAlign w:val="top"/>
          </w:tcPr>
          <w:p w14:paraId="1D87A688">
            <w:pPr>
              <w:rPr>
                <w:rFonts w:ascii="Arial"/>
                <w:sz w:val="21"/>
              </w:rPr>
            </w:pPr>
          </w:p>
        </w:tc>
        <w:tc>
          <w:tcPr>
            <w:tcW w:w="1712" w:type="dxa"/>
            <w:tcBorders>
              <w:right w:val="single" w:color="000000" w:sz="10" w:space="0"/>
            </w:tcBorders>
            <w:vAlign w:val="top"/>
          </w:tcPr>
          <w:p w14:paraId="366F8A91">
            <w:pPr>
              <w:rPr>
                <w:rFonts w:ascii="Arial"/>
                <w:sz w:val="21"/>
              </w:rPr>
            </w:pPr>
          </w:p>
        </w:tc>
      </w:tr>
      <w:tr w14:paraId="2383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vAlign w:val="top"/>
          </w:tcPr>
          <w:p w14:paraId="284CB96A">
            <w:pPr>
              <w:rPr>
                <w:rFonts w:ascii="Arial"/>
                <w:sz w:val="21"/>
              </w:rPr>
            </w:pPr>
          </w:p>
        </w:tc>
        <w:tc>
          <w:tcPr>
            <w:tcW w:w="1977" w:type="dxa"/>
            <w:vAlign w:val="top"/>
          </w:tcPr>
          <w:p w14:paraId="76B7D14D">
            <w:pPr>
              <w:rPr>
                <w:rFonts w:ascii="Arial"/>
                <w:sz w:val="21"/>
              </w:rPr>
            </w:pPr>
          </w:p>
        </w:tc>
        <w:tc>
          <w:tcPr>
            <w:tcW w:w="850" w:type="dxa"/>
            <w:vAlign w:val="top"/>
          </w:tcPr>
          <w:p w14:paraId="47C09AF3">
            <w:pPr>
              <w:rPr>
                <w:rFonts w:ascii="Arial"/>
                <w:sz w:val="21"/>
              </w:rPr>
            </w:pPr>
          </w:p>
        </w:tc>
        <w:tc>
          <w:tcPr>
            <w:tcW w:w="771" w:type="dxa"/>
            <w:vAlign w:val="top"/>
          </w:tcPr>
          <w:p w14:paraId="5B129234">
            <w:pPr>
              <w:rPr>
                <w:rFonts w:ascii="Arial"/>
                <w:sz w:val="21"/>
              </w:rPr>
            </w:pPr>
          </w:p>
        </w:tc>
        <w:tc>
          <w:tcPr>
            <w:tcW w:w="1350" w:type="dxa"/>
            <w:vAlign w:val="top"/>
          </w:tcPr>
          <w:p w14:paraId="0D9D0712">
            <w:pPr>
              <w:rPr>
                <w:rFonts w:ascii="Arial"/>
                <w:sz w:val="21"/>
              </w:rPr>
            </w:pPr>
          </w:p>
        </w:tc>
        <w:tc>
          <w:tcPr>
            <w:tcW w:w="1412" w:type="dxa"/>
            <w:vAlign w:val="top"/>
          </w:tcPr>
          <w:p w14:paraId="211C7508">
            <w:pPr>
              <w:rPr>
                <w:rFonts w:ascii="Arial"/>
                <w:sz w:val="21"/>
              </w:rPr>
            </w:pPr>
          </w:p>
        </w:tc>
        <w:tc>
          <w:tcPr>
            <w:tcW w:w="1712" w:type="dxa"/>
            <w:tcBorders>
              <w:right w:val="single" w:color="000000" w:sz="10" w:space="0"/>
            </w:tcBorders>
            <w:vAlign w:val="top"/>
          </w:tcPr>
          <w:p w14:paraId="45D2B580">
            <w:pPr>
              <w:rPr>
                <w:rFonts w:ascii="Arial"/>
                <w:sz w:val="21"/>
              </w:rPr>
            </w:pPr>
          </w:p>
        </w:tc>
      </w:tr>
      <w:tr w14:paraId="5E69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5" w:type="dxa"/>
            <w:tcBorders>
              <w:left w:val="single" w:color="000000" w:sz="10" w:space="0"/>
              <w:bottom w:val="single" w:color="000000" w:sz="10" w:space="0"/>
            </w:tcBorders>
            <w:vAlign w:val="top"/>
          </w:tcPr>
          <w:p w14:paraId="0794F104">
            <w:pPr>
              <w:rPr>
                <w:rFonts w:ascii="Arial"/>
                <w:sz w:val="21"/>
              </w:rPr>
            </w:pPr>
          </w:p>
        </w:tc>
        <w:tc>
          <w:tcPr>
            <w:tcW w:w="1977" w:type="dxa"/>
            <w:tcBorders>
              <w:bottom w:val="single" w:color="000000" w:sz="10" w:space="0"/>
            </w:tcBorders>
            <w:vAlign w:val="top"/>
          </w:tcPr>
          <w:p w14:paraId="4CD2EBB6">
            <w:pPr>
              <w:rPr>
                <w:rFonts w:ascii="Arial"/>
                <w:sz w:val="21"/>
              </w:rPr>
            </w:pPr>
          </w:p>
        </w:tc>
        <w:tc>
          <w:tcPr>
            <w:tcW w:w="850" w:type="dxa"/>
            <w:tcBorders>
              <w:bottom w:val="single" w:color="000000" w:sz="10" w:space="0"/>
            </w:tcBorders>
            <w:vAlign w:val="top"/>
          </w:tcPr>
          <w:p w14:paraId="5BA07333">
            <w:pPr>
              <w:rPr>
                <w:rFonts w:ascii="Arial"/>
                <w:sz w:val="21"/>
              </w:rPr>
            </w:pPr>
          </w:p>
        </w:tc>
        <w:tc>
          <w:tcPr>
            <w:tcW w:w="771" w:type="dxa"/>
            <w:tcBorders>
              <w:bottom w:val="single" w:color="000000" w:sz="10" w:space="0"/>
            </w:tcBorders>
            <w:vAlign w:val="top"/>
          </w:tcPr>
          <w:p w14:paraId="1F4FA52D">
            <w:pPr>
              <w:rPr>
                <w:rFonts w:ascii="Arial"/>
                <w:sz w:val="21"/>
              </w:rPr>
            </w:pPr>
          </w:p>
        </w:tc>
        <w:tc>
          <w:tcPr>
            <w:tcW w:w="1350" w:type="dxa"/>
            <w:tcBorders>
              <w:bottom w:val="single" w:color="000000" w:sz="10" w:space="0"/>
            </w:tcBorders>
            <w:vAlign w:val="top"/>
          </w:tcPr>
          <w:p w14:paraId="0267B452">
            <w:pPr>
              <w:rPr>
                <w:rFonts w:ascii="Arial"/>
                <w:sz w:val="21"/>
              </w:rPr>
            </w:pPr>
          </w:p>
        </w:tc>
        <w:tc>
          <w:tcPr>
            <w:tcW w:w="1412" w:type="dxa"/>
            <w:tcBorders>
              <w:bottom w:val="single" w:color="000000" w:sz="10" w:space="0"/>
            </w:tcBorders>
            <w:vAlign w:val="top"/>
          </w:tcPr>
          <w:p w14:paraId="696D73C3">
            <w:pPr>
              <w:rPr>
                <w:rFonts w:ascii="Arial"/>
                <w:sz w:val="21"/>
              </w:rPr>
            </w:pPr>
          </w:p>
        </w:tc>
        <w:tc>
          <w:tcPr>
            <w:tcW w:w="1712" w:type="dxa"/>
            <w:tcBorders>
              <w:bottom w:val="single" w:color="000000" w:sz="10" w:space="0"/>
              <w:right w:val="single" w:color="000000" w:sz="10" w:space="0"/>
            </w:tcBorders>
            <w:vAlign w:val="top"/>
          </w:tcPr>
          <w:p w14:paraId="18A75766">
            <w:pPr>
              <w:rPr>
                <w:rFonts w:ascii="Arial"/>
                <w:sz w:val="21"/>
              </w:rPr>
            </w:pPr>
          </w:p>
        </w:tc>
      </w:tr>
    </w:tbl>
    <w:p w14:paraId="705319E4">
      <w:pPr>
        <w:pStyle w:val="5"/>
      </w:pPr>
    </w:p>
    <w:p w14:paraId="1EDF644B">
      <w:pPr>
        <w:sectPr>
          <w:footerReference r:id="rId146" w:type="default"/>
          <w:pgSz w:w="11905" w:h="16843"/>
          <w:pgMar w:top="969" w:right="1355" w:bottom="1026" w:left="1480" w:header="0" w:footer="754" w:gutter="0"/>
          <w:cols w:space="0" w:num="1"/>
          <w:rtlGutter w:val="0"/>
          <w:docGrid w:linePitch="0" w:charSpace="0"/>
        </w:sectPr>
      </w:pPr>
    </w:p>
    <w:p w14:paraId="54E71460">
      <w:pPr>
        <w:pStyle w:val="5"/>
        <w:spacing w:line="262" w:lineRule="auto"/>
      </w:pPr>
    </w:p>
    <w:p w14:paraId="3C8B34A9">
      <w:pPr>
        <w:pStyle w:val="5"/>
        <w:spacing w:line="263" w:lineRule="auto"/>
      </w:pPr>
    </w:p>
    <w:p w14:paraId="7AF58F1C">
      <w:pPr>
        <w:pStyle w:val="5"/>
        <w:spacing w:line="263" w:lineRule="auto"/>
      </w:pPr>
    </w:p>
    <w:p w14:paraId="67726C28">
      <w:pPr>
        <w:pStyle w:val="5"/>
        <w:spacing w:line="263" w:lineRule="auto"/>
      </w:pPr>
    </w:p>
    <w:p w14:paraId="1D8F6C13">
      <w:pPr>
        <w:pStyle w:val="5"/>
        <w:spacing w:line="263" w:lineRule="auto"/>
      </w:pPr>
    </w:p>
    <w:p w14:paraId="6BB7E43D">
      <w:pPr>
        <w:spacing w:before="91" w:line="233" w:lineRule="auto"/>
        <w:ind w:left="2970"/>
        <w:rPr>
          <w:rFonts w:ascii="黑体" w:hAnsi="黑体" w:eastAsia="黑体" w:cs="黑体"/>
          <w:sz w:val="28"/>
          <w:szCs w:val="28"/>
        </w:rPr>
      </w:pPr>
      <w:bookmarkStart w:id="1239" w:name="bookmark605"/>
      <w:bookmarkEnd w:id="1239"/>
      <w:r>
        <w:rPr>
          <w:rFonts w:ascii="Times New Roman" w:hAnsi="Times New Roman" w:eastAsia="Times New Roman" w:cs="Times New Roman"/>
          <w:spacing w:val="-4"/>
          <w:sz w:val="28"/>
          <w:szCs w:val="28"/>
        </w:rPr>
        <w:t>11-3</w:t>
      </w:r>
      <w:r>
        <w:rPr>
          <w:rFonts w:ascii="黑体" w:hAnsi="黑体" w:eastAsia="黑体" w:cs="黑体"/>
          <w:spacing w:val="-4"/>
          <w:sz w:val="28"/>
          <w:szCs w:val="28"/>
        </w:rPr>
        <w:t>：专业工程暂估价表</w:t>
      </w:r>
    </w:p>
    <w:p w14:paraId="1CCDF838">
      <w:pPr>
        <w:spacing w:line="93" w:lineRule="exact"/>
      </w:pPr>
    </w:p>
    <w:tbl>
      <w:tblPr>
        <w:tblStyle w:val="10"/>
        <w:tblW w:w="88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977"/>
        <w:gridCol w:w="4665"/>
        <w:gridCol w:w="1287"/>
      </w:tblGrid>
      <w:tr w14:paraId="710B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93" w:type="dxa"/>
            <w:tcBorders>
              <w:top w:val="single" w:color="000000" w:sz="10" w:space="0"/>
              <w:left w:val="single" w:color="000000" w:sz="10" w:space="0"/>
            </w:tcBorders>
            <w:vAlign w:val="top"/>
          </w:tcPr>
          <w:p w14:paraId="3D022AC6">
            <w:pPr>
              <w:pStyle w:val="11"/>
              <w:spacing w:before="177" w:line="222" w:lineRule="auto"/>
              <w:ind w:left="227"/>
            </w:pPr>
            <w:r>
              <w:rPr>
                <w:spacing w:val="-2"/>
              </w:rPr>
              <w:t>序号</w:t>
            </w:r>
          </w:p>
        </w:tc>
        <w:tc>
          <w:tcPr>
            <w:tcW w:w="1977" w:type="dxa"/>
            <w:tcBorders>
              <w:top w:val="single" w:color="000000" w:sz="10" w:space="0"/>
            </w:tcBorders>
            <w:vAlign w:val="top"/>
          </w:tcPr>
          <w:p w14:paraId="6CBFCD16">
            <w:pPr>
              <w:pStyle w:val="11"/>
              <w:spacing w:before="177" w:line="221" w:lineRule="auto"/>
              <w:ind w:left="353"/>
            </w:pPr>
            <w:r>
              <w:rPr>
                <w:spacing w:val="-1"/>
              </w:rPr>
              <w:t>专业工程名称</w:t>
            </w:r>
          </w:p>
        </w:tc>
        <w:tc>
          <w:tcPr>
            <w:tcW w:w="4665" w:type="dxa"/>
            <w:tcBorders>
              <w:top w:val="single" w:color="000000" w:sz="10" w:space="0"/>
            </w:tcBorders>
            <w:vAlign w:val="top"/>
          </w:tcPr>
          <w:p w14:paraId="613C16F6">
            <w:pPr>
              <w:pStyle w:val="11"/>
              <w:spacing w:before="177" w:line="221" w:lineRule="auto"/>
              <w:ind w:left="1921"/>
            </w:pPr>
            <w:r>
              <w:rPr>
                <w:spacing w:val="-2"/>
              </w:rPr>
              <w:t>工程内容</w:t>
            </w:r>
          </w:p>
        </w:tc>
        <w:tc>
          <w:tcPr>
            <w:tcW w:w="1287" w:type="dxa"/>
            <w:tcBorders>
              <w:top w:val="single" w:color="000000" w:sz="10" w:space="0"/>
              <w:right w:val="single" w:color="000000" w:sz="10" w:space="0"/>
            </w:tcBorders>
            <w:vAlign w:val="top"/>
          </w:tcPr>
          <w:p w14:paraId="1A3AE609">
            <w:pPr>
              <w:pStyle w:val="11"/>
              <w:spacing w:before="177" w:line="221" w:lineRule="auto"/>
              <w:ind w:left="441"/>
            </w:pPr>
            <w:r>
              <w:rPr>
                <w:spacing w:val="-2"/>
              </w:rPr>
              <w:t>金额</w:t>
            </w:r>
          </w:p>
        </w:tc>
      </w:tr>
      <w:tr w14:paraId="357C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93" w:type="dxa"/>
            <w:tcBorders>
              <w:left w:val="single" w:color="000000" w:sz="10" w:space="0"/>
            </w:tcBorders>
            <w:vAlign w:val="top"/>
          </w:tcPr>
          <w:p w14:paraId="3BB84226">
            <w:pPr>
              <w:rPr>
                <w:rFonts w:ascii="Arial"/>
                <w:sz w:val="21"/>
              </w:rPr>
            </w:pPr>
          </w:p>
        </w:tc>
        <w:tc>
          <w:tcPr>
            <w:tcW w:w="1977" w:type="dxa"/>
            <w:vAlign w:val="top"/>
          </w:tcPr>
          <w:p w14:paraId="7EEEE513">
            <w:pPr>
              <w:rPr>
                <w:rFonts w:ascii="Arial"/>
                <w:sz w:val="21"/>
              </w:rPr>
            </w:pPr>
          </w:p>
        </w:tc>
        <w:tc>
          <w:tcPr>
            <w:tcW w:w="4665" w:type="dxa"/>
            <w:vAlign w:val="top"/>
          </w:tcPr>
          <w:p w14:paraId="50E2475C">
            <w:pPr>
              <w:rPr>
                <w:rFonts w:ascii="Arial"/>
                <w:sz w:val="21"/>
              </w:rPr>
            </w:pPr>
          </w:p>
        </w:tc>
        <w:tc>
          <w:tcPr>
            <w:tcW w:w="1287" w:type="dxa"/>
            <w:tcBorders>
              <w:right w:val="single" w:color="000000" w:sz="10" w:space="0"/>
            </w:tcBorders>
            <w:vAlign w:val="top"/>
          </w:tcPr>
          <w:p w14:paraId="1C509046">
            <w:pPr>
              <w:rPr>
                <w:rFonts w:ascii="Arial"/>
                <w:sz w:val="21"/>
              </w:rPr>
            </w:pPr>
          </w:p>
        </w:tc>
      </w:tr>
      <w:tr w14:paraId="5FFD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388D324C">
            <w:pPr>
              <w:rPr>
                <w:rFonts w:ascii="Arial"/>
                <w:sz w:val="21"/>
              </w:rPr>
            </w:pPr>
          </w:p>
        </w:tc>
        <w:tc>
          <w:tcPr>
            <w:tcW w:w="1977" w:type="dxa"/>
            <w:vAlign w:val="top"/>
          </w:tcPr>
          <w:p w14:paraId="014854CF">
            <w:pPr>
              <w:rPr>
                <w:rFonts w:ascii="Arial"/>
                <w:sz w:val="21"/>
              </w:rPr>
            </w:pPr>
          </w:p>
        </w:tc>
        <w:tc>
          <w:tcPr>
            <w:tcW w:w="4665" w:type="dxa"/>
            <w:vAlign w:val="top"/>
          </w:tcPr>
          <w:p w14:paraId="627AEF43">
            <w:pPr>
              <w:rPr>
                <w:rFonts w:ascii="Arial"/>
                <w:sz w:val="21"/>
              </w:rPr>
            </w:pPr>
          </w:p>
        </w:tc>
        <w:tc>
          <w:tcPr>
            <w:tcW w:w="1287" w:type="dxa"/>
            <w:tcBorders>
              <w:right w:val="single" w:color="000000" w:sz="10" w:space="0"/>
            </w:tcBorders>
            <w:vAlign w:val="top"/>
          </w:tcPr>
          <w:p w14:paraId="26B8E700">
            <w:pPr>
              <w:rPr>
                <w:rFonts w:ascii="Arial"/>
                <w:sz w:val="21"/>
              </w:rPr>
            </w:pPr>
          </w:p>
        </w:tc>
      </w:tr>
      <w:tr w14:paraId="7E258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2CD2D10B">
            <w:pPr>
              <w:rPr>
                <w:rFonts w:ascii="Arial"/>
                <w:sz w:val="21"/>
              </w:rPr>
            </w:pPr>
          </w:p>
        </w:tc>
        <w:tc>
          <w:tcPr>
            <w:tcW w:w="1977" w:type="dxa"/>
            <w:vAlign w:val="top"/>
          </w:tcPr>
          <w:p w14:paraId="35F20030">
            <w:pPr>
              <w:rPr>
                <w:rFonts w:ascii="Arial"/>
                <w:sz w:val="21"/>
              </w:rPr>
            </w:pPr>
          </w:p>
        </w:tc>
        <w:tc>
          <w:tcPr>
            <w:tcW w:w="4665" w:type="dxa"/>
            <w:vAlign w:val="top"/>
          </w:tcPr>
          <w:p w14:paraId="11059F59">
            <w:pPr>
              <w:rPr>
                <w:rFonts w:ascii="Arial"/>
                <w:sz w:val="21"/>
              </w:rPr>
            </w:pPr>
          </w:p>
        </w:tc>
        <w:tc>
          <w:tcPr>
            <w:tcW w:w="1287" w:type="dxa"/>
            <w:tcBorders>
              <w:right w:val="single" w:color="000000" w:sz="10" w:space="0"/>
            </w:tcBorders>
            <w:vAlign w:val="top"/>
          </w:tcPr>
          <w:p w14:paraId="5DD07AD9">
            <w:pPr>
              <w:rPr>
                <w:rFonts w:ascii="Arial"/>
                <w:sz w:val="21"/>
              </w:rPr>
            </w:pPr>
          </w:p>
        </w:tc>
      </w:tr>
      <w:tr w14:paraId="7D92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22FB2CC3">
            <w:pPr>
              <w:rPr>
                <w:rFonts w:ascii="Arial"/>
                <w:sz w:val="21"/>
              </w:rPr>
            </w:pPr>
          </w:p>
        </w:tc>
        <w:tc>
          <w:tcPr>
            <w:tcW w:w="1977" w:type="dxa"/>
            <w:vAlign w:val="top"/>
          </w:tcPr>
          <w:p w14:paraId="37D6AB88">
            <w:pPr>
              <w:rPr>
                <w:rFonts w:ascii="Arial"/>
                <w:sz w:val="21"/>
              </w:rPr>
            </w:pPr>
          </w:p>
        </w:tc>
        <w:tc>
          <w:tcPr>
            <w:tcW w:w="4665" w:type="dxa"/>
            <w:vAlign w:val="top"/>
          </w:tcPr>
          <w:p w14:paraId="68B641DB">
            <w:pPr>
              <w:rPr>
                <w:rFonts w:ascii="Arial"/>
                <w:sz w:val="21"/>
              </w:rPr>
            </w:pPr>
          </w:p>
        </w:tc>
        <w:tc>
          <w:tcPr>
            <w:tcW w:w="1287" w:type="dxa"/>
            <w:tcBorders>
              <w:right w:val="single" w:color="000000" w:sz="10" w:space="0"/>
            </w:tcBorders>
            <w:vAlign w:val="top"/>
          </w:tcPr>
          <w:p w14:paraId="70C976C2">
            <w:pPr>
              <w:rPr>
                <w:rFonts w:ascii="Arial"/>
                <w:sz w:val="21"/>
              </w:rPr>
            </w:pPr>
          </w:p>
        </w:tc>
      </w:tr>
      <w:tr w14:paraId="1294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20B43437">
            <w:pPr>
              <w:rPr>
                <w:rFonts w:ascii="Arial"/>
                <w:sz w:val="21"/>
              </w:rPr>
            </w:pPr>
          </w:p>
        </w:tc>
        <w:tc>
          <w:tcPr>
            <w:tcW w:w="1977" w:type="dxa"/>
            <w:vAlign w:val="top"/>
          </w:tcPr>
          <w:p w14:paraId="4911F6F6">
            <w:pPr>
              <w:rPr>
                <w:rFonts w:ascii="Arial"/>
                <w:sz w:val="21"/>
              </w:rPr>
            </w:pPr>
          </w:p>
        </w:tc>
        <w:tc>
          <w:tcPr>
            <w:tcW w:w="4665" w:type="dxa"/>
            <w:vAlign w:val="top"/>
          </w:tcPr>
          <w:p w14:paraId="1A1763BD">
            <w:pPr>
              <w:rPr>
                <w:rFonts w:ascii="Arial"/>
                <w:sz w:val="21"/>
              </w:rPr>
            </w:pPr>
          </w:p>
        </w:tc>
        <w:tc>
          <w:tcPr>
            <w:tcW w:w="1287" w:type="dxa"/>
            <w:tcBorders>
              <w:right w:val="single" w:color="000000" w:sz="10" w:space="0"/>
            </w:tcBorders>
            <w:vAlign w:val="top"/>
          </w:tcPr>
          <w:p w14:paraId="00F765B2">
            <w:pPr>
              <w:rPr>
                <w:rFonts w:ascii="Arial"/>
                <w:sz w:val="21"/>
              </w:rPr>
            </w:pPr>
          </w:p>
        </w:tc>
      </w:tr>
      <w:tr w14:paraId="0844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518B98BA">
            <w:pPr>
              <w:rPr>
                <w:rFonts w:ascii="Arial"/>
                <w:sz w:val="21"/>
              </w:rPr>
            </w:pPr>
          </w:p>
        </w:tc>
        <w:tc>
          <w:tcPr>
            <w:tcW w:w="1977" w:type="dxa"/>
            <w:vAlign w:val="top"/>
          </w:tcPr>
          <w:p w14:paraId="1ACC2A1A">
            <w:pPr>
              <w:rPr>
                <w:rFonts w:ascii="Arial"/>
                <w:sz w:val="21"/>
              </w:rPr>
            </w:pPr>
          </w:p>
        </w:tc>
        <w:tc>
          <w:tcPr>
            <w:tcW w:w="4665" w:type="dxa"/>
            <w:vAlign w:val="top"/>
          </w:tcPr>
          <w:p w14:paraId="1D93362A">
            <w:pPr>
              <w:rPr>
                <w:rFonts w:ascii="Arial"/>
                <w:sz w:val="21"/>
              </w:rPr>
            </w:pPr>
          </w:p>
        </w:tc>
        <w:tc>
          <w:tcPr>
            <w:tcW w:w="1287" w:type="dxa"/>
            <w:tcBorders>
              <w:right w:val="single" w:color="000000" w:sz="10" w:space="0"/>
            </w:tcBorders>
            <w:vAlign w:val="top"/>
          </w:tcPr>
          <w:p w14:paraId="58A35061">
            <w:pPr>
              <w:rPr>
                <w:rFonts w:ascii="Arial"/>
                <w:sz w:val="21"/>
              </w:rPr>
            </w:pPr>
          </w:p>
        </w:tc>
      </w:tr>
      <w:tr w14:paraId="25AB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7FDB6332">
            <w:pPr>
              <w:rPr>
                <w:rFonts w:ascii="Arial"/>
                <w:sz w:val="21"/>
              </w:rPr>
            </w:pPr>
          </w:p>
        </w:tc>
        <w:tc>
          <w:tcPr>
            <w:tcW w:w="1977" w:type="dxa"/>
            <w:vAlign w:val="top"/>
          </w:tcPr>
          <w:p w14:paraId="5FC0C21A">
            <w:pPr>
              <w:rPr>
                <w:rFonts w:ascii="Arial"/>
                <w:sz w:val="21"/>
              </w:rPr>
            </w:pPr>
          </w:p>
        </w:tc>
        <w:tc>
          <w:tcPr>
            <w:tcW w:w="4665" w:type="dxa"/>
            <w:vAlign w:val="top"/>
          </w:tcPr>
          <w:p w14:paraId="1EF08392">
            <w:pPr>
              <w:rPr>
                <w:rFonts w:ascii="Arial"/>
                <w:sz w:val="21"/>
              </w:rPr>
            </w:pPr>
          </w:p>
        </w:tc>
        <w:tc>
          <w:tcPr>
            <w:tcW w:w="1287" w:type="dxa"/>
            <w:tcBorders>
              <w:right w:val="single" w:color="000000" w:sz="10" w:space="0"/>
            </w:tcBorders>
            <w:vAlign w:val="top"/>
          </w:tcPr>
          <w:p w14:paraId="00862AA4">
            <w:pPr>
              <w:rPr>
                <w:rFonts w:ascii="Arial"/>
                <w:sz w:val="21"/>
              </w:rPr>
            </w:pPr>
          </w:p>
        </w:tc>
      </w:tr>
      <w:tr w14:paraId="2193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32584A07">
            <w:pPr>
              <w:rPr>
                <w:rFonts w:ascii="Arial"/>
                <w:sz w:val="21"/>
              </w:rPr>
            </w:pPr>
          </w:p>
        </w:tc>
        <w:tc>
          <w:tcPr>
            <w:tcW w:w="1977" w:type="dxa"/>
            <w:vAlign w:val="top"/>
          </w:tcPr>
          <w:p w14:paraId="53176BA3">
            <w:pPr>
              <w:rPr>
                <w:rFonts w:ascii="Arial"/>
                <w:sz w:val="21"/>
              </w:rPr>
            </w:pPr>
          </w:p>
        </w:tc>
        <w:tc>
          <w:tcPr>
            <w:tcW w:w="4665" w:type="dxa"/>
            <w:vAlign w:val="top"/>
          </w:tcPr>
          <w:p w14:paraId="60B7BD57">
            <w:pPr>
              <w:rPr>
                <w:rFonts w:ascii="Arial"/>
                <w:sz w:val="21"/>
              </w:rPr>
            </w:pPr>
          </w:p>
        </w:tc>
        <w:tc>
          <w:tcPr>
            <w:tcW w:w="1287" w:type="dxa"/>
            <w:tcBorders>
              <w:right w:val="single" w:color="000000" w:sz="10" w:space="0"/>
            </w:tcBorders>
            <w:vAlign w:val="top"/>
          </w:tcPr>
          <w:p w14:paraId="17EB838B">
            <w:pPr>
              <w:rPr>
                <w:rFonts w:ascii="Arial"/>
                <w:sz w:val="21"/>
              </w:rPr>
            </w:pPr>
          </w:p>
        </w:tc>
      </w:tr>
      <w:tr w14:paraId="261F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0DC7C93A">
            <w:pPr>
              <w:rPr>
                <w:rFonts w:ascii="Arial"/>
                <w:sz w:val="21"/>
              </w:rPr>
            </w:pPr>
          </w:p>
        </w:tc>
        <w:tc>
          <w:tcPr>
            <w:tcW w:w="1977" w:type="dxa"/>
            <w:vAlign w:val="top"/>
          </w:tcPr>
          <w:p w14:paraId="74A1CDB5">
            <w:pPr>
              <w:rPr>
                <w:rFonts w:ascii="Arial"/>
                <w:sz w:val="21"/>
              </w:rPr>
            </w:pPr>
          </w:p>
        </w:tc>
        <w:tc>
          <w:tcPr>
            <w:tcW w:w="4665" w:type="dxa"/>
            <w:vAlign w:val="top"/>
          </w:tcPr>
          <w:p w14:paraId="251BAB58">
            <w:pPr>
              <w:rPr>
                <w:rFonts w:ascii="Arial"/>
                <w:sz w:val="21"/>
              </w:rPr>
            </w:pPr>
          </w:p>
        </w:tc>
        <w:tc>
          <w:tcPr>
            <w:tcW w:w="1287" w:type="dxa"/>
            <w:tcBorders>
              <w:right w:val="single" w:color="000000" w:sz="10" w:space="0"/>
            </w:tcBorders>
            <w:vAlign w:val="top"/>
          </w:tcPr>
          <w:p w14:paraId="2B3491A1">
            <w:pPr>
              <w:rPr>
                <w:rFonts w:ascii="Arial"/>
                <w:sz w:val="21"/>
              </w:rPr>
            </w:pPr>
          </w:p>
        </w:tc>
      </w:tr>
      <w:tr w14:paraId="06EFF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2827B1A9">
            <w:pPr>
              <w:rPr>
                <w:rFonts w:ascii="Arial"/>
                <w:sz w:val="21"/>
              </w:rPr>
            </w:pPr>
          </w:p>
        </w:tc>
        <w:tc>
          <w:tcPr>
            <w:tcW w:w="1977" w:type="dxa"/>
            <w:vAlign w:val="top"/>
          </w:tcPr>
          <w:p w14:paraId="6BE11164">
            <w:pPr>
              <w:rPr>
                <w:rFonts w:ascii="Arial"/>
                <w:sz w:val="21"/>
              </w:rPr>
            </w:pPr>
          </w:p>
        </w:tc>
        <w:tc>
          <w:tcPr>
            <w:tcW w:w="4665" w:type="dxa"/>
            <w:vAlign w:val="top"/>
          </w:tcPr>
          <w:p w14:paraId="46EF307B">
            <w:pPr>
              <w:rPr>
                <w:rFonts w:ascii="Arial"/>
                <w:sz w:val="21"/>
              </w:rPr>
            </w:pPr>
          </w:p>
        </w:tc>
        <w:tc>
          <w:tcPr>
            <w:tcW w:w="1287" w:type="dxa"/>
            <w:tcBorders>
              <w:right w:val="single" w:color="000000" w:sz="10" w:space="0"/>
            </w:tcBorders>
            <w:vAlign w:val="top"/>
          </w:tcPr>
          <w:p w14:paraId="696656E9">
            <w:pPr>
              <w:rPr>
                <w:rFonts w:ascii="Arial"/>
                <w:sz w:val="21"/>
              </w:rPr>
            </w:pPr>
          </w:p>
        </w:tc>
      </w:tr>
      <w:tr w14:paraId="4FF9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6202EA5B">
            <w:pPr>
              <w:rPr>
                <w:rFonts w:ascii="Arial"/>
                <w:sz w:val="21"/>
              </w:rPr>
            </w:pPr>
          </w:p>
        </w:tc>
        <w:tc>
          <w:tcPr>
            <w:tcW w:w="1977" w:type="dxa"/>
            <w:vAlign w:val="top"/>
          </w:tcPr>
          <w:p w14:paraId="65E72C9A">
            <w:pPr>
              <w:rPr>
                <w:rFonts w:ascii="Arial"/>
                <w:sz w:val="21"/>
              </w:rPr>
            </w:pPr>
          </w:p>
        </w:tc>
        <w:tc>
          <w:tcPr>
            <w:tcW w:w="4665" w:type="dxa"/>
            <w:vAlign w:val="top"/>
          </w:tcPr>
          <w:p w14:paraId="6F558F89">
            <w:pPr>
              <w:rPr>
                <w:rFonts w:ascii="Arial"/>
                <w:sz w:val="21"/>
              </w:rPr>
            </w:pPr>
          </w:p>
        </w:tc>
        <w:tc>
          <w:tcPr>
            <w:tcW w:w="1287" w:type="dxa"/>
            <w:tcBorders>
              <w:right w:val="single" w:color="000000" w:sz="10" w:space="0"/>
            </w:tcBorders>
            <w:vAlign w:val="top"/>
          </w:tcPr>
          <w:p w14:paraId="39CBA155">
            <w:pPr>
              <w:rPr>
                <w:rFonts w:ascii="Arial"/>
                <w:sz w:val="21"/>
              </w:rPr>
            </w:pPr>
          </w:p>
        </w:tc>
      </w:tr>
      <w:tr w14:paraId="3978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0313348C">
            <w:pPr>
              <w:rPr>
                <w:rFonts w:ascii="Arial"/>
                <w:sz w:val="21"/>
              </w:rPr>
            </w:pPr>
          </w:p>
        </w:tc>
        <w:tc>
          <w:tcPr>
            <w:tcW w:w="1977" w:type="dxa"/>
            <w:vAlign w:val="top"/>
          </w:tcPr>
          <w:p w14:paraId="02CEBC91">
            <w:pPr>
              <w:rPr>
                <w:rFonts w:ascii="Arial"/>
                <w:sz w:val="21"/>
              </w:rPr>
            </w:pPr>
          </w:p>
        </w:tc>
        <w:tc>
          <w:tcPr>
            <w:tcW w:w="4665" w:type="dxa"/>
            <w:vAlign w:val="top"/>
          </w:tcPr>
          <w:p w14:paraId="433F0619">
            <w:pPr>
              <w:rPr>
                <w:rFonts w:ascii="Arial"/>
                <w:sz w:val="21"/>
              </w:rPr>
            </w:pPr>
          </w:p>
        </w:tc>
        <w:tc>
          <w:tcPr>
            <w:tcW w:w="1287" w:type="dxa"/>
            <w:tcBorders>
              <w:right w:val="single" w:color="000000" w:sz="10" w:space="0"/>
            </w:tcBorders>
            <w:vAlign w:val="top"/>
          </w:tcPr>
          <w:p w14:paraId="7EE50CF2">
            <w:pPr>
              <w:rPr>
                <w:rFonts w:ascii="Arial"/>
                <w:sz w:val="21"/>
              </w:rPr>
            </w:pPr>
          </w:p>
        </w:tc>
      </w:tr>
      <w:tr w14:paraId="4D8D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6F9E2B6C">
            <w:pPr>
              <w:rPr>
                <w:rFonts w:ascii="Arial"/>
                <w:sz w:val="21"/>
              </w:rPr>
            </w:pPr>
          </w:p>
        </w:tc>
        <w:tc>
          <w:tcPr>
            <w:tcW w:w="1977" w:type="dxa"/>
            <w:vAlign w:val="top"/>
          </w:tcPr>
          <w:p w14:paraId="7644B8DE">
            <w:pPr>
              <w:rPr>
                <w:rFonts w:ascii="Arial"/>
                <w:sz w:val="21"/>
              </w:rPr>
            </w:pPr>
          </w:p>
        </w:tc>
        <w:tc>
          <w:tcPr>
            <w:tcW w:w="4665" w:type="dxa"/>
            <w:vAlign w:val="top"/>
          </w:tcPr>
          <w:p w14:paraId="2A1A7C93">
            <w:pPr>
              <w:rPr>
                <w:rFonts w:ascii="Arial"/>
                <w:sz w:val="21"/>
              </w:rPr>
            </w:pPr>
          </w:p>
        </w:tc>
        <w:tc>
          <w:tcPr>
            <w:tcW w:w="1287" w:type="dxa"/>
            <w:tcBorders>
              <w:right w:val="single" w:color="000000" w:sz="10" w:space="0"/>
            </w:tcBorders>
            <w:vAlign w:val="top"/>
          </w:tcPr>
          <w:p w14:paraId="36CEEE3D">
            <w:pPr>
              <w:rPr>
                <w:rFonts w:ascii="Arial"/>
                <w:sz w:val="21"/>
              </w:rPr>
            </w:pPr>
          </w:p>
        </w:tc>
      </w:tr>
      <w:tr w14:paraId="6DE4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092EDC35">
            <w:pPr>
              <w:rPr>
                <w:rFonts w:ascii="Arial"/>
                <w:sz w:val="21"/>
              </w:rPr>
            </w:pPr>
          </w:p>
        </w:tc>
        <w:tc>
          <w:tcPr>
            <w:tcW w:w="1977" w:type="dxa"/>
            <w:vAlign w:val="top"/>
          </w:tcPr>
          <w:p w14:paraId="49953E40">
            <w:pPr>
              <w:rPr>
                <w:rFonts w:ascii="Arial"/>
                <w:sz w:val="21"/>
              </w:rPr>
            </w:pPr>
          </w:p>
        </w:tc>
        <w:tc>
          <w:tcPr>
            <w:tcW w:w="4665" w:type="dxa"/>
            <w:vAlign w:val="top"/>
          </w:tcPr>
          <w:p w14:paraId="2A5D1D36">
            <w:pPr>
              <w:rPr>
                <w:rFonts w:ascii="Arial"/>
                <w:sz w:val="21"/>
              </w:rPr>
            </w:pPr>
          </w:p>
        </w:tc>
        <w:tc>
          <w:tcPr>
            <w:tcW w:w="1287" w:type="dxa"/>
            <w:tcBorders>
              <w:right w:val="single" w:color="000000" w:sz="10" w:space="0"/>
            </w:tcBorders>
            <w:vAlign w:val="top"/>
          </w:tcPr>
          <w:p w14:paraId="577C284C">
            <w:pPr>
              <w:rPr>
                <w:rFonts w:ascii="Arial"/>
                <w:sz w:val="21"/>
              </w:rPr>
            </w:pPr>
          </w:p>
        </w:tc>
      </w:tr>
      <w:tr w14:paraId="5A26D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5702DEFB">
            <w:pPr>
              <w:rPr>
                <w:rFonts w:ascii="Arial"/>
                <w:sz w:val="21"/>
              </w:rPr>
            </w:pPr>
          </w:p>
        </w:tc>
        <w:tc>
          <w:tcPr>
            <w:tcW w:w="1977" w:type="dxa"/>
            <w:vAlign w:val="top"/>
          </w:tcPr>
          <w:p w14:paraId="09C131DC">
            <w:pPr>
              <w:rPr>
                <w:rFonts w:ascii="Arial"/>
                <w:sz w:val="21"/>
              </w:rPr>
            </w:pPr>
          </w:p>
        </w:tc>
        <w:tc>
          <w:tcPr>
            <w:tcW w:w="4665" w:type="dxa"/>
            <w:vAlign w:val="top"/>
          </w:tcPr>
          <w:p w14:paraId="268DE2FF">
            <w:pPr>
              <w:rPr>
                <w:rFonts w:ascii="Arial"/>
                <w:sz w:val="21"/>
              </w:rPr>
            </w:pPr>
          </w:p>
        </w:tc>
        <w:tc>
          <w:tcPr>
            <w:tcW w:w="1287" w:type="dxa"/>
            <w:tcBorders>
              <w:right w:val="single" w:color="000000" w:sz="10" w:space="0"/>
            </w:tcBorders>
            <w:vAlign w:val="top"/>
          </w:tcPr>
          <w:p w14:paraId="4949BE2A">
            <w:pPr>
              <w:rPr>
                <w:rFonts w:ascii="Arial"/>
                <w:sz w:val="21"/>
              </w:rPr>
            </w:pPr>
          </w:p>
        </w:tc>
      </w:tr>
      <w:tr w14:paraId="4582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042881AF">
            <w:pPr>
              <w:rPr>
                <w:rFonts w:ascii="Arial"/>
                <w:sz w:val="21"/>
              </w:rPr>
            </w:pPr>
          </w:p>
        </w:tc>
        <w:tc>
          <w:tcPr>
            <w:tcW w:w="1977" w:type="dxa"/>
            <w:vAlign w:val="top"/>
          </w:tcPr>
          <w:p w14:paraId="331BDAA3">
            <w:pPr>
              <w:rPr>
                <w:rFonts w:ascii="Arial"/>
                <w:sz w:val="21"/>
              </w:rPr>
            </w:pPr>
          </w:p>
        </w:tc>
        <w:tc>
          <w:tcPr>
            <w:tcW w:w="4665" w:type="dxa"/>
            <w:vAlign w:val="top"/>
          </w:tcPr>
          <w:p w14:paraId="1ED13F6A">
            <w:pPr>
              <w:rPr>
                <w:rFonts w:ascii="Arial"/>
                <w:sz w:val="21"/>
              </w:rPr>
            </w:pPr>
          </w:p>
        </w:tc>
        <w:tc>
          <w:tcPr>
            <w:tcW w:w="1287" w:type="dxa"/>
            <w:tcBorders>
              <w:right w:val="single" w:color="000000" w:sz="10" w:space="0"/>
            </w:tcBorders>
            <w:vAlign w:val="top"/>
          </w:tcPr>
          <w:p w14:paraId="5CE7B680">
            <w:pPr>
              <w:rPr>
                <w:rFonts w:ascii="Arial"/>
                <w:sz w:val="21"/>
              </w:rPr>
            </w:pPr>
          </w:p>
        </w:tc>
      </w:tr>
      <w:tr w14:paraId="0FEA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1254B706">
            <w:pPr>
              <w:rPr>
                <w:rFonts w:ascii="Arial"/>
                <w:sz w:val="21"/>
              </w:rPr>
            </w:pPr>
          </w:p>
        </w:tc>
        <w:tc>
          <w:tcPr>
            <w:tcW w:w="1977" w:type="dxa"/>
            <w:vAlign w:val="top"/>
          </w:tcPr>
          <w:p w14:paraId="58090E27">
            <w:pPr>
              <w:rPr>
                <w:rFonts w:ascii="Arial"/>
                <w:sz w:val="21"/>
              </w:rPr>
            </w:pPr>
          </w:p>
        </w:tc>
        <w:tc>
          <w:tcPr>
            <w:tcW w:w="4665" w:type="dxa"/>
            <w:vAlign w:val="top"/>
          </w:tcPr>
          <w:p w14:paraId="522C7D11">
            <w:pPr>
              <w:rPr>
                <w:rFonts w:ascii="Arial"/>
                <w:sz w:val="21"/>
              </w:rPr>
            </w:pPr>
          </w:p>
        </w:tc>
        <w:tc>
          <w:tcPr>
            <w:tcW w:w="1287" w:type="dxa"/>
            <w:tcBorders>
              <w:right w:val="single" w:color="000000" w:sz="10" w:space="0"/>
            </w:tcBorders>
            <w:vAlign w:val="top"/>
          </w:tcPr>
          <w:p w14:paraId="3ED7D7AC">
            <w:pPr>
              <w:rPr>
                <w:rFonts w:ascii="Arial"/>
                <w:sz w:val="21"/>
              </w:rPr>
            </w:pPr>
          </w:p>
        </w:tc>
      </w:tr>
      <w:tr w14:paraId="3D52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345ACB0A">
            <w:pPr>
              <w:rPr>
                <w:rFonts w:ascii="Arial"/>
                <w:sz w:val="21"/>
              </w:rPr>
            </w:pPr>
          </w:p>
        </w:tc>
        <w:tc>
          <w:tcPr>
            <w:tcW w:w="1977" w:type="dxa"/>
            <w:vAlign w:val="top"/>
          </w:tcPr>
          <w:p w14:paraId="47C27D28">
            <w:pPr>
              <w:rPr>
                <w:rFonts w:ascii="Arial"/>
                <w:sz w:val="21"/>
              </w:rPr>
            </w:pPr>
          </w:p>
        </w:tc>
        <w:tc>
          <w:tcPr>
            <w:tcW w:w="4665" w:type="dxa"/>
            <w:vAlign w:val="top"/>
          </w:tcPr>
          <w:p w14:paraId="0213D640">
            <w:pPr>
              <w:rPr>
                <w:rFonts w:ascii="Arial"/>
                <w:sz w:val="21"/>
              </w:rPr>
            </w:pPr>
          </w:p>
        </w:tc>
        <w:tc>
          <w:tcPr>
            <w:tcW w:w="1287" w:type="dxa"/>
            <w:tcBorders>
              <w:right w:val="single" w:color="000000" w:sz="10" w:space="0"/>
            </w:tcBorders>
            <w:vAlign w:val="top"/>
          </w:tcPr>
          <w:p w14:paraId="157D7DA9">
            <w:pPr>
              <w:rPr>
                <w:rFonts w:ascii="Arial"/>
                <w:sz w:val="21"/>
              </w:rPr>
            </w:pPr>
          </w:p>
        </w:tc>
      </w:tr>
      <w:tr w14:paraId="4548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29B98C5E">
            <w:pPr>
              <w:rPr>
                <w:rFonts w:ascii="Arial"/>
                <w:sz w:val="21"/>
              </w:rPr>
            </w:pPr>
          </w:p>
        </w:tc>
        <w:tc>
          <w:tcPr>
            <w:tcW w:w="1977" w:type="dxa"/>
            <w:vAlign w:val="top"/>
          </w:tcPr>
          <w:p w14:paraId="5D775A4C">
            <w:pPr>
              <w:rPr>
                <w:rFonts w:ascii="Arial"/>
                <w:sz w:val="21"/>
              </w:rPr>
            </w:pPr>
          </w:p>
        </w:tc>
        <w:tc>
          <w:tcPr>
            <w:tcW w:w="4665" w:type="dxa"/>
            <w:vAlign w:val="top"/>
          </w:tcPr>
          <w:p w14:paraId="60BA62FD">
            <w:pPr>
              <w:rPr>
                <w:rFonts w:ascii="Arial"/>
                <w:sz w:val="21"/>
              </w:rPr>
            </w:pPr>
          </w:p>
        </w:tc>
        <w:tc>
          <w:tcPr>
            <w:tcW w:w="1287" w:type="dxa"/>
            <w:tcBorders>
              <w:right w:val="single" w:color="000000" w:sz="10" w:space="0"/>
            </w:tcBorders>
            <w:vAlign w:val="top"/>
          </w:tcPr>
          <w:p w14:paraId="1A5B3068">
            <w:pPr>
              <w:rPr>
                <w:rFonts w:ascii="Arial"/>
                <w:sz w:val="21"/>
              </w:rPr>
            </w:pPr>
          </w:p>
        </w:tc>
      </w:tr>
      <w:tr w14:paraId="4878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93" w:type="dxa"/>
            <w:tcBorders>
              <w:left w:val="single" w:color="000000" w:sz="10" w:space="0"/>
            </w:tcBorders>
            <w:vAlign w:val="top"/>
          </w:tcPr>
          <w:p w14:paraId="2258B216">
            <w:pPr>
              <w:rPr>
                <w:rFonts w:ascii="Arial"/>
                <w:sz w:val="21"/>
              </w:rPr>
            </w:pPr>
          </w:p>
        </w:tc>
        <w:tc>
          <w:tcPr>
            <w:tcW w:w="1977" w:type="dxa"/>
            <w:vAlign w:val="top"/>
          </w:tcPr>
          <w:p w14:paraId="51CD84F6">
            <w:pPr>
              <w:rPr>
                <w:rFonts w:ascii="Arial"/>
                <w:sz w:val="21"/>
              </w:rPr>
            </w:pPr>
          </w:p>
        </w:tc>
        <w:tc>
          <w:tcPr>
            <w:tcW w:w="4665" w:type="dxa"/>
            <w:vAlign w:val="top"/>
          </w:tcPr>
          <w:p w14:paraId="5BC5C7D8">
            <w:pPr>
              <w:rPr>
                <w:rFonts w:ascii="Arial"/>
                <w:sz w:val="21"/>
              </w:rPr>
            </w:pPr>
          </w:p>
        </w:tc>
        <w:tc>
          <w:tcPr>
            <w:tcW w:w="1287" w:type="dxa"/>
            <w:tcBorders>
              <w:right w:val="single" w:color="000000" w:sz="10" w:space="0"/>
            </w:tcBorders>
            <w:vAlign w:val="top"/>
          </w:tcPr>
          <w:p w14:paraId="0E8488D2">
            <w:pPr>
              <w:rPr>
                <w:rFonts w:ascii="Arial"/>
                <w:sz w:val="21"/>
              </w:rPr>
            </w:pPr>
          </w:p>
        </w:tc>
      </w:tr>
      <w:tr w14:paraId="5126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3A8DD994">
            <w:pPr>
              <w:rPr>
                <w:rFonts w:ascii="Arial"/>
                <w:sz w:val="21"/>
              </w:rPr>
            </w:pPr>
          </w:p>
        </w:tc>
        <w:tc>
          <w:tcPr>
            <w:tcW w:w="1977" w:type="dxa"/>
            <w:vAlign w:val="top"/>
          </w:tcPr>
          <w:p w14:paraId="6AED7A78">
            <w:pPr>
              <w:rPr>
                <w:rFonts w:ascii="Arial"/>
                <w:sz w:val="21"/>
              </w:rPr>
            </w:pPr>
          </w:p>
        </w:tc>
        <w:tc>
          <w:tcPr>
            <w:tcW w:w="4665" w:type="dxa"/>
            <w:vAlign w:val="top"/>
          </w:tcPr>
          <w:p w14:paraId="5D5A0533">
            <w:pPr>
              <w:rPr>
                <w:rFonts w:ascii="Arial"/>
                <w:sz w:val="21"/>
              </w:rPr>
            </w:pPr>
          </w:p>
        </w:tc>
        <w:tc>
          <w:tcPr>
            <w:tcW w:w="1287" w:type="dxa"/>
            <w:tcBorders>
              <w:right w:val="single" w:color="000000" w:sz="10" w:space="0"/>
            </w:tcBorders>
            <w:vAlign w:val="top"/>
          </w:tcPr>
          <w:p w14:paraId="07A8BD09">
            <w:pPr>
              <w:rPr>
                <w:rFonts w:ascii="Arial"/>
                <w:sz w:val="21"/>
              </w:rPr>
            </w:pPr>
          </w:p>
        </w:tc>
      </w:tr>
      <w:tr w14:paraId="6D87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42AFA1FD">
            <w:pPr>
              <w:rPr>
                <w:rFonts w:ascii="Arial"/>
                <w:sz w:val="21"/>
              </w:rPr>
            </w:pPr>
          </w:p>
        </w:tc>
        <w:tc>
          <w:tcPr>
            <w:tcW w:w="1977" w:type="dxa"/>
            <w:vAlign w:val="top"/>
          </w:tcPr>
          <w:p w14:paraId="302184E8">
            <w:pPr>
              <w:rPr>
                <w:rFonts w:ascii="Arial"/>
                <w:sz w:val="21"/>
              </w:rPr>
            </w:pPr>
          </w:p>
        </w:tc>
        <w:tc>
          <w:tcPr>
            <w:tcW w:w="4665" w:type="dxa"/>
            <w:vAlign w:val="top"/>
          </w:tcPr>
          <w:p w14:paraId="4B6AFB37">
            <w:pPr>
              <w:rPr>
                <w:rFonts w:ascii="Arial"/>
                <w:sz w:val="21"/>
              </w:rPr>
            </w:pPr>
          </w:p>
        </w:tc>
        <w:tc>
          <w:tcPr>
            <w:tcW w:w="1287" w:type="dxa"/>
            <w:tcBorders>
              <w:right w:val="single" w:color="000000" w:sz="10" w:space="0"/>
            </w:tcBorders>
            <w:vAlign w:val="top"/>
          </w:tcPr>
          <w:p w14:paraId="65D1AB2A">
            <w:pPr>
              <w:rPr>
                <w:rFonts w:ascii="Arial"/>
                <w:sz w:val="21"/>
              </w:rPr>
            </w:pPr>
          </w:p>
        </w:tc>
      </w:tr>
      <w:tr w14:paraId="7271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3" w:type="dxa"/>
            <w:tcBorders>
              <w:left w:val="single" w:color="000000" w:sz="10" w:space="0"/>
            </w:tcBorders>
            <w:vAlign w:val="top"/>
          </w:tcPr>
          <w:p w14:paraId="45B25523">
            <w:pPr>
              <w:rPr>
                <w:rFonts w:ascii="Arial"/>
                <w:sz w:val="21"/>
              </w:rPr>
            </w:pPr>
          </w:p>
        </w:tc>
        <w:tc>
          <w:tcPr>
            <w:tcW w:w="1977" w:type="dxa"/>
            <w:vAlign w:val="top"/>
          </w:tcPr>
          <w:p w14:paraId="425797A2">
            <w:pPr>
              <w:rPr>
                <w:rFonts w:ascii="Arial"/>
                <w:sz w:val="21"/>
              </w:rPr>
            </w:pPr>
          </w:p>
        </w:tc>
        <w:tc>
          <w:tcPr>
            <w:tcW w:w="4665" w:type="dxa"/>
            <w:vAlign w:val="top"/>
          </w:tcPr>
          <w:p w14:paraId="19AA99B4">
            <w:pPr>
              <w:rPr>
                <w:rFonts w:ascii="Arial"/>
                <w:sz w:val="21"/>
              </w:rPr>
            </w:pPr>
          </w:p>
        </w:tc>
        <w:tc>
          <w:tcPr>
            <w:tcW w:w="1287" w:type="dxa"/>
            <w:tcBorders>
              <w:right w:val="single" w:color="000000" w:sz="10" w:space="0"/>
            </w:tcBorders>
            <w:vAlign w:val="top"/>
          </w:tcPr>
          <w:p w14:paraId="0DB656A7">
            <w:pPr>
              <w:rPr>
                <w:rFonts w:ascii="Arial"/>
                <w:sz w:val="21"/>
              </w:rPr>
            </w:pPr>
          </w:p>
        </w:tc>
      </w:tr>
      <w:tr w14:paraId="002A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93" w:type="dxa"/>
            <w:tcBorders>
              <w:left w:val="single" w:color="000000" w:sz="10" w:space="0"/>
            </w:tcBorders>
            <w:vAlign w:val="top"/>
          </w:tcPr>
          <w:p w14:paraId="61E7BD6B">
            <w:pPr>
              <w:rPr>
                <w:rFonts w:ascii="Arial"/>
                <w:sz w:val="21"/>
              </w:rPr>
            </w:pPr>
          </w:p>
        </w:tc>
        <w:tc>
          <w:tcPr>
            <w:tcW w:w="1977" w:type="dxa"/>
            <w:vAlign w:val="top"/>
          </w:tcPr>
          <w:p w14:paraId="6E16D826">
            <w:pPr>
              <w:rPr>
                <w:rFonts w:ascii="Arial"/>
                <w:sz w:val="21"/>
              </w:rPr>
            </w:pPr>
          </w:p>
        </w:tc>
        <w:tc>
          <w:tcPr>
            <w:tcW w:w="4665" w:type="dxa"/>
            <w:vAlign w:val="top"/>
          </w:tcPr>
          <w:p w14:paraId="5FC25CDE">
            <w:pPr>
              <w:rPr>
                <w:rFonts w:ascii="Arial"/>
                <w:sz w:val="21"/>
              </w:rPr>
            </w:pPr>
          </w:p>
        </w:tc>
        <w:tc>
          <w:tcPr>
            <w:tcW w:w="1287" w:type="dxa"/>
            <w:tcBorders>
              <w:right w:val="single" w:color="000000" w:sz="10" w:space="0"/>
            </w:tcBorders>
            <w:vAlign w:val="top"/>
          </w:tcPr>
          <w:p w14:paraId="0F5E58C8">
            <w:pPr>
              <w:rPr>
                <w:rFonts w:ascii="Arial"/>
                <w:sz w:val="21"/>
              </w:rPr>
            </w:pPr>
          </w:p>
        </w:tc>
      </w:tr>
      <w:tr w14:paraId="394B5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93" w:type="dxa"/>
            <w:tcBorders>
              <w:left w:val="single" w:color="000000" w:sz="10" w:space="0"/>
              <w:bottom w:val="single" w:color="000000" w:sz="10" w:space="0"/>
              <w:right w:val="nil"/>
            </w:tcBorders>
            <w:vAlign w:val="top"/>
          </w:tcPr>
          <w:p w14:paraId="57B2490A">
            <w:pPr>
              <w:spacing w:before="135" w:line="213" w:lineRule="auto"/>
              <w:ind w:right="3"/>
              <w:jc w:val="right"/>
              <w:rPr>
                <w:rFonts w:ascii="仿宋" w:hAnsi="仿宋" w:eastAsia="仿宋" w:cs="仿宋"/>
                <w:sz w:val="28"/>
                <w:szCs w:val="28"/>
              </w:rPr>
            </w:pPr>
            <w:r>
              <w:rPr>
                <w:rFonts w:ascii="仿宋" w:hAnsi="仿宋" w:eastAsia="仿宋" w:cs="仿宋"/>
                <w:spacing w:val="-20"/>
                <w:sz w:val="28"/>
                <w:szCs w:val="28"/>
              </w:rPr>
              <w:t>小计：</w:t>
            </w:r>
          </w:p>
        </w:tc>
        <w:tc>
          <w:tcPr>
            <w:tcW w:w="1977" w:type="dxa"/>
            <w:tcBorders>
              <w:left w:val="nil"/>
              <w:bottom w:val="single" w:color="000000" w:sz="10" w:space="0"/>
              <w:right w:val="nil"/>
            </w:tcBorders>
            <w:vAlign w:val="top"/>
          </w:tcPr>
          <w:p w14:paraId="2A0EA6FE">
            <w:pPr>
              <w:rPr>
                <w:rFonts w:ascii="Arial"/>
                <w:sz w:val="21"/>
              </w:rPr>
            </w:pPr>
          </w:p>
        </w:tc>
        <w:tc>
          <w:tcPr>
            <w:tcW w:w="4665" w:type="dxa"/>
            <w:tcBorders>
              <w:left w:val="nil"/>
              <w:bottom w:val="single" w:color="000000" w:sz="10" w:space="0"/>
              <w:right w:val="nil"/>
            </w:tcBorders>
            <w:vAlign w:val="top"/>
          </w:tcPr>
          <w:p w14:paraId="2B5BE9B4">
            <w:pPr>
              <w:rPr>
                <w:rFonts w:ascii="Arial"/>
                <w:sz w:val="21"/>
              </w:rPr>
            </w:pPr>
          </w:p>
        </w:tc>
        <w:tc>
          <w:tcPr>
            <w:tcW w:w="1287" w:type="dxa"/>
            <w:tcBorders>
              <w:left w:val="nil"/>
              <w:bottom w:val="single" w:color="000000" w:sz="10" w:space="0"/>
              <w:right w:val="single" w:color="000000" w:sz="10" w:space="0"/>
            </w:tcBorders>
            <w:vAlign w:val="top"/>
          </w:tcPr>
          <w:p w14:paraId="26D32F74">
            <w:pPr>
              <w:rPr>
                <w:rFonts w:ascii="Arial"/>
                <w:sz w:val="21"/>
              </w:rPr>
            </w:pPr>
          </w:p>
        </w:tc>
      </w:tr>
    </w:tbl>
    <w:p w14:paraId="0A977115">
      <w:pPr>
        <w:pStyle w:val="5"/>
      </w:pPr>
    </w:p>
    <w:p w14:paraId="47A2D54A">
      <w:pPr>
        <w:sectPr>
          <w:footerReference r:id="rId147" w:type="default"/>
          <w:pgSz w:w="11905" w:h="16843"/>
          <w:pgMar w:top="969" w:right="1355" w:bottom="1026" w:left="1480" w:header="0" w:footer="754" w:gutter="0"/>
          <w:cols w:space="0" w:num="1"/>
          <w:rtlGutter w:val="0"/>
          <w:docGrid w:linePitch="0" w:charSpace="0"/>
        </w:sectPr>
      </w:pPr>
    </w:p>
    <w:p w14:paraId="26087A92">
      <w:pPr>
        <w:pStyle w:val="5"/>
      </w:pPr>
    </w:p>
    <w:p w14:paraId="1ACA1F08">
      <w:pPr>
        <w:pStyle w:val="5"/>
      </w:pPr>
    </w:p>
    <w:p w14:paraId="1E8DE0C4">
      <w:pPr>
        <w:pStyle w:val="5"/>
      </w:pPr>
    </w:p>
    <w:p w14:paraId="1BEBE8A4">
      <w:pPr>
        <w:pStyle w:val="5"/>
      </w:pPr>
    </w:p>
    <w:p w14:paraId="04DBE995">
      <w:pPr>
        <w:pStyle w:val="5"/>
      </w:pPr>
    </w:p>
    <w:p w14:paraId="6B4C4A9E">
      <w:pPr>
        <w:pStyle w:val="5"/>
      </w:pPr>
    </w:p>
    <w:p w14:paraId="42747034">
      <w:pPr>
        <w:pStyle w:val="5"/>
      </w:pPr>
    </w:p>
    <w:p w14:paraId="7916E73E">
      <w:pPr>
        <w:pStyle w:val="5"/>
      </w:pPr>
    </w:p>
    <w:p w14:paraId="7D38AD5D">
      <w:pPr>
        <w:pStyle w:val="5"/>
        <w:spacing w:line="241" w:lineRule="auto"/>
      </w:pPr>
    </w:p>
    <w:p w14:paraId="6F34605F">
      <w:pPr>
        <w:pStyle w:val="5"/>
        <w:spacing w:line="241" w:lineRule="auto"/>
      </w:pPr>
    </w:p>
    <w:p w14:paraId="753E8EF9">
      <w:pPr>
        <w:pStyle w:val="5"/>
        <w:spacing w:line="241" w:lineRule="auto"/>
      </w:pPr>
    </w:p>
    <w:p w14:paraId="7B61C174">
      <w:pPr>
        <w:pStyle w:val="5"/>
        <w:spacing w:line="241" w:lineRule="auto"/>
      </w:pPr>
    </w:p>
    <w:p w14:paraId="663BB260">
      <w:pPr>
        <w:pStyle w:val="5"/>
        <w:spacing w:line="241" w:lineRule="auto"/>
      </w:pPr>
    </w:p>
    <w:p w14:paraId="233CA23D">
      <w:pPr>
        <w:pStyle w:val="5"/>
        <w:spacing w:line="241" w:lineRule="auto"/>
      </w:pPr>
    </w:p>
    <w:p w14:paraId="2CEC896C">
      <w:pPr>
        <w:pStyle w:val="5"/>
        <w:spacing w:line="241" w:lineRule="auto"/>
      </w:pPr>
    </w:p>
    <w:p w14:paraId="328A72C4">
      <w:pPr>
        <w:pStyle w:val="5"/>
        <w:spacing w:line="241" w:lineRule="auto"/>
      </w:pPr>
    </w:p>
    <w:p w14:paraId="0765BF5F">
      <w:pPr>
        <w:pStyle w:val="5"/>
        <w:spacing w:line="241" w:lineRule="auto"/>
      </w:pPr>
    </w:p>
    <w:p w14:paraId="6F29523F">
      <w:pPr>
        <w:pStyle w:val="5"/>
        <w:spacing w:line="241" w:lineRule="auto"/>
      </w:pPr>
    </w:p>
    <w:p w14:paraId="7D9B000A">
      <w:pPr>
        <w:pStyle w:val="5"/>
        <w:spacing w:line="241" w:lineRule="auto"/>
      </w:pPr>
    </w:p>
    <w:p w14:paraId="0D053BE7">
      <w:pPr>
        <w:pStyle w:val="5"/>
        <w:spacing w:line="241" w:lineRule="auto"/>
      </w:pPr>
    </w:p>
    <w:p w14:paraId="69D5641A">
      <w:pPr>
        <w:pStyle w:val="5"/>
        <w:spacing w:line="241" w:lineRule="auto"/>
      </w:pPr>
    </w:p>
    <w:p w14:paraId="31C7FDAF">
      <w:pPr>
        <w:pStyle w:val="5"/>
        <w:spacing w:line="241" w:lineRule="auto"/>
      </w:pPr>
    </w:p>
    <w:p w14:paraId="33A9A0B4">
      <w:pPr>
        <w:pStyle w:val="5"/>
        <w:spacing w:line="241" w:lineRule="auto"/>
      </w:pPr>
    </w:p>
    <w:p w14:paraId="070750D0">
      <w:pPr>
        <w:spacing w:before="101" w:line="224" w:lineRule="auto"/>
        <w:ind w:left="2710"/>
        <w:outlineLvl w:val="0"/>
        <w:rPr>
          <w:rFonts w:ascii="黑体" w:hAnsi="黑体" w:eastAsia="黑体" w:cs="黑体"/>
          <w:sz w:val="31"/>
          <w:szCs w:val="31"/>
        </w:rPr>
      </w:pPr>
      <w:bookmarkStart w:id="1240" w:name="bookmark371"/>
      <w:bookmarkEnd w:id="1240"/>
      <w:bookmarkStart w:id="1241" w:name="bookmark606"/>
      <w:bookmarkEnd w:id="1241"/>
      <w:r>
        <w:rPr>
          <w:rFonts w:ascii="黑体" w:hAnsi="黑体" w:eastAsia="黑体" w:cs="黑体"/>
          <w:spacing w:val="7"/>
          <w:sz w:val="31"/>
          <w:szCs w:val="31"/>
        </w:rPr>
        <w:t>第五章  工程量清单</w:t>
      </w:r>
    </w:p>
    <w:p w14:paraId="508EB310">
      <w:pPr>
        <w:spacing w:line="224" w:lineRule="auto"/>
        <w:rPr>
          <w:rFonts w:ascii="黑体" w:hAnsi="黑体" w:eastAsia="黑体" w:cs="黑体"/>
          <w:sz w:val="31"/>
          <w:szCs w:val="31"/>
        </w:rPr>
        <w:sectPr>
          <w:footerReference r:id="rId148" w:type="default"/>
          <w:pgSz w:w="11905" w:h="16843"/>
          <w:pgMar w:top="969" w:right="1355" w:bottom="1026" w:left="1480" w:header="0" w:footer="754" w:gutter="0"/>
          <w:cols w:space="0" w:num="1"/>
          <w:rtlGutter w:val="0"/>
          <w:docGrid w:linePitch="0" w:charSpace="0"/>
        </w:sectPr>
      </w:pPr>
    </w:p>
    <w:p w14:paraId="42570092">
      <w:pPr>
        <w:pStyle w:val="5"/>
        <w:spacing w:line="253" w:lineRule="auto"/>
      </w:pPr>
    </w:p>
    <w:p w14:paraId="4C99BAF1">
      <w:pPr>
        <w:pStyle w:val="5"/>
        <w:spacing w:line="253" w:lineRule="auto"/>
      </w:pPr>
    </w:p>
    <w:p w14:paraId="7719DE0D">
      <w:pPr>
        <w:pStyle w:val="5"/>
        <w:spacing w:line="253" w:lineRule="auto"/>
      </w:pPr>
    </w:p>
    <w:p w14:paraId="5255A36D">
      <w:pPr>
        <w:pStyle w:val="5"/>
        <w:spacing w:line="254" w:lineRule="auto"/>
      </w:pPr>
    </w:p>
    <w:p w14:paraId="209FDAB7">
      <w:pPr>
        <w:pStyle w:val="5"/>
        <w:spacing w:line="254" w:lineRule="auto"/>
      </w:pPr>
    </w:p>
    <w:p w14:paraId="78685FCA">
      <w:pPr>
        <w:spacing w:before="91" w:line="219" w:lineRule="auto"/>
        <w:ind w:left="3476"/>
        <w:rPr>
          <w:rFonts w:ascii="黑体" w:hAnsi="黑体" w:eastAsia="黑体" w:cs="黑体"/>
          <w:sz w:val="28"/>
          <w:szCs w:val="28"/>
        </w:rPr>
      </w:pPr>
      <w:bookmarkStart w:id="1242" w:name="bookmark607"/>
      <w:bookmarkEnd w:id="1242"/>
      <w:r>
        <w:rPr>
          <w:rFonts w:ascii="黑体" w:hAnsi="黑体" w:eastAsia="黑体" w:cs="黑体"/>
          <w:spacing w:val="-1"/>
          <w:sz w:val="28"/>
          <w:szCs w:val="28"/>
        </w:rPr>
        <w:t>第五章  工程量清单</w:t>
      </w:r>
    </w:p>
    <w:p w14:paraId="7EB09176">
      <w:pPr>
        <w:pStyle w:val="5"/>
        <w:spacing w:line="377" w:lineRule="auto"/>
      </w:pPr>
    </w:p>
    <w:p w14:paraId="35D8B8A7">
      <w:pPr>
        <w:spacing w:before="78" w:line="232" w:lineRule="auto"/>
        <w:ind w:left="23"/>
        <w:outlineLvl w:val="1"/>
        <w:rPr>
          <w:rFonts w:ascii="黑体" w:hAnsi="黑体" w:eastAsia="黑体" w:cs="黑体"/>
          <w:sz w:val="24"/>
          <w:szCs w:val="24"/>
        </w:rPr>
      </w:pPr>
      <w:bookmarkStart w:id="1243" w:name="bookmark372"/>
      <w:bookmarkEnd w:id="1243"/>
      <w:r>
        <w:rPr>
          <w:rFonts w:ascii="Times New Roman" w:hAnsi="Times New Roman" w:eastAsia="Times New Roman" w:cs="Times New Roman"/>
          <w:spacing w:val="-5"/>
          <w:sz w:val="24"/>
          <w:szCs w:val="24"/>
        </w:rPr>
        <w:t>1</w:t>
      </w:r>
      <w:r>
        <w:rPr>
          <w:rFonts w:ascii="黑体" w:hAnsi="黑体" w:eastAsia="黑体" w:cs="黑体"/>
          <w:spacing w:val="-5"/>
          <w:sz w:val="24"/>
          <w:szCs w:val="24"/>
        </w:rPr>
        <w:t>、招标工程量清单说明</w:t>
      </w:r>
    </w:p>
    <w:p w14:paraId="685EF7EA">
      <w:pPr>
        <w:spacing w:before="145" w:line="299" w:lineRule="auto"/>
        <w:ind w:left="4" w:right="6" w:firstLine="429"/>
        <w:rPr>
          <w:rFonts w:ascii="宋体" w:hAnsi="宋体" w:eastAsia="宋体" w:cs="宋体"/>
          <w:sz w:val="21"/>
          <w:szCs w:val="21"/>
        </w:rPr>
      </w:pPr>
      <w:r>
        <w:rPr>
          <w:rFonts w:ascii="黑体" w:hAnsi="黑体" w:eastAsia="黑体" w:cs="黑体"/>
          <w:spacing w:val="2"/>
          <w:sz w:val="21"/>
          <w:szCs w:val="21"/>
        </w:rPr>
        <w:t xml:space="preserve">1.1 </w:t>
      </w:r>
      <w:r>
        <w:rPr>
          <w:rFonts w:ascii="宋体" w:hAnsi="宋体" w:eastAsia="宋体" w:cs="宋体"/>
          <w:spacing w:val="2"/>
          <w:sz w:val="21"/>
          <w:szCs w:val="21"/>
        </w:rPr>
        <w:t>本招标工程量清单应与招标文件中</w:t>
      </w:r>
      <w:r>
        <w:rPr>
          <w:rFonts w:ascii="宋体" w:hAnsi="宋体" w:eastAsia="宋体" w:cs="宋体"/>
          <w:spacing w:val="1"/>
          <w:sz w:val="21"/>
          <w:szCs w:val="21"/>
        </w:rPr>
        <w:t>的投标人须知、通用合同条款、专用合同条款、技术</w:t>
      </w:r>
      <w:r>
        <w:rPr>
          <w:rFonts w:ascii="宋体" w:hAnsi="宋体" w:eastAsia="宋体" w:cs="宋体"/>
          <w:spacing w:val="-1"/>
          <w:sz w:val="21"/>
          <w:szCs w:val="21"/>
        </w:rPr>
        <w:t>标准和要求及图纸等章节内容一起阅读和理解。</w:t>
      </w:r>
    </w:p>
    <w:p w14:paraId="6269E835">
      <w:pPr>
        <w:spacing w:before="179" w:line="234" w:lineRule="auto"/>
        <w:ind w:left="439"/>
        <w:rPr>
          <w:rFonts w:ascii="宋体" w:hAnsi="宋体" w:eastAsia="宋体" w:cs="宋体"/>
          <w:sz w:val="21"/>
          <w:szCs w:val="21"/>
        </w:rPr>
      </w:pPr>
      <w:r>
        <w:rPr>
          <w:rFonts w:ascii="Times New Roman" w:hAnsi="Times New Roman" w:eastAsia="Times New Roman" w:cs="Times New Roman"/>
          <w:spacing w:val="-1"/>
          <w:sz w:val="21"/>
          <w:szCs w:val="21"/>
        </w:rPr>
        <w:t>1</w:t>
      </w:r>
      <w:r>
        <w:rPr>
          <w:rFonts w:ascii="黑体" w:hAnsi="黑体" w:eastAsia="黑体" w:cs="黑体"/>
          <w:spacing w:val="-1"/>
          <w:sz w:val="21"/>
          <w:szCs w:val="21"/>
        </w:rPr>
        <w:t>.2</w:t>
      </w:r>
      <w:r>
        <w:rPr>
          <w:rFonts w:ascii="黑体" w:hAnsi="黑体" w:eastAsia="黑体" w:cs="黑体"/>
          <w:spacing w:val="-43"/>
          <w:sz w:val="21"/>
          <w:szCs w:val="21"/>
        </w:rPr>
        <w:t xml:space="preserve"> </w:t>
      </w:r>
      <w:r>
        <w:rPr>
          <w:rFonts w:ascii="宋体" w:hAnsi="宋体" w:eastAsia="宋体" w:cs="宋体"/>
          <w:spacing w:val="-1"/>
          <w:sz w:val="21"/>
          <w:szCs w:val="21"/>
        </w:rPr>
        <w:t>本招标工程量清单作为招标文件的组成部分，其准确性和完整性应由招标</w:t>
      </w:r>
      <w:r>
        <w:rPr>
          <w:rFonts w:ascii="宋体" w:hAnsi="宋体" w:eastAsia="宋体" w:cs="宋体"/>
          <w:spacing w:val="-2"/>
          <w:sz w:val="21"/>
          <w:szCs w:val="21"/>
        </w:rPr>
        <w:t>人负责。</w:t>
      </w:r>
    </w:p>
    <w:p w14:paraId="722D6AD8">
      <w:pPr>
        <w:spacing w:before="163" w:line="300" w:lineRule="auto"/>
        <w:ind w:left="4" w:right="6" w:firstLine="429"/>
        <w:rPr>
          <w:rFonts w:ascii="宋体" w:hAnsi="宋体" w:eastAsia="宋体" w:cs="宋体"/>
          <w:sz w:val="21"/>
          <w:szCs w:val="21"/>
        </w:rPr>
      </w:pPr>
      <w:r>
        <w:rPr>
          <w:rFonts w:ascii="黑体" w:hAnsi="黑体" w:eastAsia="黑体" w:cs="黑体"/>
          <w:spacing w:val="2"/>
          <w:sz w:val="21"/>
          <w:szCs w:val="21"/>
        </w:rPr>
        <w:t xml:space="preserve">1.3 </w:t>
      </w:r>
      <w:r>
        <w:rPr>
          <w:rFonts w:ascii="宋体" w:hAnsi="宋体" w:eastAsia="宋体" w:cs="宋体"/>
          <w:spacing w:val="2"/>
          <w:sz w:val="21"/>
          <w:szCs w:val="21"/>
        </w:rPr>
        <w:t>分类分项工程和单价措施项目清单</w:t>
      </w:r>
      <w:r>
        <w:rPr>
          <w:rFonts w:ascii="宋体" w:hAnsi="宋体" w:eastAsia="宋体" w:cs="宋体"/>
          <w:spacing w:val="1"/>
          <w:sz w:val="21"/>
          <w:szCs w:val="21"/>
        </w:rPr>
        <w:t>必须载明项目编码、项目名称、项目特征、计量单位</w:t>
      </w:r>
      <w:r>
        <w:rPr>
          <w:rFonts w:ascii="宋体" w:hAnsi="宋体" w:eastAsia="宋体" w:cs="宋体"/>
          <w:spacing w:val="-5"/>
          <w:sz w:val="21"/>
          <w:szCs w:val="21"/>
        </w:rPr>
        <w:t>和工程量。</w:t>
      </w:r>
    </w:p>
    <w:p w14:paraId="4EAD463A">
      <w:pPr>
        <w:spacing w:before="180" w:line="219" w:lineRule="auto"/>
        <w:ind w:left="433"/>
        <w:rPr>
          <w:rFonts w:ascii="宋体" w:hAnsi="宋体" w:eastAsia="宋体" w:cs="宋体"/>
          <w:sz w:val="21"/>
          <w:szCs w:val="21"/>
        </w:rPr>
      </w:pPr>
      <w:r>
        <w:rPr>
          <w:rFonts w:ascii="黑体" w:hAnsi="黑体" w:eastAsia="黑体" w:cs="黑体"/>
          <w:spacing w:val="-2"/>
          <w:sz w:val="21"/>
          <w:szCs w:val="21"/>
        </w:rPr>
        <w:t>1.4</w:t>
      </w:r>
      <w:r>
        <w:rPr>
          <w:rFonts w:ascii="黑体" w:hAnsi="黑体" w:eastAsia="黑体" w:cs="黑体"/>
          <w:spacing w:val="-36"/>
          <w:sz w:val="21"/>
          <w:szCs w:val="21"/>
        </w:rPr>
        <w:t xml:space="preserve"> </w:t>
      </w:r>
      <w:r>
        <w:rPr>
          <w:rFonts w:ascii="宋体" w:hAnsi="宋体" w:eastAsia="宋体" w:cs="宋体"/>
          <w:spacing w:val="-2"/>
          <w:sz w:val="21"/>
          <w:szCs w:val="21"/>
        </w:rPr>
        <w:t>税金项目清单应按照现行国家计价规范的规定编制。</w:t>
      </w:r>
    </w:p>
    <w:p w14:paraId="1B71F4EE">
      <w:pPr>
        <w:spacing w:before="181" w:line="338" w:lineRule="auto"/>
        <w:ind w:left="3" w:firstLine="430"/>
        <w:rPr>
          <w:rFonts w:ascii="宋体" w:hAnsi="宋体" w:eastAsia="宋体" w:cs="宋体"/>
          <w:sz w:val="21"/>
          <w:szCs w:val="21"/>
        </w:rPr>
      </w:pPr>
      <w:r>
        <w:rPr>
          <w:rFonts w:ascii="黑体" w:hAnsi="黑体" w:eastAsia="黑体" w:cs="黑体"/>
          <w:spacing w:val="2"/>
          <w:sz w:val="21"/>
          <w:szCs w:val="21"/>
        </w:rPr>
        <w:t xml:space="preserve">1.5 </w:t>
      </w:r>
      <w:r>
        <w:rPr>
          <w:rFonts w:ascii="宋体" w:hAnsi="宋体" w:eastAsia="宋体" w:cs="宋体"/>
          <w:spacing w:val="2"/>
          <w:sz w:val="21"/>
          <w:szCs w:val="21"/>
        </w:rPr>
        <w:t>本招标工程量清单仅是投标报价的</w:t>
      </w:r>
      <w:r>
        <w:rPr>
          <w:rFonts w:ascii="宋体" w:hAnsi="宋体" w:eastAsia="宋体" w:cs="宋体"/>
          <w:spacing w:val="1"/>
          <w:sz w:val="21"/>
          <w:szCs w:val="21"/>
        </w:rPr>
        <w:t>共同基础，采用工程量清单方式招标形成的无论是单</w:t>
      </w:r>
      <w:r>
        <w:rPr>
          <w:rFonts w:ascii="宋体" w:hAnsi="宋体" w:eastAsia="宋体" w:cs="宋体"/>
          <w:spacing w:val="2"/>
          <w:sz w:val="21"/>
          <w:szCs w:val="21"/>
        </w:rPr>
        <w:t>价合同还是总价合同，其工程量必须以承包人完成合同工程应予计量的工程量确定</w:t>
      </w:r>
      <w:r>
        <w:rPr>
          <w:rFonts w:ascii="宋体" w:hAnsi="宋体" w:eastAsia="宋体" w:cs="宋体"/>
          <w:spacing w:val="1"/>
          <w:sz w:val="21"/>
          <w:szCs w:val="21"/>
        </w:rPr>
        <w:t>。合同价格的</w:t>
      </w:r>
      <w:r>
        <w:rPr>
          <w:rFonts w:ascii="宋体" w:hAnsi="宋体" w:eastAsia="宋体" w:cs="宋体"/>
          <w:spacing w:val="2"/>
          <w:sz w:val="21"/>
          <w:szCs w:val="21"/>
        </w:rPr>
        <w:t>确定以及价款支付应遵循合同条款（包括通用合同条款和专用合同条款</w:t>
      </w:r>
      <w:r>
        <w:rPr>
          <w:rFonts w:ascii="宋体" w:hAnsi="宋体" w:eastAsia="宋体" w:cs="宋体"/>
          <w:spacing w:val="1"/>
          <w:sz w:val="21"/>
          <w:szCs w:val="21"/>
        </w:rPr>
        <w:t>）、技术标准和要求以及</w:t>
      </w:r>
      <w:r>
        <w:rPr>
          <w:rFonts w:ascii="宋体" w:hAnsi="宋体" w:eastAsia="宋体" w:cs="宋体"/>
          <w:spacing w:val="-1"/>
          <w:sz w:val="21"/>
          <w:szCs w:val="21"/>
        </w:rPr>
        <w:t>本章的有关约定。</w:t>
      </w:r>
    </w:p>
    <w:p w14:paraId="53A9835F">
      <w:pPr>
        <w:spacing w:before="231" w:line="232" w:lineRule="auto"/>
        <w:outlineLvl w:val="1"/>
        <w:rPr>
          <w:rFonts w:ascii="黑体" w:hAnsi="黑体" w:eastAsia="黑体" w:cs="黑体"/>
          <w:sz w:val="24"/>
          <w:szCs w:val="24"/>
        </w:rPr>
      </w:pPr>
      <w:bookmarkStart w:id="1244" w:name="bookmark373"/>
      <w:bookmarkEnd w:id="1244"/>
      <w:r>
        <w:rPr>
          <w:rFonts w:ascii="Times New Roman" w:hAnsi="Times New Roman" w:eastAsia="Times New Roman" w:cs="Times New Roman"/>
          <w:spacing w:val="-4"/>
          <w:sz w:val="24"/>
          <w:szCs w:val="24"/>
        </w:rPr>
        <w:t>2</w:t>
      </w:r>
      <w:r>
        <w:rPr>
          <w:rFonts w:ascii="黑体" w:hAnsi="黑体" w:eastAsia="黑体" w:cs="黑体"/>
          <w:spacing w:val="-4"/>
          <w:sz w:val="24"/>
          <w:szCs w:val="24"/>
        </w:rPr>
        <w:t>、投标报价说明</w:t>
      </w:r>
    </w:p>
    <w:p w14:paraId="3F03A22E">
      <w:pPr>
        <w:spacing w:before="149" w:line="219" w:lineRule="auto"/>
        <w:ind w:left="421"/>
        <w:rPr>
          <w:rFonts w:ascii="宋体" w:hAnsi="宋体" w:eastAsia="宋体" w:cs="宋体"/>
          <w:sz w:val="21"/>
          <w:szCs w:val="21"/>
        </w:rPr>
      </w:pPr>
      <w:r>
        <w:rPr>
          <w:rFonts w:ascii="黑体" w:hAnsi="黑体" w:eastAsia="黑体" w:cs="黑体"/>
          <w:sz w:val="21"/>
          <w:szCs w:val="21"/>
        </w:rPr>
        <w:t>2.1</w:t>
      </w:r>
      <w:r>
        <w:rPr>
          <w:rFonts w:ascii="黑体" w:hAnsi="黑体" w:eastAsia="黑体" w:cs="黑体"/>
          <w:spacing w:val="-42"/>
          <w:sz w:val="21"/>
          <w:szCs w:val="21"/>
        </w:rPr>
        <w:t xml:space="preserve"> </w:t>
      </w:r>
      <w:r>
        <w:rPr>
          <w:rFonts w:ascii="宋体" w:hAnsi="宋体" w:eastAsia="宋体" w:cs="宋体"/>
          <w:sz w:val="21"/>
          <w:szCs w:val="21"/>
        </w:rPr>
        <w:t>投标报价应根据招标文件中的有关计价要求，</w:t>
      </w:r>
      <w:r>
        <w:rPr>
          <w:rFonts w:ascii="宋体" w:hAnsi="宋体" w:eastAsia="宋体" w:cs="宋体"/>
          <w:spacing w:val="-1"/>
          <w:sz w:val="21"/>
          <w:szCs w:val="21"/>
        </w:rPr>
        <w:t>并按照下列依据自主报价。</w:t>
      </w:r>
    </w:p>
    <w:p w14:paraId="23D884ED">
      <w:pPr>
        <w:spacing w:before="181" w:line="219" w:lineRule="auto"/>
        <w:ind w:left="437"/>
        <w:rPr>
          <w:rFonts w:ascii="宋体" w:hAnsi="宋体" w:eastAsia="宋体" w:cs="宋体"/>
          <w:sz w:val="21"/>
          <w:szCs w:val="21"/>
        </w:rPr>
      </w:pPr>
      <w:r>
        <w:rPr>
          <w:rFonts w:ascii="黑体" w:hAnsi="黑体" w:eastAsia="黑体" w:cs="黑体"/>
          <w:spacing w:val="-2"/>
          <w:sz w:val="21"/>
          <w:szCs w:val="21"/>
        </w:rPr>
        <w:t>（1）</w:t>
      </w:r>
      <w:r>
        <w:rPr>
          <w:rFonts w:ascii="宋体" w:hAnsi="宋体" w:eastAsia="宋体" w:cs="宋体"/>
          <w:spacing w:val="-2"/>
          <w:sz w:val="21"/>
          <w:szCs w:val="21"/>
        </w:rPr>
        <w:t>国家或省级、行业建设主管部门颁发的计价办法；</w:t>
      </w:r>
    </w:p>
    <w:p w14:paraId="7B53CAF2">
      <w:pPr>
        <w:spacing w:before="180" w:line="219" w:lineRule="auto"/>
        <w:ind w:left="437"/>
        <w:rPr>
          <w:rFonts w:ascii="宋体" w:hAnsi="宋体" w:eastAsia="宋体" w:cs="宋体"/>
          <w:sz w:val="21"/>
          <w:szCs w:val="21"/>
        </w:rPr>
      </w:pPr>
      <w:r>
        <w:rPr>
          <w:rFonts w:ascii="黑体" w:hAnsi="黑体" w:eastAsia="黑体" w:cs="黑体"/>
          <w:spacing w:val="-1"/>
          <w:sz w:val="21"/>
          <w:szCs w:val="21"/>
        </w:rPr>
        <w:t>（2）</w:t>
      </w:r>
      <w:r>
        <w:rPr>
          <w:rFonts w:ascii="宋体" w:hAnsi="宋体" w:eastAsia="宋体" w:cs="宋体"/>
          <w:spacing w:val="-1"/>
          <w:sz w:val="21"/>
          <w:szCs w:val="21"/>
        </w:rPr>
        <w:t>企业定额，国家或省级、行业建设主管部门颁发的计价定额和计价办法；</w:t>
      </w:r>
    </w:p>
    <w:p w14:paraId="3BE54464">
      <w:pPr>
        <w:spacing w:before="180" w:line="221" w:lineRule="auto"/>
        <w:ind w:left="437"/>
        <w:rPr>
          <w:rFonts w:ascii="宋体" w:hAnsi="宋体" w:eastAsia="宋体" w:cs="宋体"/>
          <w:sz w:val="21"/>
          <w:szCs w:val="21"/>
        </w:rPr>
      </w:pPr>
      <w:r>
        <w:rPr>
          <w:rFonts w:ascii="黑体" w:hAnsi="黑体" w:eastAsia="黑体" w:cs="黑体"/>
          <w:spacing w:val="-2"/>
          <w:sz w:val="21"/>
          <w:szCs w:val="21"/>
        </w:rPr>
        <w:t>（3）</w:t>
      </w:r>
      <w:r>
        <w:rPr>
          <w:rFonts w:ascii="宋体" w:hAnsi="宋体" w:eastAsia="宋体" w:cs="宋体"/>
          <w:spacing w:val="-2"/>
          <w:sz w:val="21"/>
          <w:szCs w:val="21"/>
        </w:rPr>
        <w:t>招标文件（包括招标工程量清单）及其澄清、修改文件；</w:t>
      </w:r>
    </w:p>
    <w:p w14:paraId="51DB5B44">
      <w:pPr>
        <w:spacing w:before="178" w:line="221" w:lineRule="auto"/>
        <w:ind w:left="437"/>
        <w:rPr>
          <w:rFonts w:ascii="宋体" w:hAnsi="宋体" w:eastAsia="宋体" w:cs="宋体"/>
          <w:sz w:val="21"/>
          <w:szCs w:val="21"/>
        </w:rPr>
      </w:pPr>
      <w:r>
        <w:rPr>
          <w:rFonts w:ascii="黑体" w:hAnsi="黑体" w:eastAsia="黑体" w:cs="黑体"/>
          <w:spacing w:val="-3"/>
          <w:sz w:val="21"/>
          <w:szCs w:val="21"/>
        </w:rPr>
        <w:t>（4）</w:t>
      </w:r>
      <w:r>
        <w:rPr>
          <w:rFonts w:ascii="宋体" w:hAnsi="宋体" w:eastAsia="宋体" w:cs="宋体"/>
          <w:spacing w:val="-3"/>
          <w:sz w:val="21"/>
          <w:szCs w:val="21"/>
        </w:rPr>
        <w:t>建设工程设计文件及相关资料；</w:t>
      </w:r>
    </w:p>
    <w:p w14:paraId="040AE208">
      <w:pPr>
        <w:spacing w:before="181" w:line="220" w:lineRule="auto"/>
        <w:ind w:left="437"/>
        <w:rPr>
          <w:rFonts w:ascii="宋体" w:hAnsi="宋体" w:eastAsia="宋体" w:cs="宋体"/>
          <w:sz w:val="21"/>
          <w:szCs w:val="21"/>
        </w:rPr>
      </w:pPr>
      <w:r>
        <w:rPr>
          <w:rFonts w:ascii="黑体" w:hAnsi="黑体" w:eastAsia="黑体" w:cs="黑体"/>
          <w:spacing w:val="-1"/>
          <w:sz w:val="21"/>
          <w:szCs w:val="21"/>
        </w:rPr>
        <w:t>（5）</w:t>
      </w:r>
      <w:r>
        <w:rPr>
          <w:rFonts w:ascii="宋体" w:hAnsi="宋体" w:eastAsia="宋体" w:cs="宋体"/>
          <w:spacing w:val="-1"/>
          <w:sz w:val="21"/>
          <w:szCs w:val="21"/>
        </w:rPr>
        <w:t>施工现场情况、工程特点及投标时拟定的施工组织设计或施工方案；</w:t>
      </w:r>
    </w:p>
    <w:p w14:paraId="562B7A3F">
      <w:pPr>
        <w:spacing w:before="172" w:line="221" w:lineRule="auto"/>
        <w:ind w:left="437"/>
        <w:rPr>
          <w:rFonts w:ascii="宋体" w:hAnsi="宋体" w:eastAsia="宋体" w:cs="宋体"/>
          <w:sz w:val="21"/>
          <w:szCs w:val="21"/>
        </w:rPr>
      </w:pPr>
      <w:r>
        <w:rPr>
          <w:rFonts w:ascii="黑体" w:hAnsi="黑体" w:eastAsia="黑体" w:cs="黑体"/>
          <w:spacing w:val="-1"/>
          <w:sz w:val="21"/>
          <w:szCs w:val="21"/>
        </w:rPr>
        <w:t>（6）</w:t>
      </w:r>
      <w:r>
        <w:rPr>
          <w:rFonts w:ascii="宋体" w:hAnsi="宋体" w:eastAsia="宋体" w:cs="宋体"/>
          <w:spacing w:val="-1"/>
          <w:sz w:val="21"/>
          <w:szCs w:val="21"/>
        </w:rPr>
        <w:t>与建设项目相关的标准、规范等技术资料；</w:t>
      </w:r>
    </w:p>
    <w:p w14:paraId="73955434">
      <w:pPr>
        <w:spacing w:before="170" w:line="219" w:lineRule="auto"/>
        <w:ind w:left="437"/>
        <w:rPr>
          <w:rFonts w:ascii="宋体" w:hAnsi="宋体" w:eastAsia="宋体" w:cs="宋体"/>
          <w:sz w:val="21"/>
          <w:szCs w:val="21"/>
        </w:rPr>
      </w:pPr>
      <w:r>
        <w:rPr>
          <w:rFonts w:ascii="黑体" w:hAnsi="黑体" w:eastAsia="黑体" w:cs="黑体"/>
          <w:spacing w:val="-1"/>
          <w:sz w:val="21"/>
          <w:szCs w:val="21"/>
        </w:rPr>
        <w:t>（7）</w:t>
      </w:r>
      <w:r>
        <w:rPr>
          <w:rFonts w:ascii="宋体" w:hAnsi="宋体" w:eastAsia="宋体" w:cs="宋体"/>
          <w:spacing w:val="-1"/>
          <w:sz w:val="21"/>
          <w:szCs w:val="21"/>
        </w:rPr>
        <w:t>市场价格信息或官方机构发布的工程造价信息；</w:t>
      </w:r>
    </w:p>
    <w:p w14:paraId="1785D94A">
      <w:pPr>
        <w:spacing w:before="171" w:line="221" w:lineRule="auto"/>
        <w:ind w:left="437"/>
        <w:rPr>
          <w:rFonts w:ascii="宋体" w:hAnsi="宋体" w:eastAsia="宋体" w:cs="宋体"/>
          <w:sz w:val="21"/>
          <w:szCs w:val="21"/>
        </w:rPr>
      </w:pPr>
      <w:r>
        <w:rPr>
          <w:rFonts w:ascii="黑体" w:hAnsi="黑体" w:eastAsia="黑体" w:cs="黑体"/>
          <w:spacing w:val="-4"/>
          <w:sz w:val="21"/>
          <w:szCs w:val="21"/>
        </w:rPr>
        <w:t>（8）</w:t>
      </w:r>
      <w:r>
        <w:rPr>
          <w:rFonts w:ascii="宋体" w:hAnsi="宋体" w:eastAsia="宋体" w:cs="宋体"/>
          <w:spacing w:val="-4"/>
          <w:sz w:val="21"/>
          <w:szCs w:val="21"/>
        </w:rPr>
        <w:t>其他的相关资料。</w:t>
      </w:r>
    </w:p>
    <w:p w14:paraId="7544A9CA">
      <w:pPr>
        <w:spacing w:before="169" w:line="295" w:lineRule="auto"/>
        <w:ind w:left="6" w:right="6" w:firstLine="414"/>
        <w:rPr>
          <w:rFonts w:ascii="宋体" w:hAnsi="宋体" w:eastAsia="宋体" w:cs="宋体"/>
          <w:sz w:val="21"/>
          <w:szCs w:val="21"/>
        </w:rPr>
      </w:pPr>
      <w:r>
        <w:rPr>
          <w:rFonts w:ascii="黑体" w:hAnsi="黑体" w:eastAsia="黑体" w:cs="黑体"/>
          <w:spacing w:val="2"/>
          <w:sz w:val="21"/>
          <w:szCs w:val="21"/>
        </w:rPr>
        <w:t xml:space="preserve">2.2 </w:t>
      </w:r>
      <w:r>
        <w:rPr>
          <w:rFonts w:ascii="宋体" w:hAnsi="宋体" w:eastAsia="宋体" w:cs="宋体"/>
          <w:spacing w:val="2"/>
          <w:sz w:val="21"/>
          <w:szCs w:val="21"/>
        </w:rPr>
        <w:t>投标人必须按招标工程量清单填报价格。项目编码、项目名称</w:t>
      </w:r>
      <w:r>
        <w:rPr>
          <w:rFonts w:ascii="宋体" w:hAnsi="宋体" w:eastAsia="宋体" w:cs="宋体"/>
          <w:spacing w:val="1"/>
          <w:sz w:val="21"/>
          <w:szCs w:val="21"/>
        </w:rPr>
        <w:t>、项目特征、计量单位必</w:t>
      </w:r>
      <w:r>
        <w:rPr>
          <w:rFonts w:ascii="宋体" w:hAnsi="宋体" w:eastAsia="宋体" w:cs="宋体"/>
          <w:spacing w:val="-1"/>
          <w:sz w:val="21"/>
          <w:szCs w:val="21"/>
        </w:rPr>
        <w:t>须与招标工程量清单一致。</w:t>
      </w:r>
    </w:p>
    <w:p w14:paraId="453D7BC8">
      <w:pPr>
        <w:spacing w:before="168" w:line="295" w:lineRule="auto"/>
        <w:ind w:left="20" w:right="6" w:firstLine="400"/>
        <w:rPr>
          <w:rFonts w:ascii="宋体" w:hAnsi="宋体" w:eastAsia="宋体" w:cs="宋体"/>
          <w:sz w:val="21"/>
          <w:szCs w:val="21"/>
        </w:rPr>
      </w:pPr>
      <w:r>
        <w:rPr>
          <w:rFonts w:ascii="黑体" w:hAnsi="黑体" w:eastAsia="黑体" w:cs="黑体"/>
          <w:spacing w:val="2"/>
          <w:sz w:val="21"/>
          <w:szCs w:val="21"/>
        </w:rPr>
        <w:t xml:space="preserve">2.3 </w:t>
      </w:r>
      <w:r>
        <w:rPr>
          <w:rFonts w:ascii="宋体" w:hAnsi="宋体" w:eastAsia="宋体" w:cs="宋体"/>
          <w:spacing w:val="2"/>
          <w:sz w:val="21"/>
          <w:szCs w:val="21"/>
        </w:rPr>
        <w:t>工程量清单应采用综合单价计价。综合单价中应包括招标文件</w:t>
      </w:r>
      <w:r>
        <w:rPr>
          <w:rFonts w:ascii="宋体" w:hAnsi="宋体" w:eastAsia="宋体" w:cs="宋体"/>
          <w:spacing w:val="1"/>
          <w:sz w:val="21"/>
          <w:szCs w:val="21"/>
        </w:rPr>
        <w:t>中划分的应由投标人承担</w:t>
      </w:r>
      <w:r>
        <w:rPr>
          <w:rFonts w:ascii="宋体" w:hAnsi="宋体" w:eastAsia="宋体" w:cs="宋体"/>
          <w:spacing w:val="-1"/>
          <w:sz w:val="21"/>
          <w:szCs w:val="21"/>
        </w:rPr>
        <w:t>的风险范围及其费用，招标文件中没有明确的，应提请招标人明确。</w:t>
      </w:r>
    </w:p>
    <w:p w14:paraId="0EE86A6D">
      <w:pPr>
        <w:spacing w:before="170" w:line="319" w:lineRule="auto"/>
        <w:ind w:left="4" w:right="5" w:firstLine="417"/>
        <w:rPr>
          <w:rFonts w:ascii="宋体" w:hAnsi="宋体" w:eastAsia="宋体" w:cs="宋体"/>
          <w:sz w:val="21"/>
          <w:szCs w:val="21"/>
        </w:rPr>
      </w:pPr>
      <w:r>
        <w:rPr>
          <w:rFonts w:ascii="黑体" w:hAnsi="黑体" w:eastAsia="黑体" w:cs="黑体"/>
          <w:spacing w:val="1"/>
          <w:sz w:val="21"/>
          <w:szCs w:val="21"/>
        </w:rPr>
        <w:t xml:space="preserve">2.4 </w:t>
      </w:r>
      <w:r>
        <w:rPr>
          <w:rFonts w:ascii="宋体" w:hAnsi="宋体" w:eastAsia="宋体" w:cs="宋体"/>
          <w:spacing w:val="1"/>
          <w:sz w:val="21"/>
          <w:szCs w:val="21"/>
        </w:rPr>
        <w:t>招标工程量清单与计价表中列明的所有需要填写单价和合价的项目，投标人均应填写。</w:t>
      </w:r>
      <w:r>
        <w:rPr>
          <w:rFonts w:ascii="宋体" w:hAnsi="宋体" w:eastAsia="宋体" w:cs="宋体"/>
          <w:spacing w:val="2"/>
          <w:sz w:val="21"/>
          <w:szCs w:val="21"/>
        </w:rPr>
        <w:t>未填写单价和合价的项目，可视为此项费用已经包含在已标价工程</w:t>
      </w:r>
      <w:r>
        <w:rPr>
          <w:rFonts w:ascii="宋体" w:hAnsi="宋体" w:eastAsia="宋体" w:cs="宋体"/>
          <w:spacing w:val="1"/>
          <w:sz w:val="21"/>
          <w:szCs w:val="21"/>
        </w:rPr>
        <w:t>量清单中其他项目的单价或合</w:t>
      </w:r>
      <w:r>
        <w:rPr>
          <w:rFonts w:ascii="宋体" w:hAnsi="宋体" w:eastAsia="宋体" w:cs="宋体"/>
          <w:spacing w:val="-1"/>
          <w:sz w:val="21"/>
          <w:szCs w:val="21"/>
        </w:rPr>
        <w:t>价之中。当竣工结算时，此项目不得重新组价予以调整。</w:t>
      </w:r>
    </w:p>
    <w:p w14:paraId="4111A945">
      <w:pPr>
        <w:spacing w:before="171" w:line="219" w:lineRule="auto"/>
        <w:ind w:left="421"/>
        <w:rPr>
          <w:rFonts w:ascii="宋体" w:hAnsi="宋体" w:eastAsia="宋体" w:cs="宋体"/>
          <w:sz w:val="21"/>
          <w:szCs w:val="21"/>
        </w:rPr>
      </w:pPr>
      <w:r>
        <w:rPr>
          <w:rFonts w:ascii="黑体" w:hAnsi="黑体" w:eastAsia="黑体" w:cs="黑体"/>
          <w:sz w:val="21"/>
          <w:szCs w:val="21"/>
        </w:rPr>
        <w:t xml:space="preserve">2.5 </w:t>
      </w:r>
      <w:r>
        <w:rPr>
          <w:rFonts w:ascii="宋体" w:hAnsi="宋体" w:eastAsia="宋体" w:cs="宋体"/>
          <w:sz w:val="21"/>
          <w:szCs w:val="21"/>
        </w:rPr>
        <w:t>分类分项工程和单价措施项目按下列要求报</w:t>
      </w:r>
      <w:r>
        <w:rPr>
          <w:rFonts w:ascii="宋体" w:hAnsi="宋体" w:eastAsia="宋体" w:cs="宋体"/>
          <w:spacing w:val="-1"/>
          <w:sz w:val="21"/>
          <w:szCs w:val="21"/>
        </w:rPr>
        <w:t>价：</w:t>
      </w:r>
    </w:p>
    <w:p w14:paraId="54DF00FF">
      <w:pPr>
        <w:spacing w:line="219" w:lineRule="auto"/>
        <w:rPr>
          <w:rFonts w:ascii="宋体" w:hAnsi="宋体" w:eastAsia="宋体" w:cs="宋体"/>
          <w:sz w:val="21"/>
          <w:szCs w:val="21"/>
        </w:rPr>
        <w:sectPr>
          <w:footerReference r:id="rId149" w:type="default"/>
          <w:pgSz w:w="11905" w:h="16843"/>
          <w:pgMar w:top="969" w:right="1355" w:bottom="1026" w:left="1480" w:header="0" w:footer="754" w:gutter="0"/>
          <w:cols w:space="0" w:num="1"/>
          <w:rtlGutter w:val="0"/>
          <w:docGrid w:linePitch="0" w:charSpace="0"/>
        </w:sectPr>
      </w:pPr>
    </w:p>
    <w:p w14:paraId="704FC9A1">
      <w:pPr>
        <w:pStyle w:val="5"/>
        <w:spacing w:line="276" w:lineRule="auto"/>
      </w:pPr>
    </w:p>
    <w:p w14:paraId="48C8E284">
      <w:pPr>
        <w:pStyle w:val="5"/>
        <w:spacing w:line="276" w:lineRule="auto"/>
      </w:pPr>
    </w:p>
    <w:p w14:paraId="353A0DFF">
      <w:pPr>
        <w:pStyle w:val="5"/>
        <w:spacing w:line="276" w:lineRule="auto"/>
      </w:pPr>
    </w:p>
    <w:p w14:paraId="6B08CA67">
      <w:pPr>
        <w:pStyle w:val="5"/>
        <w:spacing w:line="276" w:lineRule="auto"/>
      </w:pPr>
    </w:p>
    <w:p w14:paraId="3D3E57B4">
      <w:pPr>
        <w:pStyle w:val="5"/>
        <w:spacing w:line="276" w:lineRule="auto"/>
      </w:pPr>
    </w:p>
    <w:p w14:paraId="5E2EB70C">
      <w:pPr>
        <w:spacing w:before="68" w:line="294" w:lineRule="auto"/>
        <w:ind w:right="14" w:firstLine="418"/>
        <w:rPr>
          <w:rFonts w:ascii="宋体" w:hAnsi="宋体" w:eastAsia="宋体" w:cs="宋体"/>
          <w:sz w:val="21"/>
          <w:szCs w:val="21"/>
        </w:rPr>
      </w:pPr>
      <w:bookmarkStart w:id="1245" w:name="bookmark608"/>
      <w:bookmarkEnd w:id="1245"/>
      <w:r>
        <w:rPr>
          <w:rFonts w:ascii="黑体" w:hAnsi="黑体" w:eastAsia="黑体" w:cs="黑体"/>
          <w:spacing w:val="2"/>
          <w:sz w:val="21"/>
          <w:szCs w:val="21"/>
        </w:rPr>
        <w:t xml:space="preserve">2.5.1 </w:t>
      </w:r>
      <w:r>
        <w:rPr>
          <w:rFonts w:ascii="宋体" w:hAnsi="宋体" w:eastAsia="宋体" w:cs="宋体"/>
          <w:spacing w:val="2"/>
          <w:sz w:val="21"/>
          <w:szCs w:val="21"/>
        </w:rPr>
        <w:t>分类分项工程和单价措施项目，应根</w:t>
      </w:r>
      <w:r>
        <w:rPr>
          <w:rFonts w:ascii="宋体" w:hAnsi="宋体" w:eastAsia="宋体" w:cs="宋体"/>
          <w:spacing w:val="1"/>
          <w:sz w:val="21"/>
          <w:szCs w:val="21"/>
        </w:rPr>
        <w:t>据招标文件和招标工程量清单中的项目特征描述</w:t>
      </w:r>
      <w:r>
        <w:rPr>
          <w:rFonts w:ascii="宋体" w:hAnsi="宋体" w:eastAsia="宋体" w:cs="宋体"/>
          <w:spacing w:val="-3"/>
          <w:sz w:val="21"/>
          <w:szCs w:val="21"/>
        </w:rPr>
        <w:t>确定综合单价。</w:t>
      </w:r>
    </w:p>
    <w:p w14:paraId="285EFAC5">
      <w:pPr>
        <w:spacing w:before="169" w:line="320" w:lineRule="auto"/>
        <w:ind w:right="5" w:firstLine="418"/>
        <w:rPr>
          <w:rFonts w:ascii="宋体" w:hAnsi="宋体" w:eastAsia="宋体" w:cs="宋体"/>
          <w:sz w:val="21"/>
          <w:szCs w:val="21"/>
        </w:rPr>
      </w:pPr>
      <w:r>
        <w:rPr>
          <w:rFonts w:ascii="黑体" w:hAnsi="黑体" w:eastAsia="黑体" w:cs="黑体"/>
          <w:spacing w:val="2"/>
          <w:sz w:val="21"/>
          <w:szCs w:val="21"/>
        </w:rPr>
        <w:t xml:space="preserve">2.5.2 </w:t>
      </w:r>
      <w:r>
        <w:rPr>
          <w:rFonts w:ascii="宋体" w:hAnsi="宋体" w:eastAsia="宋体" w:cs="宋体"/>
          <w:spacing w:val="2"/>
          <w:sz w:val="21"/>
          <w:szCs w:val="21"/>
        </w:rPr>
        <w:t>“分类分项工程和单价措施项目清单与计价表”所列各项</w:t>
      </w:r>
      <w:r>
        <w:rPr>
          <w:rFonts w:ascii="宋体" w:hAnsi="宋体" w:eastAsia="宋体" w:cs="宋体"/>
          <w:spacing w:val="1"/>
          <w:sz w:val="21"/>
          <w:szCs w:val="21"/>
        </w:rPr>
        <w:t>目的综合单价组成中，各项</w:t>
      </w:r>
      <w:r>
        <w:rPr>
          <w:rFonts w:ascii="宋体" w:hAnsi="宋体" w:eastAsia="宋体" w:cs="宋体"/>
          <w:spacing w:val="2"/>
          <w:sz w:val="21"/>
          <w:szCs w:val="21"/>
        </w:rPr>
        <w:t>目的人工、材料和机械台班消耗量由投标人按照其自身情况做充分的</w:t>
      </w:r>
      <w:r>
        <w:rPr>
          <w:rFonts w:ascii="宋体" w:hAnsi="宋体" w:eastAsia="宋体" w:cs="宋体"/>
          <w:spacing w:val="1"/>
          <w:sz w:val="21"/>
          <w:szCs w:val="21"/>
        </w:rPr>
        <w:t>竞争性考虑。材料消耗量包</w:t>
      </w:r>
      <w:r>
        <w:rPr>
          <w:rFonts w:ascii="宋体" w:hAnsi="宋体" w:eastAsia="宋体" w:cs="宋体"/>
          <w:spacing w:val="-5"/>
          <w:sz w:val="21"/>
          <w:szCs w:val="21"/>
        </w:rPr>
        <w:t>括损耗量。</w:t>
      </w:r>
    </w:p>
    <w:p w14:paraId="140E7D6A">
      <w:pPr>
        <w:spacing w:before="169" w:line="219" w:lineRule="auto"/>
        <w:ind w:left="419"/>
        <w:rPr>
          <w:rFonts w:ascii="宋体" w:hAnsi="宋体" w:eastAsia="宋体" w:cs="宋体"/>
          <w:sz w:val="21"/>
          <w:szCs w:val="21"/>
        </w:rPr>
      </w:pPr>
      <w:r>
        <w:rPr>
          <w:rFonts w:ascii="黑体" w:hAnsi="黑体" w:eastAsia="黑体" w:cs="黑体"/>
          <w:sz w:val="21"/>
          <w:szCs w:val="21"/>
        </w:rPr>
        <w:t xml:space="preserve">2.5.3 </w:t>
      </w:r>
      <w:r>
        <w:rPr>
          <w:rFonts w:ascii="宋体" w:hAnsi="宋体" w:eastAsia="宋体" w:cs="宋体"/>
          <w:sz w:val="21"/>
          <w:szCs w:val="21"/>
        </w:rPr>
        <w:t>计日工应按招标工程量清单“计日</w:t>
      </w:r>
      <w:r>
        <w:rPr>
          <w:rFonts w:ascii="宋体" w:hAnsi="宋体" w:eastAsia="宋体" w:cs="宋体"/>
          <w:spacing w:val="-1"/>
          <w:sz w:val="21"/>
          <w:szCs w:val="21"/>
        </w:rPr>
        <w:t>工表”中列出的项目，自主确定单价。</w:t>
      </w:r>
    </w:p>
    <w:p w14:paraId="3F9D2A71">
      <w:pPr>
        <w:spacing w:before="171" w:line="219" w:lineRule="auto"/>
        <w:ind w:left="419"/>
        <w:rPr>
          <w:rFonts w:ascii="宋体" w:hAnsi="宋体" w:eastAsia="宋体" w:cs="宋体"/>
          <w:sz w:val="21"/>
          <w:szCs w:val="21"/>
        </w:rPr>
      </w:pPr>
      <w:r>
        <w:rPr>
          <w:rFonts w:ascii="黑体" w:hAnsi="黑体" w:eastAsia="黑体" w:cs="黑体"/>
          <w:sz w:val="21"/>
          <w:szCs w:val="21"/>
        </w:rPr>
        <w:t xml:space="preserve">2.6 </w:t>
      </w:r>
      <w:r>
        <w:rPr>
          <w:rFonts w:ascii="宋体" w:hAnsi="宋体" w:eastAsia="宋体" w:cs="宋体"/>
          <w:sz w:val="21"/>
          <w:szCs w:val="21"/>
        </w:rPr>
        <w:t>税金项目按下列要求报价：税金必须按国家或省级、行业建设主管部门的规定计算。</w:t>
      </w:r>
    </w:p>
    <w:p w14:paraId="409C5E6F">
      <w:pPr>
        <w:spacing w:before="169" w:line="295" w:lineRule="auto"/>
        <w:ind w:firstLine="419"/>
        <w:rPr>
          <w:rFonts w:ascii="宋体" w:hAnsi="宋体" w:eastAsia="宋体" w:cs="宋体"/>
          <w:sz w:val="21"/>
          <w:szCs w:val="21"/>
        </w:rPr>
      </w:pPr>
      <w:r>
        <w:rPr>
          <w:rFonts w:ascii="黑体" w:hAnsi="黑体" w:eastAsia="黑体" w:cs="黑体"/>
          <w:spacing w:val="2"/>
          <w:sz w:val="21"/>
          <w:szCs w:val="21"/>
        </w:rPr>
        <w:t xml:space="preserve">2.7 </w:t>
      </w:r>
      <w:r>
        <w:rPr>
          <w:rFonts w:ascii="宋体" w:hAnsi="宋体" w:eastAsia="宋体" w:cs="宋体"/>
          <w:spacing w:val="2"/>
          <w:sz w:val="21"/>
          <w:szCs w:val="21"/>
        </w:rPr>
        <w:t>除招标文件有强制性规定以及不可竞争部分以外，投标报价由投标人自主确定</w:t>
      </w:r>
      <w:r>
        <w:rPr>
          <w:rFonts w:ascii="宋体" w:hAnsi="宋体" w:eastAsia="宋体" w:cs="宋体"/>
          <w:spacing w:val="1"/>
          <w:sz w:val="21"/>
          <w:szCs w:val="21"/>
        </w:rPr>
        <w:t>，但不得</w:t>
      </w:r>
      <w:r>
        <w:rPr>
          <w:rFonts w:ascii="宋体" w:hAnsi="宋体" w:eastAsia="宋体" w:cs="宋体"/>
          <w:spacing w:val="-1"/>
          <w:sz w:val="21"/>
          <w:szCs w:val="21"/>
        </w:rPr>
        <w:t>低于其工程成本。</w:t>
      </w:r>
    </w:p>
    <w:p w14:paraId="77D3A2CC">
      <w:pPr>
        <w:spacing w:before="170" w:line="219" w:lineRule="auto"/>
        <w:ind w:left="419"/>
        <w:rPr>
          <w:rFonts w:ascii="宋体" w:hAnsi="宋体" w:eastAsia="宋体" w:cs="宋体"/>
          <w:sz w:val="21"/>
          <w:szCs w:val="21"/>
        </w:rPr>
      </w:pPr>
      <w:r>
        <w:rPr>
          <w:rFonts w:ascii="黑体" w:hAnsi="黑体" w:eastAsia="黑体" w:cs="黑体"/>
          <w:spacing w:val="-1"/>
          <w:sz w:val="21"/>
          <w:szCs w:val="21"/>
        </w:rPr>
        <w:t xml:space="preserve">2.8 </w:t>
      </w:r>
      <w:r>
        <w:rPr>
          <w:rFonts w:ascii="宋体" w:hAnsi="宋体" w:eastAsia="宋体" w:cs="宋体"/>
          <w:spacing w:val="-1"/>
          <w:sz w:val="21"/>
          <w:szCs w:val="21"/>
        </w:rPr>
        <w:t>利润由投标人根据自身情况和综合实力合理报价。</w:t>
      </w:r>
    </w:p>
    <w:p w14:paraId="25769361">
      <w:pPr>
        <w:spacing w:before="140" w:line="219" w:lineRule="auto"/>
        <w:ind w:left="419"/>
        <w:rPr>
          <w:rFonts w:ascii="宋体" w:hAnsi="宋体" w:eastAsia="宋体" w:cs="宋体"/>
          <w:sz w:val="21"/>
          <w:szCs w:val="21"/>
        </w:rPr>
      </w:pPr>
      <w:r>
        <w:rPr>
          <w:rFonts w:ascii="黑体" w:hAnsi="黑体" w:eastAsia="黑体" w:cs="黑体"/>
          <w:sz w:val="21"/>
          <w:szCs w:val="21"/>
        </w:rPr>
        <w:t xml:space="preserve">2.9 </w:t>
      </w:r>
      <w:r>
        <w:rPr>
          <w:rFonts w:ascii="宋体" w:hAnsi="宋体" w:eastAsia="宋体" w:cs="宋体"/>
          <w:sz w:val="21"/>
          <w:szCs w:val="21"/>
        </w:rPr>
        <w:t>投标报价中应考虑招标文件中要求投</w:t>
      </w:r>
      <w:r>
        <w:rPr>
          <w:rFonts w:ascii="宋体" w:hAnsi="宋体" w:eastAsia="宋体" w:cs="宋体"/>
          <w:spacing w:val="-1"/>
          <w:sz w:val="21"/>
          <w:szCs w:val="21"/>
        </w:rPr>
        <w:t>标人承担的风险范围以及相关的费用。</w:t>
      </w:r>
    </w:p>
    <w:p w14:paraId="1CEE66A1">
      <w:pPr>
        <w:pStyle w:val="5"/>
        <w:spacing w:line="470" w:lineRule="auto"/>
      </w:pPr>
    </w:p>
    <w:p w14:paraId="2BD39303">
      <w:pPr>
        <w:spacing w:before="92" w:line="233" w:lineRule="auto"/>
        <w:ind w:left="4"/>
        <w:outlineLvl w:val="1"/>
        <w:rPr>
          <w:rFonts w:ascii="黑体" w:hAnsi="黑体" w:eastAsia="黑体" w:cs="黑体"/>
          <w:sz w:val="28"/>
          <w:szCs w:val="28"/>
        </w:rPr>
      </w:pPr>
      <w:bookmarkStart w:id="1246" w:name="bookmark374"/>
      <w:bookmarkEnd w:id="1246"/>
      <w:r>
        <w:rPr>
          <w:rFonts w:ascii="Times New Roman" w:hAnsi="Times New Roman" w:eastAsia="Times New Roman" w:cs="Times New Roman"/>
          <w:spacing w:val="-2"/>
          <w:sz w:val="28"/>
          <w:szCs w:val="28"/>
        </w:rPr>
        <w:t>3</w:t>
      </w:r>
      <w:r>
        <w:rPr>
          <w:rFonts w:ascii="黑体" w:hAnsi="黑体" w:eastAsia="黑体" w:cs="黑体"/>
          <w:spacing w:val="-2"/>
          <w:sz w:val="28"/>
          <w:szCs w:val="28"/>
        </w:rPr>
        <w:t>、工程量清单与计价表</w:t>
      </w:r>
    </w:p>
    <w:p w14:paraId="5DF92E55">
      <w:pPr>
        <w:spacing w:line="233" w:lineRule="auto"/>
        <w:rPr>
          <w:rFonts w:ascii="黑体" w:hAnsi="黑体" w:eastAsia="黑体" w:cs="黑体"/>
          <w:sz w:val="28"/>
          <w:szCs w:val="28"/>
        </w:rPr>
        <w:sectPr>
          <w:footerReference r:id="rId150" w:type="default"/>
          <w:pgSz w:w="11905" w:h="16843"/>
          <w:pgMar w:top="969" w:right="1355" w:bottom="1026" w:left="1480" w:header="0" w:footer="754" w:gutter="0"/>
          <w:cols w:space="0" w:num="1"/>
          <w:rtlGutter w:val="0"/>
          <w:docGrid w:linePitch="0" w:charSpace="0"/>
        </w:sectPr>
      </w:pPr>
    </w:p>
    <w:p w14:paraId="028342A3">
      <w:pPr>
        <w:pStyle w:val="5"/>
        <w:spacing w:line="265" w:lineRule="auto"/>
      </w:pPr>
    </w:p>
    <w:p w14:paraId="008E008E">
      <w:pPr>
        <w:pStyle w:val="5"/>
        <w:spacing w:line="265" w:lineRule="auto"/>
      </w:pPr>
    </w:p>
    <w:p w14:paraId="19521120">
      <w:pPr>
        <w:pStyle w:val="5"/>
        <w:spacing w:line="266" w:lineRule="auto"/>
      </w:pPr>
    </w:p>
    <w:p w14:paraId="35C80C63">
      <w:pPr>
        <w:pStyle w:val="5"/>
        <w:spacing w:line="266" w:lineRule="auto"/>
      </w:pPr>
    </w:p>
    <w:p w14:paraId="2BF3F0C7">
      <w:pPr>
        <w:pStyle w:val="5"/>
        <w:spacing w:line="266" w:lineRule="auto"/>
      </w:pPr>
    </w:p>
    <w:p w14:paraId="545EA311">
      <w:pPr>
        <w:spacing w:before="78" w:line="233" w:lineRule="auto"/>
        <w:ind w:left="9"/>
        <w:outlineLvl w:val="2"/>
        <w:rPr>
          <w:rFonts w:ascii="黑体" w:hAnsi="黑体" w:eastAsia="黑体" w:cs="黑体"/>
          <w:sz w:val="24"/>
          <w:szCs w:val="24"/>
        </w:rPr>
      </w:pPr>
      <w:bookmarkStart w:id="1247" w:name="bookmark375"/>
      <w:bookmarkEnd w:id="1247"/>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招标工程量清单封面</w:t>
      </w:r>
    </w:p>
    <w:p w14:paraId="1B2F10B9">
      <w:pPr>
        <w:pStyle w:val="5"/>
        <w:spacing w:line="321" w:lineRule="auto"/>
      </w:pPr>
    </w:p>
    <w:p w14:paraId="1B3A116B">
      <w:pPr>
        <w:tabs>
          <w:tab w:val="left" w:pos="6542"/>
        </w:tabs>
        <w:spacing w:before="130" w:line="221" w:lineRule="auto"/>
        <w:rPr>
          <w:rFonts w:ascii="宋体" w:hAnsi="宋体" w:eastAsia="宋体" w:cs="宋体"/>
          <w:sz w:val="40"/>
          <w:szCs w:val="40"/>
        </w:rPr>
      </w:pPr>
      <w:bookmarkStart w:id="1248" w:name="bookmark609"/>
      <w:bookmarkEnd w:id="1248"/>
      <w:r>
        <w:rPr>
          <w:rFonts w:ascii="宋体" w:hAnsi="宋体" w:eastAsia="宋体" w:cs="宋体"/>
          <w:sz w:val="40"/>
          <w:szCs w:val="40"/>
          <w:u w:val="single" w:color="auto"/>
        </w:rPr>
        <w:tab/>
      </w:r>
      <w:r>
        <w:rPr>
          <w:rFonts w:ascii="宋体" w:hAnsi="宋体" w:eastAsia="宋体" w:cs="宋体"/>
          <w:spacing w:val="-10"/>
          <w:sz w:val="40"/>
          <w:szCs w:val="40"/>
          <w:u w:val="single" w:color="auto"/>
        </w:rPr>
        <w:t>工程</w:t>
      </w:r>
      <w:r>
        <w:rPr>
          <w:rFonts w:ascii="宋体" w:hAnsi="宋体" w:eastAsia="宋体" w:cs="宋体"/>
          <w:sz w:val="40"/>
          <w:szCs w:val="40"/>
          <w:u w:val="single" w:color="auto"/>
        </w:rPr>
        <w:t xml:space="preserve">         </w:t>
      </w:r>
    </w:p>
    <w:p w14:paraId="57592FAE">
      <w:pPr>
        <w:spacing w:before="152" w:line="220" w:lineRule="auto"/>
        <w:ind w:left="3311"/>
        <w:rPr>
          <w:rFonts w:ascii="宋体" w:hAnsi="宋体" w:eastAsia="宋体" w:cs="宋体"/>
          <w:sz w:val="36"/>
          <w:szCs w:val="36"/>
        </w:rPr>
      </w:pPr>
      <w:r>
        <w:rPr>
          <w:rFonts w:ascii="宋体" w:hAnsi="宋体" w:eastAsia="宋体" w:cs="宋体"/>
          <w:spacing w:val="-12"/>
          <w:sz w:val="36"/>
          <w:szCs w:val="36"/>
        </w:rPr>
        <w:t>工</w:t>
      </w:r>
      <w:r>
        <w:rPr>
          <w:rFonts w:ascii="宋体" w:hAnsi="宋体" w:eastAsia="宋体" w:cs="宋体"/>
          <w:spacing w:val="12"/>
          <w:sz w:val="36"/>
          <w:szCs w:val="36"/>
        </w:rPr>
        <w:t xml:space="preserve"> </w:t>
      </w:r>
      <w:r>
        <w:rPr>
          <w:rFonts w:ascii="宋体" w:hAnsi="宋体" w:eastAsia="宋体" w:cs="宋体"/>
          <w:spacing w:val="-12"/>
          <w:sz w:val="36"/>
          <w:szCs w:val="36"/>
        </w:rPr>
        <w:t>程</w:t>
      </w:r>
      <w:r>
        <w:rPr>
          <w:rFonts w:ascii="宋体" w:hAnsi="宋体" w:eastAsia="宋体" w:cs="宋体"/>
          <w:spacing w:val="14"/>
          <w:sz w:val="36"/>
          <w:szCs w:val="36"/>
        </w:rPr>
        <w:t xml:space="preserve"> </w:t>
      </w:r>
      <w:r>
        <w:rPr>
          <w:rFonts w:ascii="宋体" w:hAnsi="宋体" w:eastAsia="宋体" w:cs="宋体"/>
          <w:spacing w:val="-12"/>
          <w:sz w:val="36"/>
          <w:szCs w:val="36"/>
        </w:rPr>
        <w:t>量</w:t>
      </w:r>
      <w:r>
        <w:rPr>
          <w:rFonts w:ascii="宋体" w:hAnsi="宋体" w:eastAsia="宋体" w:cs="宋体"/>
          <w:spacing w:val="15"/>
          <w:sz w:val="36"/>
          <w:szCs w:val="36"/>
        </w:rPr>
        <w:t xml:space="preserve"> </w:t>
      </w:r>
      <w:r>
        <w:rPr>
          <w:rFonts w:ascii="宋体" w:hAnsi="宋体" w:eastAsia="宋体" w:cs="宋体"/>
          <w:spacing w:val="-12"/>
          <w:sz w:val="36"/>
          <w:szCs w:val="36"/>
        </w:rPr>
        <w:t>清</w:t>
      </w:r>
      <w:r>
        <w:rPr>
          <w:rFonts w:ascii="宋体" w:hAnsi="宋体" w:eastAsia="宋体" w:cs="宋体"/>
          <w:spacing w:val="16"/>
          <w:sz w:val="36"/>
          <w:szCs w:val="36"/>
        </w:rPr>
        <w:t xml:space="preserve"> </w:t>
      </w:r>
      <w:r>
        <w:rPr>
          <w:rFonts w:ascii="宋体" w:hAnsi="宋体" w:eastAsia="宋体" w:cs="宋体"/>
          <w:spacing w:val="-12"/>
          <w:sz w:val="36"/>
          <w:szCs w:val="36"/>
        </w:rPr>
        <w:t>单</w:t>
      </w:r>
    </w:p>
    <w:p w14:paraId="3D03E2FA">
      <w:pPr>
        <w:spacing w:before="217" w:line="225" w:lineRule="auto"/>
        <w:ind w:left="3448"/>
        <w:rPr>
          <w:rFonts w:ascii="宋体" w:hAnsi="宋体" w:eastAsia="宋体" w:cs="宋体"/>
          <w:sz w:val="31"/>
          <w:szCs w:val="31"/>
        </w:rPr>
      </w:pPr>
      <w:r>
        <w:rPr>
          <w:rFonts w:ascii="宋体" w:hAnsi="宋体" w:eastAsia="宋体" w:cs="宋体"/>
          <w:spacing w:val="26"/>
          <w:sz w:val="31"/>
          <w:szCs w:val="31"/>
        </w:rPr>
        <w:t>合同编号：()</w:t>
      </w:r>
    </w:p>
    <w:p w14:paraId="69B0828D">
      <w:pPr>
        <w:pStyle w:val="5"/>
        <w:spacing w:line="266" w:lineRule="auto"/>
      </w:pPr>
    </w:p>
    <w:p w14:paraId="77886BCC">
      <w:pPr>
        <w:pStyle w:val="5"/>
        <w:spacing w:line="267" w:lineRule="auto"/>
      </w:pPr>
    </w:p>
    <w:p w14:paraId="5717F8B5">
      <w:pPr>
        <w:pStyle w:val="5"/>
        <w:spacing w:line="267" w:lineRule="auto"/>
      </w:pPr>
    </w:p>
    <w:p w14:paraId="2F7C9216">
      <w:pPr>
        <w:pStyle w:val="5"/>
        <w:spacing w:line="267" w:lineRule="auto"/>
      </w:pPr>
    </w:p>
    <w:p w14:paraId="7F1E8BFF">
      <w:pPr>
        <w:pStyle w:val="5"/>
        <w:spacing w:line="267" w:lineRule="auto"/>
      </w:pPr>
    </w:p>
    <w:p w14:paraId="00F8D480">
      <w:pPr>
        <w:tabs>
          <w:tab w:val="left" w:pos="118"/>
        </w:tabs>
        <w:spacing w:before="79"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招    标</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人</w:t>
      </w:r>
      <w:r>
        <w:rPr>
          <w:rFonts w:ascii="宋体" w:hAnsi="宋体" w:eastAsia="宋体" w:cs="宋体"/>
          <w:spacing w:val="3"/>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4"/>
          <w:sz w:val="24"/>
          <w:szCs w:val="24"/>
          <w:u w:val="single" w:color="auto"/>
        </w:rPr>
        <w:t xml:space="preserve">单位盖章）         </w:t>
      </w:r>
    </w:p>
    <w:p w14:paraId="41805127">
      <w:pPr>
        <w:pStyle w:val="5"/>
        <w:spacing w:line="249" w:lineRule="auto"/>
      </w:pPr>
    </w:p>
    <w:p w14:paraId="1BD365FE">
      <w:pPr>
        <w:pStyle w:val="5"/>
        <w:spacing w:line="249" w:lineRule="auto"/>
      </w:pPr>
    </w:p>
    <w:p w14:paraId="7D52892A">
      <w:pPr>
        <w:pStyle w:val="5"/>
        <w:spacing w:line="249" w:lineRule="auto"/>
      </w:pPr>
    </w:p>
    <w:p w14:paraId="36EDDA70">
      <w:pPr>
        <w:pStyle w:val="5"/>
        <w:spacing w:line="249" w:lineRule="auto"/>
      </w:pPr>
    </w:p>
    <w:p w14:paraId="26B646D4">
      <w:pPr>
        <w:tabs>
          <w:tab w:val="left" w:pos="118"/>
        </w:tabs>
        <w:spacing w:before="79"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招标单位法定代表人</w:t>
      </w:r>
      <w:r>
        <w:rPr>
          <w:rFonts w:ascii="宋体" w:hAnsi="宋体" w:eastAsia="宋体" w:cs="宋体"/>
          <w:spacing w:val="1"/>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rPr>
        <w:t>签字盖章）</w:t>
      </w:r>
      <w:r>
        <w:rPr>
          <w:rFonts w:ascii="宋体" w:hAnsi="宋体" w:eastAsia="宋体" w:cs="宋体"/>
          <w:sz w:val="24"/>
          <w:szCs w:val="24"/>
          <w:u w:val="single" w:color="auto"/>
        </w:rPr>
        <w:t xml:space="preserve">         </w:t>
      </w:r>
    </w:p>
    <w:p w14:paraId="2626DD9F">
      <w:pPr>
        <w:pStyle w:val="5"/>
        <w:spacing w:line="276" w:lineRule="auto"/>
      </w:pPr>
    </w:p>
    <w:p w14:paraId="230E2BA9">
      <w:pPr>
        <w:pStyle w:val="5"/>
        <w:spacing w:line="277" w:lineRule="auto"/>
      </w:pPr>
    </w:p>
    <w:p w14:paraId="4B82DE59">
      <w:pPr>
        <w:pStyle w:val="5"/>
        <w:spacing w:line="277" w:lineRule="auto"/>
      </w:pPr>
    </w:p>
    <w:p w14:paraId="47ECC5C5">
      <w:pPr>
        <w:spacing w:before="78" w:line="219" w:lineRule="auto"/>
        <w:ind w:left="139"/>
        <w:rPr>
          <w:rFonts w:ascii="宋体" w:hAnsi="宋体" w:eastAsia="宋体" w:cs="宋体"/>
          <w:sz w:val="24"/>
          <w:szCs w:val="24"/>
        </w:rPr>
      </w:pPr>
      <w:r>
        <w:rPr>
          <w:rFonts w:ascii="宋体" w:hAnsi="宋体" w:eastAsia="宋体" w:cs="宋体"/>
          <w:spacing w:val="-13"/>
          <w:sz w:val="24"/>
          <w:szCs w:val="24"/>
        </w:rPr>
        <w:t>中</w:t>
      </w:r>
      <w:r>
        <w:rPr>
          <w:rFonts w:ascii="宋体" w:hAnsi="宋体" w:eastAsia="宋体" w:cs="宋体"/>
          <w:spacing w:val="3"/>
          <w:sz w:val="24"/>
          <w:szCs w:val="24"/>
        </w:rPr>
        <w:t xml:space="preserve">   </w:t>
      </w:r>
      <w:r>
        <w:rPr>
          <w:rFonts w:ascii="宋体" w:hAnsi="宋体" w:eastAsia="宋体" w:cs="宋体"/>
          <w:spacing w:val="-13"/>
          <w:sz w:val="24"/>
          <w:szCs w:val="24"/>
        </w:rPr>
        <w:t>介</w:t>
      </w:r>
      <w:r>
        <w:rPr>
          <w:rFonts w:ascii="宋体" w:hAnsi="宋体" w:eastAsia="宋体" w:cs="宋体"/>
          <w:spacing w:val="3"/>
          <w:sz w:val="24"/>
          <w:szCs w:val="24"/>
        </w:rPr>
        <w:t xml:space="preserve">   </w:t>
      </w:r>
      <w:r>
        <w:rPr>
          <w:rFonts w:ascii="宋体" w:hAnsi="宋体" w:eastAsia="宋体" w:cs="宋体"/>
          <w:spacing w:val="-13"/>
          <w:sz w:val="24"/>
          <w:szCs w:val="24"/>
        </w:rPr>
        <w:t>机</w:t>
      </w:r>
      <w:r>
        <w:rPr>
          <w:rFonts w:ascii="宋体" w:hAnsi="宋体" w:eastAsia="宋体" w:cs="宋体"/>
          <w:spacing w:val="4"/>
          <w:sz w:val="24"/>
          <w:szCs w:val="24"/>
        </w:rPr>
        <w:t xml:space="preserve">   </w:t>
      </w:r>
      <w:r>
        <w:rPr>
          <w:rFonts w:ascii="宋体" w:hAnsi="宋体" w:eastAsia="宋体" w:cs="宋体"/>
          <w:spacing w:val="-13"/>
          <w:sz w:val="24"/>
          <w:szCs w:val="24"/>
        </w:rPr>
        <w:t>构</w:t>
      </w:r>
    </w:p>
    <w:p w14:paraId="4847E368">
      <w:pPr>
        <w:tabs>
          <w:tab w:val="left" w:pos="118"/>
        </w:tabs>
        <w:spacing w:before="25"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法  定</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代</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rPr>
        <w:t>表</w:t>
      </w:r>
      <w:r>
        <w:rPr>
          <w:rFonts w:ascii="宋体" w:hAnsi="宋体" w:eastAsia="宋体" w:cs="宋体"/>
          <w:spacing w:val="11"/>
          <w:sz w:val="24"/>
          <w:szCs w:val="24"/>
          <w:u w:val="single" w:color="auto"/>
        </w:rPr>
        <w:t xml:space="preserve"> </w:t>
      </w:r>
      <w:r>
        <w:rPr>
          <w:rFonts w:ascii="宋体" w:hAnsi="宋体" w:eastAsia="宋体" w:cs="宋体"/>
          <w:spacing w:val="-5"/>
          <w:sz w:val="24"/>
          <w:szCs w:val="24"/>
          <w:u w:val="single" w:color="auto"/>
        </w:rPr>
        <w:t>人</w:t>
      </w:r>
      <w:r>
        <w:rPr>
          <w:rFonts w:ascii="宋体" w:hAnsi="宋体" w:eastAsia="宋体" w:cs="宋体"/>
          <w:spacing w:val="5"/>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5"/>
          <w:sz w:val="24"/>
          <w:szCs w:val="24"/>
          <w:u w:val="single" w:color="auto"/>
        </w:rPr>
        <w:t xml:space="preserve">签字盖章）         </w:t>
      </w:r>
    </w:p>
    <w:p w14:paraId="27AF9E3B">
      <w:pPr>
        <w:pStyle w:val="5"/>
        <w:spacing w:line="323" w:lineRule="auto"/>
      </w:pPr>
    </w:p>
    <w:p w14:paraId="0BE83406">
      <w:pPr>
        <w:pStyle w:val="5"/>
        <w:spacing w:line="323" w:lineRule="auto"/>
      </w:pPr>
    </w:p>
    <w:p w14:paraId="1EE35039">
      <w:pPr>
        <w:spacing w:before="78" w:line="218" w:lineRule="auto"/>
        <w:ind w:left="116"/>
        <w:rPr>
          <w:rFonts w:ascii="宋体" w:hAnsi="宋体" w:eastAsia="宋体" w:cs="宋体"/>
          <w:sz w:val="24"/>
          <w:szCs w:val="24"/>
        </w:rPr>
      </w:pPr>
      <w:r>
        <w:rPr>
          <w:rFonts w:ascii="宋体" w:hAnsi="宋体" w:eastAsia="宋体" w:cs="宋体"/>
          <w:spacing w:val="-4"/>
          <w:sz w:val="24"/>
          <w:szCs w:val="24"/>
        </w:rPr>
        <w:t>造  价</w:t>
      </w:r>
      <w:r>
        <w:rPr>
          <w:rFonts w:ascii="宋体" w:hAnsi="宋体" w:eastAsia="宋体" w:cs="宋体"/>
          <w:spacing w:val="9"/>
          <w:sz w:val="24"/>
          <w:szCs w:val="24"/>
        </w:rPr>
        <w:t xml:space="preserve">  </w:t>
      </w:r>
      <w:r>
        <w:rPr>
          <w:rFonts w:ascii="宋体" w:hAnsi="宋体" w:eastAsia="宋体" w:cs="宋体"/>
          <w:spacing w:val="-4"/>
          <w:sz w:val="24"/>
          <w:szCs w:val="24"/>
        </w:rPr>
        <w:t>工  程</w:t>
      </w:r>
      <w:r>
        <w:rPr>
          <w:rFonts w:ascii="宋体" w:hAnsi="宋体" w:eastAsia="宋体" w:cs="宋体"/>
          <w:spacing w:val="7"/>
          <w:sz w:val="24"/>
          <w:szCs w:val="24"/>
        </w:rPr>
        <w:t xml:space="preserve">  </w:t>
      </w:r>
      <w:r>
        <w:rPr>
          <w:rFonts w:ascii="宋体" w:hAnsi="宋体" w:eastAsia="宋体" w:cs="宋体"/>
          <w:spacing w:val="-4"/>
          <w:sz w:val="24"/>
          <w:szCs w:val="24"/>
        </w:rPr>
        <w:t>师</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4"/>
          <w:sz w:val="24"/>
          <w:szCs w:val="24"/>
        </w:rPr>
        <w:t>（签字盖执业专用</w:t>
      </w:r>
    </w:p>
    <w:p w14:paraId="4D98AB80">
      <w:pPr>
        <w:tabs>
          <w:tab w:val="left" w:pos="116"/>
        </w:tabs>
        <w:spacing w:before="2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及  注</w:t>
      </w:r>
      <w:r>
        <w:rPr>
          <w:rFonts w:ascii="宋体" w:hAnsi="宋体" w:eastAsia="宋体" w:cs="宋体"/>
          <w:spacing w:val="7"/>
          <w:sz w:val="24"/>
          <w:szCs w:val="24"/>
          <w:u w:val="single" w:color="auto"/>
        </w:rPr>
        <w:t xml:space="preserve">  </w:t>
      </w:r>
      <w:r>
        <w:rPr>
          <w:rFonts w:ascii="宋体" w:hAnsi="宋体" w:eastAsia="宋体" w:cs="宋体"/>
          <w:spacing w:val="-5"/>
          <w:sz w:val="24"/>
          <w:szCs w:val="24"/>
          <w:u w:val="single" w:color="auto"/>
        </w:rPr>
        <w:t>册</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rPr>
        <w:t>证</w:t>
      </w:r>
      <w:r>
        <w:rPr>
          <w:rFonts w:ascii="宋体" w:hAnsi="宋体" w:eastAsia="宋体" w:cs="宋体"/>
          <w:spacing w:val="7"/>
          <w:sz w:val="24"/>
          <w:szCs w:val="24"/>
          <w:u w:val="single" w:color="auto"/>
        </w:rPr>
        <w:t xml:space="preserve">  </w:t>
      </w:r>
      <w:r>
        <w:rPr>
          <w:rFonts w:ascii="宋体" w:hAnsi="宋体" w:eastAsia="宋体" w:cs="宋体"/>
          <w:spacing w:val="-5"/>
          <w:sz w:val="24"/>
          <w:szCs w:val="24"/>
          <w:u w:val="single" w:color="auto"/>
        </w:rPr>
        <w:t>号：                                    章）</w:t>
      </w:r>
      <w:r>
        <w:rPr>
          <w:rFonts w:ascii="宋体" w:hAnsi="宋体" w:eastAsia="宋体" w:cs="宋体"/>
          <w:sz w:val="24"/>
          <w:szCs w:val="24"/>
          <w:u w:val="single" w:color="auto"/>
        </w:rPr>
        <w:t xml:space="preserve">                 </w:t>
      </w:r>
    </w:p>
    <w:p w14:paraId="083F31DB">
      <w:pPr>
        <w:pStyle w:val="5"/>
        <w:spacing w:line="244" w:lineRule="auto"/>
      </w:pPr>
    </w:p>
    <w:p w14:paraId="5E7E7DA0">
      <w:pPr>
        <w:pStyle w:val="5"/>
        <w:spacing w:line="244" w:lineRule="auto"/>
      </w:pPr>
    </w:p>
    <w:p w14:paraId="6085A101">
      <w:pPr>
        <w:pStyle w:val="5"/>
        <w:spacing w:line="245" w:lineRule="auto"/>
      </w:pPr>
    </w:p>
    <w:p w14:paraId="6D387956">
      <w:pPr>
        <w:pStyle w:val="5"/>
        <w:spacing w:line="245" w:lineRule="auto"/>
      </w:pPr>
    </w:p>
    <w:p w14:paraId="1FE8DA79">
      <w:pPr>
        <w:pStyle w:val="5"/>
        <w:spacing w:line="245" w:lineRule="auto"/>
      </w:pPr>
    </w:p>
    <w:p w14:paraId="65B094FA">
      <w:pPr>
        <w:spacing w:before="79" w:line="220" w:lineRule="auto"/>
        <w:ind w:left="119"/>
        <w:rPr>
          <w:rFonts w:ascii="宋体" w:hAnsi="宋体" w:eastAsia="宋体" w:cs="宋体"/>
          <w:sz w:val="24"/>
          <w:szCs w:val="24"/>
        </w:rPr>
      </w:pPr>
      <w:r>
        <w:rPr>
          <w:rFonts w:ascii="宋体" w:hAnsi="宋体" w:eastAsia="宋体" w:cs="宋体"/>
          <w:spacing w:val="-15"/>
          <w:sz w:val="24"/>
          <w:szCs w:val="24"/>
        </w:rPr>
        <w:t>编</w:t>
      </w:r>
      <w:r>
        <w:rPr>
          <w:rFonts w:ascii="宋体" w:hAnsi="宋体" w:eastAsia="宋体" w:cs="宋体"/>
          <w:spacing w:val="7"/>
          <w:sz w:val="24"/>
          <w:szCs w:val="24"/>
        </w:rPr>
        <w:t xml:space="preserve">  </w:t>
      </w:r>
      <w:r>
        <w:rPr>
          <w:rFonts w:ascii="宋体" w:hAnsi="宋体" w:eastAsia="宋体" w:cs="宋体"/>
          <w:spacing w:val="-15"/>
          <w:sz w:val="24"/>
          <w:szCs w:val="24"/>
        </w:rPr>
        <w:t>制</w:t>
      </w:r>
      <w:r>
        <w:rPr>
          <w:rFonts w:ascii="宋体" w:hAnsi="宋体" w:eastAsia="宋体" w:cs="宋体"/>
          <w:spacing w:val="10"/>
          <w:sz w:val="24"/>
          <w:szCs w:val="24"/>
        </w:rPr>
        <w:t xml:space="preserve">  </w:t>
      </w:r>
      <w:r>
        <w:rPr>
          <w:rFonts w:ascii="宋体" w:hAnsi="宋体" w:eastAsia="宋体" w:cs="宋体"/>
          <w:spacing w:val="-15"/>
          <w:sz w:val="24"/>
          <w:szCs w:val="24"/>
        </w:rPr>
        <w:t>时</w:t>
      </w:r>
      <w:r>
        <w:rPr>
          <w:rFonts w:ascii="宋体" w:hAnsi="宋体" w:eastAsia="宋体" w:cs="宋体"/>
          <w:spacing w:val="14"/>
          <w:sz w:val="24"/>
          <w:szCs w:val="24"/>
        </w:rPr>
        <w:t xml:space="preserve">  </w:t>
      </w:r>
      <w:r>
        <w:rPr>
          <w:rFonts w:ascii="宋体" w:hAnsi="宋体" w:eastAsia="宋体" w:cs="宋体"/>
          <w:spacing w:val="-15"/>
          <w:sz w:val="24"/>
          <w:szCs w:val="24"/>
        </w:rPr>
        <w:t>间：</w:t>
      </w:r>
      <w:r>
        <w:rPr>
          <w:rFonts w:ascii="宋体" w:hAnsi="宋体" w:eastAsia="宋体" w:cs="宋体"/>
          <w:spacing w:val="10"/>
          <w:sz w:val="24"/>
          <w:szCs w:val="24"/>
        </w:rPr>
        <w:t xml:space="preserve">     </w:t>
      </w:r>
      <w:r>
        <w:rPr>
          <w:rFonts w:ascii="宋体" w:hAnsi="宋体" w:eastAsia="宋体" w:cs="宋体"/>
          <w:sz w:val="24"/>
          <w:szCs w:val="24"/>
          <w:u w:val="single" w:color="auto"/>
        </w:rPr>
        <w:t xml:space="preserve">                                 </w:t>
      </w:r>
    </w:p>
    <w:p w14:paraId="41B7B333">
      <w:pPr>
        <w:spacing w:line="220" w:lineRule="auto"/>
        <w:rPr>
          <w:rFonts w:ascii="宋体" w:hAnsi="宋体" w:eastAsia="宋体" w:cs="宋体"/>
          <w:sz w:val="24"/>
          <w:szCs w:val="24"/>
        </w:rPr>
        <w:sectPr>
          <w:footerReference r:id="rId151" w:type="default"/>
          <w:pgSz w:w="11905" w:h="16843"/>
          <w:pgMar w:top="969" w:right="1355" w:bottom="1026" w:left="1480" w:header="0" w:footer="754" w:gutter="0"/>
          <w:cols w:space="0" w:num="1"/>
          <w:rtlGutter w:val="0"/>
          <w:docGrid w:linePitch="0" w:charSpace="0"/>
        </w:sectPr>
      </w:pPr>
    </w:p>
    <w:p w14:paraId="41E87626">
      <w:pPr>
        <w:pStyle w:val="5"/>
        <w:spacing w:line="244" w:lineRule="auto"/>
      </w:pPr>
    </w:p>
    <w:p w14:paraId="00A1F197">
      <w:pPr>
        <w:pStyle w:val="5"/>
        <w:spacing w:line="244" w:lineRule="auto"/>
      </w:pPr>
    </w:p>
    <w:p w14:paraId="3DFED596">
      <w:pPr>
        <w:pStyle w:val="5"/>
        <w:spacing w:line="244" w:lineRule="auto"/>
      </w:pPr>
    </w:p>
    <w:p w14:paraId="35D9A908">
      <w:pPr>
        <w:pStyle w:val="5"/>
        <w:spacing w:line="244" w:lineRule="auto"/>
      </w:pPr>
    </w:p>
    <w:p w14:paraId="4D1A12BD">
      <w:pPr>
        <w:pStyle w:val="5"/>
        <w:spacing w:line="244" w:lineRule="auto"/>
      </w:pPr>
    </w:p>
    <w:p w14:paraId="3B5E840E">
      <w:pPr>
        <w:pStyle w:val="5"/>
        <w:spacing w:line="244" w:lineRule="auto"/>
      </w:pPr>
    </w:p>
    <w:p w14:paraId="4BFF65B2">
      <w:pPr>
        <w:pStyle w:val="5"/>
        <w:spacing w:line="244" w:lineRule="auto"/>
      </w:pPr>
    </w:p>
    <w:p w14:paraId="00755C11">
      <w:pPr>
        <w:spacing w:before="78" w:line="232" w:lineRule="auto"/>
        <w:ind w:left="14"/>
        <w:outlineLvl w:val="2"/>
        <w:rPr>
          <w:rFonts w:ascii="黑体" w:hAnsi="黑体" w:eastAsia="黑体" w:cs="黑体"/>
          <w:sz w:val="24"/>
          <w:szCs w:val="24"/>
        </w:rPr>
      </w:pPr>
      <w:bookmarkStart w:id="1249" w:name="bookmark376"/>
      <w:bookmarkEnd w:id="1249"/>
      <w:r>
        <w:rPr>
          <w:rFonts w:ascii="Times New Roman" w:hAnsi="Times New Roman" w:eastAsia="Times New Roman" w:cs="Times New Roman"/>
          <w:spacing w:val="-4"/>
          <w:sz w:val="24"/>
          <w:szCs w:val="24"/>
        </w:rPr>
        <w:t>3.2</w:t>
      </w:r>
      <w:r>
        <w:rPr>
          <w:rFonts w:ascii="Times New Roman" w:hAnsi="Times New Roman" w:eastAsia="Times New Roman" w:cs="Times New Roman"/>
          <w:spacing w:val="17"/>
          <w:w w:val="101"/>
          <w:sz w:val="24"/>
          <w:szCs w:val="24"/>
        </w:rPr>
        <w:t xml:space="preserve"> </w:t>
      </w:r>
      <w:r>
        <w:rPr>
          <w:rFonts w:ascii="黑体" w:hAnsi="黑体" w:eastAsia="黑体" w:cs="黑体"/>
          <w:spacing w:val="-4"/>
          <w:sz w:val="24"/>
          <w:szCs w:val="24"/>
        </w:rPr>
        <w:t>总说明</w:t>
      </w:r>
    </w:p>
    <w:p w14:paraId="52F9E93D">
      <w:pPr>
        <w:spacing w:before="316" w:line="220" w:lineRule="auto"/>
        <w:ind w:left="3432"/>
        <w:rPr>
          <w:rFonts w:ascii="宋体" w:hAnsi="宋体" w:eastAsia="宋体" w:cs="宋体"/>
          <w:sz w:val="40"/>
          <w:szCs w:val="40"/>
        </w:rPr>
      </w:pPr>
      <w:bookmarkStart w:id="1250" w:name="bookmark610"/>
      <w:bookmarkEnd w:id="1250"/>
      <w:r>
        <w:rPr>
          <w:rFonts w:ascii="宋体" w:hAnsi="宋体" w:eastAsia="宋体" w:cs="宋体"/>
          <w:b/>
          <w:bCs/>
          <w:spacing w:val="-20"/>
          <w:sz w:val="40"/>
          <w:szCs w:val="40"/>
        </w:rPr>
        <w:t>总</w:t>
      </w:r>
      <w:r>
        <w:rPr>
          <w:rFonts w:ascii="宋体" w:hAnsi="宋体" w:eastAsia="宋体" w:cs="宋体"/>
          <w:spacing w:val="12"/>
          <w:sz w:val="40"/>
          <w:szCs w:val="40"/>
        </w:rPr>
        <w:t xml:space="preserve">  </w:t>
      </w:r>
      <w:r>
        <w:rPr>
          <w:rFonts w:ascii="宋体" w:hAnsi="宋体" w:eastAsia="宋体" w:cs="宋体"/>
          <w:b/>
          <w:bCs/>
          <w:spacing w:val="-20"/>
          <w:sz w:val="40"/>
          <w:szCs w:val="40"/>
        </w:rPr>
        <w:t>说</w:t>
      </w:r>
      <w:r>
        <w:rPr>
          <w:rFonts w:ascii="宋体" w:hAnsi="宋体" w:eastAsia="宋体" w:cs="宋体"/>
          <w:spacing w:val="28"/>
          <w:sz w:val="40"/>
          <w:szCs w:val="40"/>
        </w:rPr>
        <w:t xml:space="preserve">  </w:t>
      </w:r>
      <w:r>
        <w:rPr>
          <w:rFonts w:ascii="宋体" w:hAnsi="宋体" w:eastAsia="宋体" w:cs="宋体"/>
          <w:b/>
          <w:bCs/>
          <w:spacing w:val="-20"/>
          <w:sz w:val="40"/>
          <w:szCs w:val="40"/>
        </w:rPr>
        <w:t>明</w:t>
      </w:r>
    </w:p>
    <w:p w14:paraId="1017FC69">
      <w:pPr>
        <w:spacing w:before="289" w:line="220" w:lineRule="auto"/>
        <w:ind w:left="123"/>
        <w:rPr>
          <w:rFonts w:ascii="宋体" w:hAnsi="宋体" w:eastAsia="宋体" w:cs="宋体"/>
          <w:sz w:val="24"/>
          <w:szCs w:val="24"/>
        </w:rPr>
      </w:pPr>
      <w:r>
        <w:rPr>
          <w:rFonts w:ascii="宋体" w:hAnsi="宋体" w:eastAsia="宋体" w:cs="宋体"/>
          <w:spacing w:val="-11"/>
          <w:sz w:val="24"/>
          <w:szCs w:val="24"/>
        </w:rPr>
        <w:t>合同编号：</w:t>
      </w:r>
    </w:p>
    <w:p w14:paraId="64BF3046">
      <w:pPr>
        <w:spacing w:before="270" w:line="220" w:lineRule="auto"/>
        <w:jc w:val="right"/>
        <w:rPr>
          <w:rFonts w:ascii="宋体" w:hAnsi="宋体" w:eastAsia="宋体" w:cs="宋体"/>
          <w:sz w:val="24"/>
          <w:szCs w:val="24"/>
        </w:rPr>
      </w:pPr>
      <w:r>
        <w:rPr>
          <w:rFonts w:ascii="宋体" w:hAnsi="宋体" w:eastAsia="宋体" w:cs="宋体"/>
          <w:spacing w:val="-5"/>
          <w:sz w:val="24"/>
          <w:szCs w:val="24"/>
        </w:rPr>
        <w:t>工程名称：                                            第  1</w:t>
      </w:r>
      <w:r>
        <w:rPr>
          <w:rFonts w:ascii="宋体" w:hAnsi="宋体" w:eastAsia="宋体" w:cs="宋体"/>
          <w:spacing w:val="14"/>
          <w:sz w:val="24"/>
          <w:szCs w:val="24"/>
        </w:rPr>
        <w:t xml:space="preserve">  </w:t>
      </w:r>
      <w:r>
        <w:rPr>
          <w:rFonts w:ascii="宋体" w:hAnsi="宋体" w:eastAsia="宋体" w:cs="宋体"/>
          <w:spacing w:val="-5"/>
          <w:sz w:val="24"/>
          <w:szCs w:val="24"/>
        </w:rPr>
        <w:t>页、共</w:t>
      </w:r>
      <w:r>
        <w:rPr>
          <w:rFonts w:ascii="宋体" w:hAnsi="宋体" w:eastAsia="宋体" w:cs="宋体"/>
          <w:spacing w:val="14"/>
          <w:sz w:val="24"/>
          <w:szCs w:val="24"/>
        </w:rPr>
        <w:t xml:space="preserve">  </w:t>
      </w:r>
      <w:r>
        <w:rPr>
          <w:rFonts w:ascii="宋体" w:hAnsi="宋体" w:eastAsia="宋体" w:cs="宋体"/>
          <w:spacing w:val="-5"/>
          <w:sz w:val="24"/>
          <w:szCs w:val="24"/>
        </w:rPr>
        <w:t>1</w:t>
      </w:r>
      <w:r>
        <w:rPr>
          <w:rFonts w:ascii="宋体" w:hAnsi="宋体" w:eastAsia="宋体" w:cs="宋体"/>
          <w:spacing w:val="7"/>
          <w:sz w:val="24"/>
          <w:szCs w:val="24"/>
        </w:rPr>
        <w:t xml:space="preserve">  </w:t>
      </w:r>
      <w:r>
        <w:rPr>
          <w:rFonts w:ascii="宋体" w:hAnsi="宋体" w:eastAsia="宋体" w:cs="宋体"/>
          <w:spacing w:val="-5"/>
          <w:sz w:val="24"/>
          <w:szCs w:val="24"/>
        </w:rPr>
        <w:t>页</w:t>
      </w:r>
    </w:p>
    <w:p w14:paraId="36BEE0DC">
      <w:pPr>
        <w:spacing w:line="235" w:lineRule="exact"/>
      </w:pPr>
    </w:p>
    <w:tbl>
      <w:tblPr>
        <w:tblStyle w:val="10"/>
        <w:tblW w:w="876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123781E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52" w:hRule="atLeast"/>
        </w:trPr>
        <w:tc>
          <w:tcPr>
            <w:tcW w:w="8766" w:type="dxa"/>
            <w:vAlign w:val="top"/>
          </w:tcPr>
          <w:p w14:paraId="2C611748">
            <w:pPr>
              <w:rPr>
                <w:rFonts w:ascii="Arial"/>
                <w:sz w:val="21"/>
              </w:rPr>
            </w:pPr>
          </w:p>
        </w:tc>
      </w:tr>
    </w:tbl>
    <w:p w14:paraId="007778DD">
      <w:pPr>
        <w:pStyle w:val="5"/>
      </w:pPr>
    </w:p>
    <w:p w14:paraId="21CD4FF5">
      <w:pPr>
        <w:sectPr>
          <w:footerReference r:id="rId152" w:type="default"/>
          <w:pgSz w:w="11905" w:h="16843"/>
          <w:pgMar w:top="969" w:right="1355" w:bottom="1026" w:left="1480" w:header="0" w:footer="754" w:gutter="0"/>
          <w:cols w:space="0" w:num="1"/>
          <w:rtlGutter w:val="0"/>
          <w:docGrid w:linePitch="0" w:charSpace="0"/>
        </w:sectPr>
      </w:pPr>
    </w:p>
    <w:p w14:paraId="559EA38A">
      <w:pPr>
        <w:pStyle w:val="5"/>
        <w:spacing w:line="265" w:lineRule="auto"/>
      </w:pPr>
    </w:p>
    <w:p w14:paraId="03082ADE">
      <w:pPr>
        <w:pStyle w:val="5"/>
        <w:spacing w:line="265" w:lineRule="auto"/>
      </w:pPr>
    </w:p>
    <w:p w14:paraId="314BD70A">
      <w:pPr>
        <w:pStyle w:val="5"/>
        <w:spacing w:line="266" w:lineRule="auto"/>
      </w:pPr>
    </w:p>
    <w:p w14:paraId="3E7A99AA">
      <w:pPr>
        <w:pStyle w:val="5"/>
        <w:spacing w:line="266" w:lineRule="auto"/>
      </w:pPr>
    </w:p>
    <w:p w14:paraId="1800F7E5">
      <w:pPr>
        <w:pStyle w:val="5"/>
        <w:spacing w:line="266" w:lineRule="auto"/>
      </w:pPr>
    </w:p>
    <w:p w14:paraId="2F6609F8">
      <w:pPr>
        <w:spacing w:before="78" w:line="233" w:lineRule="auto"/>
        <w:ind w:left="9"/>
        <w:outlineLvl w:val="2"/>
        <w:rPr>
          <w:rFonts w:ascii="黑体" w:hAnsi="黑体" w:eastAsia="黑体" w:cs="黑体"/>
          <w:sz w:val="24"/>
          <w:szCs w:val="24"/>
        </w:rPr>
      </w:pPr>
      <w:bookmarkStart w:id="1251" w:name="bookmark377"/>
      <w:bookmarkEnd w:id="1251"/>
      <w:r>
        <w:rPr>
          <w:rFonts w:ascii="Times New Roman" w:hAnsi="Times New Roman" w:eastAsia="Times New Roman" w:cs="Times New Roman"/>
          <w:spacing w:val="-1"/>
          <w:sz w:val="24"/>
          <w:szCs w:val="24"/>
        </w:rPr>
        <w:t xml:space="preserve">3.3 </w:t>
      </w:r>
      <w:r>
        <w:rPr>
          <w:rFonts w:ascii="黑体" w:hAnsi="黑体" w:eastAsia="黑体" w:cs="黑体"/>
          <w:spacing w:val="-1"/>
          <w:sz w:val="24"/>
          <w:szCs w:val="24"/>
        </w:rPr>
        <w:t>投标总价封面</w:t>
      </w:r>
    </w:p>
    <w:p w14:paraId="09276A3C">
      <w:pPr>
        <w:pStyle w:val="5"/>
        <w:spacing w:line="431" w:lineRule="auto"/>
      </w:pPr>
    </w:p>
    <w:p w14:paraId="0FDB47CD">
      <w:pPr>
        <w:tabs>
          <w:tab w:val="left" w:pos="6489"/>
        </w:tabs>
        <w:spacing w:before="130" w:line="221" w:lineRule="auto"/>
        <w:rPr>
          <w:rFonts w:ascii="宋体" w:hAnsi="宋体" w:eastAsia="宋体" w:cs="宋体"/>
          <w:sz w:val="40"/>
          <w:szCs w:val="40"/>
        </w:rPr>
      </w:pPr>
      <w:bookmarkStart w:id="1252" w:name="bookmark611"/>
      <w:bookmarkEnd w:id="1252"/>
      <w:r>
        <w:rPr>
          <w:rFonts w:ascii="宋体" w:hAnsi="宋体" w:eastAsia="宋体" w:cs="宋体"/>
          <w:sz w:val="40"/>
          <w:szCs w:val="40"/>
          <w:u w:val="single" w:color="auto"/>
        </w:rPr>
        <w:tab/>
      </w:r>
      <w:r>
        <w:rPr>
          <w:rFonts w:ascii="宋体" w:hAnsi="宋体" w:eastAsia="宋体" w:cs="宋体"/>
          <w:spacing w:val="-10"/>
          <w:sz w:val="40"/>
          <w:szCs w:val="40"/>
          <w:u w:val="single" w:color="auto"/>
        </w:rPr>
        <w:t>工程</w:t>
      </w:r>
      <w:r>
        <w:rPr>
          <w:rFonts w:ascii="宋体" w:hAnsi="宋体" w:eastAsia="宋体" w:cs="宋体"/>
          <w:sz w:val="40"/>
          <w:szCs w:val="40"/>
          <w:u w:val="single" w:color="auto"/>
        </w:rPr>
        <w:t xml:space="preserve">         </w:t>
      </w:r>
    </w:p>
    <w:p w14:paraId="2B8BC61E">
      <w:pPr>
        <w:spacing w:before="219" w:line="218" w:lineRule="auto"/>
        <w:ind w:left="3107"/>
        <w:rPr>
          <w:rFonts w:ascii="宋体" w:hAnsi="宋体" w:eastAsia="宋体" w:cs="宋体"/>
          <w:sz w:val="36"/>
          <w:szCs w:val="36"/>
        </w:rPr>
      </w:pPr>
      <w:r>
        <w:rPr>
          <w:rFonts w:ascii="宋体" w:hAnsi="宋体" w:eastAsia="宋体" w:cs="宋体"/>
          <w:spacing w:val="-3"/>
          <w:sz w:val="36"/>
          <w:szCs w:val="36"/>
        </w:rPr>
        <w:t>工程量清单报价表</w:t>
      </w:r>
    </w:p>
    <w:p w14:paraId="1643019F">
      <w:pPr>
        <w:pStyle w:val="5"/>
        <w:spacing w:line="244" w:lineRule="auto"/>
      </w:pPr>
    </w:p>
    <w:p w14:paraId="67F46601">
      <w:pPr>
        <w:spacing w:before="101" w:line="225" w:lineRule="auto"/>
        <w:ind w:left="3412"/>
        <w:rPr>
          <w:rFonts w:ascii="宋体" w:hAnsi="宋体" w:eastAsia="宋体" w:cs="宋体"/>
          <w:sz w:val="31"/>
          <w:szCs w:val="31"/>
        </w:rPr>
      </w:pPr>
      <w:r>
        <w:rPr>
          <w:rFonts w:ascii="宋体" w:hAnsi="宋体" w:eastAsia="宋体" w:cs="宋体"/>
          <w:spacing w:val="26"/>
          <w:sz w:val="31"/>
          <w:szCs w:val="31"/>
        </w:rPr>
        <w:t>合同编号：()</w:t>
      </w:r>
    </w:p>
    <w:p w14:paraId="3BC1B6AB">
      <w:pPr>
        <w:pStyle w:val="5"/>
        <w:spacing w:line="245" w:lineRule="auto"/>
      </w:pPr>
    </w:p>
    <w:p w14:paraId="7421214D">
      <w:pPr>
        <w:pStyle w:val="5"/>
        <w:spacing w:line="245" w:lineRule="auto"/>
      </w:pPr>
    </w:p>
    <w:p w14:paraId="009948AC">
      <w:pPr>
        <w:pStyle w:val="5"/>
        <w:spacing w:line="245" w:lineRule="auto"/>
      </w:pPr>
    </w:p>
    <w:p w14:paraId="38A29590">
      <w:pPr>
        <w:pStyle w:val="5"/>
        <w:spacing w:line="245" w:lineRule="auto"/>
      </w:pPr>
    </w:p>
    <w:p w14:paraId="4294494F">
      <w:pPr>
        <w:pStyle w:val="5"/>
        <w:spacing w:line="245" w:lineRule="auto"/>
      </w:pPr>
    </w:p>
    <w:p w14:paraId="69BB68CA">
      <w:pPr>
        <w:pStyle w:val="5"/>
        <w:spacing w:line="245" w:lineRule="auto"/>
      </w:pPr>
    </w:p>
    <w:p w14:paraId="28AC9DD2">
      <w:pPr>
        <w:pStyle w:val="5"/>
        <w:spacing w:line="246" w:lineRule="auto"/>
      </w:pPr>
    </w:p>
    <w:p w14:paraId="3044080A">
      <w:pPr>
        <w:tabs>
          <w:tab w:val="left" w:pos="12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投标人</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w:t>
      </w:r>
      <w:r>
        <w:rPr>
          <w:rFonts w:ascii="宋体" w:hAnsi="宋体" w:eastAsia="宋体" w:cs="宋体"/>
          <w:spacing w:val="-2"/>
          <w:sz w:val="24"/>
          <w:szCs w:val="24"/>
          <w:u w:val="single" w:color="auto"/>
        </w:rPr>
        <w:t>单位盖章）</w:t>
      </w:r>
      <w:r>
        <w:rPr>
          <w:rFonts w:ascii="宋体" w:hAnsi="宋体" w:eastAsia="宋体" w:cs="宋体"/>
          <w:sz w:val="24"/>
          <w:szCs w:val="24"/>
          <w:u w:val="single" w:color="auto"/>
        </w:rPr>
        <w:t xml:space="preserve">         </w:t>
      </w:r>
    </w:p>
    <w:p w14:paraId="174A7370">
      <w:pPr>
        <w:pStyle w:val="5"/>
        <w:spacing w:line="253" w:lineRule="auto"/>
      </w:pPr>
    </w:p>
    <w:p w14:paraId="4712FEFC">
      <w:pPr>
        <w:pStyle w:val="5"/>
        <w:spacing w:line="253" w:lineRule="auto"/>
      </w:pPr>
    </w:p>
    <w:p w14:paraId="74B224FF">
      <w:pPr>
        <w:pStyle w:val="5"/>
        <w:spacing w:line="253" w:lineRule="auto"/>
      </w:pPr>
    </w:p>
    <w:p w14:paraId="2A236B84">
      <w:pPr>
        <w:pStyle w:val="5"/>
        <w:spacing w:line="253" w:lineRule="auto"/>
      </w:pPr>
    </w:p>
    <w:p w14:paraId="6FC37523">
      <w:pPr>
        <w:pStyle w:val="5"/>
        <w:spacing w:line="254" w:lineRule="auto"/>
      </w:pPr>
    </w:p>
    <w:p w14:paraId="18851219">
      <w:pPr>
        <w:tabs>
          <w:tab w:val="left" w:pos="118"/>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法定代表人：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（签字盖章）</w:t>
      </w:r>
      <w:r>
        <w:rPr>
          <w:rFonts w:ascii="宋体" w:hAnsi="宋体" w:eastAsia="宋体" w:cs="宋体"/>
          <w:sz w:val="24"/>
          <w:szCs w:val="24"/>
          <w:u w:val="single" w:color="auto"/>
        </w:rPr>
        <w:t xml:space="preserve">         </w:t>
      </w:r>
    </w:p>
    <w:p w14:paraId="26F068F0">
      <w:pPr>
        <w:pStyle w:val="5"/>
        <w:spacing w:line="302" w:lineRule="auto"/>
      </w:pPr>
    </w:p>
    <w:p w14:paraId="73EE3098">
      <w:pPr>
        <w:pStyle w:val="5"/>
        <w:spacing w:line="302" w:lineRule="auto"/>
      </w:pPr>
    </w:p>
    <w:p w14:paraId="1B59FFCE">
      <w:pPr>
        <w:pStyle w:val="5"/>
        <w:spacing w:line="302" w:lineRule="auto"/>
      </w:pPr>
    </w:p>
    <w:p w14:paraId="387E7F8E">
      <w:pPr>
        <w:spacing w:before="79" w:line="218" w:lineRule="auto"/>
        <w:ind w:left="116"/>
        <w:rPr>
          <w:rFonts w:ascii="宋体" w:hAnsi="宋体" w:eastAsia="宋体" w:cs="宋体"/>
          <w:sz w:val="24"/>
          <w:szCs w:val="24"/>
        </w:rPr>
      </w:pPr>
      <w:r>
        <w:rPr>
          <w:rFonts w:ascii="宋体" w:hAnsi="宋体" w:eastAsia="宋体" w:cs="宋体"/>
          <w:spacing w:val="-8"/>
          <w:sz w:val="24"/>
          <w:szCs w:val="24"/>
        </w:rPr>
        <w:t>造</w:t>
      </w:r>
      <w:r>
        <w:rPr>
          <w:rFonts w:ascii="宋体" w:hAnsi="宋体" w:eastAsia="宋体" w:cs="宋体"/>
          <w:spacing w:val="5"/>
          <w:sz w:val="24"/>
          <w:szCs w:val="24"/>
        </w:rPr>
        <w:t xml:space="preserve">  </w:t>
      </w:r>
      <w:r>
        <w:rPr>
          <w:rFonts w:ascii="宋体" w:hAnsi="宋体" w:eastAsia="宋体" w:cs="宋体"/>
          <w:spacing w:val="-8"/>
          <w:sz w:val="24"/>
          <w:szCs w:val="24"/>
        </w:rPr>
        <w:t>价</w:t>
      </w:r>
      <w:r>
        <w:rPr>
          <w:rFonts w:ascii="宋体" w:hAnsi="宋体" w:eastAsia="宋体" w:cs="宋体"/>
          <w:spacing w:val="6"/>
          <w:sz w:val="24"/>
          <w:szCs w:val="24"/>
        </w:rPr>
        <w:t xml:space="preserve">  </w:t>
      </w:r>
      <w:r>
        <w:rPr>
          <w:rFonts w:ascii="宋体" w:hAnsi="宋体" w:eastAsia="宋体" w:cs="宋体"/>
          <w:spacing w:val="-8"/>
          <w:sz w:val="24"/>
          <w:szCs w:val="24"/>
        </w:rPr>
        <w:t>工</w:t>
      </w:r>
      <w:r>
        <w:rPr>
          <w:rFonts w:ascii="宋体" w:hAnsi="宋体" w:eastAsia="宋体" w:cs="宋体"/>
          <w:spacing w:val="4"/>
          <w:sz w:val="24"/>
          <w:szCs w:val="24"/>
        </w:rPr>
        <w:t xml:space="preserve">  </w:t>
      </w:r>
      <w:r>
        <w:rPr>
          <w:rFonts w:ascii="宋体" w:hAnsi="宋体" w:eastAsia="宋体" w:cs="宋体"/>
          <w:spacing w:val="-8"/>
          <w:sz w:val="24"/>
          <w:szCs w:val="24"/>
        </w:rPr>
        <w:t>程</w:t>
      </w:r>
      <w:r>
        <w:rPr>
          <w:rFonts w:ascii="宋体" w:hAnsi="宋体" w:eastAsia="宋体" w:cs="宋体"/>
          <w:spacing w:val="6"/>
          <w:sz w:val="24"/>
          <w:szCs w:val="24"/>
        </w:rPr>
        <w:t xml:space="preserve">  </w:t>
      </w:r>
      <w:r>
        <w:rPr>
          <w:rFonts w:ascii="宋体" w:hAnsi="宋体" w:eastAsia="宋体" w:cs="宋体"/>
          <w:spacing w:val="-8"/>
          <w:sz w:val="24"/>
          <w:szCs w:val="24"/>
        </w:rPr>
        <w:t>师</w:t>
      </w:r>
    </w:p>
    <w:p w14:paraId="22B9AA72">
      <w:pPr>
        <w:tabs>
          <w:tab w:val="left" w:pos="116"/>
        </w:tabs>
        <w:spacing w:before="2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及  注  册</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证</w:t>
      </w:r>
      <w:r>
        <w:rPr>
          <w:rFonts w:ascii="宋体" w:hAnsi="宋体" w:eastAsia="宋体" w:cs="宋体"/>
          <w:spacing w:val="8"/>
          <w:sz w:val="24"/>
          <w:szCs w:val="24"/>
          <w:u w:val="single" w:color="auto"/>
        </w:rPr>
        <w:t xml:space="preserve">  </w:t>
      </w:r>
      <w:r>
        <w:rPr>
          <w:rFonts w:ascii="宋体" w:hAnsi="宋体" w:eastAsia="宋体" w:cs="宋体"/>
          <w:spacing w:val="-2"/>
          <w:sz w:val="24"/>
          <w:szCs w:val="24"/>
          <w:u w:val="single" w:color="auto"/>
        </w:rPr>
        <w:t>号</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w:t>
      </w:r>
      <w:r>
        <w:rPr>
          <w:rFonts w:ascii="宋体" w:hAnsi="宋体" w:eastAsia="宋体" w:cs="宋体"/>
          <w:spacing w:val="-2"/>
          <w:sz w:val="24"/>
          <w:szCs w:val="24"/>
          <w:u w:val="single" w:color="auto"/>
        </w:rPr>
        <w:t>签字盖执业专用章）</w:t>
      </w:r>
      <w:r>
        <w:rPr>
          <w:rFonts w:ascii="宋体" w:hAnsi="宋体" w:eastAsia="宋体" w:cs="宋体"/>
          <w:spacing w:val="6"/>
          <w:sz w:val="24"/>
          <w:szCs w:val="24"/>
          <w:u w:val="single" w:color="auto"/>
        </w:rPr>
        <w:t xml:space="preserve"> </w:t>
      </w:r>
    </w:p>
    <w:p w14:paraId="351686ED">
      <w:pPr>
        <w:pStyle w:val="5"/>
        <w:spacing w:line="256" w:lineRule="auto"/>
      </w:pPr>
    </w:p>
    <w:p w14:paraId="6B233E59">
      <w:pPr>
        <w:pStyle w:val="5"/>
        <w:spacing w:line="256" w:lineRule="auto"/>
      </w:pPr>
    </w:p>
    <w:p w14:paraId="2EA86AA8">
      <w:pPr>
        <w:pStyle w:val="5"/>
        <w:spacing w:line="256" w:lineRule="auto"/>
      </w:pPr>
    </w:p>
    <w:p w14:paraId="1E9937A7">
      <w:pPr>
        <w:pStyle w:val="5"/>
        <w:spacing w:line="256" w:lineRule="auto"/>
      </w:pPr>
    </w:p>
    <w:p w14:paraId="1467226C">
      <w:pPr>
        <w:pStyle w:val="5"/>
        <w:spacing w:line="256" w:lineRule="auto"/>
      </w:pPr>
    </w:p>
    <w:p w14:paraId="0FF0FC2A">
      <w:pPr>
        <w:pStyle w:val="5"/>
        <w:spacing w:line="256" w:lineRule="auto"/>
      </w:pPr>
    </w:p>
    <w:p w14:paraId="6DDEC036">
      <w:pPr>
        <w:spacing w:before="78" w:line="220" w:lineRule="auto"/>
        <w:ind w:left="119"/>
        <w:rPr>
          <w:rFonts w:ascii="宋体" w:hAnsi="宋体" w:eastAsia="宋体" w:cs="宋体"/>
          <w:sz w:val="24"/>
          <w:szCs w:val="24"/>
        </w:rPr>
      </w:pPr>
      <w:r>
        <w:rPr>
          <w:rFonts w:ascii="宋体" w:hAnsi="宋体" w:eastAsia="宋体" w:cs="宋体"/>
          <w:spacing w:val="-15"/>
          <w:sz w:val="24"/>
          <w:szCs w:val="24"/>
        </w:rPr>
        <w:t>编</w:t>
      </w:r>
      <w:r>
        <w:rPr>
          <w:rFonts w:ascii="宋体" w:hAnsi="宋体" w:eastAsia="宋体" w:cs="宋体"/>
          <w:spacing w:val="7"/>
          <w:sz w:val="24"/>
          <w:szCs w:val="24"/>
        </w:rPr>
        <w:t xml:space="preserve">  </w:t>
      </w:r>
      <w:r>
        <w:rPr>
          <w:rFonts w:ascii="宋体" w:hAnsi="宋体" w:eastAsia="宋体" w:cs="宋体"/>
          <w:spacing w:val="-15"/>
          <w:sz w:val="24"/>
          <w:szCs w:val="24"/>
        </w:rPr>
        <w:t>制</w:t>
      </w:r>
      <w:r>
        <w:rPr>
          <w:rFonts w:ascii="宋体" w:hAnsi="宋体" w:eastAsia="宋体" w:cs="宋体"/>
          <w:spacing w:val="10"/>
          <w:sz w:val="24"/>
          <w:szCs w:val="24"/>
        </w:rPr>
        <w:t xml:space="preserve">  </w:t>
      </w:r>
      <w:r>
        <w:rPr>
          <w:rFonts w:ascii="宋体" w:hAnsi="宋体" w:eastAsia="宋体" w:cs="宋体"/>
          <w:spacing w:val="-15"/>
          <w:sz w:val="24"/>
          <w:szCs w:val="24"/>
        </w:rPr>
        <w:t>时</w:t>
      </w:r>
      <w:r>
        <w:rPr>
          <w:rFonts w:ascii="宋体" w:hAnsi="宋体" w:eastAsia="宋体" w:cs="宋体"/>
          <w:spacing w:val="14"/>
          <w:sz w:val="24"/>
          <w:szCs w:val="24"/>
        </w:rPr>
        <w:t xml:space="preserve">  </w:t>
      </w:r>
      <w:r>
        <w:rPr>
          <w:rFonts w:ascii="宋体" w:hAnsi="宋体" w:eastAsia="宋体" w:cs="宋体"/>
          <w:spacing w:val="-15"/>
          <w:sz w:val="24"/>
          <w:szCs w:val="24"/>
        </w:rPr>
        <w:t>间：</w:t>
      </w:r>
      <w:r>
        <w:rPr>
          <w:rFonts w:ascii="宋体" w:hAnsi="宋体" w:eastAsia="宋体" w:cs="宋体"/>
          <w:spacing w:val="10"/>
          <w:sz w:val="24"/>
          <w:szCs w:val="24"/>
        </w:rPr>
        <w:t xml:space="preserve">     </w:t>
      </w:r>
      <w:r>
        <w:rPr>
          <w:rFonts w:ascii="宋体" w:hAnsi="宋体" w:eastAsia="宋体" w:cs="宋体"/>
          <w:sz w:val="24"/>
          <w:szCs w:val="24"/>
          <w:u w:val="single" w:color="auto"/>
        </w:rPr>
        <w:t xml:space="preserve">                                </w:t>
      </w:r>
    </w:p>
    <w:p w14:paraId="28CDC1C1">
      <w:pPr>
        <w:spacing w:line="220" w:lineRule="auto"/>
        <w:rPr>
          <w:rFonts w:ascii="宋体" w:hAnsi="宋体" w:eastAsia="宋体" w:cs="宋体"/>
          <w:sz w:val="24"/>
          <w:szCs w:val="24"/>
        </w:rPr>
        <w:sectPr>
          <w:footerReference r:id="rId153" w:type="default"/>
          <w:pgSz w:w="11905" w:h="16843"/>
          <w:pgMar w:top="969" w:right="1355" w:bottom="1026" w:left="1480" w:header="0" w:footer="754" w:gutter="0"/>
          <w:cols w:space="0" w:num="1"/>
          <w:rtlGutter w:val="0"/>
          <w:docGrid w:linePitch="0" w:charSpace="0"/>
        </w:sectPr>
      </w:pPr>
    </w:p>
    <w:p w14:paraId="7E1BCBCE">
      <w:pPr>
        <w:pStyle w:val="5"/>
        <w:spacing w:line="265" w:lineRule="auto"/>
      </w:pPr>
    </w:p>
    <w:p w14:paraId="1A0ED01A">
      <w:pPr>
        <w:pStyle w:val="5"/>
        <w:spacing w:line="265" w:lineRule="auto"/>
      </w:pPr>
    </w:p>
    <w:p w14:paraId="1F275099">
      <w:pPr>
        <w:pStyle w:val="5"/>
        <w:spacing w:line="266" w:lineRule="auto"/>
      </w:pPr>
    </w:p>
    <w:p w14:paraId="3EFA083D">
      <w:pPr>
        <w:pStyle w:val="5"/>
        <w:spacing w:line="266" w:lineRule="auto"/>
      </w:pPr>
    </w:p>
    <w:p w14:paraId="5123C171">
      <w:pPr>
        <w:pStyle w:val="5"/>
        <w:spacing w:line="266" w:lineRule="auto"/>
      </w:pPr>
    </w:p>
    <w:p w14:paraId="6EFB8D5A">
      <w:pPr>
        <w:spacing w:before="78" w:line="233" w:lineRule="auto"/>
        <w:ind w:left="9"/>
        <w:outlineLvl w:val="2"/>
        <w:rPr>
          <w:rFonts w:ascii="黑体" w:hAnsi="黑体" w:eastAsia="黑体" w:cs="黑体"/>
          <w:sz w:val="24"/>
          <w:szCs w:val="24"/>
        </w:rPr>
      </w:pPr>
      <w:bookmarkStart w:id="1253" w:name="bookmark378"/>
      <w:bookmarkEnd w:id="1253"/>
      <w:r>
        <w:rPr>
          <w:rFonts w:ascii="Times New Roman" w:hAnsi="Times New Roman" w:eastAsia="Times New Roman" w:cs="Times New Roman"/>
          <w:spacing w:val="-1"/>
          <w:sz w:val="24"/>
          <w:szCs w:val="24"/>
        </w:rPr>
        <w:t xml:space="preserve">3.4 </w:t>
      </w:r>
      <w:r>
        <w:rPr>
          <w:rFonts w:ascii="黑体" w:hAnsi="黑体" w:eastAsia="黑体" w:cs="黑体"/>
          <w:spacing w:val="-1"/>
          <w:sz w:val="24"/>
          <w:szCs w:val="24"/>
        </w:rPr>
        <w:t>投标总价</w:t>
      </w:r>
    </w:p>
    <w:p w14:paraId="7E5F0627">
      <w:pPr>
        <w:pStyle w:val="5"/>
        <w:spacing w:line="350" w:lineRule="auto"/>
      </w:pPr>
    </w:p>
    <w:p w14:paraId="74A4DBF2">
      <w:pPr>
        <w:pStyle w:val="5"/>
        <w:spacing w:line="350" w:lineRule="auto"/>
      </w:pPr>
    </w:p>
    <w:p w14:paraId="54F4AEB1">
      <w:pPr>
        <w:spacing w:before="130" w:line="218" w:lineRule="auto"/>
        <w:ind w:left="3556"/>
        <w:rPr>
          <w:rFonts w:ascii="宋体" w:hAnsi="宋体" w:eastAsia="宋体" w:cs="宋体"/>
          <w:sz w:val="40"/>
          <w:szCs w:val="40"/>
        </w:rPr>
      </w:pPr>
      <w:bookmarkStart w:id="1254" w:name="bookmark612"/>
      <w:bookmarkEnd w:id="1254"/>
      <w:r>
        <w:rPr>
          <w:rFonts w:ascii="宋体" w:hAnsi="宋体" w:eastAsia="宋体" w:cs="宋体"/>
          <w:b/>
          <w:bCs/>
          <w:spacing w:val="-20"/>
          <w:sz w:val="40"/>
          <w:szCs w:val="40"/>
        </w:rPr>
        <w:t>投</w:t>
      </w:r>
      <w:r>
        <w:rPr>
          <w:rFonts w:ascii="宋体" w:hAnsi="宋体" w:eastAsia="宋体" w:cs="宋体"/>
          <w:spacing w:val="10"/>
          <w:sz w:val="40"/>
          <w:szCs w:val="40"/>
        </w:rPr>
        <w:t xml:space="preserve">  </w:t>
      </w:r>
      <w:r>
        <w:rPr>
          <w:rFonts w:ascii="宋体" w:hAnsi="宋体" w:eastAsia="宋体" w:cs="宋体"/>
          <w:b/>
          <w:bCs/>
          <w:spacing w:val="-20"/>
          <w:sz w:val="40"/>
          <w:szCs w:val="40"/>
        </w:rPr>
        <w:t>标</w:t>
      </w:r>
      <w:r>
        <w:rPr>
          <w:rFonts w:ascii="宋体" w:hAnsi="宋体" w:eastAsia="宋体" w:cs="宋体"/>
          <w:spacing w:val="15"/>
          <w:sz w:val="40"/>
          <w:szCs w:val="40"/>
        </w:rPr>
        <w:t xml:space="preserve">  </w:t>
      </w:r>
      <w:r>
        <w:rPr>
          <w:rFonts w:ascii="宋体" w:hAnsi="宋体" w:eastAsia="宋体" w:cs="宋体"/>
          <w:b/>
          <w:bCs/>
          <w:spacing w:val="-20"/>
          <w:sz w:val="40"/>
          <w:szCs w:val="40"/>
        </w:rPr>
        <w:t>总</w:t>
      </w:r>
      <w:r>
        <w:rPr>
          <w:rFonts w:ascii="宋体" w:hAnsi="宋体" w:eastAsia="宋体" w:cs="宋体"/>
          <w:spacing w:val="9"/>
          <w:sz w:val="40"/>
          <w:szCs w:val="40"/>
        </w:rPr>
        <w:t xml:space="preserve">  </w:t>
      </w:r>
      <w:r>
        <w:rPr>
          <w:rFonts w:ascii="宋体" w:hAnsi="宋体" w:eastAsia="宋体" w:cs="宋体"/>
          <w:b/>
          <w:bCs/>
          <w:spacing w:val="-20"/>
          <w:sz w:val="40"/>
          <w:szCs w:val="40"/>
        </w:rPr>
        <w:t>价</w:t>
      </w:r>
    </w:p>
    <w:p w14:paraId="58758469">
      <w:pPr>
        <w:pStyle w:val="5"/>
        <w:spacing w:line="254" w:lineRule="auto"/>
      </w:pPr>
    </w:p>
    <w:p w14:paraId="2CA0AB11">
      <w:pPr>
        <w:pStyle w:val="5"/>
        <w:spacing w:line="254" w:lineRule="auto"/>
      </w:pPr>
    </w:p>
    <w:p w14:paraId="456115A2">
      <w:pPr>
        <w:pStyle w:val="5"/>
        <w:spacing w:line="254" w:lineRule="auto"/>
      </w:pPr>
    </w:p>
    <w:p w14:paraId="33BC8C50">
      <w:pPr>
        <w:pStyle w:val="5"/>
        <w:spacing w:line="254" w:lineRule="auto"/>
      </w:pPr>
    </w:p>
    <w:p w14:paraId="4BFF38C6">
      <w:pPr>
        <w:pStyle w:val="5"/>
        <w:spacing w:line="254" w:lineRule="auto"/>
      </w:pPr>
    </w:p>
    <w:p w14:paraId="2A3FB334">
      <w:pPr>
        <w:pStyle w:val="5"/>
        <w:spacing w:line="255" w:lineRule="auto"/>
      </w:pPr>
    </w:p>
    <w:p w14:paraId="3A193B7D">
      <w:pPr>
        <w:pStyle w:val="5"/>
        <w:spacing w:line="255" w:lineRule="auto"/>
      </w:pPr>
    </w:p>
    <w:p w14:paraId="6589C108">
      <w:pPr>
        <w:pStyle w:val="5"/>
        <w:spacing w:line="255" w:lineRule="auto"/>
      </w:pPr>
    </w:p>
    <w:p w14:paraId="7CCEF329">
      <w:pPr>
        <w:pStyle w:val="5"/>
        <w:spacing w:line="255" w:lineRule="auto"/>
      </w:pPr>
    </w:p>
    <w:p w14:paraId="29850BBE">
      <w:pPr>
        <w:pStyle w:val="5"/>
        <w:spacing w:line="255" w:lineRule="auto"/>
      </w:pPr>
    </w:p>
    <w:p w14:paraId="630C0A69">
      <w:pPr>
        <w:pStyle w:val="5"/>
        <w:spacing w:line="255" w:lineRule="auto"/>
      </w:pPr>
    </w:p>
    <w:p w14:paraId="47FBBBBC">
      <w:pPr>
        <w:pStyle w:val="5"/>
        <w:spacing w:line="255" w:lineRule="auto"/>
      </w:pPr>
    </w:p>
    <w:p w14:paraId="4ABC004D">
      <w:pPr>
        <w:pStyle w:val="5"/>
        <w:spacing w:line="255" w:lineRule="auto"/>
      </w:pPr>
    </w:p>
    <w:p w14:paraId="098BD201">
      <w:pPr>
        <w:pStyle w:val="5"/>
        <w:spacing w:line="255" w:lineRule="auto"/>
      </w:pPr>
    </w:p>
    <w:p w14:paraId="1C48AB36">
      <w:pPr>
        <w:pStyle w:val="5"/>
        <w:spacing w:line="255" w:lineRule="auto"/>
      </w:pPr>
    </w:p>
    <w:p w14:paraId="785A9979">
      <w:pPr>
        <w:pStyle w:val="5"/>
        <w:spacing w:line="255" w:lineRule="auto"/>
      </w:pPr>
    </w:p>
    <w:p w14:paraId="44E1188F">
      <w:pPr>
        <w:tabs>
          <w:tab w:val="left" w:pos="121"/>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4"/>
          <w:sz w:val="24"/>
          <w:szCs w:val="24"/>
          <w:u w:val="single" w:color="auto"/>
        </w:rPr>
        <w:t>项</w:t>
      </w:r>
      <w:r>
        <w:rPr>
          <w:rFonts w:ascii="宋体" w:hAnsi="宋体" w:eastAsia="宋体" w:cs="宋体"/>
          <w:spacing w:val="27"/>
          <w:sz w:val="24"/>
          <w:szCs w:val="24"/>
          <w:u w:val="single" w:color="auto"/>
        </w:rPr>
        <w:t xml:space="preserve">  </w:t>
      </w:r>
      <w:r>
        <w:rPr>
          <w:rFonts w:ascii="宋体" w:hAnsi="宋体" w:eastAsia="宋体" w:cs="宋体"/>
          <w:spacing w:val="-24"/>
          <w:sz w:val="24"/>
          <w:szCs w:val="24"/>
          <w:u w:val="single" w:color="auto"/>
        </w:rPr>
        <w:t>目</w:t>
      </w:r>
      <w:r>
        <w:rPr>
          <w:rFonts w:ascii="宋体" w:hAnsi="宋体" w:eastAsia="宋体" w:cs="宋体"/>
          <w:spacing w:val="6"/>
          <w:sz w:val="24"/>
          <w:szCs w:val="24"/>
          <w:u w:val="single" w:color="auto"/>
        </w:rPr>
        <w:t xml:space="preserve">  </w:t>
      </w:r>
      <w:r>
        <w:rPr>
          <w:rFonts w:ascii="宋体" w:hAnsi="宋体" w:eastAsia="宋体" w:cs="宋体"/>
          <w:spacing w:val="-24"/>
          <w:sz w:val="24"/>
          <w:szCs w:val="24"/>
          <w:u w:val="single" w:color="auto"/>
        </w:rPr>
        <w:t>名</w:t>
      </w:r>
      <w:r>
        <w:rPr>
          <w:rFonts w:ascii="宋体" w:hAnsi="宋体" w:eastAsia="宋体" w:cs="宋体"/>
          <w:spacing w:val="5"/>
          <w:sz w:val="24"/>
          <w:szCs w:val="24"/>
          <w:u w:val="single" w:color="auto"/>
        </w:rPr>
        <w:t xml:space="preserve">  </w:t>
      </w:r>
      <w:r>
        <w:rPr>
          <w:rFonts w:ascii="宋体" w:hAnsi="宋体" w:eastAsia="宋体" w:cs="宋体"/>
          <w:spacing w:val="-24"/>
          <w:sz w:val="24"/>
          <w:szCs w:val="24"/>
          <w:u w:val="single" w:color="auto"/>
        </w:rPr>
        <w:t>称</w:t>
      </w:r>
      <w:r>
        <w:rPr>
          <w:rFonts w:ascii="宋体" w:hAnsi="宋体" w:eastAsia="宋体" w:cs="宋体"/>
          <w:spacing w:val="15"/>
          <w:sz w:val="24"/>
          <w:szCs w:val="24"/>
          <w:u w:val="single" w:color="auto"/>
        </w:rPr>
        <w:t xml:space="preserve">  </w:t>
      </w:r>
      <w:r>
        <w:rPr>
          <w:rFonts w:ascii="宋体" w:hAnsi="宋体" w:eastAsia="宋体" w:cs="宋体"/>
          <w:spacing w:val="-24"/>
          <w:sz w:val="24"/>
          <w:szCs w:val="24"/>
          <w:u w:val="single" w:color="auto"/>
        </w:rPr>
        <w:t>：</w:t>
      </w:r>
      <w:r>
        <w:rPr>
          <w:rFonts w:ascii="宋体" w:hAnsi="宋体" w:eastAsia="宋体" w:cs="宋体"/>
          <w:sz w:val="24"/>
          <w:szCs w:val="24"/>
          <w:u w:val="single" w:color="auto"/>
        </w:rPr>
        <w:t xml:space="preserve">                                                           </w:t>
      </w:r>
    </w:p>
    <w:p w14:paraId="52B9B20E">
      <w:pPr>
        <w:pStyle w:val="5"/>
        <w:spacing w:line="410" w:lineRule="auto"/>
      </w:pPr>
    </w:p>
    <w:p w14:paraId="2BC7756B">
      <w:pPr>
        <w:tabs>
          <w:tab w:val="left" w:pos="118"/>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u w:val="single" w:color="auto"/>
        </w:rPr>
        <w:t>合</w:t>
      </w:r>
      <w:r>
        <w:rPr>
          <w:rFonts w:ascii="宋体" w:hAnsi="宋体" w:eastAsia="宋体" w:cs="宋体"/>
          <w:spacing w:val="16"/>
          <w:sz w:val="24"/>
          <w:szCs w:val="24"/>
          <w:u w:val="single" w:color="auto"/>
        </w:rPr>
        <w:t xml:space="preserve">  </w:t>
      </w:r>
      <w:r>
        <w:rPr>
          <w:rFonts w:ascii="宋体" w:hAnsi="宋体" w:eastAsia="宋体" w:cs="宋体"/>
          <w:spacing w:val="-20"/>
          <w:sz w:val="24"/>
          <w:szCs w:val="24"/>
          <w:u w:val="single" w:color="auto"/>
        </w:rPr>
        <w:t>同</w:t>
      </w:r>
      <w:r>
        <w:rPr>
          <w:rFonts w:ascii="宋体" w:hAnsi="宋体" w:eastAsia="宋体" w:cs="宋体"/>
          <w:spacing w:val="5"/>
          <w:sz w:val="24"/>
          <w:szCs w:val="24"/>
          <w:u w:val="single" w:color="auto"/>
        </w:rPr>
        <w:t xml:space="preserve">  </w:t>
      </w:r>
      <w:r>
        <w:rPr>
          <w:rFonts w:ascii="宋体" w:hAnsi="宋体" w:eastAsia="宋体" w:cs="宋体"/>
          <w:spacing w:val="-20"/>
          <w:sz w:val="24"/>
          <w:szCs w:val="24"/>
          <w:u w:val="single" w:color="auto"/>
        </w:rPr>
        <w:t>编</w:t>
      </w:r>
      <w:r>
        <w:rPr>
          <w:rFonts w:ascii="宋体" w:hAnsi="宋体" w:eastAsia="宋体" w:cs="宋体"/>
          <w:spacing w:val="8"/>
          <w:sz w:val="24"/>
          <w:szCs w:val="24"/>
          <w:u w:val="single" w:color="auto"/>
        </w:rPr>
        <w:t xml:space="preserve">  </w:t>
      </w:r>
      <w:r>
        <w:rPr>
          <w:rFonts w:ascii="宋体" w:hAnsi="宋体" w:eastAsia="宋体" w:cs="宋体"/>
          <w:spacing w:val="-20"/>
          <w:sz w:val="24"/>
          <w:szCs w:val="24"/>
          <w:u w:val="single" w:color="auto"/>
        </w:rPr>
        <w:t>号</w:t>
      </w:r>
      <w:r>
        <w:rPr>
          <w:rFonts w:ascii="宋体" w:hAnsi="宋体" w:eastAsia="宋体" w:cs="宋体"/>
          <w:spacing w:val="15"/>
          <w:sz w:val="24"/>
          <w:szCs w:val="24"/>
          <w:u w:val="single" w:color="auto"/>
        </w:rPr>
        <w:t xml:space="preserve">  </w:t>
      </w:r>
      <w:r>
        <w:rPr>
          <w:rFonts w:ascii="宋体" w:hAnsi="宋体" w:eastAsia="宋体" w:cs="宋体"/>
          <w:spacing w:val="-20"/>
          <w:sz w:val="24"/>
          <w:szCs w:val="24"/>
          <w:u w:val="single" w:color="auto"/>
        </w:rPr>
        <w:t>：</w:t>
      </w:r>
      <w:r>
        <w:rPr>
          <w:rFonts w:ascii="宋体" w:hAnsi="宋体" w:eastAsia="宋体" w:cs="宋体"/>
          <w:sz w:val="24"/>
          <w:szCs w:val="24"/>
          <w:u w:val="single" w:color="auto"/>
        </w:rPr>
        <w:t xml:space="preserve">                                                           </w:t>
      </w:r>
    </w:p>
    <w:p w14:paraId="553BEB10">
      <w:pPr>
        <w:pStyle w:val="5"/>
        <w:spacing w:line="271" w:lineRule="auto"/>
      </w:pPr>
    </w:p>
    <w:p w14:paraId="70979566">
      <w:pPr>
        <w:pStyle w:val="5"/>
        <w:spacing w:line="271" w:lineRule="auto"/>
      </w:pPr>
    </w:p>
    <w:p w14:paraId="2FDF0DAC">
      <w:pPr>
        <w:tabs>
          <w:tab w:val="left" w:pos="120"/>
        </w:tabs>
        <w:spacing w:before="78" w:line="218"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投标总价（小写</w:t>
      </w:r>
      <w:r>
        <w:rPr>
          <w:rFonts w:ascii="宋体" w:hAnsi="宋体" w:eastAsia="宋体" w:cs="宋体"/>
          <w:sz w:val="24"/>
          <w:szCs w:val="24"/>
          <w:u w:val="single" w:color="auto"/>
        </w:rPr>
        <w:t xml:space="preserve">）：                                                           </w:t>
      </w:r>
    </w:p>
    <w:p w14:paraId="77769F7F">
      <w:pPr>
        <w:pStyle w:val="5"/>
        <w:spacing w:line="249" w:lineRule="auto"/>
      </w:pPr>
    </w:p>
    <w:p w14:paraId="3234E2C2">
      <w:pPr>
        <w:pStyle w:val="5"/>
        <w:spacing w:line="249" w:lineRule="auto"/>
      </w:pPr>
    </w:p>
    <w:p w14:paraId="6EC0E5FB">
      <w:pPr>
        <w:pStyle w:val="5"/>
        <w:spacing w:line="249" w:lineRule="auto"/>
      </w:pPr>
    </w:p>
    <w:p w14:paraId="52F54BD8">
      <w:pPr>
        <w:tabs>
          <w:tab w:val="left" w:pos="1203"/>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7"/>
          <w:sz w:val="24"/>
          <w:szCs w:val="24"/>
          <w:u w:val="single" w:color="auto"/>
        </w:rPr>
        <w:t>（大写）：</w:t>
      </w:r>
      <w:r>
        <w:rPr>
          <w:rFonts w:ascii="宋体" w:hAnsi="宋体" w:eastAsia="宋体" w:cs="宋体"/>
          <w:sz w:val="24"/>
          <w:szCs w:val="24"/>
          <w:u w:val="single" w:color="auto"/>
        </w:rPr>
        <w:t xml:space="preserve">                                                           </w:t>
      </w:r>
    </w:p>
    <w:p w14:paraId="6C45852A">
      <w:pPr>
        <w:pStyle w:val="5"/>
        <w:spacing w:line="282" w:lineRule="auto"/>
      </w:pPr>
    </w:p>
    <w:p w14:paraId="488225FE">
      <w:pPr>
        <w:spacing w:before="79" w:line="220" w:lineRule="auto"/>
        <w:ind w:left="7838"/>
        <w:rPr>
          <w:rFonts w:ascii="宋体" w:hAnsi="宋体" w:eastAsia="宋体" w:cs="宋体"/>
          <w:sz w:val="24"/>
          <w:szCs w:val="24"/>
        </w:rPr>
      </w:pPr>
      <w:r>
        <w:rPr>
          <w:rFonts w:ascii="宋体" w:hAnsi="宋体" w:eastAsia="宋体" w:cs="宋体"/>
          <w:spacing w:val="-4"/>
          <w:sz w:val="24"/>
          <w:szCs w:val="24"/>
        </w:rPr>
        <w:t>（单位盖</w:t>
      </w:r>
    </w:p>
    <w:p w14:paraId="4B371ABE">
      <w:pPr>
        <w:tabs>
          <w:tab w:val="left" w:pos="120"/>
        </w:tabs>
        <w:spacing w:before="26"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8"/>
          <w:sz w:val="24"/>
          <w:szCs w:val="24"/>
          <w:u w:val="single" w:color="auto"/>
        </w:rPr>
        <w:t>投</w:t>
      </w:r>
      <w:r>
        <w:rPr>
          <w:rFonts w:ascii="宋体" w:hAnsi="宋体" w:eastAsia="宋体" w:cs="宋体"/>
          <w:spacing w:val="2"/>
          <w:sz w:val="24"/>
          <w:szCs w:val="24"/>
          <w:u w:val="single" w:color="auto"/>
        </w:rPr>
        <w:t xml:space="preserve">    </w:t>
      </w:r>
      <w:r>
        <w:rPr>
          <w:rFonts w:ascii="宋体" w:hAnsi="宋体" w:eastAsia="宋体" w:cs="宋体"/>
          <w:spacing w:val="-8"/>
          <w:sz w:val="24"/>
          <w:szCs w:val="24"/>
          <w:u w:val="single" w:color="auto"/>
        </w:rPr>
        <w:t>标</w:t>
      </w:r>
      <w:r>
        <w:rPr>
          <w:rFonts w:ascii="宋体" w:hAnsi="宋体" w:eastAsia="宋体" w:cs="宋体"/>
          <w:spacing w:val="3"/>
          <w:sz w:val="24"/>
          <w:szCs w:val="24"/>
          <w:u w:val="single" w:color="auto"/>
        </w:rPr>
        <w:t xml:space="preserve">    </w:t>
      </w:r>
      <w:r>
        <w:rPr>
          <w:rFonts w:ascii="宋体" w:hAnsi="宋体" w:eastAsia="宋体" w:cs="宋体"/>
          <w:spacing w:val="-8"/>
          <w:sz w:val="24"/>
          <w:szCs w:val="24"/>
          <w:u w:val="single" w:color="auto"/>
        </w:rPr>
        <w:t>人</w:t>
      </w:r>
      <w:r>
        <w:rPr>
          <w:rFonts w:ascii="宋体" w:hAnsi="宋体" w:eastAsia="宋体" w:cs="宋体"/>
          <w:spacing w:val="15"/>
          <w:sz w:val="24"/>
          <w:szCs w:val="24"/>
          <w:u w:val="single" w:color="auto"/>
        </w:rPr>
        <w:t xml:space="preserve">  </w:t>
      </w:r>
      <w:r>
        <w:rPr>
          <w:rFonts w:ascii="宋体" w:hAnsi="宋体" w:eastAsia="宋体" w:cs="宋体"/>
          <w:spacing w:val="-8"/>
          <w:sz w:val="24"/>
          <w:szCs w:val="24"/>
          <w:u w:val="single" w:color="auto"/>
        </w:rPr>
        <w:t xml:space="preserve">：                                                 章）         </w:t>
      </w:r>
    </w:p>
    <w:p w14:paraId="719956F7">
      <w:pPr>
        <w:spacing w:before="281" w:line="220" w:lineRule="auto"/>
        <w:ind w:left="7838"/>
        <w:rPr>
          <w:rFonts w:ascii="宋体" w:hAnsi="宋体" w:eastAsia="宋体" w:cs="宋体"/>
          <w:sz w:val="24"/>
          <w:szCs w:val="24"/>
        </w:rPr>
      </w:pPr>
      <w:r>
        <w:rPr>
          <w:rFonts w:ascii="宋体" w:hAnsi="宋体" w:eastAsia="宋体" w:cs="宋体"/>
          <w:spacing w:val="-4"/>
          <w:sz w:val="24"/>
          <w:szCs w:val="24"/>
        </w:rPr>
        <w:t>（签字盖</w:t>
      </w:r>
    </w:p>
    <w:p w14:paraId="52F3E65C">
      <w:pPr>
        <w:tabs>
          <w:tab w:val="left" w:pos="118"/>
        </w:tabs>
        <w:spacing w:before="26"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8"/>
          <w:sz w:val="24"/>
          <w:szCs w:val="24"/>
          <w:u w:val="single" w:color="auto"/>
        </w:rPr>
        <w:t>法</w:t>
      </w:r>
      <w:r>
        <w:rPr>
          <w:rFonts w:ascii="宋体" w:hAnsi="宋体" w:eastAsia="宋体" w:cs="宋体"/>
          <w:spacing w:val="28"/>
          <w:sz w:val="24"/>
          <w:szCs w:val="24"/>
          <w:u w:val="single" w:color="auto"/>
        </w:rPr>
        <w:t xml:space="preserve"> </w:t>
      </w:r>
      <w:r>
        <w:rPr>
          <w:rFonts w:ascii="宋体" w:hAnsi="宋体" w:eastAsia="宋体" w:cs="宋体"/>
          <w:spacing w:val="-8"/>
          <w:sz w:val="24"/>
          <w:szCs w:val="24"/>
          <w:u w:val="single" w:color="auto"/>
        </w:rPr>
        <w:t>定 代</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rPr>
        <w:t>表</w:t>
      </w:r>
      <w:r>
        <w:rPr>
          <w:rFonts w:ascii="宋体" w:hAnsi="宋体" w:eastAsia="宋体" w:cs="宋体"/>
          <w:spacing w:val="11"/>
          <w:sz w:val="24"/>
          <w:szCs w:val="24"/>
          <w:u w:val="single" w:color="auto"/>
        </w:rPr>
        <w:t xml:space="preserve"> </w:t>
      </w:r>
      <w:r>
        <w:rPr>
          <w:rFonts w:ascii="宋体" w:hAnsi="宋体" w:eastAsia="宋体" w:cs="宋体"/>
          <w:spacing w:val="-8"/>
          <w:sz w:val="24"/>
          <w:szCs w:val="24"/>
          <w:u w:val="single" w:color="auto"/>
        </w:rPr>
        <w:t>人</w:t>
      </w:r>
      <w:r>
        <w:rPr>
          <w:rFonts w:ascii="宋体" w:hAnsi="宋体" w:eastAsia="宋体" w:cs="宋体"/>
          <w:spacing w:val="15"/>
          <w:sz w:val="24"/>
          <w:szCs w:val="24"/>
          <w:u w:val="single" w:color="auto"/>
        </w:rPr>
        <w:t xml:space="preserve">  </w:t>
      </w:r>
      <w:r>
        <w:rPr>
          <w:rFonts w:ascii="宋体" w:hAnsi="宋体" w:eastAsia="宋体" w:cs="宋体"/>
          <w:spacing w:val="-8"/>
          <w:sz w:val="24"/>
          <w:szCs w:val="24"/>
          <w:u w:val="single" w:color="auto"/>
        </w:rPr>
        <w:t xml:space="preserve">：                                                 章）         </w:t>
      </w:r>
    </w:p>
    <w:p w14:paraId="4C465781">
      <w:pPr>
        <w:pStyle w:val="5"/>
        <w:spacing w:line="289" w:lineRule="auto"/>
      </w:pPr>
    </w:p>
    <w:p w14:paraId="4043FE3F">
      <w:pPr>
        <w:pStyle w:val="5"/>
        <w:spacing w:line="289" w:lineRule="auto"/>
      </w:pPr>
    </w:p>
    <w:p w14:paraId="22272305">
      <w:pPr>
        <w:spacing w:before="79" w:line="220" w:lineRule="auto"/>
        <w:ind w:left="119"/>
        <w:rPr>
          <w:rFonts w:ascii="宋体" w:hAnsi="宋体" w:eastAsia="宋体" w:cs="宋体"/>
          <w:sz w:val="24"/>
          <w:szCs w:val="24"/>
        </w:rPr>
      </w:pPr>
      <w:r>
        <w:rPr>
          <w:rFonts w:ascii="宋体" w:hAnsi="宋体" w:eastAsia="宋体" w:cs="宋体"/>
          <w:spacing w:val="-21"/>
          <w:sz w:val="24"/>
          <w:szCs w:val="24"/>
        </w:rPr>
        <w:t>编</w:t>
      </w:r>
      <w:r>
        <w:rPr>
          <w:rFonts w:ascii="宋体" w:hAnsi="宋体" w:eastAsia="宋体" w:cs="宋体"/>
          <w:spacing w:val="7"/>
          <w:sz w:val="24"/>
          <w:szCs w:val="24"/>
        </w:rPr>
        <w:t xml:space="preserve">  </w:t>
      </w:r>
      <w:r>
        <w:rPr>
          <w:rFonts w:ascii="宋体" w:hAnsi="宋体" w:eastAsia="宋体" w:cs="宋体"/>
          <w:spacing w:val="-21"/>
          <w:sz w:val="24"/>
          <w:szCs w:val="24"/>
        </w:rPr>
        <w:t>制</w:t>
      </w:r>
      <w:r>
        <w:rPr>
          <w:rFonts w:ascii="宋体" w:hAnsi="宋体" w:eastAsia="宋体" w:cs="宋体"/>
          <w:spacing w:val="10"/>
          <w:sz w:val="24"/>
          <w:szCs w:val="24"/>
        </w:rPr>
        <w:t xml:space="preserve">  </w:t>
      </w:r>
      <w:r>
        <w:rPr>
          <w:rFonts w:ascii="宋体" w:hAnsi="宋体" w:eastAsia="宋体" w:cs="宋体"/>
          <w:spacing w:val="-21"/>
          <w:sz w:val="24"/>
          <w:szCs w:val="24"/>
        </w:rPr>
        <w:t>时</w:t>
      </w:r>
      <w:r>
        <w:rPr>
          <w:rFonts w:ascii="宋体" w:hAnsi="宋体" w:eastAsia="宋体" w:cs="宋体"/>
          <w:spacing w:val="14"/>
          <w:sz w:val="24"/>
          <w:szCs w:val="24"/>
        </w:rPr>
        <w:t xml:space="preserve">  </w:t>
      </w:r>
      <w:r>
        <w:rPr>
          <w:rFonts w:ascii="宋体" w:hAnsi="宋体" w:eastAsia="宋体" w:cs="宋体"/>
          <w:spacing w:val="-21"/>
          <w:sz w:val="24"/>
          <w:szCs w:val="24"/>
        </w:rPr>
        <w:t>间</w:t>
      </w:r>
      <w:r>
        <w:rPr>
          <w:rFonts w:ascii="宋体" w:hAnsi="宋体" w:eastAsia="宋体" w:cs="宋体"/>
          <w:spacing w:val="15"/>
          <w:sz w:val="24"/>
          <w:szCs w:val="24"/>
        </w:rPr>
        <w:t xml:space="preserve">  </w:t>
      </w:r>
      <w:r>
        <w:rPr>
          <w:rFonts w:ascii="宋体" w:hAnsi="宋体" w:eastAsia="宋体" w:cs="宋体"/>
          <w:spacing w:val="-21"/>
          <w:sz w:val="24"/>
          <w:szCs w:val="24"/>
        </w:rPr>
        <w:t>：</w:t>
      </w:r>
      <w:r>
        <w:rPr>
          <w:rFonts w:ascii="宋体" w:hAnsi="宋体" w:eastAsia="宋体" w:cs="宋体"/>
          <w:spacing w:val="22"/>
          <w:sz w:val="24"/>
          <w:szCs w:val="24"/>
        </w:rPr>
        <w:t xml:space="preserve">  </w:t>
      </w:r>
      <w:r>
        <w:rPr>
          <w:rFonts w:ascii="宋体" w:hAnsi="宋体" w:eastAsia="宋体" w:cs="宋体"/>
          <w:sz w:val="24"/>
          <w:szCs w:val="24"/>
          <w:u w:val="single" w:color="auto"/>
        </w:rPr>
        <w:t xml:space="preserve">                                            </w:t>
      </w:r>
    </w:p>
    <w:p w14:paraId="751EF193">
      <w:pPr>
        <w:spacing w:line="220" w:lineRule="auto"/>
        <w:rPr>
          <w:rFonts w:ascii="宋体" w:hAnsi="宋体" w:eastAsia="宋体" w:cs="宋体"/>
          <w:sz w:val="24"/>
          <w:szCs w:val="24"/>
        </w:rPr>
        <w:sectPr>
          <w:footerReference r:id="rId154" w:type="default"/>
          <w:pgSz w:w="11905" w:h="16843"/>
          <w:pgMar w:top="969" w:right="1355" w:bottom="1026" w:left="1480" w:header="0" w:footer="754" w:gutter="0"/>
          <w:cols w:space="0" w:num="1"/>
          <w:rtlGutter w:val="0"/>
          <w:docGrid w:linePitch="0" w:charSpace="0"/>
        </w:sectPr>
      </w:pPr>
    </w:p>
    <w:p w14:paraId="70C34A7B">
      <w:pPr>
        <w:pStyle w:val="5"/>
        <w:spacing w:line="265" w:lineRule="auto"/>
      </w:pPr>
    </w:p>
    <w:p w14:paraId="4DF9B8C5">
      <w:pPr>
        <w:pStyle w:val="5"/>
        <w:spacing w:line="265" w:lineRule="auto"/>
      </w:pPr>
    </w:p>
    <w:p w14:paraId="371CF2BC">
      <w:pPr>
        <w:pStyle w:val="5"/>
        <w:spacing w:line="266" w:lineRule="auto"/>
      </w:pPr>
    </w:p>
    <w:p w14:paraId="18EB7938">
      <w:pPr>
        <w:pStyle w:val="5"/>
        <w:spacing w:line="266" w:lineRule="auto"/>
      </w:pPr>
    </w:p>
    <w:p w14:paraId="798F2877">
      <w:pPr>
        <w:pStyle w:val="5"/>
        <w:spacing w:line="266" w:lineRule="auto"/>
      </w:pPr>
    </w:p>
    <w:p w14:paraId="565CB8A4">
      <w:pPr>
        <w:spacing w:before="78" w:line="233" w:lineRule="auto"/>
        <w:outlineLvl w:val="2"/>
        <w:rPr>
          <w:rFonts w:ascii="黑体" w:hAnsi="黑体" w:eastAsia="黑体" w:cs="黑体"/>
          <w:sz w:val="24"/>
          <w:szCs w:val="24"/>
        </w:rPr>
      </w:pPr>
      <w:bookmarkStart w:id="1255" w:name="bookmark379"/>
      <w:bookmarkEnd w:id="1255"/>
      <w:r>
        <w:rPr>
          <w:rFonts w:ascii="Times New Roman" w:hAnsi="Times New Roman" w:eastAsia="Times New Roman" w:cs="Times New Roman"/>
          <w:spacing w:val="-1"/>
          <w:sz w:val="24"/>
          <w:szCs w:val="24"/>
        </w:rPr>
        <w:t xml:space="preserve">3.5 </w:t>
      </w:r>
      <w:r>
        <w:rPr>
          <w:rFonts w:ascii="黑体" w:hAnsi="黑体" w:eastAsia="黑体" w:cs="黑体"/>
          <w:spacing w:val="-1"/>
          <w:sz w:val="24"/>
          <w:szCs w:val="24"/>
        </w:rPr>
        <w:t>工程项目总价表</w:t>
      </w:r>
    </w:p>
    <w:p w14:paraId="0F9ACE38">
      <w:pPr>
        <w:spacing w:before="101" w:line="218" w:lineRule="auto"/>
        <w:ind w:left="3193"/>
        <w:rPr>
          <w:rFonts w:ascii="宋体" w:hAnsi="宋体" w:eastAsia="宋体" w:cs="宋体"/>
          <w:sz w:val="36"/>
          <w:szCs w:val="36"/>
        </w:rPr>
      </w:pPr>
      <w:bookmarkStart w:id="1256" w:name="bookmark613"/>
      <w:bookmarkEnd w:id="1256"/>
      <w:r>
        <w:rPr>
          <w:rFonts w:ascii="宋体" w:hAnsi="宋体" w:eastAsia="宋体" w:cs="宋体"/>
          <w:b/>
          <w:bCs/>
          <w:spacing w:val="-6"/>
          <w:sz w:val="36"/>
          <w:szCs w:val="36"/>
        </w:rPr>
        <w:t>工程项目总价表</w:t>
      </w:r>
    </w:p>
    <w:p w14:paraId="00912E33">
      <w:pPr>
        <w:spacing w:before="160" w:line="220" w:lineRule="auto"/>
        <w:ind w:left="297"/>
        <w:rPr>
          <w:rFonts w:ascii="宋体" w:hAnsi="宋体" w:eastAsia="宋体" w:cs="宋体"/>
          <w:sz w:val="18"/>
          <w:szCs w:val="18"/>
        </w:rPr>
      </w:pPr>
      <w:r>
        <w:rPr>
          <w:rFonts w:ascii="宋体" w:hAnsi="宋体" w:eastAsia="宋体" w:cs="宋体"/>
          <w:spacing w:val="-8"/>
          <w:sz w:val="18"/>
          <w:szCs w:val="18"/>
        </w:rPr>
        <w:t>合同编号：</w:t>
      </w:r>
    </w:p>
    <w:p w14:paraId="1FEE4E06">
      <w:pPr>
        <w:spacing w:before="275" w:line="220" w:lineRule="auto"/>
        <w:ind w:left="300"/>
        <w:rPr>
          <w:rFonts w:ascii="宋体" w:hAnsi="宋体" w:eastAsia="宋体" w:cs="宋体"/>
          <w:sz w:val="18"/>
          <w:szCs w:val="18"/>
        </w:rPr>
      </w:pPr>
      <w:r>
        <w:rPr>
          <w:rFonts w:ascii="宋体" w:hAnsi="宋体" w:eastAsia="宋体" w:cs="宋体"/>
          <w:spacing w:val="-2"/>
          <w:sz w:val="18"/>
          <w:szCs w:val="18"/>
        </w:rPr>
        <w:t xml:space="preserve">项目名称：                       </w:t>
      </w:r>
      <w:r>
        <w:rPr>
          <w:rFonts w:ascii="宋体" w:hAnsi="宋体" w:eastAsia="宋体" w:cs="宋体"/>
          <w:spacing w:val="-3"/>
          <w:sz w:val="18"/>
          <w:szCs w:val="18"/>
        </w:rPr>
        <w:t xml:space="preserve">                                         第</w:t>
      </w:r>
      <w:r>
        <w:rPr>
          <w:rFonts w:ascii="宋体" w:hAnsi="宋体" w:eastAsia="宋体" w:cs="宋体"/>
          <w:spacing w:val="11"/>
          <w:sz w:val="18"/>
          <w:szCs w:val="18"/>
        </w:rPr>
        <w:t xml:space="preserve">  </w:t>
      </w:r>
      <w:r>
        <w:rPr>
          <w:rFonts w:ascii="宋体" w:hAnsi="宋体" w:eastAsia="宋体" w:cs="宋体"/>
          <w:spacing w:val="-3"/>
          <w:sz w:val="18"/>
          <w:szCs w:val="18"/>
        </w:rPr>
        <w:t>1</w:t>
      </w:r>
      <w:r>
        <w:rPr>
          <w:rFonts w:ascii="宋体" w:hAnsi="宋体" w:eastAsia="宋体" w:cs="宋体"/>
          <w:spacing w:val="7"/>
          <w:sz w:val="18"/>
          <w:szCs w:val="18"/>
        </w:rPr>
        <w:t xml:space="preserve">  </w:t>
      </w:r>
      <w:r>
        <w:rPr>
          <w:rFonts w:ascii="宋体" w:hAnsi="宋体" w:eastAsia="宋体" w:cs="宋体"/>
          <w:spacing w:val="-3"/>
          <w:sz w:val="18"/>
          <w:szCs w:val="18"/>
        </w:rPr>
        <w:t>页、共</w:t>
      </w:r>
      <w:r>
        <w:rPr>
          <w:rFonts w:ascii="宋体" w:hAnsi="宋体" w:eastAsia="宋体" w:cs="宋体"/>
          <w:spacing w:val="9"/>
          <w:sz w:val="18"/>
          <w:szCs w:val="18"/>
        </w:rPr>
        <w:t xml:space="preserve">  </w:t>
      </w:r>
      <w:r>
        <w:rPr>
          <w:rFonts w:ascii="宋体" w:hAnsi="宋体" w:eastAsia="宋体" w:cs="宋体"/>
          <w:spacing w:val="-3"/>
          <w:sz w:val="18"/>
          <w:szCs w:val="18"/>
        </w:rPr>
        <w:t>1  页</w:t>
      </w:r>
    </w:p>
    <w:p w14:paraId="27D804AE">
      <w:pPr>
        <w:spacing w:line="163" w:lineRule="exact"/>
      </w:pPr>
    </w:p>
    <w:tbl>
      <w:tblPr>
        <w:tblStyle w:val="10"/>
        <w:tblW w:w="8525"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5466"/>
        <w:gridCol w:w="1701"/>
      </w:tblGrid>
      <w:tr w14:paraId="5972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58" w:type="dxa"/>
            <w:tcBorders>
              <w:top w:val="single" w:color="000000" w:sz="6" w:space="0"/>
              <w:left w:val="single" w:color="000000" w:sz="6" w:space="0"/>
            </w:tcBorders>
            <w:vAlign w:val="top"/>
          </w:tcPr>
          <w:p w14:paraId="1F348182">
            <w:pPr>
              <w:pStyle w:val="11"/>
              <w:spacing w:before="168" w:line="221" w:lineRule="auto"/>
              <w:ind w:left="495"/>
              <w:rPr>
                <w:sz w:val="18"/>
                <w:szCs w:val="18"/>
              </w:rPr>
            </w:pPr>
            <w:r>
              <w:rPr>
                <w:spacing w:val="-2"/>
                <w:sz w:val="18"/>
                <w:szCs w:val="18"/>
              </w:rPr>
              <w:t>序号</w:t>
            </w:r>
          </w:p>
        </w:tc>
        <w:tc>
          <w:tcPr>
            <w:tcW w:w="5466" w:type="dxa"/>
            <w:tcBorders>
              <w:top w:val="single" w:color="000000" w:sz="6" w:space="0"/>
            </w:tcBorders>
            <w:vAlign w:val="top"/>
          </w:tcPr>
          <w:p w14:paraId="1EDCB040">
            <w:pPr>
              <w:pStyle w:val="11"/>
              <w:spacing w:before="169" w:line="220" w:lineRule="auto"/>
              <w:ind w:left="2378"/>
              <w:rPr>
                <w:sz w:val="18"/>
                <w:szCs w:val="18"/>
              </w:rPr>
            </w:pPr>
            <w:r>
              <w:rPr>
                <w:spacing w:val="-2"/>
                <w:sz w:val="18"/>
                <w:szCs w:val="18"/>
              </w:rPr>
              <w:t>工程名称</w:t>
            </w:r>
          </w:p>
        </w:tc>
        <w:tc>
          <w:tcPr>
            <w:tcW w:w="1701" w:type="dxa"/>
            <w:tcBorders>
              <w:top w:val="single" w:color="000000" w:sz="6" w:space="0"/>
              <w:right w:val="single" w:color="000000" w:sz="6" w:space="0"/>
            </w:tcBorders>
            <w:vAlign w:val="top"/>
          </w:tcPr>
          <w:p w14:paraId="0646EE20">
            <w:pPr>
              <w:pStyle w:val="11"/>
              <w:spacing w:before="168" w:line="220" w:lineRule="auto"/>
              <w:ind w:left="407"/>
              <w:rPr>
                <w:sz w:val="18"/>
                <w:szCs w:val="18"/>
              </w:rPr>
            </w:pPr>
            <w:r>
              <w:rPr>
                <w:spacing w:val="-2"/>
                <w:sz w:val="18"/>
                <w:szCs w:val="18"/>
              </w:rPr>
              <w:t>金额（元）</w:t>
            </w:r>
          </w:p>
        </w:tc>
      </w:tr>
      <w:tr w14:paraId="2535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0580465B">
            <w:pPr>
              <w:pStyle w:val="11"/>
              <w:spacing w:before="112" w:line="241" w:lineRule="auto"/>
              <w:ind w:left="643"/>
              <w:rPr>
                <w:sz w:val="18"/>
                <w:szCs w:val="18"/>
              </w:rPr>
            </w:pPr>
            <w:r>
              <w:rPr>
                <w:sz w:val="18"/>
                <w:szCs w:val="18"/>
              </w:rPr>
              <w:t>1</w:t>
            </w:r>
          </w:p>
        </w:tc>
        <w:tc>
          <w:tcPr>
            <w:tcW w:w="5466" w:type="dxa"/>
            <w:vAlign w:val="top"/>
          </w:tcPr>
          <w:p w14:paraId="01DC5C17">
            <w:pPr>
              <w:pStyle w:val="11"/>
              <w:spacing w:before="111" w:line="220" w:lineRule="auto"/>
              <w:ind w:left="109"/>
              <w:rPr>
                <w:sz w:val="18"/>
                <w:szCs w:val="18"/>
              </w:rPr>
            </w:pPr>
            <w:r>
              <w:rPr>
                <w:spacing w:val="-1"/>
                <w:sz w:val="18"/>
                <w:szCs w:val="18"/>
              </w:rPr>
              <w:t>分类分项工程量清单</w:t>
            </w:r>
          </w:p>
        </w:tc>
        <w:tc>
          <w:tcPr>
            <w:tcW w:w="1701" w:type="dxa"/>
            <w:tcBorders>
              <w:right w:val="single" w:color="000000" w:sz="6" w:space="0"/>
            </w:tcBorders>
            <w:vAlign w:val="top"/>
          </w:tcPr>
          <w:p w14:paraId="6B0F51A9">
            <w:pPr>
              <w:rPr>
                <w:rFonts w:ascii="Arial"/>
                <w:sz w:val="21"/>
              </w:rPr>
            </w:pPr>
          </w:p>
        </w:tc>
      </w:tr>
      <w:tr w14:paraId="726E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2053DD08">
            <w:pPr>
              <w:pStyle w:val="11"/>
              <w:spacing w:before="113" w:line="241" w:lineRule="auto"/>
              <w:ind w:left="632"/>
              <w:rPr>
                <w:sz w:val="18"/>
                <w:szCs w:val="18"/>
              </w:rPr>
            </w:pPr>
            <w:r>
              <w:rPr>
                <w:sz w:val="18"/>
                <w:szCs w:val="18"/>
              </w:rPr>
              <w:t>2</w:t>
            </w:r>
          </w:p>
        </w:tc>
        <w:tc>
          <w:tcPr>
            <w:tcW w:w="5466" w:type="dxa"/>
            <w:vAlign w:val="top"/>
          </w:tcPr>
          <w:p w14:paraId="202C57B2">
            <w:pPr>
              <w:pStyle w:val="11"/>
              <w:spacing w:before="113" w:line="220" w:lineRule="auto"/>
              <w:ind w:left="107"/>
              <w:rPr>
                <w:sz w:val="18"/>
                <w:szCs w:val="18"/>
              </w:rPr>
            </w:pPr>
            <w:r>
              <w:rPr>
                <w:spacing w:val="-2"/>
                <w:sz w:val="18"/>
                <w:szCs w:val="18"/>
              </w:rPr>
              <w:t>措施项目</w:t>
            </w:r>
          </w:p>
        </w:tc>
        <w:tc>
          <w:tcPr>
            <w:tcW w:w="1701" w:type="dxa"/>
            <w:tcBorders>
              <w:right w:val="single" w:color="000000" w:sz="6" w:space="0"/>
            </w:tcBorders>
            <w:vAlign w:val="top"/>
          </w:tcPr>
          <w:p w14:paraId="49217F35">
            <w:pPr>
              <w:rPr>
                <w:rFonts w:ascii="Arial"/>
                <w:sz w:val="21"/>
              </w:rPr>
            </w:pPr>
          </w:p>
        </w:tc>
      </w:tr>
      <w:tr w14:paraId="4854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751A2BB9">
            <w:pPr>
              <w:pStyle w:val="11"/>
              <w:spacing w:before="114"/>
              <w:ind w:left="633"/>
              <w:rPr>
                <w:sz w:val="18"/>
                <w:szCs w:val="18"/>
              </w:rPr>
            </w:pPr>
            <w:r>
              <w:rPr>
                <w:sz w:val="18"/>
                <w:szCs w:val="18"/>
              </w:rPr>
              <w:t>3</w:t>
            </w:r>
          </w:p>
        </w:tc>
        <w:tc>
          <w:tcPr>
            <w:tcW w:w="5466" w:type="dxa"/>
            <w:vAlign w:val="top"/>
          </w:tcPr>
          <w:p w14:paraId="2C704B09">
            <w:pPr>
              <w:pStyle w:val="11"/>
              <w:spacing w:before="114" w:line="220" w:lineRule="auto"/>
              <w:ind w:left="108"/>
              <w:rPr>
                <w:sz w:val="18"/>
                <w:szCs w:val="18"/>
              </w:rPr>
            </w:pPr>
            <w:r>
              <w:rPr>
                <w:spacing w:val="-2"/>
                <w:sz w:val="18"/>
                <w:szCs w:val="18"/>
              </w:rPr>
              <w:t>其他项目</w:t>
            </w:r>
          </w:p>
        </w:tc>
        <w:tc>
          <w:tcPr>
            <w:tcW w:w="1701" w:type="dxa"/>
            <w:tcBorders>
              <w:right w:val="single" w:color="000000" w:sz="6" w:space="0"/>
            </w:tcBorders>
            <w:vAlign w:val="top"/>
          </w:tcPr>
          <w:p w14:paraId="69978972">
            <w:pPr>
              <w:rPr>
                <w:rFonts w:ascii="Arial"/>
                <w:sz w:val="21"/>
              </w:rPr>
            </w:pPr>
          </w:p>
        </w:tc>
      </w:tr>
      <w:tr w14:paraId="6C4B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70A00752">
            <w:pPr>
              <w:pStyle w:val="11"/>
              <w:spacing w:before="114" w:line="241" w:lineRule="auto"/>
              <w:ind w:left="629"/>
              <w:rPr>
                <w:sz w:val="18"/>
                <w:szCs w:val="18"/>
              </w:rPr>
            </w:pPr>
            <w:r>
              <w:rPr>
                <w:sz w:val="18"/>
                <w:szCs w:val="18"/>
              </w:rPr>
              <w:t>4</w:t>
            </w:r>
          </w:p>
        </w:tc>
        <w:tc>
          <w:tcPr>
            <w:tcW w:w="5466" w:type="dxa"/>
            <w:vAlign w:val="top"/>
          </w:tcPr>
          <w:p w14:paraId="723B5BAC">
            <w:pPr>
              <w:pStyle w:val="11"/>
              <w:spacing w:before="114" w:line="220" w:lineRule="auto"/>
              <w:ind w:left="108"/>
              <w:rPr>
                <w:sz w:val="18"/>
                <w:szCs w:val="18"/>
              </w:rPr>
            </w:pPr>
            <w:r>
              <w:rPr>
                <w:spacing w:val="-2"/>
                <w:sz w:val="18"/>
                <w:szCs w:val="18"/>
              </w:rPr>
              <w:t>零星项目</w:t>
            </w:r>
          </w:p>
        </w:tc>
        <w:tc>
          <w:tcPr>
            <w:tcW w:w="1701" w:type="dxa"/>
            <w:tcBorders>
              <w:right w:val="single" w:color="000000" w:sz="6" w:space="0"/>
            </w:tcBorders>
            <w:vAlign w:val="top"/>
          </w:tcPr>
          <w:p w14:paraId="24453DF5">
            <w:pPr>
              <w:rPr>
                <w:rFonts w:ascii="Arial"/>
                <w:sz w:val="21"/>
              </w:rPr>
            </w:pPr>
          </w:p>
        </w:tc>
      </w:tr>
      <w:tr w14:paraId="75DD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334618B1">
            <w:pPr>
              <w:pStyle w:val="11"/>
              <w:spacing w:before="114"/>
              <w:ind w:left="633"/>
              <w:rPr>
                <w:sz w:val="18"/>
                <w:szCs w:val="18"/>
              </w:rPr>
            </w:pPr>
            <w:r>
              <w:rPr>
                <w:sz w:val="18"/>
                <w:szCs w:val="18"/>
              </w:rPr>
              <w:t>5</w:t>
            </w:r>
          </w:p>
        </w:tc>
        <w:tc>
          <w:tcPr>
            <w:tcW w:w="5466" w:type="dxa"/>
            <w:vAlign w:val="top"/>
          </w:tcPr>
          <w:p w14:paraId="42654F02">
            <w:pPr>
              <w:pStyle w:val="11"/>
              <w:spacing w:before="114" w:line="218" w:lineRule="auto"/>
              <w:ind w:left="109"/>
              <w:rPr>
                <w:sz w:val="18"/>
                <w:szCs w:val="18"/>
              </w:rPr>
            </w:pPr>
            <w:r>
              <w:rPr>
                <w:spacing w:val="-2"/>
                <w:sz w:val="18"/>
                <w:szCs w:val="18"/>
              </w:rPr>
              <w:t>工程造价</w:t>
            </w:r>
          </w:p>
        </w:tc>
        <w:tc>
          <w:tcPr>
            <w:tcW w:w="1701" w:type="dxa"/>
            <w:tcBorders>
              <w:right w:val="single" w:color="000000" w:sz="6" w:space="0"/>
            </w:tcBorders>
            <w:vAlign w:val="top"/>
          </w:tcPr>
          <w:p w14:paraId="4F1EFFC5">
            <w:pPr>
              <w:rPr>
                <w:rFonts w:ascii="Arial"/>
                <w:sz w:val="21"/>
              </w:rPr>
            </w:pPr>
          </w:p>
        </w:tc>
      </w:tr>
      <w:tr w14:paraId="3FCAC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4F26060A">
            <w:pPr>
              <w:rPr>
                <w:rFonts w:ascii="Arial"/>
                <w:sz w:val="21"/>
              </w:rPr>
            </w:pPr>
          </w:p>
        </w:tc>
        <w:tc>
          <w:tcPr>
            <w:tcW w:w="5466" w:type="dxa"/>
            <w:vAlign w:val="top"/>
          </w:tcPr>
          <w:p w14:paraId="6E84CCEE">
            <w:pPr>
              <w:rPr>
                <w:rFonts w:ascii="Arial"/>
                <w:sz w:val="21"/>
              </w:rPr>
            </w:pPr>
          </w:p>
        </w:tc>
        <w:tc>
          <w:tcPr>
            <w:tcW w:w="1701" w:type="dxa"/>
            <w:tcBorders>
              <w:right w:val="single" w:color="000000" w:sz="6" w:space="0"/>
            </w:tcBorders>
            <w:vAlign w:val="top"/>
          </w:tcPr>
          <w:p w14:paraId="66DC2C2F">
            <w:pPr>
              <w:rPr>
                <w:rFonts w:ascii="Arial"/>
                <w:sz w:val="21"/>
              </w:rPr>
            </w:pPr>
          </w:p>
        </w:tc>
      </w:tr>
      <w:tr w14:paraId="757F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147DC75E">
            <w:pPr>
              <w:rPr>
                <w:rFonts w:ascii="Arial"/>
                <w:sz w:val="21"/>
              </w:rPr>
            </w:pPr>
          </w:p>
        </w:tc>
        <w:tc>
          <w:tcPr>
            <w:tcW w:w="5466" w:type="dxa"/>
            <w:vAlign w:val="top"/>
          </w:tcPr>
          <w:p w14:paraId="47DCFA27">
            <w:pPr>
              <w:rPr>
                <w:rFonts w:ascii="Arial"/>
                <w:sz w:val="21"/>
              </w:rPr>
            </w:pPr>
          </w:p>
        </w:tc>
        <w:tc>
          <w:tcPr>
            <w:tcW w:w="1701" w:type="dxa"/>
            <w:tcBorders>
              <w:right w:val="single" w:color="000000" w:sz="6" w:space="0"/>
            </w:tcBorders>
            <w:vAlign w:val="top"/>
          </w:tcPr>
          <w:p w14:paraId="1DD4B089">
            <w:pPr>
              <w:rPr>
                <w:rFonts w:ascii="Arial"/>
                <w:sz w:val="21"/>
              </w:rPr>
            </w:pPr>
          </w:p>
        </w:tc>
      </w:tr>
      <w:tr w14:paraId="06C9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5C5ED760">
            <w:pPr>
              <w:rPr>
                <w:rFonts w:ascii="Arial"/>
                <w:sz w:val="21"/>
              </w:rPr>
            </w:pPr>
          </w:p>
        </w:tc>
        <w:tc>
          <w:tcPr>
            <w:tcW w:w="5466" w:type="dxa"/>
            <w:vAlign w:val="top"/>
          </w:tcPr>
          <w:p w14:paraId="6EDA156D">
            <w:pPr>
              <w:rPr>
                <w:rFonts w:ascii="Arial"/>
                <w:sz w:val="21"/>
              </w:rPr>
            </w:pPr>
          </w:p>
        </w:tc>
        <w:tc>
          <w:tcPr>
            <w:tcW w:w="1701" w:type="dxa"/>
            <w:tcBorders>
              <w:right w:val="single" w:color="000000" w:sz="6" w:space="0"/>
            </w:tcBorders>
            <w:vAlign w:val="top"/>
          </w:tcPr>
          <w:p w14:paraId="13387181">
            <w:pPr>
              <w:rPr>
                <w:rFonts w:ascii="Arial"/>
                <w:sz w:val="21"/>
              </w:rPr>
            </w:pPr>
          </w:p>
        </w:tc>
      </w:tr>
      <w:tr w14:paraId="57EA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0C712EC7">
            <w:pPr>
              <w:rPr>
                <w:rFonts w:ascii="Arial"/>
                <w:sz w:val="21"/>
              </w:rPr>
            </w:pPr>
          </w:p>
        </w:tc>
        <w:tc>
          <w:tcPr>
            <w:tcW w:w="5466" w:type="dxa"/>
            <w:vAlign w:val="top"/>
          </w:tcPr>
          <w:p w14:paraId="688C9D93">
            <w:pPr>
              <w:rPr>
                <w:rFonts w:ascii="Arial"/>
                <w:sz w:val="21"/>
              </w:rPr>
            </w:pPr>
          </w:p>
        </w:tc>
        <w:tc>
          <w:tcPr>
            <w:tcW w:w="1701" w:type="dxa"/>
            <w:tcBorders>
              <w:right w:val="single" w:color="000000" w:sz="6" w:space="0"/>
            </w:tcBorders>
            <w:vAlign w:val="top"/>
          </w:tcPr>
          <w:p w14:paraId="5AACBD5B">
            <w:pPr>
              <w:rPr>
                <w:rFonts w:ascii="Arial"/>
                <w:sz w:val="21"/>
              </w:rPr>
            </w:pPr>
          </w:p>
        </w:tc>
      </w:tr>
      <w:tr w14:paraId="39370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0EC1256B">
            <w:pPr>
              <w:rPr>
                <w:rFonts w:ascii="Arial"/>
                <w:sz w:val="21"/>
              </w:rPr>
            </w:pPr>
          </w:p>
        </w:tc>
        <w:tc>
          <w:tcPr>
            <w:tcW w:w="5466" w:type="dxa"/>
            <w:vAlign w:val="top"/>
          </w:tcPr>
          <w:p w14:paraId="66E2B7D5">
            <w:pPr>
              <w:rPr>
                <w:rFonts w:ascii="Arial"/>
                <w:sz w:val="21"/>
              </w:rPr>
            </w:pPr>
          </w:p>
        </w:tc>
        <w:tc>
          <w:tcPr>
            <w:tcW w:w="1701" w:type="dxa"/>
            <w:tcBorders>
              <w:right w:val="single" w:color="000000" w:sz="6" w:space="0"/>
            </w:tcBorders>
            <w:vAlign w:val="top"/>
          </w:tcPr>
          <w:p w14:paraId="20C244E3">
            <w:pPr>
              <w:rPr>
                <w:rFonts w:ascii="Arial"/>
                <w:sz w:val="21"/>
              </w:rPr>
            </w:pPr>
          </w:p>
        </w:tc>
      </w:tr>
      <w:tr w14:paraId="147B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4B909C1E">
            <w:pPr>
              <w:rPr>
                <w:rFonts w:ascii="Arial"/>
                <w:sz w:val="21"/>
              </w:rPr>
            </w:pPr>
          </w:p>
        </w:tc>
        <w:tc>
          <w:tcPr>
            <w:tcW w:w="5466" w:type="dxa"/>
            <w:vAlign w:val="top"/>
          </w:tcPr>
          <w:p w14:paraId="60B3CDE6">
            <w:pPr>
              <w:rPr>
                <w:rFonts w:ascii="Arial"/>
                <w:sz w:val="21"/>
              </w:rPr>
            </w:pPr>
          </w:p>
        </w:tc>
        <w:tc>
          <w:tcPr>
            <w:tcW w:w="1701" w:type="dxa"/>
            <w:tcBorders>
              <w:right w:val="single" w:color="000000" w:sz="6" w:space="0"/>
            </w:tcBorders>
            <w:vAlign w:val="top"/>
          </w:tcPr>
          <w:p w14:paraId="279088A3">
            <w:pPr>
              <w:rPr>
                <w:rFonts w:ascii="Arial"/>
                <w:sz w:val="21"/>
              </w:rPr>
            </w:pPr>
          </w:p>
        </w:tc>
      </w:tr>
      <w:tr w14:paraId="1CFDB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358" w:type="dxa"/>
            <w:tcBorders>
              <w:left w:val="single" w:color="000000" w:sz="6" w:space="0"/>
            </w:tcBorders>
            <w:vAlign w:val="top"/>
          </w:tcPr>
          <w:p w14:paraId="1DA362C8">
            <w:pPr>
              <w:rPr>
                <w:rFonts w:ascii="Arial"/>
                <w:sz w:val="21"/>
              </w:rPr>
            </w:pPr>
          </w:p>
        </w:tc>
        <w:tc>
          <w:tcPr>
            <w:tcW w:w="5466" w:type="dxa"/>
            <w:vAlign w:val="top"/>
          </w:tcPr>
          <w:p w14:paraId="7C5531DC">
            <w:pPr>
              <w:rPr>
                <w:rFonts w:ascii="Arial"/>
                <w:sz w:val="21"/>
              </w:rPr>
            </w:pPr>
          </w:p>
        </w:tc>
        <w:tc>
          <w:tcPr>
            <w:tcW w:w="1701" w:type="dxa"/>
            <w:tcBorders>
              <w:right w:val="single" w:color="000000" w:sz="6" w:space="0"/>
            </w:tcBorders>
            <w:vAlign w:val="top"/>
          </w:tcPr>
          <w:p w14:paraId="223C809D">
            <w:pPr>
              <w:rPr>
                <w:rFonts w:ascii="Arial"/>
                <w:sz w:val="21"/>
              </w:rPr>
            </w:pPr>
          </w:p>
        </w:tc>
      </w:tr>
      <w:tr w14:paraId="5528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1C4EDC50">
            <w:pPr>
              <w:rPr>
                <w:rFonts w:ascii="Arial"/>
                <w:sz w:val="21"/>
              </w:rPr>
            </w:pPr>
          </w:p>
        </w:tc>
        <w:tc>
          <w:tcPr>
            <w:tcW w:w="5466" w:type="dxa"/>
            <w:vAlign w:val="top"/>
          </w:tcPr>
          <w:p w14:paraId="6EBB9237">
            <w:pPr>
              <w:rPr>
                <w:rFonts w:ascii="Arial"/>
                <w:sz w:val="21"/>
              </w:rPr>
            </w:pPr>
          </w:p>
        </w:tc>
        <w:tc>
          <w:tcPr>
            <w:tcW w:w="1701" w:type="dxa"/>
            <w:tcBorders>
              <w:right w:val="single" w:color="000000" w:sz="6" w:space="0"/>
            </w:tcBorders>
            <w:vAlign w:val="top"/>
          </w:tcPr>
          <w:p w14:paraId="19A922BF">
            <w:pPr>
              <w:rPr>
                <w:rFonts w:ascii="Arial"/>
                <w:sz w:val="21"/>
              </w:rPr>
            </w:pPr>
          </w:p>
        </w:tc>
      </w:tr>
      <w:tr w14:paraId="3742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5CE9737C">
            <w:pPr>
              <w:rPr>
                <w:rFonts w:ascii="Arial"/>
                <w:sz w:val="21"/>
              </w:rPr>
            </w:pPr>
          </w:p>
        </w:tc>
        <w:tc>
          <w:tcPr>
            <w:tcW w:w="5466" w:type="dxa"/>
            <w:vAlign w:val="top"/>
          </w:tcPr>
          <w:p w14:paraId="20DB40BA">
            <w:pPr>
              <w:rPr>
                <w:rFonts w:ascii="Arial"/>
                <w:sz w:val="21"/>
              </w:rPr>
            </w:pPr>
          </w:p>
        </w:tc>
        <w:tc>
          <w:tcPr>
            <w:tcW w:w="1701" w:type="dxa"/>
            <w:tcBorders>
              <w:right w:val="single" w:color="000000" w:sz="6" w:space="0"/>
            </w:tcBorders>
            <w:vAlign w:val="top"/>
          </w:tcPr>
          <w:p w14:paraId="1623B01C">
            <w:pPr>
              <w:rPr>
                <w:rFonts w:ascii="Arial"/>
                <w:sz w:val="21"/>
              </w:rPr>
            </w:pPr>
          </w:p>
        </w:tc>
      </w:tr>
      <w:tr w14:paraId="29A8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1E269234">
            <w:pPr>
              <w:rPr>
                <w:rFonts w:ascii="Arial"/>
                <w:sz w:val="21"/>
              </w:rPr>
            </w:pPr>
          </w:p>
        </w:tc>
        <w:tc>
          <w:tcPr>
            <w:tcW w:w="5466" w:type="dxa"/>
            <w:vAlign w:val="top"/>
          </w:tcPr>
          <w:p w14:paraId="25A3536A">
            <w:pPr>
              <w:rPr>
                <w:rFonts w:ascii="Arial"/>
                <w:sz w:val="21"/>
              </w:rPr>
            </w:pPr>
          </w:p>
        </w:tc>
        <w:tc>
          <w:tcPr>
            <w:tcW w:w="1701" w:type="dxa"/>
            <w:tcBorders>
              <w:right w:val="single" w:color="000000" w:sz="6" w:space="0"/>
            </w:tcBorders>
            <w:vAlign w:val="top"/>
          </w:tcPr>
          <w:p w14:paraId="34BB2AA0">
            <w:pPr>
              <w:rPr>
                <w:rFonts w:ascii="Arial"/>
                <w:sz w:val="21"/>
              </w:rPr>
            </w:pPr>
          </w:p>
        </w:tc>
      </w:tr>
      <w:tr w14:paraId="5FBB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6484B146">
            <w:pPr>
              <w:rPr>
                <w:rFonts w:ascii="Arial"/>
                <w:sz w:val="21"/>
              </w:rPr>
            </w:pPr>
          </w:p>
        </w:tc>
        <w:tc>
          <w:tcPr>
            <w:tcW w:w="5466" w:type="dxa"/>
            <w:vAlign w:val="top"/>
          </w:tcPr>
          <w:p w14:paraId="57A89297">
            <w:pPr>
              <w:rPr>
                <w:rFonts w:ascii="Arial"/>
                <w:sz w:val="21"/>
              </w:rPr>
            </w:pPr>
          </w:p>
        </w:tc>
        <w:tc>
          <w:tcPr>
            <w:tcW w:w="1701" w:type="dxa"/>
            <w:tcBorders>
              <w:right w:val="single" w:color="000000" w:sz="6" w:space="0"/>
            </w:tcBorders>
            <w:vAlign w:val="top"/>
          </w:tcPr>
          <w:p w14:paraId="4EA5FF33">
            <w:pPr>
              <w:rPr>
                <w:rFonts w:ascii="Arial"/>
                <w:sz w:val="21"/>
              </w:rPr>
            </w:pPr>
          </w:p>
        </w:tc>
      </w:tr>
      <w:tr w14:paraId="2C86E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36CFBBA0">
            <w:pPr>
              <w:rPr>
                <w:rFonts w:ascii="Arial"/>
                <w:sz w:val="21"/>
              </w:rPr>
            </w:pPr>
          </w:p>
        </w:tc>
        <w:tc>
          <w:tcPr>
            <w:tcW w:w="5466" w:type="dxa"/>
            <w:vAlign w:val="top"/>
          </w:tcPr>
          <w:p w14:paraId="78C70990">
            <w:pPr>
              <w:rPr>
                <w:rFonts w:ascii="Arial"/>
                <w:sz w:val="21"/>
              </w:rPr>
            </w:pPr>
          </w:p>
        </w:tc>
        <w:tc>
          <w:tcPr>
            <w:tcW w:w="1701" w:type="dxa"/>
            <w:tcBorders>
              <w:right w:val="single" w:color="000000" w:sz="6" w:space="0"/>
            </w:tcBorders>
            <w:vAlign w:val="top"/>
          </w:tcPr>
          <w:p w14:paraId="7315E614">
            <w:pPr>
              <w:rPr>
                <w:rFonts w:ascii="Arial"/>
                <w:sz w:val="21"/>
              </w:rPr>
            </w:pPr>
          </w:p>
        </w:tc>
      </w:tr>
      <w:tr w14:paraId="2C099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27E8CC5E">
            <w:pPr>
              <w:rPr>
                <w:rFonts w:ascii="Arial"/>
                <w:sz w:val="21"/>
              </w:rPr>
            </w:pPr>
          </w:p>
        </w:tc>
        <w:tc>
          <w:tcPr>
            <w:tcW w:w="5466" w:type="dxa"/>
            <w:vAlign w:val="top"/>
          </w:tcPr>
          <w:p w14:paraId="0CFAEAC7">
            <w:pPr>
              <w:rPr>
                <w:rFonts w:ascii="Arial"/>
                <w:sz w:val="21"/>
              </w:rPr>
            </w:pPr>
          </w:p>
        </w:tc>
        <w:tc>
          <w:tcPr>
            <w:tcW w:w="1701" w:type="dxa"/>
            <w:tcBorders>
              <w:right w:val="single" w:color="000000" w:sz="6" w:space="0"/>
            </w:tcBorders>
            <w:vAlign w:val="top"/>
          </w:tcPr>
          <w:p w14:paraId="60ADB1DB">
            <w:pPr>
              <w:rPr>
                <w:rFonts w:ascii="Arial"/>
                <w:sz w:val="21"/>
              </w:rPr>
            </w:pPr>
          </w:p>
        </w:tc>
      </w:tr>
      <w:tr w14:paraId="54B0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581CF85A">
            <w:pPr>
              <w:rPr>
                <w:rFonts w:ascii="Arial"/>
                <w:sz w:val="21"/>
              </w:rPr>
            </w:pPr>
          </w:p>
        </w:tc>
        <w:tc>
          <w:tcPr>
            <w:tcW w:w="5466" w:type="dxa"/>
            <w:vAlign w:val="top"/>
          </w:tcPr>
          <w:p w14:paraId="682EBD3E">
            <w:pPr>
              <w:rPr>
                <w:rFonts w:ascii="Arial"/>
                <w:sz w:val="21"/>
              </w:rPr>
            </w:pPr>
          </w:p>
        </w:tc>
        <w:tc>
          <w:tcPr>
            <w:tcW w:w="1701" w:type="dxa"/>
            <w:tcBorders>
              <w:right w:val="single" w:color="000000" w:sz="6" w:space="0"/>
            </w:tcBorders>
            <w:vAlign w:val="top"/>
          </w:tcPr>
          <w:p w14:paraId="2A2BAE3B">
            <w:pPr>
              <w:rPr>
                <w:rFonts w:ascii="Arial"/>
                <w:sz w:val="21"/>
              </w:rPr>
            </w:pPr>
          </w:p>
        </w:tc>
      </w:tr>
      <w:tr w14:paraId="5DB2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1CA844F5">
            <w:pPr>
              <w:rPr>
                <w:rFonts w:ascii="Arial"/>
                <w:sz w:val="21"/>
              </w:rPr>
            </w:pPr>
          </w:p>
        </w:tc>
        <w:tc>
          <w:tcPr>
            <w:tcW w:w="5466" w:type="dxa"/>
            <w:vAlign w:val="top"/>
          </w:tcPr>
          <w:p w14:paraId="446A65F9">
            <w:pPr>
              <w:rPr>
                <w:rFonts w:ascii="Arial"/>
                <w:sz w:val="21"/>
              </w:rPr>
            </w:pPr>
          </w:p>
        </w:tc>
        <w:tc>
          <w:tcPr>
            <w:tcW w:w="1701" w:type="dxa"/>
            <w:tcBorders>
              <w:right w:val="single" w:color="000000" w:sz="6" w:space="0"/>
            </w:tcBorders>
            <w:vAlign w:val="top"/>
          </w:tcPr>
          <w:p w14:paraId="24A14E82">
            <w:pPr>
              <w:rPr>
                <w:rFonts w:ascii="Arial"/>
                <w:sz w:val="21"/>
              </w:rPr>
            </w:pPr>
          </w:p>
        </w:tc>
      </w:tr>
      <w:tr w14:paraId="7F4C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514A8BD2">
            <w:pPr>
              <w:rPr>
                <w:rFonts w:ascii="Arial"/>
                <w:sz w:val="21"/>
              </w:rPr>
            </w:pPr>
          </w:p>
        </w:tc>
        <w:tc>
          <w:tcPr>
            <w:tcW w:w="5466" w:type="dxa"/>
            <w:vAlign w:val="top"/>
          </w:tcPr>
          <w:p w14:paraId="4837C40D">
            <w:pPr>
              <w:rPr>
                <w:rFonts w:ascii="Arial"/>
                <w:sz w:val="21"/>
              </w:rPr>
            </w:pPr>
          </w:p>
        </w:tc>
        <w:tc>
          <w:tcPr>
            <w:tcW w:w="1701" w:type="dxa"/>
            <w:tcBorders>
              <w:right w:val="single" w:color="000000" w:sz="6" w:space="0"/>
            </w:tcBorders>
            <w:vAlign w:val="top"/>
          </w:tcPr>
          <w:p w14:paraId="5BBD35B7">
            <w:pPr>
              <w:rPr>
                <w:rFonts w:ascii="Arial"/>
                <w:sz w:val="21"/>
              </w:rPr>
            </w:pPr>
          </w:p>
        </w:tc>
      </w:tr>
      <w:tr w14:paraId="0EB7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58" w:type="dxa"/>
            <w:tcBorders>
              <w:left w:val="single" w:color="000000" w:sz="6" w:space="0"/>
            </w:tcBorders>
            <w:vAlign w:val="top"/>
          </w:tcPr>
          <w:p w14:paraId="32F58418">
            <w:pPr>
              <w:rPr>
                <w:rFonts w:ascii="Arial"/>
                <w:sz w:val="21"/>
              </w:rPr>
            </w:pPr>
          </w:p>
        </w:tc>
        <w:tc>
          <w:tcPr>
            <w:tcW w:w="5466" w:type="dxa"/>
            <w:vAlign w:val="top"/>
          </w:tcPr>
          <w:p w14:paraId="6E69F8D3">
            <w:pPr>
              <w:rPr>
                <w:rFonts w:ascii="Arial"/>
                <w:sz w:val="21"/>
              </w:rPr>
            </w:pPr>
          </w:p>
        </w:tc>
        <w:tc>
          <w:tcPr>
            <w:tcW w:w="1701" w:type="dxa"/>
            <w:tcBorders>
              <w:right w:val="single" w:color="000000" w:sz="6" w:space="0"/>
            </w:tcBorders>
            <w:vAlign w:val="top"/>
          </w:tcPr>
          <w:p w14:paraId="0A243DB9">
            <w:pPr>
              <w:rPr>
                <w:rFonts w:ascii="Arial"/>
                <w:sz w:val="21"/>
              </w:rPr>
            </w:pPr>
          </w:p>
        </w:tc>
      </w:tr>
      <w:tr w14:paraId="6B1B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58" w:type="dxa"/>
            <w:tcBorders>
              <w:left w:val="single" w:color="000000" w:sz="6" w:space="0"/>
            </w:tcBorders>
            <w:vAlign w:val="top"/>
          </w:tcPr>
          <w:p w14:paraId="281C98A9">
            <w:pPr>
              <w:rPr>
                <w:rFonts w:ascii="Arial"/>
                <w:sz w:val="21"/>
              </w:rPr>
            </w:pPr>
          </w:p>
        </w:tc>
        <w:tc>
          <w:tcPr>
            <w:tcW w:w="5466" w:type="dxa"/>
            <w:vAlign w:val="top"/>
          </w:tcPr>
          <w:p w14:paraId="00192BAA">
            <w:pPr>
              <w:rPr>
                <w:rFonts w:ascii="Arial"/>
                <w:sz w:val="21"/>
              </w:rPr>
            </w:pPr>
          </w:p>
        </w:tc>
        <w:tc>
          <w:tcPr>
            <w:tcW w:w="1701" w:type="dxa"/>
            <w:tcBorders>
              <w:right w:val="single" w:color="000000" w:sz="6" w:space="0"/>
            </w:tcBorders>
            <w:vAlign w:val="top"/>
          </w:tcPr>
          <w:p w14:paraId="7B432F46">
            <w:pPr>
              <w:rPr>
                <w:rFonts w:ascii="Arial"/>
                <w:sz w:val="21"/>
              </w:rPr>
            </w:pPr>
          </w:p>
        </w:tc>
      </w:tr>
      <w:tr w14:paraId="3115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58" w:type="dxa"/>
            <w:tcBorders>
              <w:left w:val="single" w:color="000000" w:sz="6" w:space="0"/>
              <w:bottom w:val="single" w:color="000000" w:sz="6" w:space="0"/>
            </w:tcBorders>
            <w:vAlign w:val="top"/>
          </w:tcPr>
          <w:p w14:paraId="13829EF1">
            <w:pPr>
              <w:rPr>
                <w:rFonts w:ascii="Arial"/>
                <w:sz w:val="21"/>
              </w:rPr>
            </w:pPr>
          </w:p>
        </w:tc>
        <w:tc>
          <w:tcPr>
            <w:tcW w:w="5466" w:type="dxa"/>
            <w:tcBorders>
              <w:bottom w:val="single" w:color="000000" w:sz="6" w:space="0"/>
            </w:tcBorders>
            <w:vAlign w:val="top"/>
          </w:tcPr>
          <w:p w14:paraId="50A404EB">
            <w:pPr>
              <w:pStyle w:val="11"/>
              <w:spacing w:before="124" w:line="221" w:lineRule="auto"/>
              <w:ind w:left="108"/>
              <w:rPr>
                <w:sz w:val="18"/>
                <w:szCs w:val="18"/>
              </w:rPr>
            </w:pPr>
            <w:r>
              <w:rPr>
                <w:spacing w:val="-2"/>
                <w:sz w:val="18"/>
                <w:szCs w:val="18"/>
              </w:rPr>
              <w:t>合计</w:t>
            </w:r>
          </w:p>
        </w:tc>
        <w:tc>
          <w:tcPr>
            <w:tcW w:w="1701" w:type="dxa"/>
            <w:tcBorders>
              <w:bottom w:val="single" w:color="000000" w:sz="6" w:space="0"/>
              <w:right w:val="single" w:color="000000" w:sz="6" w:space="0"/>
            </w:tcBorders>
            <w:vAlign w:val="top"/>
          </w:tcPr>
          <w:p w14:paraId="6F7FCA7C">
            <w:pPr>
              <w:rPr>
                <w:rFonts w:ascii="Arial"/>
                <w:sz w:val="21"/>
              </w:rPr>
            </w:pPr>
          </w:p>
        </w:tc>
      </w:tr>
    </w:tbl>
    <w:p w14:paraId="07115107">
      <w:pPr>
        <w:spacing w:before="87" w:line="217" w:lineRule="auto"/>
        <w:ind w:left="5688" w:right="1965" w:firstLine="87"/>
        <w:rPr>
          <w:rFonts w:ascii="宋体" w:hAnsi="宋体" w:eastAsia="宋体" w:cs="宋体"/>
          <w:sz w:val="18"/>
          <w:szCs w:val="18"/>
        </w:rPr>
      </w:pPr>
      <w:r>
        <w:rPr>
          <w:rFonts w:ascii="宋体" w:hAnsi="宋体" w:eastAsia="宋体" w:cs="宋体"/>
          <w:spacing w:val="-2"/>
          <w:sz w:val="18"/>
          <w:szCs w:val="18"/>
        </w:rPr>
        <w:t>法定代笔人</w:t>
      </w:r>
      <w:r>
        <w:rPr>
          <w:rFonts w:ascii="宋体" w:hAnsi="宋体" w:eastAsia="宋体" w:cs="宋体"/>
          <w:spacing w:val="-4"/>
          <w:sz w:val="18"/>
          <w:szCs w:val="18"/>
        </w:rPr>
        <w:t>（或委托代表</w:t>
      </w:r>
    </w:p>
    <w:p w14:paraId="6670EA9D">
      <w:pPr>
        <w:spacing w:before="1" w:line="235" w:lineRule="auto"/>
        <w:ind w:left="5956"/>
        <w:rPr>
          <w:rFonts w:ascii="宋体" w:hAnsi="宋体" w:eastAsia="宋体" w:cs="宋体"/>
          <w:sz w:val="18"/>
          <w:szCs w:val="18"/>
        </w:rPr>
      </w:pPr>
      <w:r>
        <w:rPr>
          <w:rFonts w:ascii="宋体" w:hAnsi="宋体" w:eastAsia="宋体" w:cs="宋体"/>
          <w:position w:val="-1"/>
          <w:sz w:val="18"/>
          <w:szCs w:val="18"/>
        </w:rPr>
        <w:t>人</w:t>
      </w:r>
      <w:r>
        <w:rPr>
          <w:rFonts w:ascii="宋体" w:hAnsi="宋体" w:eastAsia="宋体" w:cs="宋体"/>
          <w:spacing w:val="-2"/>
          <w:position w:val="-1"/>
          <w:sz w:val="18"/>
          <w:szCs w:val="18"/>
        </w:rPr>
        <w:t>）：</w:t>
      </w:r>
      <w:r>
        <w:rPr>
          <w:rFonts w:ascii="宋体" w:hAnsi="宋体" w:eastAsia="宋体" w:cs="宋体"/>
          <w:spacing w:val="2"/>
          <w:position w:val="-1"/>
          <w:sz w:val="18"/>
          <w:szCs w:val="18"/>
        </w:rPr>
        <w:t xml:space="preserve">       </w:t>
      </w:r>
      <w:r>
        <w:rPr>
          <w:rFonts w:ascii="宋体" w:hAnsi="宋体" w:eastAsia="宋体" w:cs="宋体"/>
          <w:position w:val="2"/>
          <w:sz w:val="18"/>
          <w:szCs w:val="18"/>
        </w:rPr>
        <w:t>____________签字</w:t>
      </w:r>
    </w:p>
    <w:p w14:paraId="5EC462B0">
      <w:pPr>
        <w:spacing w:line="235" w:lineRule="auto"/>
        <w:rPr>
          <w:rFonts w:ascii="宋体" w:hAnsi="宋体" w:eastAsia="宋体" w:cs="宋体"/>
          <w:sz w:val="18"/>
          <w:szCs w:val="18"/>
        </w:rPr>
        <w:sectPr>
          <w:footerReference r:id="rId155" w:type="default"/>
          <w:pgSz w:w="11905" w:h="16843"/>
          <w:pgMar w:top="969" w:right="1355" w:bottom="1026" w:left="1480" w:header="0" w:footer="754" w:gutter="0"/>
          <w:cols w:space="0" w:num="1"/>
          <w:rtlGutter w:val="0"/>
          <w:docGrid w:linePitch="0" w:charSpace="0"/>
        </w:sectPr>
      </w:pPr>
    </w:p>
    <w:p w14:paraId="62BA2D45">
      <w:pPr>
        <w:pStyle w:val="5"/>
        <w:spacing w:line="244" w:lineRule="auto"/>
      </w:pPr>
    </w:p>
    <w:p w14:paraId="4FFFDA12">
      <w:pPr>
        <w:pStyle w:val="5"/>
        <w:spacing w:line="244" w:lineRule="auto"/>
      </w:pPr>
    </w:p>
    <w:p w14:paraId="29219246">
      <w:pPr>
        <w:pStyle w:val="5"/>
        <w:spacing w:line="244" w:lineRule="auto"/>
      </w:pPr>
    </w:p>
    <w:p w14:paraId="7525E35A">
      <w:pPr>
        <w:pStyle w:val="5"/>
        <w:spacing w:line="244" w:lineRule="auto"/>
      </w:pPr>
    </w:p>
    <w:p w14:paraId="5F12A6BD">
      <w:pPr>
        <w:pStyle w:val="5"/>
        <w:spacing w:line="244" w:lineRule="auto"/>
      </w:pPr>
    </w:p>
    <w:p w14:paraId="38182C4E">
      <w:pPr>
        <w:pStyle w:val="5"/>
        <w:spacing w:line="244" w:lineRule="auto"/>
      </w:pPr>
    </w:p>
    <w:p w14:paraId="03F9D3E0">
      <w:pPr>
        <w:pStyle w:val="5"/>
        <w:spacing w:line="244" w:lineRule="auto"/>
      </w:pPr>
    </w:p>
    <w:p w14:paraId="0F7D28CA">
      <w:pPr>
        <w:spacing w:before="78" w:line="232" w:lineRule="auto"/>
        <w:ind w:left="437"/>
        <w:outlineLvl w:val="2"/>
        <w:rPr>
          <w:rFonts w:ascii="黑体" w:hAnsi="黑体" w:eastAsia="黑体" w:cs="黑体"/>
          <w:sz w:val="24"/>
          <w:szCs w:val="24"/>
        </w:rPr>
      </w:pPr>
      <w:bookmarkStart w:id="1257" w:name="bookmark380"/>
      <w:bookmarkEnd w:id="1257"/>
      <w:r>
        <w:rPr>
          <w:rFonts w:ascii="Times New Roman" w:hAnsi="Times New Roman" w:eastAsia="Times New Roman" w:cs="Times New Roman"/>
          <w:spacing w:val="-2"/>
          <w:sz w:val="24"/>
          <w:szCs w:val="24"/>
        </w:rPr>
        <w:t>3.6</w:t>
      </w:r>
      <w:r>
        <w:rPr>
          <w:rFonts w:ascii="Times New Roman" w:hAnsi="Times New Roman" w:eastAsia="Times New Roman" w:cs="Times New Roman"/>
          <w:spacing w:val="20"/>
          <w:sz w:val="24"/>
          <w:szCs w:val="24"/>
        </w:rPr>
        <w:t xml:space="preserve"> </w:t>
      </w:r>
      <w:r>
        <w:rPr>
          <w:rFonts w:ascii="黑体" w:hAnsi="黑体" w:eastAsia="黑体" w:cs="黑体"/>
          <w:spacing w:val="-2"/>
          <w:sz w:val="24"/>
          <w:szCs w:val="24"/>
        </w:rPr>
        <w:t>分类分项工程量清单计价表</w:t>
      </w:r>
    </w:p>
    <w:p w14:paraId="7CD3040F">
      <w:pPr>
        <w:spacing w:before="43" w:line="218" w:lineRule="auto"/>
        <w:ind w:left="2490"/>
        <w:rPr>
          <w:rFonts w:ascii="宋体" w:hAnsi="宋体" w:eastAsia="宋体" w:cs="宋体"/>
          <w:sz w:val="40"/>
          <w:szCs w:val="40"/>
        </w:rPr>
      </w:pPr>
      <w:bookmarkStart w:id="1258" w:name="bookmark614"/>
      <w:bookmarkEnd w:id="1258"/>
      <w:r>
        <w:rPr>
          <w:rFonts w:ascii="宋体" w:hAnsi="宋体" w:eastAsia="宋体" w:cs="宋体"/>
          <w:b/>
          <w:bCs/>
          <w:spacing w:val="-5"/>
          <w:sz w:val="40"/>
          <w:szCs w:val="40"/>
        </w:rPr>
        <w:t>分类分项工程量清单计价表</w:t>
      </w:r>
    </w:p>
    <w:p w14:paraId="73BFE11B">
      <w:pPr>
        <w:spacing w:before="11"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41982DF6">
      <w:pPr>
        <w:spacing w:before="92" w:line="220" w:lineRule="auto"/>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w:t>
      </w:r>
      <w:r>
        <w:rPr>
          <w:rFonts w:ascii="宋体" w:hAnsi="宋体" w:eastAsia="宋体" w:cs="宋体"/>
          <w:spacing w:val="11"/>
          <w:sz w:val="18"/>
          <w:szCs w:val="18"/>
        </w:rPr>
        <w:t xml:space="preserve">  </w:t>
      </w:r>
      <w:r>
        <w:rPr>
          <w:rFonts w:ascii="宋体" w:hAnsi="宋体" w:eastAsia="宋体" w:cs="宋体"/>
          <w:spacing w:val="-3"/>
          <w:sz w:val="18"/>
          <w:szCs w:val="18"/>
        </w:rPr>
        <w:t>1  页、共</w:t>
      </w:r>
      <w:r>
        <w:rPr>
          <w:rFonts w:ascii="宋体" w:hAnsi="宋体" w:eastAsia="宋体" w:cs="宋体"/>
          <w:spacing w:val="9"/>
          <w:sz w:val="18"/>
          <w:szCs w:val="18"/>
        </w:rPr>
        <w:t xml:space="preserve">  </w:t>
      </w:r>
      <w:r>
        <w:rPr>
          <w:rFonts w:ascii="宋体" w:hAnsi="宋体" w:eastAsia="宋体" w:cs="宋体"/>
          <w:spacing w:val="-3"/>
          <w:sz w:val="18"/>
          <w:szCs w:val="18"/>
        </w:rPr>
        <w:t>1</w:t>
      </w:r>
      <w:r>
        <w:rPr>
          <w:rFonts w:ascii="宋体" w:hAnsi="宋体" w:eastAsia="宋体" w:cs="宋体"/>
          <w:spacing w:val="6"/>
          <w:sz w:val="18"/>
          <w:szCs w:val="18"/>
        </w:rPr>
        <w:t xml:space="preserve">  </w:t>
      </w:r>
      <w:r>
        <w:rPr>
          <w:rFonts w:ascii="宋体" w:hAnsi="宋体" w:eastAsia="宋体" w:cs="宋体"/>
          <w:spacing w:val="-3"/>
          <w:sz w:val="18"/>
          <w:szCs w:val="18"/>
        </w:rPr>
        <w:t>页</w:t>
      </w:r>
    </w:p>
    <w:p w14:paraId="7D62AE1D">
      <w:pPr>
        <w:spacing w:line="67" w:lineRule="exact"/>
      </w:pPr>
    </w:p>
    <w:tbl>
      <w:tblPr>
        <w:tblStyle w:val="10"/>
        <w:tblW w:w="9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124"/>
        <w:gridCol w:w="1652"/>
        <w:gridCol w:w="1527"/>
        <w:gridCol w:w="798"/>
        <w:gridCol w:w="812"/>
        <w:gridCol w:w="963"/>
        <w:gridCol w:w="1036"/>
        <w:gridCol w:w="1042"/>
      </w:tblGrid>
      <w:tr w14:paraId="3EB3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91" w:type="dxa"/>
            <w:tcBorders>
              <w:top w:val="single" w:color="000000" w:sz="6" w:space="0"/>
              <w:left w:val="single" w:color="000000" w:sz="6" w:space="0"/>
            </w:tcBorders>
            <w:vAlign w:val="top"/>
          </w:tcPr>
          <w:p w14:paraId="3F29D3D5">
            <w:pPr>
              <w:pStyle w:val="11"/>
              <w:spacing w:before="147" w:line="221" w:lineRule="auto"/>
              <w:ind w:left="212"/>
              <w:rPr>
                <w:sz w:val="18"/>
                <w:szCs w:val="18"/>
              </w:rPr>
            </w:pPr>
            <w:r>
              <w:rPr>
                <w:spacing w:val="-2"/>
                <w:sz w:val="18"/>
                <w:szCs w:val="18"/>
              </w:rPr>
              <w:t>序号</w:t>
            </w:r>
          </w:p>
        </w:tc>
        <w:tc>
          <w:tcPr>
            <w:tcW w:w="1124" w:type="dxa"/>
            <w:tcBorders>
              <w:top w:val="single" w:color="000000" w:sz="6" w:space="0"/>
            </w:tcBorders>
            <w:vAlign w:val="top"/>
          </w:tcPr>
          <w:p w14:paraId="0844FFF4">
            <w:pPr>
              <w:pStyle w:val="11"/>
              <w:spacing w:before="146" w:line="220" w:lineRule="auto"/>
              <w:ind w:left="200"/>
              <w:rPr>
                <w:sz w:val="18"/>
                <w:szCs w:val="18"/>
              </w:rPr>
            </w:pPr>
            <w:r>
              <w:rPr>
                <w:spacing w:val="-2"/>
                <w:sz w:val="18"/>
                <w:szCs w:val="18"/>
              </w:rPr>
              <w:t>项目编码</w:t>
            </w:r>
          </w:p>
        </w:tc>
        <w:tc>
          <w:tcPr>
            <w:tcW w:w="1652" w:type="dxa"/>
            <w:tcBorders>
              <w:top w:val="single" w:color="000000" w:sz="6" w:space="0"/>
            </w:tcBorders>
            <w:vAlign w:val="top"/>
          </w:tcPr>
          <w:p w14:paraId="2141C09C">
            <w:pPr>
              <w:pStyle w:val="11"/>
              <w:spacing w:before="147" w:line="220" w:lineRule="auto"/>
              <w:ind w:left="466"/>
              <w:rPr>
                <w:sz w:val="18"/>
                <w:szCs w:val="18"/>
              </w:rPr>
            </w:pPr>
            <w:r>
              <w:rPr>
                <w:spacing w:val="-2"/>
                <w:sz w:val="18"/>
                <w:szCs w:val="18"/>
              </w:rPr>
              <w:t>项目名称</w:t>
            </w:r>
          </w:p>
        </w:tc>
        <w:tc>
          <w:tcPr>
            <w:tcW w:w="1527" w:type="dxa"/>
            <w:tcBorders>
              <w:top w:val="single" w:color="000000" w:sz="6" w:space="0"/>
            </w:tcBorders>
            <w:vAlign w:val="top"/>
          </w:tcPr>
          <w:p w14:paraId="5299D87A">
            <w:pPr>
              <w:pStyle w:val="11"/>
              <w:spacing w:before="146" w:line="220" w:lineRule="auto"/>
              <w:ind w:left="405"/>
              <w:rPr>
                <w:sz w:val="18"/>
                <w:szCs w:val="18"/>
              </w:rPr>
            </w:pPr>
            <w:r>
              <w:rPr>
                <w:spacing w:val="-2"/>
                <w:sz w:val="18"/>
                <w:szCs w:val="18"/>
              </w:rPr>
              <w:t>项目特征</w:t>
            </w:r>
          </w:p>
        </w:tc>
        <w:tc>
          <w:tcPr>
            <w:tcW w:w="798" w:type="dxa"/>
            <w:tcBorders>
              <w:top w:val="single" w:color="000000" w:sz="6" w:space="0"/>
            </w:tcBorders>
            <w:vAlign w:val="top"/>
          </w:tcPr>
          <w:p w14:paraId="4499D8AD">
            <w:pPr>
              <w:pStyle w:val="11"/>
              <w:spacing w:before="29" w:line="224" w:lineRule="auto"/>
              <w:ind w:left="311" w:right="128" w:hanging="180"/>
              <w:rPr>
                <w:sz w:val="18"/>
                <w:szCs w:val="18"/>
              </w:rPr>
            </w:pPr>
            <w:r>
              <w:rPr>
                <w:spacing w:val="-3"/>
                <w:sz w:val="18"/>
                <w:szCs w:val="18"/>
              </w:rPr>
              <w:t>计量单</w:t>
            </w:r>
            <w:r>
              <w:rPr>
                <w:sz w:val="18"/>
                <w:szCs w:val="18"/>
              </w:rPr>
              <w:t>位</w:t>
            </w:r>
          </w:p>
        </w:tc>
        <w:tc>
          <w:tcPr>
            <w:tcW w:w="812" w:type="dxa"/>
            <w:tcBorders>
              <w:top w:val="single" w:color="000000" w:sz="6" w:space="0"/>
            </w:tcBorders>
            <w:vAlign w:val="top"/>
          </w:tcPr>
          <w:p w14:paraId="1A4994C3">
            <w:pPr>
              <w:pStyle w:val="11"/>
              <w:spacing w:before="29" w:line="224" w:lineRule="auto"/>
              <w:ind w:left="319" w:right="134" w:hanging="177"/>
              <w:rPr>
                <w:sz w:val="18"/>
                <w:szCs w:val="18"/>
              </w:rPr>
            </w:pPr>
            <w:r>
              <w:rPr>
                <w:spacing w:val="-4"/>
                <w:sz w:val="18"/>
                <w:szCs w:val="18"/>
              </w:rPr>
              <w:t>工程数</w:t>
            </w:r>
            <w:r>
              <w:rPr>
                <w:sz w:val="18"/>
                <w:szCs w:val="18"/>
              </w:rPr>
              <w:t>量</w:t>
            </w:r>
          </w:p>
        </w:tc>
        <w:tc>
          <w:tcPr>
            <w:tcW w:w="963" w:type="dxa"/>
            <w:tcBorders>
              <w:top w:val="single" w:color="000000" w:sz="6" w:space="0"/>
            </w:tcBorders>
            <w:vAlign w:val="top"/>
          </w:tcPr>
          <w:p w14:paraId="23CF81D6">
            <w:pPr>
              <w:pStyle w:val="11"/>
              <w:spacing w:before="29" w:line="224" w:lineRule="auto"/>
              <w:ind w:left="223" w:right="218" w:firstLine="85"/>
              <w:rPr>
                <w:sz w:val="18"/>
                <w:szCs w:val="18"/>
              </w:rPr>
            </w:pPr>
            <w:r>
              <w:rPr>
                <w:spacing w:val="-5"/>
                <w:sz w:val="18"/>
                <w:szCs w:val="18"/>
              </w:rPr>
              <w:t>单价</w:t>
            </w:r>
            <w:r>
              <w:rPr>
                <w:spacing w:val="-8"/>
                <w:sz w:val="18"/>
                <w:szCs w:val="18"/>
              </w:rPr>
              <w:t>（元）</w:t>
            </w:r>
          </w:p>
        </w:tc>
        <w:tc>
          <w:tcPr>
            <w:tcW w:w="1036" w:type="dxa"/>
            <w:tcBorders>
              <w:top w:val="single" w:color="000000" w:sz="6" w:space="0"/>
            </w:tcBorders>
            <w:vAlign w:val="top"/>
          </w:tcPr>
          <w:p w14:paraId="64E807B6">
            <w:pPr>
              <w:pStyle w:val="11"/>
              <w:spacing w:before="29" w:line="224" w:lineRule="auto"/>
              <w:ind w:left="261" w:right="253" w:firstLine="87"/>
              <w:rPr>
                <w:sz w:val="18"/>
                <w:szCs w:val="18"/>
              </w:rPr>
            </w:pPr>
            <w:r>
              <w:rPr>
                <w:spacing w:val="-4"/>
                <w:sz w:val="18"/>
                <w:szCs w:val="18"/>
              </w:rPr>
              <w:t>合价</w:t>
            </w:r>
            <w:r>
              <w:rPr>
                <w:spacing w:val="-8"/>
                <w:sz w:val="18"/>
                <w:szCs w:val="18"/>
              </w:rPr>
              <w:t>（元）</w:t>
            </w:r>
          </w:p>
        </w:tc>
        <w:tc>
          <w:tcPr>
            <w:tcW w:w="1042" w:type="dxa"/>
            <w:tcBorders>
              <w:top w:val="single" w:color="000000" w:sz="6" w:space="0"/>
              <w:right w:val="single" w:color="000000" w:sz="6" w:space="0"/>
            </w:tcBorders>
            <w:vAlign w:val="top"/>
          </w:tcPr>
          <w:p w14:paraId="740375B9">
            <w:pPr>
              <w:pStyle w:val="11"/>
              <w:spacing w:before="29" w:line="220" w:lineRule="auto"/>
              <w:ind w:left="167"/>
              <w:rPr>
                <w:sz w:val="18"/>
                <w:szCs w:val="18"/>
              </w:rPr>
            </w:pPr>
            <w:r>
              <w:rPr>
                <w:spacing w:val="-2"/>
                <w:sz w:val="18"/>
                <w:szCs w:val="18"/>
              </w:rPr>
              <w:t>主要技术</w:t>
            </w:r>
          </w:p>
          <w:p w14:paraId="681E9EA2">
            <w:pPr>
              <w:pStyle w:val="11"/>
              <w:spacing w:before="21" w:line="206" w:lineRule="auto"/>
              <w:ind w:left="167"/>
              <w:rPr>
                <w:sz w:val="18"/>
                <w:szCs w:val="18"/>
              </w:rPr>
            </w:pPr>
            <w:r>
              <w:rPr>
                <w:spacing w:val="-2"/>
                <w:sz w:val="18"/>
                <w:szCs w:val="18"/>
              </w:rPr>
              <w:t>条款编码</w:t>
            </w:r>
          </w:p>
        </w:tc>
      </w:tr>
      <w:tr w14:paraId="035B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01A061EE">
            <w:pPr>
              <w:pStyle w:val="11"/>
              <w:spacing w:before="42" w:line="226" w:lineRule="auto"/>
              <w:ind w:left="361"/>
              <w:rPr>
                <w:sz w:val="18"/>
                <w:szCs w:val="18"/>
              </w:rPr>
            </w:pPr>
            <w:r>
              <w:rPr>
                <w:sz w:val="18"/>
                <w:szCs w:val="18"/>
              </w:rPr>
              <w:t>1</w:t>
            </w:r>
          </w:p>
        </w:tc>
        <w:tc>
          <w:tcPr>
            <w:tcW w:w="1124" w:type="dxa"/>
            <w:vAlign w:val="top"/>
          </w:tcPr>
          <w:p w14:paraId="7B5D9B48">
            <w:pPr>
              <w:rPr>
                <w:rFonts w:ascii="Arial"/>
                <w:sz w:val="21"/>
              </w:rPr>
            </w:pPr>
          </w:p>
        </w:tc>
        <w:tc>
          <w:tcPr>
            <w:tcW w:w="1652" w:type="dxa"/>
            <w:vAlign w:val="top"/>
          </w:tcPr>
          <w:p w14:paraId="21D2D82C">
            <w:pPr>
              <w:rPr>
                <w:rFonts w:ascii="Arial"/>
                <w:sz w:val="21"/>
              </w:rPr>
            </w:pPr>
          </w:p>
        </w:tc>
        <w:tc>
          <w:tcPr>
            <w:tcW w:w="1527" w:type="dxa"/>
            <w:vAlign w:val="top"/>
          </w:tcPr>
          <w:p w14:paraId="7D018225">
            <w:pPr>
              <w:rPr>
                <w:rFonts w:ascii="Arial"/>
                <w:sz w:val="21"/>
              </w:rPr>
            </w:pPr>
          </w:p>
        </w:tc>
        <w:tc>
          <w:tcPr>
            <w:tcW w:w="798" w:type="dxa"/>
            <w:vAlign w:val="top"/>
          </w:tcPr>
          <w:p w14:paraId="38EF0032">
            <w:pPr>
              <w:rPr>
                <w:rFonts w:ascii="Arial"/>
                <w:sz w:val="21"/>
              </w:rPr>
            </w:pPr>
          </w:p>
        </w:tc>
        <w:tc>
          <w:tcPr>
            <w:tcW w:w="812" w:type="dxa"/>
            <w:vAlign w:val="top"/>
          </w:tcPr>
          <w:p w14:paraId="720EFA02">
            <w:pPr>
              <w:rPr>
                <w:rFonts w:ascii="Arial"/>
                <w:sz w:val="21"/>
              </w:rPr>
            </w:pPr>
          </w:p>
        </w:tc>
        <w:tc>
          <w:tcPr>
            <w:tcW w:w="963" w:type="dxa"/>
            <w:vAlign w:val="top"/>
          </w:tcPr>
          <w:p w14:paraId="70A655BB">
            <w:pPr>
              <w:rPr>
                <w:rFonts w:ascii="Arial"/>
                <w:sz w:val="21"/>
              </w:rPr>
            </w:pPr>
          </w:p>
        </w:tc>
        <w:tc>
          <w:tcPr>
            <w:tcW w:w="1036" w:type="dxa"/>
            <w:vAlign w:val="top"/>
          </w:tcPr>
          <w:p w14:paraId="289B0C07">
            <w:pPr>
              <w:rPr>
                <w:rFonts w:ascii="Arial"/>
                <w:sz w:val="21"/>
              </w:rPr>
            </w:pPr>
          </w:p>
        </w:tc>
        <w:tc>
          <w:tcPr>
            <w:tcW w:w="1042" w:type="dxa"/>
            <w:tcBorders>
              <w:right w:val="single" w:color="000000" w:sz="6" w:space="0"/>
            </w:tcBorders>
            <w:vAlign w:val="top"/>
          </w:tcPr>
          <w:p w14:paraId="79EE0F4D">
            <w:pPr>
              <w:rPr>
                <w:rFonts w:ascii="Arial"/>
                <w:sz w:val="21"/>
              </w:rPr>
            </w:pPr>
          </w:p>
        </w:tc>
      </w:tr>
      <w:tr w14:paraId="69AA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791" w:type="dxa"/>
            <w:tcBorders>
              <w:left w:val="single" w:color="000000" w:sz="6" w:space="0"/>
            </w:tcBorders>
            <w:vAlign w:val="top"/>
          </w:tcPr>
          <w:p w14:paraId="23D34435">
            <w:pPr>
              <w:pStyle w:val="11"/>
              <w:spacing w:before="46" w:line="223" w:lineRule="auto"/>
              <w:ind w:left="349"/>
              <w:rPr>
                <w:sz w:val="18"/>
                <w:szCs w:val="18"/>
              </w:rPr>
            </w:pPr>
            <w:r>
              <w:rPr>
                <w:sz w:val="18"/>
                <w:szCs w:val="18"/>
              </w:rPr>
              <w:t>2</w:t>
            </w:r>
          </w:p>
        </w:tc>
        <w:tc>
          <w:tcPr>
            <w:tcW w:w="1124" w:type="dxa"/>
            <w:vAlign w:val="top"/>
          </w:tcPr>
          <w:p w14:paraId="652DF5C2">
            <w:pPr>
              <w:rPr>
                <w:rFonts w:ascii="Arial"/>
                <w:sz w:val="21"/>
              </w:rPr>
            </w:pPr>
          </w:p>
        </w:tc>
        <w:tc>
          <w:tcPr>
            <w:tcW w:w="1652" w:type="dxa"/>
            <w:vAlign w:val="top"/>
          </w:tcPr>
          <w:p w14:paraId="60933B52">
            <w:pPr>
              <w:rPr>
                <w:rFonts w:ascii="Arial"/>
                <w:sz w:val="21"/>
              </w:rPr>
            </w:pPr>
          </w:p>
        </w:tc>
        <w:tc>
          <w:tcPr>
            <w:tcW w:w="1527" w:type="dxa"/>
            <w:vAlign w:val="top"/>
          </w:tcPr>
          <w:p w14:paraId="1DAF88AB">
            <w:pPr>
              <w:rPr>
                <w:rFonts w:ascii="Arial"/>
                <w:sz w:val="21"/>
              </w:rPr>
            </w:pPr>
          </w:p>
        </w:tc>
        <w:tc>
          <w:tcPr>
            <w:tcW w:w="798" w:type="dxa"/>
            <w:vAlign w:val="top"/>
          </w:tcPr>
          <w:p w14:paraId="7595A3D5">
            <w:pPr>
              <w:rPr>
                <w:rFonts w:ascii="Arial"/>
                <w:sz w:val="21"/>
              </w:rPr>
            </w:pPr>
          </w:p>
        </w:tc>
        <w:tc>
          <w:tcPr>
            <w:tcW w:w="812" w:type="dxa"/>
            <w:vAlign w:val="top"/>
          </w:tcPr>
          <w:p w14:paraId="563613B2">
            <w:pPr>
              <w:rPr>
                <w:rFonts w:ascii="Arial"/>
                <w:sz w:val="21"/>
              </w:rPr>
            </w:pPr>
          </w:p>
        </w:tc>
        <w:tc>
          <w:tcPr>
            <w:tcW w:w="963" w:type="dxa"/>
            <w:vAlign w:val="top"/>
          </w:tcPr>
          <w:p w14:paraId="0F8FC083">
            <w:pPr>
              <w:rPr>
                <w:rFonts w:ascii="Arial"/>
                <w:sz w:val="21"/>
              </w:rPr>
            </w:pPr>
          </w:p>
        </w:tc>
        <w:tc>
          <w:tcPr>
            <w:tcW w:w="1036" w:type="dxa"/>
            <w:vAlign w:val="top"/>
          </w:tcPr>
          <w:p w14:paraId="3012C23A">
            <w:pPr>
              <w:rPr>
                <w:rFonts w:ascii="Arial"/>
                <w:sz w:val="21"/>
              </w:rPr>
            </w:pPr>
          </w:p>
        </w:tc>
        <w:tc>
          <w:tcPr>
            <w:tcW w:w="1042" w:type="dxa"/>
            <w:tcBorders>
              <w:right w:val="single" w:color="000000" w:sz="6" w:space="0"/>
            </w:tcBorders>
            <w:vAlign w:val="top"/>
          </w:tcPr>
          <w:p w14:paraId="3C55755B">
            <w:pPr>
              <w:rPr>
                <w:rFonts w:ascii="Arial"/>
                <w:sz w:val="21"/>
              </w:rPr>
            </w:pPr>
          </w:p>
        </w:tc>
      </w:tr>
      <w:tr w14:paraId="1F559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0B9686DC">
            <w:pPr>
              <w:rPr>
                <w:rFonts w:ascii="Arial"/>
                <w:sz w:val="21"/>
              </w:rPr>
            </w:pPr>
          </w:p>
        </w:tc>
        <w:tc>
          <w:tcPr>
            <w:tcW w:w="1124" w:type="dxa"/>
            <w:vAlign w:val="top"/>
          </w:tcPr>
          <w:p w14:paraId="61779399">
            <w:pPr>
              <w:rPr>
                <w:rFonts w:ascii="Arial"/>
                <w:sz w:val="21"/>
              </w:rPr>
            </w:pPr>
          </w:p>
        </w:tc>
        <w:tc>
          <w:tcPr>
            <w:tcW w:w="1652" w:type="dxa"/>
            <w:vAlign w:val="top"/>
          </w:tcPr>
          <w:p w14:paraId="7133A4C5">
            <w:pPr>
              <w:rPr>
                <w:rFonts w:ascii="Arial"/>
                <w:sz w:val="21"/>
              </w:rPr>
            </w:pPr>
          </w:p>
        </w:tc>
        <w:tc>
          <w:tcPr>
            <w:tcW w:w="1527" w:type="dxa"/>
            <w:vAlign w:val="top"/>
          </w:tcPr>
          <w:p w14:paraId="255E6438">
            <w:pPr>
              <w:rPr>
                <w:rFonts w:ascii="Arial"/>
                <w:sz w:val="21"/>
              </w:rPr>
            </w:pPr>
          </w:p>
        </w:tc>
        <w:tc>
          <w:tcPr>
            <w:tcW w:w="798" w:type="dxa"/>
            <w:vAlign w:val="top"/>
          </w:tcPr>
          <w:p w14:paraId="3FCCD00E">
            <w:pPr>
              <w:rPr>
                <w:rFonts w:ascii="Arial"/>
                <w:sz w:val="21"/>
              </w:rPr>
            </w:pPr>
          </w:p>
        </w:tc>
        <w:tc>
          <w:tcPr>
            <w:tcW w:w="812" w:type="dxa"/>
            <w:vAlign w:val="top"/>
          </w:tcPr>
          <w:p w14:paraId="11BEE4AB">
            <w:pPr>
              <w:rPr>
                <w:rFonts w:ascii="Arial"/>
                <w:sz w:val="21"/>
              </w:rPr>
            </w:pPr>
          </w:p>
        </w:tc>
        <w:tc>
          <w:tcPr>
            <w:tcW w:w="963" w:type="dxa"/>
            <w:vAlign w:val="top"/>
          </w:tcPr>
          <w:p w14:paraId="594980B4">
            <w:pPr>
              <w:rPr>
                <w:rFonts w:ascii="Arial"/>
                <w:sz w:val="21"/>
              </w:rPr>
            </w:pPr>
          </w:p>
        </w:tc>
        <w:tc>
          <w:tcPr>
            <w:tcW w:w="1036" w:type="dxa"/>
            <w:vAlign w:val="top"/>
          </w:tcPr>
          <w:p w14:paraId="4EFE1599">
            <w:pPr>
              <w:rPr>
                <w:rFonts w:ascii="Arial"/>
                <w:sz w:val="21"/>
              </w:rPr>
            </w:pPr>
          </w:p>
        </w:tc>
        <w:tc>
          <w:tcPr>
            <w:tcW w:w="1042" w:type="dxa"/>
            <w:tcBorders>
              <w:right w:val="single" w:color="000000" w:sz="6" w:space="0"/>
            </w:tcBorders>
            <w:vAlign w:val="top"/>
          </w:tcPr>
          <w:p w14:paraId="2795892C">
            <w:pPr>
              <w:rPr>
                <w:rFonts w:ascii="Arial"/>
                <w:sz w:val="21"/>
              </w:rPr>
            </w:pPr>
          </w:p>
        </w:tc>
      </w:tr>
      <w:tr w14:paraId="3A77E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0A55D953">
            <w:pPr>
              <w:rPr>
                <w:rFonts w:ascii="Arial"/>
                <w:sz w:val="21"/>
              </w:rPr>
            </w:pPr>
          </w:p>
        </w:tc>
        <w:tc>
          <w:tcPr>
            <w:tcW w:w="1124" w:type="dxa"/>
            <w:vAlign w:val="top"/>
          </w:tcPr>
          <w:p w14:paraId="71E47F71">
            <w:pPr>
              <w:rPr>
                <w:rFonts w:ascii="Arial"/>
                <w:sz w:val="21"/>
              </w:rPr>
            </w:pPr>
          </w:p>
        </w:tc>
        <w:tc>
          <w:tcPr>
            <w:tcW w:w="1652" w:type="dxa"/>
            <w:vAlign w:val="top"/>
          </w:tcPr>
          <w:p w14:paraId="101F6D5F">
            <w:pPr>
              <w:rPr>
                <w:rFonts w:ascii="Arial"/>
                <w:sz w:val="21"/>
              </w:rPr>
            </w:pPr>
          </w:p>
        </w:tc>
        <w:tc>
          <w:tcPr>
            <w:tcW w:w="1527" w:type="dxa"/>
            <w:vAlign w:val="top"/>
          </w:tcPr>
          <w:p w14:paraId="26288141">
            <w:pPr>
              <w:rPr>
                <w:rFonts w:ascii="Arial"/>
                <w:sz w:val="21"/>
              </w:rPr>
            </w:pPr>
          </w:p>
        </w:tc>
        <w:tc>
          <w:tcPr>
            <w:tcW w:w="798" w:type="dxa"/>
            <w:vAlign w:val="top"/>
          </w:tcPr>
          <w:p w14:paraId="686D2113">
            <w:pPr>
              <w:rPr>
                <w:rFonts w:ascii="Arial"/>
                <w:sz w:val="21"/>
              </w:rPr>
            </w:pPr>
          </w:p>
        </w:tc>
        <w:tc>
          <w:tcPr>
            <w:tcW w:w="812" w:type="dxa"/>
            <w:vAlign w:val="top"/>
          </w:tcPr>
          <w:p w14:paraId="412B8FC2">
            <w:pPr>
              <w:rPr>
                <w:rFonts w:ascii="Arial"/>
                <w:sz w:val="21"/>
              </w:rPr>
            </w:pPr>
          </w:p>
        </w:tc>
        <w:tc>
          <w:tcPr>
            <w:tcW w:w="963" w:type="dxa"/>
            <w:vAlign w:val="top"/>
          </w:tcPr>
          <w:p w14:paraId="7FBF4EBA">
            <w:pPr>
              <w:rPr>
                <w:rFonts w:ascii="Arial"/>
                <w:sz w:val="21"/>
              </w:rPr>
            </w:pPr>
          </w:p>
        </w:tc>
        <w:tc>
          <w:tcPr>
            <w:tcW w:w="1036" w:type="dxa"/>
            <w:vAlign w:val="top"/>
          </w:tcPr>
          <w:p w14:paraId="0C68C559">
            <w:pPr>
              <w:rPr>
                <w:rFonts w:ascii="Arial"/>
                <w:sz w:val="21"/>
              </w:rPr>
            </w:pPr>
          </w:p>
        </w:tc>
        <w:tc>
          <w:tcPr>
            <w:tcW w:w="1042" w:type="dxa"/>
            <w:tcBorders>
              <w:right w:val="single" w:color="000000" w:sz="6" w:space="0"/>
            </w:tcBorders>
            <w:vAlign w:val="top"/>
          </w:tcPr>
          <w:p w14:paraId="39296D98">
            <w:pPr>
              <w:rPr>
                <w:rFonts w:ascii="Arial"/>
                <w:sz w:val="21"/>
              </w:rPr>
            </w:pPr>
          </w:p>
        </w:tc>
      </w:tr>
      <w:tr w14:paraId="3514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222FF9E4">
            <w:pPr>
              <w:rPr>
                <w:rFonts w:ascii="Arial"/>
                <w:sz w:val="21"/>
              </w:rPr>
            </w:pPr>
          </w:p>
        </w:tc>
        <w:tc>
          <w:tcPr>
            <w:tcW w:w="1124" w:type="dxa"/>
            <w:vAlign w:val="top"/>
          </w:tcPr>
          <w:p w14:paraId="7232FC67">
            <w:pPr>
              <w:rPr>
                <w:rFonts w:ascii="Arial"/>
                <w:sz w:val="21"/>
              </w:rPr>
            </w:pPr>
          </w:p>
        </w:tc>
        <w:tc>
          <w:tcPr>
            <w:tcW w:w="1652" w:type="dxa"/>
            <w:vAlign w:val="top"/>
          </w:tcPr>
          <w:p w14:paraId="1C3D945C">
            <w:pPr>
              <w:rPr>
                <w:rFonts w:ascii="Arial"/>
                <w:sz w:val="21"/>
              </w:rPr>
            </w:pPr>
          </w:p>
        </w:tc>
        <w:tc>
          <w:tcPr>
            <w:tcW w:w="1527" w:type="dxa"/>
            <w:vAlign w:val="top"/>
          </w:tcPr>
          <w:p w14:paraId="438E8EA5">
            <w:pPr>
              <w:rPr>
                <w:rFonts w:ascii="Arial"/>
                <w:sz w:val="21"/>
              </w:rPr>
            </w:pPr>
          </w:p>
        </w:tc>
        <w:tc>
          <w:tcPr>
            <w:tcW w:w="798" w:type="dxa"/>
            <w:vAlign w:val="top"/>
          </w:tcPr>
          <w:p w14:paraId="74C4AB61">
            <w:pPr>
              <w:rPr>
                <w:rFonts w:ascii="Arial"/>
                <w:sz w:val="21"/>
              </w:rPr>
            </w:pPr>
          </w:p>
        </w:tc>
        <w:tc>
          <w:tcPr>
            <w:tcW w:w="812" w:type="dxa"/>
            <w:vAlign w:val="top"/>
          </w:tcPr>
          <w:p w14:paraId="1CE3F616">
            <w:pPr>
              <w:rPr>
                <w:rFonts w:ascii="Arial"/>
                <w:sz w:val="21"/>
              </w:rPr>
            </w:pPr>
          </w:p>
        </w:tc>
        <w:tc>
          <w:tcPr>
            <w:tcW w:w="963" w:type="dxa"/>
            <w:vAlign w:val="top"/>
          </w:tcPr>
          <w:p w14:paraId="4CFE6A0D">
            <w:pPr>
              <w:rPr>
                <w:rFonts w:ascii="Arial"/>
                <w:sz w:val="21"/>
              </w:rPr>
            </w:pPr>
          </w:p>
        </w:tc>
        <w:tc>
          <w:tcPr>
            <w:tcW w:w="1036" w:type="dxa"/>
            <w:vAlign w:val="top"/>
          </w:tcPr>
          <w:p w14:paraId="392005FC">
            <w:pPr>
              <w:rPr>
                <w:rFonts w:ascii="Arial"/>
                <w:sz w:val="21"/>
              </w:rPr>
            </w:pPr>
          </w:p>
        </w:tc>
        <w:tc>
          <w:tcPr>
            <w:tcW w:w="1042" w:type="dxa"/>
            <w:tcBorders>
              <w:right w:val="single" w:color="000000" w:sz="6" w:space="0"/>
            </w:tcBorders>
            <w:vAlign w:val="top"/>
          </w:tcPr>
          <w:p w14:paraId="5FC4E028">
            <w:pPr>
              <w:rPr>
                <w:rFonts w:ascii="Arial"/>
                <w:sz w:val="21"/>
              </w:rPr>
            </w:pPr>
          </w:p>
        </w:tc>
      </w:tr>
      <w:tr w14:paraId="5E4FC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6004EE59">
            <w:pPr>
              <w:rPr>
                <w:rFonts w:ascii="Arial"/>
                <w:sz w:val="21"/>
              </w:rPr>
            </w:pPr>
          </w:p>
        </w:tc>
        <w:tc>
          <w:tcPr>
            <w:tcW w:w="1124" w:type="dxa"/>
            <w:vAlign w:val="top"/>
          </w:tcPr>
          <w:p w14:paraId="4325DDEB">
            <w:pPr>
              <w:rPr>
                <w:rFonts w:ascii="Arial"/>
                <w:sz w:val="21"/>
              </w:rPr>
            </w:pPr>
          </w:p>
        </w:tc>
        <w:tc>
          <w:tcPr>
            <w:tcW w:w="1652" w:type="dxa"/>
            <w:vAlign w:val="top"/>
          </w:tcPr>
          <w:p w14:paraId="54E49D5A">
            <w:pPr>
              <w:rPr>
                <w:rFonts w:ascii="Arial"/>
                <w:sz w:val="21"/>
              </w:rPr>
            </w:pPr>
          </w:p>
        </w:tc>
        <w:tc>
          <w:tcPr>
            <w:tcW w:w="1527" w:type="dxa"/>
            <w:vAlign w:val="top"/>
          </w:tcPr>
          <w:p w14:paraId="75873002">
            <w:pPr>
              <w:rPr>
                <w:rFonts w:ascii="Arial"/>
                <w:sz w:val="21"/>
              </w:rPr>
            </w:pPr>
          </w:p>
        </w:tc>
        <w:tc>
          <w:tcPr>
            <w:tcW w:w="798" w:type="dxa"/>
            <w:vAlign w:val="top"/>
          </w:tcPr>
          <w:p w14:paraId="4B0CAC1E">
            <w:pPr>
              <w:rPr>
                <w:rFonts w:ascii="Arial"/>
                <w:sz w:val="21"/>
              </w:rPr>
            </w:pPr>
          </w:p>
        </w:tc>
        <w:tc>
          <w:tcPr>
            <w:tcW w:w="812" w:type="dxa"/>
            <w:vAlign w:val="top"/>
          </w:tcPr>
          <w:p w14:paraId="2B2CF426">
            <w:pPr>
              <w:rPr>
                <w:rFonts w:ascii="Arial"/>
                <w:sz w:val="21"/>
              </w:rPr>
            </w:pPr>
          </w:p>
        </w:tc>
        <w:tc>
          <w:tcPr>
            <w:tcW w:w="963" w:type="dxa"/>
            <w:vAlign w:val="top"/>
          </w:tcPr>
          <w:p w14:paraId="10804681">
            <w:pPr>
              <w:rPr>
                <w:rFonts w:ascii="Arial"/>
                <w:sz w:val="21"/>
              </w:rPr>
            </w:pPr>
          </w:p>
        </w:tc>
        <w:tc>
          <w:tcPr>
            <w:tcW w:w="1036" w:type="dxa"/>
            <w:vAlign w:val="top"/>
          </w:tcPr>
          <w:p w14:paraId="0CF04A0A">
            <w:pPr>
              <w:rPr>
                <w:rFonts w:ascii="Arial"/>
                <w:sz w:val="21"/>
              </w:rPr>
            </w:pPr>
          </w:p>
        </w:tc>
        <w:tc>
          <w:tcPr>
            <w:tcW w:w="1042" w:type="dxa"/>
            <w:tcBorders>
              <w:right w:val="single" w:color="000000" w:sz="6" w:space="0"/>
            </w:tcBorders>
            <w:vAlign w:val="top"/>
          </w:tcPr>
          <w:p w14:paraId="4B67899E">
            <w:pPr>
              <w:rPr>
                <w:rFonts w:ascii="Arial"/>
                <w:sz w:val="21"/>
              </w:rPr>
            </w:pPr>
          </w:p>
        </w:tc>
      </w:tr>
      <w:tr w14:paraId="55E6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2C405FA7">
            <w:pPr>
              <w:rPr>
                <w:rFonts w:ascii="Arial"/>
                <w:sz w:val="21"/>
              </w:rPr>
            </w:pPr>
          </w:p>
        </w:tc>
        <w:tc>
          <w:tcPr>
            <w:tcW w:w="1124" w:type="dxa"/>
            <w:vAlign w:val="top"/>
          </w:tcPr>
          <w:p w14:paraId="7182BD10">
            <w:pPr>
              <w:rPr>
                <w:rFonts w:ascii="Arial"/>
                <w:sz w:val="21"/>
              </w:rPr>
            </w:pPr>
          </w:p>
        </w:tc>
        <w:tc>
          <w:tcPr>
            <w:tcW w:w="1652" w:type="dxa"/>
            <w:vAlign w:val="top"/>
          </w:tcPr>
          <w:p w14:paraId="61DAA125">
            <w:pPr>
              <w:rPr>
                <w:rFonts w:ascii="Arial"/>
                <w:sz w:val="21"/>
              </w:rPr>
            </w:pPr>
          </w:p>
        </w:tc>
        <w:tc>
          <w:tcPr>
            <w:tcW w:w="1527" w:type="dxa"/>
            <w:vAlign w:val="top"/>
          </w:tcPr>
          <w:p w14:paraId="77631A05">
            <w:pPr>
              <w:rPr>
                <w:rFonts w:ascii="Arial"/>
                <w:sz w:val="21"/>
              </w:rPr>
            </w:pPr>
          </w:p>
        </w:tc>
        <w:tc>
          <w:tcPr>
            <w:tcW w:w="798" w:type="dxa"/>
            <w:vAlign w:val="top"/>
          </w:tcPr>
          <w:p w14:paraId="0CB01BC9">
            <w:pPr>
              <w:rPr>
                <w:rFonts w:ascii="Arial"/>
                <w:sz w:val="21"/>
              </w:rPr>
            </w:pPr>
          </w:p>
        </w:tc>
        <w:tc>
          <w:tcPr>
            <w:tcW w:w="812" w:type="dxa"/>
            <w:vAlign w:val="top"/>
          </w:tcPr>
          <w:p w14:paraId="33FF44BB">
            <w:pPr>
              <w:rPr>
                <w:rFonts w:ascii="Arial"/>
                <w:sz w:val="21"/>
              </w:rPr>
            </w:pPr>
          </w:p>
        </w:tc>
        <w:tc>
          <w:tcPr>
            <w:tcW w:w="963" w:type="dxa"/>
            <w:vAlign w:val="top"/>
          </w:tcPr>
          <w:p w14:paraId="34203471">
            <w:pPr>
              <w:rPr>
                <w:rFonts w:ascii="Arial"/>
                <w:sz w:val="21"/>
              </w:rPr>
            </w:pPr>
          </w:p>
        </w:tc>
        <w:tc>
          <w:tcPr>
            <w:tcW w:w="1036" w:type="dxa"/>
            <w:vAlign w:val="top"/>
          </w:tcPr>
          <w:p w14:paraId="552A9ECD">
            <w:pPr>
              <w:rPr>
                <w:rFonts w:ascii="Arial"/>
                <w:sz w:val="21"/>
              </w:rPr>
            </w:pPr>
          </w:p>
        </w:tc>
        <w:tc>
          <w:tcPr>
            <w:tcW w:w="1042" w:type="dxa"/>
            <w:tcBorders>
              <w:right w:val="single" w:color="000000" w:sz="6" w:space="0"/>
            </w:tcBorders>
            <w:vAlign w:val="top"/>
          </w:tcPr>
          <w:p w14:paraId="35235D3F">
            <w:pPr>
              <w:rPr>
                <w:rFonts w:ascii="Arial"/>
                <w:sz w:val="21"/>
              </w:rPr>
            </w:pPr>
          </w:p>
        </w:tc>
      </w:tr>
      <w:tr w14:paraId="19DF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1939CB58">
            <w:pPr>
              <w:rPr>
                <w:rFonts w:ascii="Arial"/>
                <w:sz w:val="21"/>
              </w:rPr>
            </w:pPr>
          </w:p>
        </w:tc>
        <w:tc>
          <w:tcPr>
            <w:tcW w:w="1124" w:type="dxa"/>
            <w:vAlign w:val="top"/>
          </w:tcPr>
          <w:p w14:paraId="571D5E24">
            <w:pPr>
              <w:rPr>
                <w:rFonts w:ascii="Arial"/>
                <w:sz w:val="21"/>
              </w:rPr>
            </w:pPr>
          </w:p>
        </w:tc>
        <w:tc>
          <w:tcPr>
            <w:tcW w:w="1652" w:type="dxa"/>
            <w:vAlign w:val="top"/>
          </w:tcPr>
          <w:p w14:paraId="100CC836">
            <w:pPr>
              <w:rPr>
                <w:rFonts w:ascii="Arial"/>
                <w:sz w:val="21"/>
              </w:rPr>
            </w:pPr>
          </w:p>
        </w:tc>
        <w:tc>
          <w:tcPr>
            <w:tcW w:w="1527" w:type="dxa"/>
            <w:vAlign w:val="top"/>
          </w:tcPr>
          <w:p w14:paraId="5AD53EE9">
            <w:pPr>
              <w:rPr>
                <w:rFonts w:ascii="Arial"/>
                <w:sz w:val="21"/>
              </w:rPr>
            </w:pPr>
          </w:p>
        </w:tc>
        <w:tc>
          <w:tcPr>
            <w:tcW w:w="798" w:type="dxa"/>
            <w:vAlign w:val="top"/>
          </w:tcPr>
          <w:p w14:paraId="2AE0335C">
            <w:pPr>
              <w:rPr>
                <w:rFonts w:ascii="Arial"/>
                <w:sz w:val="21"/>
              </w:rPr>
            </w:pPr>
          </w:p>
        </w:tc>
        <w:tc>
          <w:tcPr>
            <w:tcW w:w="812" w:type="dxa"/>
            <w:vAlign w:val="top"/>
          </w:tcPr>
          <w:p w14:paraId="562292F3">
            <w:pPr>
              <w:rPr>
                <w:rFonts w:ascii="Arial"/>
                <w:sz w:val="21"/>
              </w:rPr>
            </w:pPr>
          </w:p>
        </w:tc>
        <w:tc>
          <w:tcPr>
            <w:tcW w:w="963" w:type="dxa"/>
            <w:vAlign w:val="top"/>
          </w:tcPr>
          <w:p w14:paraId="3E694E32">
            <w:pPr>
              <w:rPr>
                <w:rFonts w:ascii="Arial"/>
                <w:sz w:val="21"/>
              </w:rPr>
            </w:pPr>
          </w:p>
        </w:tc>
        <w:tc>
          <w:tcPr>
            <w:tcW w:w="1036" w:type="dxa"/>
            <w:vAlign w:val="top"/>
          </w:tcPr>
          <w:p w14:paraId="7FC65CF2">
            <w:pPr>
              <w:rPr>
                <w:rFonts w:ascii="Arial"/>
                <w:sz w:val="21"/>
              </w:rPr>
            </w:pPr>
          </w:p>
        </w:tc>
        <w:tc>
          <w:tcPr>
            <w:tcW w:w="1042" w:type="dxa"/>
            <w:tcBorders>
              <w:right w:val="single" w:color="000000" w:sz="6" w:space="0"/>
            </w:tcBorders>
            <w:vAlign w:val="top"/>
          </w:tcPr>
          <w:p w14:paraId="2F2057A2">
            <w:pPr>
              <w:rPr>
                <w:rFonts w:ascii="Arial"/>
                <w:sz w:val="21"/>
              </w:rPr>
            </w:pPr>
          </w:p>
        </w:tc>
      </w:tr>
      <w:tr w14:paraId="0063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0597B253">
            <w:pPr>
              <w:rPr>
                <w:rFonts w:ascii="Arial"/>
                <w:sz w:val="21"/>
              </w:rPr>
            </w:pPr>
          </w:p>
        </w:tc>
        <w:tc>
          <w:tcPr>
            <w:tcW w:w="1124" w:type="dxa"/>
            <w:vAlign w:val="top"/>
          </w:tcPr>
          <w:p w14:paraId="633819C4">
            <w:pPr>
              <w:rPr>
                <w:rFonts w:ascii="Arial"/>
                <w:sz w:val="21"/>
              </w:rPr>
            </w:pPr>
          </w:p>
        </w:tc>
        <w:tc>
          <w:tcPr>
            <w:tcW w:w="1652" w:type="dxa"/>
            <w:vAlign w:val="top"/>
          </w:tcPr>
          <w:p w14:paraId="2D6FA3BE">
            <w:pPr>
              <w:rPr>
                <w:rFonts w:ascii="Arial"/>
                <w:sz w:val="21"/>
              </w:rPr>
            </w:pPr>
          </w:p>
        </w:tc>
        <w:tc>
          <w:tcPr>
            <w:tcW w:w="1527" w:type="dxa"/>
            <w:vAlign w:val="top"/>
          </w:tcPr>
          <w:p w14:paraId="49B5C198">
            <w:pPr>
              <w:rPr>
                <w:rFonts w:ascii="Arial"/>
                <w:sz w:val="21"/>
              </w:rPr>
            </w:pPr>
          </w:p>
        </w:tc>
        <w:tc>
          <w:tcPr>
            <w:tcW w:w="798" w:type="dxa"/>
            <w:vAlign w:val="top"/>
          </w:tcPr>
          <w:p w14:paraId="731ACBCF">
            <w:pPr>
              <w:rPr>
                <w:rFonts w:ascii="Arial"/>
                <w:sz w:val="21"/>
              </w:rPr>
            </w:pPr>
          </w:p>
        </w:tc>
        <w:tc>
          <w:tcPr>
            <w:tcW w:w="812" w:type="dxa"/>
            <w:vAlign w:val="top"/>
          </w:tcPr>
          <w:p w14:paraId="286B987D">
            <w:pPr>
              <w:rPr>
                <w:rFonts w:ascii="Arial"/>
                <w:sz w:val="21"/>
              </w:rPr>
            </w:pPr>
          </w:p>
        </w:tc>
        <w:tc>
          <w:tcPr>
            <w:tcW w:w="963" w:type="dxa"/>
            <w:vAlign w:val="top"/>
          </w:tcPr>
          <w:p w14:paraId="6F01EB5A">
            <w:pPr>
              <w:rPr>
                <w:rFonts w:ascii="Arial"/>
                <w:sz w:val="21"/>
              </w:rPr>
            </w:pPr>
          </w:p>
        </w:tc>
        <w:tc>
          <w:tcPr>
            <w:tcW w:w="1036" w:type="dxa"/>
            <w:vAlign w:val="top"/>
          </w:tcPr>
          <w:p w14:paraId="5E92BD6D">
            <w:pPr>
              <w:rPr>
                <w:rFonts w:ascii="Arial"/>
                <w:sz w:val="21"/>
              </w:rPr>
            </w:pPr>
          </w:p>
        </w:tc>
        <w:tc>
          <w:tcPr>
            <w:tcW w:w="1042" w:type="dxa"/>
            <w:tcBorders>
              <w:right w:val="single" w:color="000000" w:sz="6" w:space="0"/>
            </w:tcBorders>
            <w:vAlign w:val="top"/>
          </w:tcPr>
          <w:p w14:paraId="2F28C4C3">
            <w:pPr>
              <w:rPr>
                <w:rFonts w:ascii="Arial"/>
                <w:sz w:val="21"/>
              </w:rPr>
            </w:pPr>
          </w:p>
        </w:tc>
      </w:tr>
      <w:tr w14:paraId="6536B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7D4F072F">
            <w:pPr>
              <w:rPr>
                <w:rFonts w:ascii="Arial"/>
                <w:sz w:val="21"/>
              </w:rPr>
            </w:pPr>
          </w:p>
        </w:tc>
        <w:tc>
          <w:tcPr>
            <w:tcW w:w="1124" w:type="dxa"/>
            <w:vAlign w:val="top"/>
          </w:tcPr>
          <w:p w14:paraId="07D869D4">
            <w:pPr>
              <w:rPr>
                <w:rFonts w:ascii="Arial"/>
                <w:sz w:val="21"/>
              </w:rPr>
            </w:pPr>
          </w:p>
        </w:tc>
        <w:tc>
          <w:tcPr>
            <w:tcW w:w="1652" w:type="dxa"/>
            <w:vAlign w:val="top"/>
          </w:tcPr>
          <w:p w14:paraId="2926E83D">
            <w:pPr>
              <w:rPr>
                <w:rFonts w:ascii="Arial"/>
                <w:sz w:val="21"/>
              </w:rPr>
            </w:pPr>
          </w:p>
        </w:tc>
        <w:tc>
          <w:tcPr>
            <w:tcW w:w="1527" w:type="dxa"/>
            <w:vAlign w:val="top"/>
          </w:tcPr>
          <w:p w14:paraId="64020C3D">
            <w:pPr>
              <w:rPr>
                <w:rFonts w:ascii="Arial"/>
                <w:sz w:val="21"/>
              </w:rPr>
            </w:pPr>
          </w:p>
        </w:tc>
        <w:tc>
          <w:tcPr>
            <w:tcW w:w="798" w:type="dxa"/>
            <w:vAlign w:val="top"/>
          </w:tcPr>
          <w:p w14:paraId="02F979F7">
            <w:pPr>
              <w:rPr>
                <w:rFonts w:ascii="Arial"/>
                <w:sz w:val="21"/>
              </w:rPr>
            </w:pPr>
          </w:p>
        </w:tc>
        <w:tc>
          <w:tcPr>
            <w:tcW w:w="812" w:type="dxa"/>
            <w:vAlign w:val="top"/>
          </w:tcPr>
          <w:p w14:paraId="3E0E68F9">
            <w:pPr>
              <w:rPr>
                <w:rFonts w:ascii="Arial"/>
                <w:sz w:val="21"/>
              </w:rPr>
            </w:pPr>
          </w:p>
        </w:tc>
        <w:tc>
          <w:tcPr>
            <w:tcW w:w="963" w:type="dxa"/>
            <w:vAlign w:val="top"/>
          </w:tcPr>
          <w:p w14:paraId="271061C2">
            <w:pPr>
              <w:rPr>
                <w:rFonts w:ascii="Arial"/>
                <w:sz w:val="21"/>
              </w:rPr>
            </w:pPr>
          </w:p>
        </w:tc>
        <w:tc>
          <w:tcPr>
            <w:tcW w:w="1036" w:type="dxa"/>
            <w:vAlign w:val="top"/>
          </w:tcPr>
          <w:p w14:paraId="7894287B">
            <w:pPr>
              <w:rPr>
                <w:rFonts w:ascii="Arial"/>
                <w:sz w:val="21"/>
              </w:rPr>
            </w:pPr>
          </w:p>
        </w:tc>
        <w:tc>
          <w:tcPr>
            <w:tcW w:w="1042" w:type="dxa"/>
            <w:tcBorders>
              <w:right w:val="single" w:color="000000" w:sz="6" w:space="0"/>
            </w:tcBorders>
            <w:vAlign w:val="top"/>
          </w:tcPr>
          <w:p w14:paraId="62F0705D">
            <w:pPr>
              <w:rPr>
                <w:rFonts w:ascii="Arial"/>
                <w:sz w:val="21"/>
              </w:rPr>
            </w:pPr>
          </w:p>
        </w:tc>
      </w:tr>
      <w:tr w14:paraId="6B67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0ABBD50B">
            <w:pPr>
              <w:rPr>
                <w:rFonts w:ascii="Arial"/>
                <w:sz w:val="21"/>
              </w:rPr>
            </w:pPr>
          </w:p>
        </w:tc>
        <w:tc>
          <w:tcPr>
            <w:tcW w:w="1124" w:type="dxa"/>
            <w:vAlign w:val="top"/>
          </w:tcPr>
          <w:p w14:paraId="1854324E">
            <w:pPr>
              <w:rPr>
                <w:rFonts w:ascii="Arial"/>
                <w:sz w:val="21"/>
              </w:rPr>
            </w:pPr>
          </w:p>
        </w:tc>
        <w:tc>
          <w:tcPr>
            <w:tcW w:w="1652" w:type="dxa"/>
            <w:vAlign w:val="top"/>
          </w:tcPr>
          <w:p w14:paraId="0D6B90C7">
            <w:pPr>
              <w:rPr>
                <w:rFonts w:ascii="Arial"/>
                <w:sz w:val="21"/>
              </w:rPr>
            </w:pPr>
          </w:p>
        </w:tc>
        <w:tc>
          <w:tcPr>
            <w:tcW w:w="1527" w:type="dxa"/>
            <w:vAlign w:val="top"/>
          </w:tcPr>
          <w:p w14:paraId="5E0DF20D">
            <w:pPr>
              <w:rPr>
                <w:rFonts w:ascii="Arial"/>
                <w:sz w:val="21"/>
              </w:rPr>
            </w:pPr>
          </w:p>
        </w:tc>
        <w:tc>
          <w:tcPr>
            <w:tcW w:w="798" w:type="dxa"/>
            <w:vAlign w:val="top"/>
          </w:tcPr>
          <w:p w14:paraId="77ABD341">
            <w:pPr>
              <w:rPr>
                <w:rFonts w:ascii="Arial"/>
                <w:sz w:val="21"/>
              </w:rPr>
            </w:pPr>
          </w:p>
        </w:tc>
        <w:tc>
          <w:tcPr>
            <w:tcW w:w="812" w:type="dxa"/>
            <w:vAlign w:val="top"/>
          </w:tcPr>
          <w:p w14:paraId="28DAB595">
            <w:pPr>
              <w:rPr>
                <w:rFonts w:ascii="Arial"/>
                <w:sz w:val="21"/>
              </w:rPr>
            </w:pPr>
          </w:p>
        </w:tc>
        <w:tc>
          <w:tcPr>
            <w:tcW w:w="963" w:type="dxa"/>
            <w:vAlign w:val="top"/>
          </w:tcPr>
          <w:p w14:paraId="6FDC187A">
            <w:pPr>
              <w:rPr>
                <w:rFonts w:ascii="Arial"/>
                <w:sz w:val="21"/>
              </w:rPr>
            </w:pPr>
          </w:p>
        </w:tc>
        <w:tc>
          <w:tcPr>
            <w:tcW w:w="1036" w:type="dxa"/>
            <w:vAlign w:val="top"/>
          </w:tcPr>
          <w:p w14:paraId="10865BB6">
            <w:pPr>
              <w:rPr>
                <w:rFonts w:ascii="Arial"/>
                <w:sz w:val="21"/>
              </w:rPr>
            </w:pPr>
          </w:p>
        </w:tc>
        <w:tc>
          <w:tcPr>
            <w:tcW w:w="1042" w:type="dxa"/>
            <w:tcBorders>
              <w:right w:val="single" w:color="000000" w:sz="6" w:space="0"/>
            </w:tcBorders>
            <w:vAlign w:val="top"/>
          </w:tcPr>
          <w:p w14:paraId="39DCCC73">
            <w:pPr>
              <w:rPr>
                <w:rFonts w:ascii="Arial"/>
                <w:sz w:val="21"/>
              </w:rPr>
            </w:pPr>
          </w:p>
        </w:tc>
      </w:tr>
      <w:tr w14:paraId="76A2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70E59908">
            <w:pPr>
              <w:rPr>
                <w:rFonts w:ascii="Arial"/>
                <w:sz w:val="21"/>
              </w:rPr>
            </w:pPr>
          </w:p>
        </w:tc>
        <w:tc>
          <w:tcPr>
            <w:tcW w:w="1124" w:type="dxa"/>
            <w:vAlign w:val="top"/>
          </w:tcPr>
          <w:p w14:paraId="1905F33C">
            <w:pPr>
              <w:rPr>
                <w:rFonts w:ascii="Arial"/>
                <w:sz w:val="21"/>
              </w:rPr>
            </w:pPr>
          </w:p>
        </w:tc>
        <w:tc>
          <w:tcPr>
            <w:tcW w:w="1652" w:type="dxa"/>
            <w:vAlign w:val="top"/>
          </w:tcPr>
          <w:p w14:paraId="448B6F10">
            <w:pPr>
              <w:rPr>
                <w:rFonts w:ascii="Arial"/>
                <w:sz w:val="21"/>
              </w:rPr>
            </w:pPr>
          </w:p>
        </w:tc>
        <w:tc>
          <w:tcPr>
            <w:tcW w:w="1527" w:type="dxa"/>
            <w:vAlign w:val="top"/>
          </w:tcPr>
          <w:p w14:paraId="05B0926F">
            <w:pPr>
              <w:rPr>
                <w:rFonts w:ascii="Arial"/>
                <w:sz w:val="21"/>
              </w:rPr>
            </w:pPr>
          </w:p>
        </w:tc>
        <w:tc>
          <w:tcPr>
            <w:tcW w:w="798" w:type="dxa"/>
            <w:vAlign w:val="top"/>
          </w:tcPr>
          <w:p w14:paraId="1EAD13A4">
            <w:pPr>
              <w:rPr>
                <w:rFonts w:ascii="Arial"/>
                <w:sz w:val="21"/>
              </w:rPr>
            </w:pPr>
          </w:p>
        </w:tc>
        <w:tc>
          <w:tcPr>
            <w:tcW w:w="812" w:type="dxa"/>
            <w:vAlign w:val="top"/>
          </w:tcPr>
          <w:p w14:paraId="475BCB93">
            <w:pPr>
              <w:rPr>
                <w:rFonts w:ascii="Arial"/>
                <w:sz w:val="21"/>
              </w:rPr>
            </w:pPr>
          </w:p>
        </w:tc>
        <w:tc>
          <w:tcPr>
            <w:tcW w:w="963" w:type="dxa"/>
            <w:vAlign w:val="top"/>
          </w:tcPr>
          <w:p w14:paraId="6159829A">
            <w:pPr>
              <w:rPr>
                <w:rFonts w:ascii="Arial"/>
                <w:sz w:val="21"/>
              </w:rPr>
            </w:pPr>
          </w:p>
        </w:tc>
        <w:tc>
          <w:tcPr>
            <w:tcW w:w="1036" w:type="dxa"/>
            <w:vAlign w:val="top"/>
          </w:tcPr>
          <w:p w14:paraId="79BC6F83">
            <w:pPr>
              <w:rPr>
                <w:rFonts w:ascii="Arial"/>
                <w:sz w:val="21"/>
              </w:rPr>
            </w:pPr>
          </w:p>
        </w:tc>
        <w:tc>
          <w:tcPr>
            <w:tcW w:w="1042" w:type="dxa"/>
            <w:tcBorders>
              <w:right w:val="single" w:color="000000" w:sz="6" w:space="0"/>
            </w:tcBorders>
            <w:vAlign w:val="top"/>
          </w:tcPr>
          <w:p w14:paraId="751DB476">
            <w:pPr>
              <w:rPr>
                <w:rFonts w:ascii="Arial"/>
                <w:sz w:val="21"/>
              </w:rPr>
            </w:pPr>
          </w:p>
        </w:tc>
      </w:tr>
      <w:tr w14:paraId="5DD88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489A0826">
            <w:pPr>
              <w:rPr>
                <w:rFonts w:ascii="Arial"/>
                <w:sz w:val="21"/>
              </w:rPr>
            </w:pPr>
          </w:p>
        </w:tc>
        <w:tc>
          <w:tcPr>
            <w:tcW w:w="1124" w:type="dxa"/>
            <w:vAlign w:val="top"/>
          </w:tcPr>
          <w:p w14:paraId="7FD22E46">
            <w:pPr>
              <w:rPr>
                <w:rFonts w:ascii="Arial"/>
                <w:sz w:val="21"/>
              </w:rPr>
            </w:pPr>
          </w:p>
        </w:tc>
        <w:tc>
          <w:tcPr>
            <w:tcW w:w="1652" w:type="dxa"/>
            <w:vAlign w:val="top"/>
          </w:tcPr>
          <w:p w14:paraId="4D8D2F1F">
            <w:pPr>
              <w:rPr>
                <w:rFonts w:ascii="Arial"/>
                <w:sz w:val="21"/>
              </w:rPr>
            </w:pPr>
          </w:p>
        </w:tc>
        <w:tc>
          <w:tcPr>
            <w:tcW w:w="1527" w:type="dxa"/>
            <w:vAlign w:val="top"/>
          </w:tcPr>
          <w:p w14:paraId="63D5980F">
            <w:pPr>
              <w:rPr>
                <w:rFonts w:ascii="Arial"/>
                <w:sz w:val="21"/>
              </w:rPr>
            </w:pPr>
          </w:p>
        </w:tc>
        <w:tc>
          <w:tcPr>
            <w:tcW w:w="798" w:type="dxa"/>
            <w:vAlign w:val="top"/>
          </w:tcPr>
          <w:p w14:paraId="634027B6">
            <w:pPr>
              <w:rPr>
                <w:rFonts w:ascii="Arial"/>
                <w:sz w:val="21"/>
              </w:rPr>
            </w:pPr>
          </w:p>
        </w:tc>
        <w:tc>
          <w:tcPr>
            <w:tcW w:w="812" w:type="dxa"/>
            <w:vAlign w:val="top"/>
          </w:tcPr>
          <w:p w14:paraId="16BF4B08">
            <w:pPr>
              <w:rPr>
                <w:rFonts w:ascii="Arial"/>
                <w:sz w:val="21"/>
              </w:rPr>
            </w:pPr>
          </w:p>
        </w:tc>
        <w:tc>
          <w:tcPr>
            <w:tcW w:w="963" w:type="dxa"/>
            <w:vAlign w:val="top"/>
          </w:tcPr>
          <w:p w14:paraId="1626AE23">
            <w:pPr>
              <w:rPr>
                <w:rFonts w:ascii="Arial"/>
                <w:sz w:val="21"/>
              </w:rPr>
            </w:pPr>
          </w:p>
        </w:tc>
        <w:tc>
          <w:tcPr>
            <w:tcW w:w="1036" w:type="dxa"/>
            <w:vAlign w:val="top"/>
          </w:tcPr>
          <w:p w14:paraId="11856443">
            <w:pPr>
              <w:rPr>
                <w:rFonts w:ascii="Arial"/>
                <w:sz w:val="21"/>
              </w:rPr>
            </w:pPr>
          </w:p>
        </w:tc>
        <w:tc>
          <w:tcPr>
            <w:tcW w:w="1042" w:type="dxa"/>
            <w:tcBorders>
              <w:right w:val="single" w:color="000000" w:sz="6" w:space="0"/>
            </w:tcBorders>
            <w:vAlign w:val="top"/>
          </w:tcPr>
          <w:p w14:paraId="4FBB0D64">
            <w:pPr>
              <w:rPr>
                <w:rFonts w:ascii="Arial"/>
                <w:sz w:val="21"/>
              </w:rPr>
            </w:pPr>
          </w:p>
        </w:tc>
      </w:tr>
      <w:tr w14:paraId="09AE2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767CC076">
            <w:pPr>
              <w:rPr>
                <w:rFonts w:ascii="Arial"/>
                <w:sz w:val="21"/>
              </w:rPr>
            </w:pPr>
          </w:p>
        </w:tc>
        <w:tc>
          <w:tcPr>
            <w:tcW w:w="1124" w:type="dxa"/>
            <w:vAlign w:val="top"/>
          </w:tcPr>
          <w:p w14:paraId="5D4F2C20">
            <w:pPr>
              <w:rPr>
                <w:rFonts w:ascii="Arial"/>
                <w:sz w:val="21"/>
              </w:rPr>
            </w:pPr>
          </w:p>
        </w:tc>
        <w:tc>
          <w:tcPr>
            <w:tcW w:w="1652" w:type="dxa"/>
            <w:vAlign w:val="top"/>
          </w:tcPr>
          <w:p w14:paraId="7F46472D">
            <w:pPr>
              <w:rPr>
                <w:rFonts w:ascii="Arial"/>
                <w:sz w:val="21"/>
              </w:rPr>
            </w:pPr>
          </w:p>
        </w:tc>
        <w:tc>
          <w:tcPr>
            <w:tcW w:w="1527" w:type="dxa"/>
            <w:vAlign w:val="top"/>
          </w:tcPr>
          <w:p w14:paraId="13C30B3B">
            <w:pPr>
              <w:rPr>
                <w:rFonts w:ascii="Arial"/>
                <w:sz w:val="21"/>
              </w:rPr>
            </w:pPr>
          </w:p>
        </w:tc>
        <w:tc>
          <w:tcPr>
            <w:tcW w:w="798" w:type="dxa"/>
            <w:vAlign w:val="top"/>
          </w:tcPr>
          <w:p w14:paraId="3FFAB4B4">
            <w:pPr>
              <w:rPr>
                <w:rFonts w:ascii="Arial"/>
                <w:sz w:val="21"/>
              </w:rPr>
            </w:pPr>
          </w:p>
        </w:tc>
        <w:tc>
          <w:tcPr>
            <w:tcW w:w="812" w:type="dxa"/>
            <w:vAlign w:val="top"/>
          </w:tcPr>
          <w:p w14:paraId="652DDDDA">
            <w:pPr>
              <w:rPr>
                <w:rFonts w:ascii="Arial"/>
                <w:sz w:val="21"/>
              </w:rPr>
            </w:pPr>
          </w:p>
        </w:tc>
        <w:tc>
          <w:tcPr>
            <w:tcW w:w="963" w:type="dxa"/>
            <w:vAlign w:val="top"/>
          </w:tcPr>
          <w:p w14:paraId="0FC25ECE">
            <w:pPr>
              <w:rPr>
                <w:rFonts w:ascii="Arial"/>
                <w:sz w:val="21"/>
              </w:rPr>
            </w:pPr>
          </w:p>
        </w:tc>
        <w:tc>
          <w:tcPr>
            <w:tcW w:w="1036" w:type="dxa"/>
            <w:vAlign w:val="top"/>
          </w:tcPr>
          <w:p w14:paraId="75A7CC35">
            <w:pPr>
              <w:rPr>
                <w:rFonts w:ascii="Arial"/>
                <w:sz w:val="21"/>
              </w:rPr>
            </w:pPr>
          </w:p>
        </w:tc>
        <w:tc>
          <w:tcPr>
            <w:tcW w:w="1042" w:type="dxa"/>
            <w:tcBorders>
              <w:right w:val="single" w:color="000000" w:sz="6" w:space="0"/>
            </w:tcBorders>
            <w:vAlign w:val="top"/>
          </w:tcPr>
          <w:p w14:paraId="68E2275E">
            <w:pPr>
              <w:rPr>
                <w:rFonts w:ascii="Arial"/>
                <w:sz w:val="21"/>
              </w:rPr>
            </w:pPr>
          </w:p>
        </w:tc>
      </w:tr>
      <w:tr w14:paraId="20A5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64EEFA72">
            <w:pPr>
              <w:rPr>
                <w:rFonts w:ascii="Arial"/>
                <w:sz w:val="21"/>
              </w:rPr>
            </w:pPr>
          </w:p>
        </w:tc>
        <w:tc>
          <w:tcPr>
            <w:tcW w:w="1124" w:type="dxa"/>
            <w:vAlign w:val="top"/>
          </w:tcPr>
          <w:p w14:paraId="34FAF1BB">
            <w:pPr>
              <w:rPr>
                <w:rFonts w:ascii="Arial"/>
                <w:sz w:val="21"/>
              </w:rPr>
            </w:pPr>
          </w:p>
        </w:tc>
        <w:tc>
          <w:tcPr>
            <w:tcW w:w="1652" w:type="dxa"/>
            <w:vAlign w:val="top"/>
          </w:tcPr>
          <w:p w14:paraId="277E8678">
            <w:pPr>
              <w:rPr>
                <w:rFonts w:ascii="Arial"/>
                <w:sz w:val="21"/>
              </w:rPr>
            </w:pPr>
          </w:p>
        </w:tc>
        <w:tc>
          <w:tcPr>
            <w:tcW w:w="1527" w:type="dxa"/>
            <w:vAlign w:val="top"/>
          </w:tcPr>
          <w:p w14:paraId="5B97DA67">
            <w:pPr>
              <w:rPr>
                <w:rFonts w:ascii="Arial"/>
                <w:sz w:val="21"/>
              </w:rPr>
            </w:pPr>
          </w:p>
        </w:tc>
        <w:tc>
          <w:tcPr>
            <w:tcW w:w="798" w:type="dxa"/>
            <w:vAlign w:val="top"/>
          </w:tcPr>
          <w:p w14:paraId="787DF6D8">
            <w:pPr>
              <w:rPr>
                <w:rFonts w:ascii="Arial"/>
                <w:sz w:val="21"/>
              </w:rPr>
            </w:pPr>
          </w:p>
        </w:tc>
        <w:tc>
          <w:tcPr>
            <w:tcW w:w="812" w:type="dxa"/>
            <w:vAlign w:val="top"/>
          </w:tcPr>
          <w:p w14:paraId="6DFA52C6">
            <w:pPr>
              <w:rPr>
                <w:rFonts w:ascii="Arial"/>
                <w:sz w:val="21"/>
              </w:rPr>
            </w:pPr>
          </w:p>
        </w:tc>
        <w:tc>
          <w:tcPr>
            <w:tcW w:w="963" w:type="dxa"/>
            <w:vAlign w:val="top"/>
          </w:tcPr>
          <w:p w14:paraId="21612677">
            <w:pPr>
              <w:rPr>
                <w:rFonts w:ascii="Arial"/>
                <w:sz w:val="21"/>
              </w:rPr>
            </w:pPr>
          </w:p>
        </w:tc>
        <w:tc>
          <w:tcPr>
            <w:tcW w:w="1036" w:type="dxa"/>
            <w:vAlign w:val="top"/>
          </w:tcPr>
          <w:p w14:paraId="279DE6BD">
            <w:pPr>
              <w:rPr>
                <w:rFonts w:ascii="Arial"/>
                <w:sz w:val="21"/>
              </w:rPr>
            </w:pPr>
          </w:p>
        </w:tc>
        <w:tc>
          <w:tcPr>
            <w:tcW w:w="1042" w:type="dxa"/>
            <w:tcBorders>
              <w:right w:val="single" w:color="000000" w:sz="6" w:space="0"/>
            </w:tcBorders>
            <w:vAlign w:val="top"/>
          </w:tcPr>
          <w:p w14:paraId="63B14040">
            <w:pPr>
              <w:rPr>
                <w:rFonts w:ascii="Arial"/>
                <w:sz w:val="21"/>
              </w:rPr>
            </w:pPr>
          </w:p>
        </w:tc>
      </w:tr>
      <w:tr w14:paraId="6474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1E520826">
            <w:pPr>
              <w:rPr>
                <w:rFonts w:ascii="Arial"/>
                <w:sz w:val="21"/>
              </w:rPr>
            </w:pPr>
          </w:p>
        </w:tc>
        <w:tc>
          <w:tcPr>
            <w:tcW w:w="1124" w:type="dxa"/>
            <w:vAlign w:val="top"/>
          </w:tcPr>
          <w:p w14:paraId="3D5E62D7">
            <w:pPr>
              <w:rPr>
                <w:rFonts w:ascii="Arial"/>
                <w:sz w:val="21"/>
              </w:rPr>
            </w:pPr>
          </w:p>
        </w:tc>
        <w:tc>
          <w:tcPr>
            <w:tcW w:w="1652" w:type="dxa"/>
            <w:vAlign w:val="top"/>
          </w:tcPr>
          <w:p w14:paraId="2C6F50A8">
            <w:pPr>
              <w:rPr>
                <w:rFonts w:ascii="Arial"/>
                <w:sz w:val="21"/>
              </w:rPr>
            </w:pPr>
          </w:p>
        </w:tc>
        <w:tc>
          <w:tcPr>
            <w:tcW w:w="1527" w:type="dxa"/>
            <w:vAlign w:val="top"/>
          </w:tcPr>
          <w:p w14:paraId="0DC4B5BF">
            <w:pPr>
              <w:rPr>
                <w:rFonts w:ascii="Arial"/>
                <w:sz w:val="21"/>
              </w:rPr>
            </w:pPr>
          </w:p>
        </w:tc>
        <w:tc>
          <w:tcPr>
            <w:tcW w:w="798" w:type="dxa"/>
            <w:vAlign w:val="top"/>
          </w:tcPr>
          <w:p w14:paraId="60101C9F">
            <w:pPr>
              <w:rPr>
                <w:rFonts w:ascii="Arial"/>
                <w:sz w:val="21"/>
              </w:rPr>
            </w:pPr>
          </w:p>
        </w:tc>
        <w:tc>
          <w:tcPr>
            <w:tcW w:w="812" w:type="dxa"/>
            <w:vAlign w:val="top"/>
          </w:tcPr>
          <w:p w14:paraId="30D2D4A7">
            <w:pPr>
              <w:rPr>
                <w:rFonts w:ascii="Arial"/>
                <w:sz w:val="21"/>
              </w:rPr>
            </w:pPr>
          </w:p>
        </w:tc>
        <w:tc>
          <w:tcPr>
            <w:tcW w:w="963" w:type="dxa"/>
            <w:vAlign w:val="top"/>
          </w:tcPr>
          <w:p w14:paraId="72711F2F">
            <w:pPr>
              <w:rPr>
                <w:rFonts w:ascii="Arial"/>
                <w:sz w:val="21"/>
              </w:rPr>
            </w:pPr>
          </w:p>
        </w:tc>
        <w:tc>
          <w:tcPr>
            <w:tcW w:w="1036" w:type="dxa"/>
            <w:vAlign w:val="top"/>
          </w:tcPr>
          <w:p w14:paraId="63836083">
            <w:pPr>
              <w:rPr>
                <w:rFonts w:ascii="Arial"/>
                <w:sz w:val="21"/>
              </w:rPr>
            </w:pPr>
          </w:p>
        </w:tc>
        <w:tc>
          <w:tcPr>
            <w:tcW w:w="1042" w:type="dxa"/>
            <w:tcBorders>
              <w:right w:val="single" w:color="000000" w:sz="6" w:space="0"/>
            </w:tcBorders>
            <w:vAlign w:val="top"/>
          </w:tcPr>
          <w:p w14:paraId="09E0C5B0">
            <w:pPr>
              <w:rPr>
                <w:rFonts w:ascii="Arial"/>
                <w:sz w:val="21"/>
              </w:rPr>
            </w:pPr>
          </w:p>
        </w:tc>
      </w:tr>
      <w:tr w14:paraId="4294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25336938">
            <w:pPr>
              <w:rPr>
                <w:rFonts w:ascii="Arial"/>
                <w:sz w:val="21"/>
              </w:rPr>
            </w:pPr>
          </w:p>
        </w:tc>
        <w:tc>
          <w:tcPr>
            <w:tcW w:w="1124" w:type="dxa"/>
            <w:vAlign w:val="top"/>
          </w:tcPr>
          <w:p w14:paraId="02889236">
            <w:pPr>
              <w:rPr>
                <w:rFonts w:ascii="Arial"/>
                <w:sz w:val="21"/>
              </w:rPr>
            </w:pPr>
          </w:p>
        </w:tc>
        <w:tc>
          <w:tcPr>
            <w:tcW w:w="1652" w:type="dxa"/>
            <w:vAlign w:val="top"/>
          </w:tcPr>
          <w:p w14:paraId="64F30B51">
            <w:pPr>
              <w:rPr>
                <w:rFonts w:ascii="Arial"/>
                <w:sz w:val="21"/>
              </w:rPr>
            </w:pPr>
          </w:p>
        </w:tc>
        <w:tc>
          <w:tcPr>
            <w:tcW w:w="1527" w:type="dxa"/>
            <w:vAlign w:val="top"/>
          </w:tcPr>
          <w:p w14:paraId="481EB639">
            <w:pPr>
              <w:rPr>
                <w:rFonts w:ascii="Arial"/>
                <w:sz w:val="21"/>
              </w:rPr>
            </w:pPr>
          </w:p>
        </w:tc>
        <w:tc>
          <w:tcPr>
            <w:tcW w:w="798" w:type="dxa"/>
            <w:vAlign w:val="top"/>
          </w:tcPr>
          <w:p w14:paraId="6D7AD438">
            <w:pPr>
              <w:rPr>
                <w:rFonts w:ascii="Arial"/>
                <w:sz w:val="21"/>
              </w:rPr>
            </w:pPr>
          </w:p>
        </w:tc>
        <w:tc>
          <w:tcPr>
            <w:tcW w:w="812" w:type="dxa"/>
            <w:vAlign w:val="top"/>
          </w:tcPr>
          <w:p w14:paraId="3C6FCDE7">
            <w:pPr>
              <w:rPr>
                <w:rFonts w:ascii="Arial"/>
                <w:sz w:val="21"/>
              </w:rPr>
            </w:pPr>
          </w:p>
        </w:tc>
        <w:tc>
          <w:tcPr>
            <w:tcW w:w="963" w:type="dxa"/>
            <w:vAlign w:val="top"/>
          </w:tcPr>
          <w:p w14:paraId="5BDBA3E4">
            <w:pPr>
              <w:rPr>
                <w:rFonts w:ascii="Arial"/>
                <w:sz w:val="21"/>
              </w:rPr>
            </w:pPr>
          </w:p>
        </w:tc>
        <w:tc>
          <w:tcPr>
            <w:tcW w:w="1036" w:type="dxa"/>
            <w:vAlign w:val="top"/>
          </w:tcPr>
          <w:p w14:paraId="78E99B86">
            <w:pPr>
              <w:rPr>
                <w:rFonts w:ascii="Arial"/>
                <w:sz w:val="21"/>
              </w:rPr>
            </w:pPr>
          </w:p>
        </w:tc>
        <w:tc>
          <w:tcPr>
            <w:tcW w:w="1042" w:type="dxa"/>
            <w:tcBorders>
              <w:right w:val="single" w:color="000000" w:sz="6" w:space="0"/>
            </w:tcBorders>
            <w:vAlign w:val="top"/>
          </w:tcPr>
          <w:p w14:paraId="5A89F53A">
            <w:pPr>
              <w:rPr>
                <w:rFonts w:ascii="Arial"/>
                <w:sz w:val="21"/>
              </w:rPr>
            </w:pPr>
          </w:p>
        </w:tc>
      </w:tr>
      <w:tr w14:paraId="005B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5D450E0B">
            <w:pPr>
              <w:rPr>
                <w:rFonts w:ascii="Arial"/>
                <w:sz w:val="21"/>
              </w:rPr>
            </w:pPr>
          </w:p>
        </w:tc>
        <w:tc>
          <w:tcPr>
            <w:tcW w:w="1124" w:type="dxa"/>
            <w:vAlign w:val="top"/>
          </w:tcPr>
          <w:p w14:paraId="613B8DF0">
            <w:pPr>
              <w:rPr>
                <w:rFonts w:ascii="Arial"/>
                <w:sz w:val="21"/>
              </w:rPr>
            </w:pPr>
          </w:p>
        </w:tc>
        <w:tc>
          <w:tcPr>
            <w:tcW w:w="1652" w:type="dxa"/>
            <w:vAlign w:val="top"/>
          </w:tcPr>
          <w:p w14:paraId="746F6CF1">
            <w:pPr>
              <w:rPr>
                <w:rFonts w:ascii="Arial"/>
                <w:sz w:val="21"/>
              </w:rPr>
            </w:pPr>
          </w:p>
        </w:tc>
        <w:tc>
          <w:tcPr>
            <w:tcW w:w="1527" w:type="dxa"/>
            <w:vAlign w:val="top"/>
          </w:tcPr>
          <w:p w14:paraId="48A09B74">
            <w:pPr>
              <w:rPr>
                <w:rFonts w:ascii="Arial"/>
                <w:sz w:val="21"/>
              </w:rPr>
            </w:pPr>
          </w:p>
        </w:tc>
        <w:tc>
          <w:tcPr>
            <w:tcW w:w="798" w:type="dxa"/>
            <w:vAlign w:val="top"/>
          </w:tcPr>
          <w:p w14:paraId="29AEE6F9">
            <w:pPr>
              <w:rPr>
                <w:rFonts w:ascii="Arial"/>
                <w:sz w:val="21"/>
              </w:rPr>
            </w:pPr>
          </w:p>
        </w:tc>
        <w:tc>
          <w:tcPr>
            <w:tcW w:w="812" w:type="dxa"/>
            <w:vAlign w:val="top"/>
          </w:tcPr>
          <w:p w14:paraId="3239407F">
            <w:pPr>
              <w:rPr>
                <w:rFonts w:ascii="Arial"/>
                <w:sz w:val="21"/>
              </w:rPr>
            </w:pPr>
          </w:p>
        </w:tc>
        <w:tc>
          <w:tcPr>
            <w:tcW w:w="963" w:type="dxa"/>
            <w:vAlign w:val="top"/>
          </w:tcPr>
          <w:p w14:paraId="48022063">
            <w:pPr>
              <w:rPr>
                <w:rFonts w:ascii="Arial"/>
                <w:sz w:val="21"/>
              </w:rPr>
            </w:pPr>
          </w:p>
        </w:tc>
        <w:tc>
          <w:tcPr>
            <w:tcW w:w="1036" w:type="dxa"/>
            <w:vAlign w:val="top"/>
          </w:tcPr>
          <w:p w14:paraId="1D7D0A1D">
            <w:pPr>
              <w:rPr>
                <w:rFonts w:ascii="Arial"/>
                <w:sz w:val="21"/>
              </w:rPr>
            </w:pPr>
          </w:p>
        </w:tc>
        <w:tc>
          <w:tcPr>
            <w:tcW w:w="1042" w:type="dxa"/>
            <w:tcBorders>
              <w:right w:val="single" w:color="000000" w:sz="6" w:space="0"/>
            </w:tcBorders>
            <w:vAlign w:val="top"/>
          </w:tcPr>
          <w:p w14:paraId="020B587B">
            <w:pPr>
              <w:rPr>
                <w:rFonts w:ascii="Arial"/>
                <w:sz w:val="21"/>
              </w:rPr>
            </w:pPr>
          </w:p>
        </w:tc>
      </w:tr>
      <w:tr w14:paraId="036E4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093A66E4">
            <w:pPr>
              <w:rPr>
                <w:rFonts w:ascii="Arial"/>
                <w:sz w:val="21"/>
              </w:rPr>
            </w:pPr>
          </w:p>
        </w:tc>
        <w:tc>
          <w:tcPr>
            <w:tcW w:w="1124" w:type="dxa"/>
            <w:vAlign w:val="top"/>
          </w:tcPr>
          <w:p w14:paraId="5D4253A5">
            <w:pPr>
              <w:rPr>
                <w:rFonts w:ascii="Arial"/>
                <w:sz w:val="21"/>
              </w:rPr>
            </w:pPr>
          </w:p>
        </w:tc>
        <w:tc>
          <w:tcPr>
            <w:tcW w:w="1652" w:type="dxa"/>
            <w:vAlign w:val="top"/>
          </w:tcPr>
          <w:p w14:paraId="3170AB2F">
            <w:pPr>
              <w:rPr>
                <w:rFonts w:ascii="Arial"/>
                <w:sz w:val="21"/>
              </w:rPr>
            </w:pPr>
          </w:p>
        </w:tc>
        <w:tc>
          <w:tcPr>
            <w:tcW w:w="1527" w:type="dxa"/>
            <w:vAlign w:val="top"/>
          </w:tcPr>
          <w:p w14:paraId="7EC79832">
            <w:pPr>
              <w:rPr>
                <w:rFonts w:ascii="Arial"/>
                <w:sz w:val="21"/>
              </w:rPr>
            </w:pPr>
          </w:p>
        </w:tc>
        <w:tc>
          <w:tcPr>
            <w:tcW w:w="798" w:type="dxa"/>
            <w:vAlign w:val="top"/>
          </w:tcPr>
          <w:p w14:paraId="4FD93D0F">
            <w:pPr>
              <w:rPr>
                <w:rFonts w:ascii="Arial"/>
                <w:sz w:val="21"/>
              </w:rPr>
            </w:pPr>
          </w:p>
        </w:tc>
        <w:tc>
          <w:tcPr>
            <w:tcW w:w="812" w:type="dxa"/>
            <w:vAlign w:val="top"/>
          </w:tcPr>
          <w:p w14:paraId="7F310701">
            <w:pPr>
              <w:rPr>
                <w:rFonts w:ascii="Arial"/>
                <w:sz w:val="21"/>
              </w:rPr>
            </w:pPr>
          </w:p>
        </w:tc>
        <w:tc>
          <w:tcPr>
            <w:tcW w:w="963" w:type="dxa"/>
            <w:vAlign w:val="top"/>
          </w:tcPr>
          <w:p w14:paraId="2423FE2B">
            <w:pPr>
              <w:rPr>
                <w:rFonts w:ascii="Arial"/>
                <w:sz w:val="21"/>
              </w:rPr>
            </w:pPr>
          </w:p>
        </w:tc>
        <w:tc>
          <w:tcPr>
            <w:tcW w:w="1036" w:type="dxa"/>
            <w:vAlign w:val="top"/>
          </w:tcPr>
          <w:p w14:paraId="627792E1">
            <w:pPr>
              <w:rPr>
                <w:rFonts w:ascii="Arial"/>
                <w:sz w:val="21"/>
              </w:rPr>
            </w:pPr>
          </w:p>
        </w:tc>
        <w:tc>
          <w:tcPr>
            <w:tcW w:w="1042" w:type="dxa"/>
            <w:tcBorders>
              <w:right w:val="single" w:color="000000" w:sz="6" w:space="0"/>
            </w:tcBorders>
            <w:vAlign w:val="top"/>
          </w:tcPr>
          <w:p w14:paraId="370573A3">
            <w:pPr>
              <w:rPr>
                <w:rFonts w:ascii="Arial"/>
                <w:sz w:val="21"/>
              </w:rPr>
            </w:pPr>
          </w:p>
        </w:tc>
      </w:tr>
      <w:tr w14:paraId="5314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741FF24B">
            <w:pPr>
              <w:rPr>
                <w:rFonts w:ascii="Arial"/>
                <w:sz w:val="21"/>
              </w:rPr>
            </w:pPr>
          </w:p>
        </w:tc>
        <w:tc>
          <w:tcPr>
            <w:tcW w:w="1124" w:type="dxa"/>
            <w:vAlign w:val="top"/>
          </w:tcPr>
          <w:p w14:paraId="687B9AF1">
            <w:pPr>
              <w:rPr>
                <w:rFonts w:ascii="Arial"/>
                <w:sz w:val="21"/>
              </w:rPr>
            </w:pPr>
          </w:p>
        </w:tc>
        <w:tc>
          <w:tcPr>
            <w:tcW w:w="1652" w:type="dxa"/>
            <w:vAlign w:val="top"/>
          </w:tcPr>
          <w:p w14:paraId="3C3091A9">
            <w:pPr>
              <w:rPr>
                <w:rFonts w:ascii="Arial"/>
                <w:sz w:val="21"/>
              </w:rPr>
            </w:pPr>
          </w:p>
        </w:tc>
        <w:tc>
          <w:tcPr>
            <w:tcW w:w="1527" w:type="dxa"/>
            <w:vAlign w:val="top"/>
          </w:tcPr>
          <w:p w14:paraId="69691DB9">
            <w:pPr>
              <w:rPr>
                <w:rFonts w:ascii="Arial"/>
                <w:sz w:val="21"/>
              </w:rPr>
            </w:pPr>
          </w:p>
        </w:tc>
        <w:tc>
          <w:tcPr>
            <w:tcW w:w="798" w:type="dxa"/>
            <w:vAlign w:val="top"/>
          </w:tcPr>
          <w:p w14:paraId="5F0D1A99">
            <w:pPr>
              <w:rPr>
                <w:rFonts w:ascii="Arial"/>
                <w:sz w:val="21"/>
              </w:rPr>
            </w:pPr>
          </w:p>
        </w:tc>
        <w:tc>
          <w:tcPr>
            <w:tcW w:w="812" w:type="dxa"/>
            <w:vAlign w:val="top"/>
          </w:tcPr>
          <w:p w14:paraId="6A4CCDE2">
            <w:pPr>
              <w:rPr>
                <w:rFonts w:ascii="Arial"/>
                <w:sz w:val="21"/>
              </w:rPr>
            </w:pPr>
          </w:p>
        </w:tc>
        <w:tc>
          <w:tcPr>
            <w:tcW w:w="963" w:type="dxa"/>
            <w:vAlign w:val="top"/>
          </w:tcPr>
          <w:p w14:paraId="487BCD5B">
            <w:pPr>
              <w:rPr>
                <w:rFonts w:ascii="Arial"/>
                <w:sz w:val="21"/>
              </w:rPr>
            </w:pPr>
          </w:p>
        </w:tc>
        <w:tc>
          <w:tcPr>
            <w:tcW w:w="1036" w:type="dxa"/>
            <w:vAlign w:val="top"/>
          </w:tcPr>
          <w:p w14:paraId="5F9B19E1">
            <w:pPr>
              <w:rPr>
                <w:rFonts w:ascii="Arial"/>
                <w:sz w:val="21"/>
              </w:rPr>
            </w:pPr>
          </w:p>
        </w:tc>
        <w:tc>
          <w:tcPr>
            <w:tcW w:w="1042" w:type="dxa"/>
            <w:tcBorders>
              <w:right w:val="single" w:color="000000" w:sz="6" w:space="0"/>
            </w:tcBorders>
            <w:vAlign w:val="top"/>
          </w:tcPr>
          <w:p w14:paraId="49D162E2">
            <w:pPr>
              <w:rPr>
                <w:rFonts w:ascii="Arial"/>
                <w:sz w:val="21"/>
              </w:rPr>
            </w:pPr>
          </w:p>
        </w:tc>
      </w:tr>
      <w:tr w14:paraId="2AFF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7F9D70E6">
            <w:pPr>
              <w:rPr>
                <w:rFonts w:ascii="Arial"/>
                <w:sz w:val="21"/>
              </w:rPr>
            </w:pPr>
          </w:p>
        </w:tc>
        <w:tc>
          <w:tcPr>
            <w:tcW w:w="1124" w:type="dxa"/>
            <w:vAlign w:val="top"/>
          </w:tcPr>
          <w:p w14:paraId="25E7AE69">
            <w:pPr>
              <w:rPr>
                <w:rFonts w:ascii="Arial"/>
                <w:sz w:val="21"/>
              </w:rPr>
            </w:pPr>
          </w:p>
        </w:tc>
        <w:tc>
          <w:tcPr>
            <w:tcW w:w="1652" w:type="dxa"/>
            <w:vAlign w:val="top"/>
          </w:tcPr>
          <w:p w14:paraId="7FC8ABB6">
            <w:pPr>
              <w:rPr>
                <w:rFonts w:ascii="Arial"/>
                <w:sz w:val="21"/>
              </w:rPr>
            </w:pPr>
          </w:p>
        </w:tc>
        <w:tc>
          <w:tcPr>
            <w:tcW w:w="1527" w:type="dxa"/>
            <w:vAlign w:val="top"/>
          </w:tcPr>
          <w:p w14:paraId="197744F1">
            <w:pPr>
              <w:rPr>
                <w:rFonts w:ascii="Arial"/>
                <w:sz w:val="21"/>
              </w:rPr>
            </w:pPr>
          </w:p>
        </w:tc>
        <w:tc>
          <w:tcPr>
            <w:tcW w:w="798" w:type="dxa"/>
            <w:vAlign w:val="top"/>
          </w:tcPr>
          <w:p w14:paraId="21F3C175">
            <w:pPr>
              <w:rPr>
                <w:rFonts w:ascii="Arial"/>
                <w:sz w:val="21"/>
              </w:rPr>
            </w:pPr>
          </w:p>
        </w:tc>
        <w:tc>
          <w:tcPr>
            <w:tcW w:w="812" w:type="dxa"/>
            <w:vAlign w:val="top"/>
          </w:tcPr>
          <w:p w14:paraId="2B7BF7CB">
            <w:pPr>
              <w:rPr>
                <w:rFonts w:ascii="Arial"/>
                <w:sz w:val="21"/>
              </w:rPr>
            </w:pPr>
          </w:p>
        </w:tc>
        <w:tc>
          <w:tcPr>
            <w:tcW w:w="963" w:type="dxa"/>
            <w:vAlign w:val="top"/>
          </w:tcPr>
          <w:p w14:paraId="03476158">
            <w:pPr>
              <w:rPr>
                <w:rFonts w:ascii="Arial"/>
                <w:sz w:val="21"/>
              </w:rPr>
            </w:pPr>
          </w:p>
        </w:tc>
        <w:tc>
          <w:tcPr>
            <w:tcW w:w="1036" w:type="dxa"/>
            <w:vAlign w:val="top"/>
          </w:tcPr>
          <w:p w14:paraId="032CDFD4">
            <w:pPr>
              <w:rPr>
                <w:rFonts w:ascii="Arial"/>
                <w:sz w:val="21"/>
              </w:rPr>
            </w:pPr>
          </w:p>
        </w:tc>
        <w:tc>
          <w:tcPr>
            <w:tcW w:w="1042" w:type="dxa"/>
            <w:tcBorders>
              <w:right w:val="single" w:color="000000" w:sz="6" w:space="0"/>
            </w:tcBorders>
            <w:vAlign w:val="top"/>
          </w:tcPr>
          <w:p w14:paraId="51E4F12E">
            <w:pPr>
              <w:rPr>
                <w:rFonts w:ascii="Arial"/>
                <w:sz w:val="21"/>
              </w:rPr>
            </w:pPr>
          </w:p>
        </w:tc>
      </w:tr>
      <w:tr w14:paraId="4F47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5B545000">
            <w:pPr>
              <w:rPr>
                <w:rFonts w:ascii="Arial"/>
                <w:sz w:val="21"/>
              </w:rPr>
            </w:pPr>
          </w:p>
        </w:tc>
        <w:tc>
          <w:tcPr>
            <w:tcW w:w="1124" w:type="dxa"/>
            <w:vAlign w:val="top"/>
          </w:tcPr>
          <w:p w14:paraId="52536EDE">
            <w:pPr>
              <w:rPr>
                <w:rFonts w:ascii="Arial"/>
                <w:sz w:val="21"/>
              </w:rPr>
            </w:pPr>
          </w:p>
        </w:tc>
        <w:tc>
          <w:tcPr>
            <w:tcW w:w="1652" w:type="dxa"/>
            <w:vAlign w:val="top"/>
          </w:tcPr>
          <w:p w14:paraId="694F59BE">
            <w:pPr>
              <w:rPr>
                <w:rFonts w:ascii="Arial"/>
                <w:sz w:val="21"/>
              </w:rPr>
            </w:pPr>
          </w:p>
        </w:tc>
        <w:tc>
          <w:tcPr>
            <w:tcW w:w="1527" w:type="dxa"/>
            <w:vAlign w:val="top"/>
          </w:tcPr>
          <w:p w14:paraId="74098C26">
            <w:pPr>
              <w:rPr>
                <w:rFonts w:ascii="Arial"/>
                <w:sz w:val="21"/>
              </w:rPr>
            </w:pPr>
          </w:p>
        </w:tc>
        <w:tc>
          <w:tcPr>
            <w:tcW w:w="798" w:type="dxa"/>
            <w:vAlign w:val="top"/>
          </w:tcPr>
          <w:p w14:paraId="4F1E6ABD">
            <w:pPr>
              <w:rPr>
                <w:rFonts w:ascii="Arial"/>
                <w:sz w:val="21"/>
              </w:rPr>
            </w:pPr>
          </w:p>
        </w:tc>
        <w:tc>
          <w:tcPr>
            <w:tcW w:w="812" w:type="dxa"/>
            <w:vAlign w:val="top"/>
          </w:tcPr>
          <w:p w14:paraId="75CD894C">
            <w:pPr>
              <w:rPr>
                <w:rFonts w:ascii="Arial"/>
                <w:sz w:val="21"/>
              </w:rPr>
            </w:pPr>
          </w:p>
        </w:tc>
        <w:tc>
          <w:tcPr>
            <w:tcW w:w="963" w:type="dxa"/>
            <w:vAlign w:val="top"/>
          </w:tcPr>
          <w:p w14:paraId="21699AAE">
            <w:pPr>
              <w:rPr>
                <w:rFonts w:ascii="Arial"/>
                <w:sz w:val="21"/>
              </w:rPr>
            </w:pPr>
          </w:p>
        </w:tc>
        <w:tc>
          <w:tcPr>
            <w:tcW w:w="1036" w:type="dxa"/>
            <w:vAlign w:val="top"/>
          </w:tcPr>
          <w:p w14:paraId="6A0C1266">
            <w:pPr>
              <w:rPr>
                <w:rFonts w:ascii="Arial"/>
                <w:sz w:val="21"/>
              </w:rPr>
            </w:pPr>
          </w:p>
        </w:tc>
        <w:tc>
          <w:tcPr>
            <w:tcW w:w="1042" w:type="dxa"/>
            <w:tcBorders>
              <w:right w:val="single" w:color="000000" w:sz="6" w:space="0"/>
            </w:tcBorders>
            <w:vAlign w:val="top"/>
          </w:tcPr>
          <w:p w14:paraId="7680CADC">
            <w:pPr>
              <w:rPr>
                <w:rFonts w:ascii="Arial"/>
                <w:sz w:val="21"/>
              </w:rPr>
            </w:pPr>
          </w:p>
        </w:tc>
      </w:tr>
      <w:tr w14:paraId="054C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5EB1B63D">
            <w:pPr>
              <w:rPr>
                <w:rFonts w:ascii="Arial"/>
                <w:sz w:val="21"/>
              </w:rPr>
            </w:pPr>
          </w:p>
        </w:tc>
        <w:tc>
          <w:tcPr>
            <w:tcW w:w="1124" w:type="dxa"/>
            <w:vAlign w:val="top"/>
          </w:tcPr>
          <w:p w14:paraId="4338993D">
            <w:pPr>
              <w:rPr>
                <w:rFonts w:ascii="Arial"/>
                <w:sz w:val="21"/>
              </w:rPr>
            </w:pPr>
          </w:p>
        </w:tc>
        <w:tc>
          <w:tcPr>
            <w:tcW w:w="1652" w:type="dxa"/>
            <w:vAlign w:val="top"/>
          </w:tcPr>
          <w:p w14:paraId="6919B855">
            <w:pPr>
              <w:rPr>
                <w:rFonts w:ascii="Arial"/>
                <w:sz w:val="21"/>
              </w:rPr>
            </w:pPr>
          </w:p>
        </w:tc>
        <w:tc>
          <w:tcPr>
            <w:tcW w:w="1527" w:type="dxa"/>
            <w:vAlign w:val="top"/>
          </w:tcPr>
          <w:p w14:paraId="49936455">
            <w:pPr>
              <w:rPr>
                <w:rFonts w:ascii="Arial"/>
                <w:sz w:val="21"/>
              </w:rPr>
            </w:pPr>
          </w:p>
        </w:tc>
        <w:tc>
          <w:tcPr>
            <w:tcW w:w="798" w:type="dxa"/>
            <w:vAlign w:val="top"/>
          </w:tcPr>
          <w:p w14:paraId="6C3E2EEB">
            <w:pPr>
              <w:rPr>
                <w:rFonts w:ascii="Arial"/>
                <w:sz w:val="21"/>
              </w:rPr>
            </w:pPr>
          </w:p>
        </w:tc>
        <w:tc>
          <w:tcPr>
            <w:tcW w:w="812" w:type="dxa"/>
            <w:vAlign w:val="top"/>
          </w:tcPr>
          <w:p w14:paraId="0A79529C">
            <w:pPr>
              <w:rPr>
                <w:rFonts w:ascii="Arial"/>
                <w:sz w:val="21"/>
              </w:rPr>
            </w:pPr>
          </w:p>
        </w:tc>
        <w:tc>
          <w:tcPr>
            <w:tcW w:w="963" w:type="dxa"/>
            <w:vAlign w:val="top"/>
          </w:tcPr>
          <w:p w14:paraId="68808CD6">
            <w:pPr>
              <w:rPr>
                <w:rFonts w:ascii="Arial"/>
                <w:sz w:val="21"/>
              </w:rPr>
            </w:pPr>
          </w:p>
        </w:tc>
        <w:tc>
          <w:tcPr>
            <w:tcW w:w="1036" w:type="dxa"/>
            <w:vAlign w:val="top"/>
          </w:tcPr>
          <w:p w14:paraId="2230389C">
            <w:pPr>
              <w:rPr>
                <w:rFonts w:ascii="Arial"/>
                <w:sz w:val="21"/>
              </w:rPr>
            </w:pPr>
          </w:p>
        </w:tc>
        <w:tc>
          <w:tcPr>
            <w:tcW w:w="1042" w:type="dxa"/>
            <w:tcBorders>
              <w:right w:val="single" w:color="000000" w:sz="6" w:space="0"/>
            </w:tcBorders>
            <w:vAlign w:val="top"/>
          </w:tcPr>
          <w:p w14:paraId="22FA3514">
            <w:pPr>
              <w:rPr>
                <w:rFonts w:ascii="Arial"/>
                <w:sz w:val="21"/>
              </w:rPr>
            </w:pPr>
          </w:p>
        </w:tc>
      </w:tr>
      <w:tr w14:paraId="484E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791" w:type="dxa"/>
            <w:tcBorders>
              <w:left w:val="single" w:color="000000" w:sz="6" w:space="0"/>
            </w:tcBorders>
            <w:vAlign w:val="top"/>
          </w:tcPr>
          <w:p w14:paraId="2204DF1F">
            <w:pPr>
              <w:rPr>
                <w:rFonts w:ascii="Arial"/>
                <w:sz w:val="21"/>
              </w:rPr>
            </w:pPr>
          </w:p>
        </w:tc>
        <w:tc>
          <w:tcPr>
            <w:tcW w:w="1124" w:type="dxa"/>
            <w:vAlign w:val="top"/>
          </w:tcPr>
          <w:p w14:paraId="3081FA8A">
            <w:pPr>
              <w:rPr>
                <w:rFonts w:ascii="Arial"/>
                <w:sz w:val="21"/>
              </w:rPr>
            </w:pPr>
          </w:p>
        </w:tc>
        <w:tc>
          <w:tcPr>
            <w:tcW w:w="1652" w:type="dxa"/>
            <w:vAlign w:val="top"/>
          </w:tcPr>
          <w:p w14:paraId="6C5CC4CC">
            <w:pPr>
              <w:rPr>
                <w:rFonts w:ascii="Arial"/>
                <w:sz w:val="21"/>
              </w:rPr>
            </w:pPr>
          </w:p>
        </w:tc>
        <w:tc>
          <w:tcPr>
            <w:tcW w:w="1527" w:type="dxa"/>
            <w:vAlign w:val="top"/>
          </w:tcPr>
          <w:p w14:paraId="5273C1C3">
            <w:pPr>
              <w:rPr>
                <w:rFonts w:ascii="Arial"/>
                <w:sz w:val="21"/>
              </w:rPr>
            </w:pPr>
          </w:p>
        </w:tc>
        <w:tc>
          <w:tcPr>
            <w:tcW w:w="798" w:type="dxa"/>
            <w:vAlign w:val="top"/>
          </w:tcPr>
          <w:p w14:paraId="09A42525">
            <w:pPr>
              <w:rPr>
                <w:rFonts w:ascii="Arial"/>
                <w:sz w:val="21"/>
              </w:rPr>
            </w:pPr>
          </w:p>
        </w:tc>
        <w:tc>
          <w:tcPr>
            <w:tcW w:w="812" w:type="dxa"/>
            <w:vAlign w:val="top"/>
          </w:tcPr>
          <w:p w14:paraId="2DB5ABAE">
            <w:pPr>
              <w:rPr>
                <w:rFonts w:ascii="Arial"/>
                <w:sz w:val="21"/>
              </w:rPr>
            </w:pPr>
          </w:p>
        </w:tc>
        <w:tc>
          <w:tcPr>
            <w:tcW w:w="963" w:type="dxa"/>
            <w:vAlign w:val="top"/>
          </w:tcPr>
          <w:p w14:paraId="04C5AA92">
            <w:pPr>
              <w:rPr>
                <w:rFonts w:ascii="Arial"/>
                <w:sz w:val="21"/>
              </w:rPr>
            </w:pPr>
          </w:p>
        </w:tc>
        <w:tc>
          <w:tcPr>
            <w:tcW w:w="1036" w:type="dxa"/>
            <w:vAlign w:val="top"/>
          </w:tcPr>
          <w:p w14:paraId="13BC5FA7">
            <w:pPr>
              <w:rPr>
                <w:rFonts w:ascii="Arial"/>
                <w:sz w:val="21"/>
              </w:rPr>
            </w:pPr>
          </w:p>
        </w:tc>
        <w:tc>
          <w:tcPr>
            <w:tcW w:w="1042" w:type="dxa"/>
            <w:tcBorders>
              <w:right w:val="single" w:color="000000" w:sz="6" w:space="0"/>
            </w:tcBorders>
            <w:vAlign w:val="top"/>
          </w:tcPr>
          <w:p w14:paraId="2FFF984A">
            <w:pPr>
              <w:rPr>
                <w:rFonts w:ascii="Arial"/>
                <w:sz w:val="21"/>
              </w:rPr>
            </w:pPr>
          </w:p>
        </w:tc>
      </w:tr>
      <w:tr w14:paraId="3C72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139C36F6">
            <w:pPr>
              <w:rPr>
                <w:rFonts w:ascii="Arial"/>
                <w:sz w:val="21"/>
              </w:rPr>
            </w:pPr>
          </w:p>
        </w:tc>
        <w:tc>
          <w:tcPr>
            <w:tcW w:w="1124" w:type="dxa"/>
            <w:vAlign w:val="top"/>
          </w:tcPr>
          <w:p w14:paraId="5639D1F1">
            <w:pPr>
              <w:rPr>
                <w:rFonts w:ascii="Arial"/>
                <w:sz w:val="21"/>
              </w:rPr>
            </w:pPr>
          </w:p>
        </w:tc>
        <w:tc>
          <w:tcPr>
            <w:tcW w:w="1652" w:type="dxa"/>
            <w:vAlign w:val="top"/>
          </w:tcPr>
          <w:p w14:paraId="3E7EDBA2">
            <w:pPr>
              <w:rPr>
                <w:rFonts w:ascii="Arial"/>
                <w:sz w:val="21"/>
              </w:rPr>
            </w:pPr>
          </w:p>
        </w:tc>
        <w:tc>
          <w:tcPr>
            <w:tcW w:w="1527" w:type="dxa"/>
            <w:vAlign w:val="top"/>
          </w:tcPr>
          <w:p w14:paraId="788D62FE">
            <w:pPr>
              <w:rPr>
                <w:rFonts w:ascii="Arial"/>
                <w:sz w:val="21"/>
              </w:rPr>
            </w:pPr>
          </w:p>
        </w:tc>
        <w:tc>
          <w:tcPr>
            <w:tcW w:w="798" w:type="dxa"/>
            <w:vAlign w:val="top"/>
          </w:tcPr>
          <w:p w14:paraId="49DA7BE9">
            <w:pPr>
              <w:rPr>
                <w:rFonts w:ascii="Arial"/>
                <w:sz w:val="21"/>
              </w:rPr>
            </w:pPr>
          </w:p>
        </w:tc>
        <w:tc>
          <w:tcPr>
            <w:tcW w:w="812" w:type="dxa"/>
            <w:vAlign w:val="top"/>
          </w:tcPr>
          <w:p w14:paraId="7A728BEC">
            <w:pPr>
              <w:rPr>
                <w:rFonts w:ascii="Arial"/>
                <w:sz w:val="21"/>
              </w:rPr>
            </w:pPr>
          </w:p>
        </w:tc>
        <w:tc>
          <w:tcPr>
            <w:tcW w:w="963" w:type="dxa"/>
            <w:vAlign w:val="top"/>
          </w:tcPr>
          <w:p w14:paraId="1D6F1D1F">
            <w:pPr>
              <w:rPr>
                <w:rFonts w:ascii="Arial"/>
                <w:sz w:val="21"/>
              </w:rPr>
            </w:pPr>
          </w:p>
        </w:tc>
        <w:tc>
          <w:tcPr>
            <w:tcW w:w="1036" w:type="dxa"/>
            <w:vAlign w:val="top"/>
          </w:tcPr>
          <w:p w14:paraId="53966B98">
            <w:pPr>
              <w:rPr>
                <w:rFonts w:ascii="Arial"/>
                <w:sz w:val="21"/>
              </w:rPr>
            </w:pPr>
          </w:p>
        </w:tc>
        <w:tc>
          <w:tcPr>
            <w:tcW w:w="1042" w:type="dxa"/>
            <w:tcBorders>
              <w:right w:val="single" w:color="000000" w:sz="6" w:space="0"/>
            </w:tcBorders>
            <w:vAlign w:val="top"/>
          </w:tcPr>
          <w:p w14:paraId="35E00EEA">
            <w:pPr>
              <w:rPr>
                <w:rFonts w:ascii="Arial"/>
                <w:sz w:val="21"/>
              </w:rPr>
            </w:pPr>
          </w:p>
        </w:tc>
      </w:tr>
      <w:tr w14:paraId="36F9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5E13CD14">
            <w:pPr>
              <w:rPr>
                <w:rFonts w:ascii="Arial"/>
                <w:sz w:val="21"/>
              </w:rPr>
            </w:pPr>
          </w:p>
        </w:tc>
        <w:tc>
          <w:tcPr>
            <w:tcW w:w="1124" w:type="dxa"/>
            <w:vAlign w:val="top"/>
          </w:tcPr>
          <w:p w14:paraId="2B5080D2">
            <w:pPr>
              <w:rPr>
                <w:rFonts w:ascii="Arial"/>
                <w:sz w:val="21"/>
              </w:rPr>
            </w:pPr>
          </w:p>
        </w:tc>
        <w:tc>
          <w:tcPr>
            <w:tcW w:w="1652" w:type="dxa"/>
            <w:vAlign w:val="top"/>
          </w:tcPr>
          <w:p w14:paraId="2FBF09E3">
            <w:pPr>
              <w:rPr>
                <w:rFonts w:ascii="Arial"/>
                <w:sz w:val="21"/>
              </w:rPr>
            </w:pPr>
          </w:p>
        </w:tc>
        <w:tc>
          <w:tcPr>
            <w:tcW w:w="1527" w:type="dxa"/>
            <w:vAlign w:val="top"/>
          </w:tcPr>
          <w:p w14:paraId="044E51C3">
            <w:pPr>
              <w:rPr>
                <w:rFonts w:ascii="Arial"/>
                <w:sz w:val="21"/>
              </w:rPr>
            </w:pPr>
          </w:p>
        </w:tc>
        <w:tc>
          <w:tcPr>
            <w:tcW w:w="798" w:type="dxa"/>
            <w:vAlign w:val="top"/>
          </w:tcPr>
          <w:p w14:paraId="45A537AA">
            <w:pPr>
              <w:rPr>
                <w:rFonts w:ascii="Arial"/>
                <w:sz w:val="21"/>
              </w:rPr>
            </w:pPr>
          </w:p>
        </w:tc>
        <w:tc>
          <w:tcPr>
            <w:tcW w:w="812" w:type="dxa"/>
            <w:vAlign w:val="top"/>
          </w:tcPr>
          <w:p w14:paraId="0B036B61">
            <w:pPr>
              <w:rPr>
                <w:rFonts w:ascii="Arial"/>
                <w:sz w:val="21"/>
              </w:rPr>
            </w:pPr>
          </w:p>
        </w:tc>
        <w:tc>
          <w:tcPr>
            <w:tcW w:w="963" w:type="dxa"/>
            <w:vAlign w:val="top"/>
          </w:tcPr>
          <w:p w14:paraId="000F0846">
            <w:pPr>
              <w:rPr>
                <w:rFonts w:ascii="Arial"/>
                <w:sz w:val="21"/>
              </w:rPr>
            </w:pPr>
          </w:p>
        </w:tc>
        <w:tc>
          <w:tcPr>
            <w:tcW w:w="1036" w:type="dxa"/>
            <w:vAlign w:val="top"/>
          </w:tcPr>
          <w:p w14:paraId="6AF12DE9">
            <w:pPr>
              <w:rPr>
                <w:rFonts w:ascii="Arial"/>
                <w:sz w:val="21"/>
              </w:rPr>
            </w:pPr>
          </w:p>
        </w:tc>
        <w:tc>
          <w:tcPr>
            <w:tcW w:w="1042" w:type="dxa"/>
            <w:tcBorders>
              <w:right w:val="single" w:color="000000" w:sz="6" w:space="0"/>
            </w:tcBorders>
            <w:vAlign w:val="top"/>
          </w:tcPr>
          <w:p w14:paraId="07C20974">
            <w:pPr>
              <w:rPr>
                <w:rFonts w:ascii="Arial"/>
                <w:sz w:val="21"/>
              </w:rPr>
            </w:pPr>
          </w:p>
        </w:tc>
      </w:tr>
      <w:tr w14:paraId="2E015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91" w:type="dxa"/>
            <w:tcBorders>
              <w:left w:val="single" w:color="000000" w:sz="6" w:space="0"/>
            </w:tcBorders>
            <w:vAlign w:val="top"/>
          </w:tcPr>
          <w:p w14:paraId="0CA8E97E">
            <w:pPr>
              <w:rPr>
                <w:rFonts w:ascii="Arial"/>
                <w:sz w:val="21"/>
              </w:rPr>
            </w:pPr>
          </w:p>
        </w:tc>
        <w:tc>
          <w:tcPr>
            <w:tcW w:w="1124" w:type="dxa"/>
            <w:vAlign w:val="top"/>
          </w:tcPr>
          <w:p w14:paraId="6778AECD">
            <w:pPr>
              <w:rPr>
                <w:rFonts w:ascii="Arial"/>
                <w:sz w:val="21"/>
              </w:rPr>
            </w:pPr>
          </w:p>
        </w:tc>
        <w:tc>
          <w:tcPr>
            <w:tcW w:w="1652" w:type="dxa"/>
            <w:vAlign w:val="top"/>
          </w:tcPr>
          <w:p w14:paraId="548909A4">
            <w:pPr>
              <w:rPr>
                <w:rFonts w:ascii="Arial"/>
                <w:sz w:val="21"/>
              </w:rPr>
            </w:pPr>
          </w:p>
        </w:tc>
        <w:tc>
          <w:tcPr>
            <w:tcW w:w="1527" w:type="dxa"/>
            <w:vAlign w:val="top"/>
          </w:tcPr>
          <w:p w14:paraId="7FA58382">
            <w:pPr>
              <w:rPr>
                <w:rFonts w:ascii="Arial"/>
                <w:sz w:val="21"/>
              </w:rPr>
            </w:pPr>
          </w:p>
        </w:tc>
        <w:tc>
          <w:tcPr>
            <w:tcW w:w="798" w:type="dxa"/>
            <w:vAlign w:val="top"/>
          </w:tcPr>
          <w:p w14:paraId="5D362AB5">
            <w:pPr>
              <w:rPr>
                <w:rFonts w:ascii="Arial"/>
                <w:sz w:val="21"/>
              </w:rPr>
            </w:pPr>
          </w:p>
        </w:tc>
        <w:tc>
          <w:tcPr>
            <w:tcW w:w="812" w:type="dxa"/>
            <w:vAlign w:val="top"/>
          </w:tcPr>
          <w:p w14:paraId="49E3E873">
            <w:pPr>
              <w:rPr>
                <w:rFonts w:ascii="Arial"/>
                <w:sz w:val="21"/>
              </w:rPr>
            </w:pPr>
          </w:p>
        </w:tc>
        <w:tc>
          <w:tcPr>
            <w:tcW w:w="963" w:type="dxa"/>
            <w:vAlign w:val="top"/>
          </w:tcPr>
          <w:p w14:paraId="26D005DD">
            <w:pPr>
              <w:rPr>
                <w:rFonts w:ascii="Arial"/>
                <w:sz w:val="21"/>
              </w:rPr>
            </w:pPr>
          </w:p>
        </w:tc>
        <w:tc>
          <w:tcPr>
            <w:tcW w:w="1036" w:type="dxa"/>
            <w:vAlign w:val="top"/>
          </w:tcPr>
          <w:p w14:paraId="42842D44">
            <w:pPr>
              <w:rPr>
                <w:rFonts w:ascii="Arial"/>
                <w:sz w:val="21"/>
              </w:rPr>
            </w:pPr>
          </w:p>
        </w:tc>
        <w:tc>
          <w:tcPr>
            <w:tcW w:w="1042" w:type="dxa"/>
            <w:tcBorders>
              <w:right w:val="single" w:color="000000" w:sz="6" w:space="0"/>
            </w:tcBorders>
            <w:vAlign w:val="top"/>
          </w:tcPr>
          <w:p w14:paraId="7674A6C8">
            <w:pPr>
              <w:rPr>
                <w:rFonts w:ascii="Arial"/>
                <w:sz w:val="21"/>
              </w:rPr>
            </w:pPr>
          </w:p>
        </w:tc>
      </w:tr>
      <w:tr w14:paraId="1B76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61F9D51F">
            <w:pPr>
              <w:rPr>
                <w:rFonts w:ascii="Arial"/>
                <w:sz w:val="21"/>
              </w:rPr>
            </w:pPr>
          </w:p>
        </w:tc>
        <w:tc>
          <w:tcPr>
            <w:tcW w:w="1124" w:type="dxa"/>
            <w:vAlign w:val="top"/>
          </w:tcPr>
          <w:p w14:paraId="317A3F81">
            <w:pPr>
              <w:rPr>
                <w:rFonts w:ascii="Arial"/>
                <w:sz w:val="21"/>
              </w:rPr>
            </w:pPr>
          </w:p>
        </w:tc>
        <w:tc>
          <w:tcPr>
            <w:tcW w:w="1652" w:type="dxa"/>
            <w:vAlign w:val="top"/>
          </w:tcPr>
          <w:p w14:paraId="3C424E0C">
            <w:pPr>
              <w:rPr>
                <w:rFonts w:ascii="Arial"/>
                <w:sz w:val="21"/>
              </w:rPr>
            </w:pPr>
          </w:p>
        </w:tc>
        <w:tc>
          <w:tcPr>
            <w:tcW w:w="1527" w:type="dxa"/>
            <w:vAlign w:val="top"/>
          </w:tcPr>
          <w:p w14:paraId="66015EA6">
            <w:pPr>
              <w:rPr>
                <w:rFonts w:ascii="Arial"/>
                <w:sz w:val="21"/>
              </w:rPr>
            </w:pPr>
          </w:p>
        </w:tc>
        <w:tc>
          <w:tcPr>
            <w:tcW w:w="798" w:type="dxa"/>
            <w:vAlign w:val="top"/>
          </w:tcPr>
          <w:p w14:paraId="11CAA68D">
            <w:pPr>
              <w:rPr>
                <w:rFonts w:ascii="Arial"/>
                <w:sz w:val="21"/>
              </w:rPr>
            </w:pPr>
          </w:p>
        </w:tc>
        <w:tc>
          <w:tcPr>
            <w:tcW w:w="812" w:type="dxa"/>
            <w:vAlign w:val="top"/>
          </w:tcPr>
          <w:p w14:paraId="4A78499F">
            <w:pPr>
              <w:rPr>
                <w:rFonts w:ascii="Arial"/>
                <w:sz w:val="21"/>
              </w:rPr>
            </w:pPr>
          </w:p>
        </w:tc>
        <w:tc>
          <w:tcPr>
            <w:tcW w:w="963" w:type="dxa"/>
            <w:vAlign w:val="top"/>
          </w:tcPr>
          <w:p w14:paraId="7B32D621">
            <w:pPr>
              <w:rPr>
                <w:rFonts w:ascii="Arial"/>
                <w:sz w:val="21"/>
              </w:rPr>
            </w:pPr>
          </w:p>
        </w:tc>
        <w:tc>
          <w:tcPr>
            <w:tcW w:w="1036" w:type="dxa"/>
            <w:vAlign w:val="top"/>
          </w:tcPr>
          <w:p w14:paraId="45DE4874">
            <w:pPr>
              <w:rPr>
                <w:rFonts w:ascii="Arial"/>
                <w:sz w:val="21"/>
              </w:rPr>
            </w:pPr>
          </w:p>
        </w:tc>
        <w:tc>
          <w:tcPr>
            <w:tcW w:w="1042" w:type="dxa"/>
            <w:tcBorders>
              <w:right w:val="single" w:color="000000" w:sz="6" w:space="0"/>
            </w:tcBorders>
            <w:vAlign w:val="top"/>
          </w:tcPr>
          <w:p w14:paraId="6F1EF0E0">
            <w:pPr>
              <w:rPr>
                <w:rFonts w:ascii="Arial"/>
                <w:sz w:val="21"/>
              </w:rPr>
            </w:pPr>
          </w:p>
        </w:tc>
      </w:tr>
      <w:tr w14:paraId="59D1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63A2047A">
            <w:pPr>
              <w:rPr>
                <w:rFonts w:ascii="Arial"/>
                <w:sz w:val="21"/>
              </w:rPr>
            </w:pPr>
          </w:p>
        </w:tc>
        <w:tc>
          <w:tcPr>
            <w:tcW w:w="1124" w:type="dxa"/>
            <w:vAlign w:val="top"/>
          </w:tcPr>
          <w:p w14:paraId="391EF128">
            <w:pPr>
              <w:rPr>
                <w:rFonts w:ascii="Arial"/>
                <w:sz w:val="21"/>
              </w:rPr>
            </w:pPr>
          </w:p>
        </w:tc>
        <w:tc>
          <w:tcPr>
            <w:tcW w:w="1652" w:type="dxa"/>
            <w:vAlign w:val="top"/>
          </w:tcPr>
          <w:p w14:paraId="40111983">
            <w:pPr>
              <w:rPr>
                <w:rFonts w:ascii="Arial"/>
                <w:sz w:val="21"/>
              </w:rPr>
            </w:pPr>
          </w:p>
        </w:tc>
        <w:tc>
          <w:tcPr>
            <w:tcW w:w="1527" w:type="dxa"/>
            <w:vAlign w:val="top"/>
          </w:tcPr>
          <w:p w14:paraId="28367CD5">
            <w:pPr>
              <w:rPr>
                <w:rFonts w:ascii="Arial"/>
                <w:sz w:val="21"/>
              </w:rPr>
            </w:pPr>
          </w:p>
        </w:tc>
        <w:tc>
          <w:tcPr>
            <w:tcW w:w="798" w:type="dxa"/>
            <w:vAlign w:val="top"/>
          </w:tcPr>
          <w:p w14:paraId="59FBA74A">
            <w:pPr>
              <w:rPr>
                <w:rFonts w:ascii="Arial"/>
                <w:sz w:val="21"/>
              </w:rPr>
            </w:pPr>
          </w:p>
        </w:tc>
        <w:tc>
          <w:tcPr>
            <w:tcW w:w="812" w:type="dxa"/>
            <w:vAlign w:val="top"/>
          </w:tcPr>
          <w:p w14:paraId="39DC3808">
            <w:pPr>
              <w:rPr>
                <w:rFonts w:ascii="Arial"/>
                <w:sz w:val="21"/>
              </w:rPr>
            </w:pPr>
          </w:p>
        </w:tc>
        <w:tc>
          <w:tcPr>
            <w:tcW w:w="963" w:type="dxa"/>
            <w:vAlign w:val="top"/>
          </w:tcPr>
          <w:p w14:paraId="41DC18F2">
            <w:pPr>
              <w:rPr>
                <w:rFonts w:ascii="Arial"/>
                <w:sz w:val="21"/>
              </w:rPr>
            </w:pPr>
          </w:p>
        </w:tc>
        <w:tc>
          <w:tcPr>
            <w:tcW w:w="1036" w:type="dxa"/>
            <w:vAlign w:val="top"/>
          </w:tcPr>
          <w:p w14:paraId="0E8C900E">
            <w:pPr>
              <w:rPr>
                <w:rFonts w:ascii="Arial"/>
                <w:sz w:val="21"/>
              </w:rPr>
            </w:pPr>
          </w:p>
        </w:tc>
        <w:tc>
          <w:tcPr>
            <w:tcW w:w="1042" w:type="dxa"/>
            <w:tcBorders>
              <w:right w:val="single" w:color="000000" w:sz="6" w:space="0"/>
            </w:tcBorders>
            <w:vAlign w:val="top"/>
          </w:tcPr>
          <w:p w14:paraId="7285A08E">
            <w:pPr>
              <w:rPr>
                <w:rFonts w:ascii="Arial"/>
                <w:sz w:val="21"/>
              </w:rPr>
            </w:pPr>
          </w:p>
        </w:tc>
      </w:tr>
      <w:tr w14:paraId="1338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791" w:type="dxa"/>
            <w:tcBorders>
              <w:left w:val="single" w:color="000000" w:sz="6" w:space="0"/>
            </w:tcBorders>
            <w:vAlign w:val="top"/>
          </w:tcPr>
          <w:p w14:paraId="27D18B3E">
            <w:pPr>
              <w:rPr>
                <w:rFonts w:ascii="Arial"/>
                <w:sz w:val="21"/>
              </w:rPr>
            </w:pPr>
          </w:p>
        </w:tc>
        <w:tc>
          <w:tcPr>
            <w:tcW w:w="1124" w:type="dxa"/>
            <w:vAlign w:val="top"/>
          </w:tcPr>
          <w:p w14:paraId="4B9AA640">
            <w:pPr>
              <w:rPr>
                <w:rFonts w:ascii="Arial"/>
                <w:sz w:val="21"/>
              </w:rPr>
            </w:pPr>
          </w:p>
        </w:tc>
        <w:tc>
          <w:tcPr>
            <w:tcW w:w="1652" w:type="dxa"/>
            <w:vAlign w:val="top"/>
          </w:tcPr>
          <w:p w14:paraId="03482FF8">
            <w:pPr>
              <w:rPr>
                <w:rFonts w:ascii="Arial"/>
                <w:sz w:val="21"/>
              </w:rPr>
            </w:pPr>
          </w:p>
        </w:tc>
        <w:tc>
          <w:tcPr>
            <w:tcW w:w="1527" w:type="dxa"/>
            <w:vAlign w:val="top"/>
          </w:tcPr>
          <w:p w14:paraId="37E5A3AF">
            <w:pPr>
              <w:rPr>
                <w:rFonts w:ascii="Arial"/>
                <w:sz w:val="21"/>
              </w:rPr>
            </w:pPr>
          </w:p>
        </w:tc>
        <w:tc>
          <w:tcPr>
            <w:tcW w:w="798" w:type="dxa"/>
            <w:vAlign w:val="top"/>
          </w:tcPr>
          <w:p w14:paraId="72550EAA">
            <w:pPr>
              <w:rPr>
                <w:rFonts w:ascii="Arial"/>
                <w:sz w:val="21"/>
              </w:rPr>
            </w:pPr>
          </w:p>
        </w:tc>
        <w:tc>
          <w:tcPr>
            <w:tcW w:w="812" w:type="dxa"/>
            <w:vAlign w:val="top"/>
          </w:tcPr>
          <w:p w14:paraId="4BE7F73F">
            <w:pPr>
              <w:rPr>
                <w:rFonts w:ascii="Arial"/>
                <w:sz w:val="21"/>
              </w:rPr>
            </w:pPr>
          </w:p>
        </w:tc>
        <w:tc>
          <w:tcPr>
            <w:tcW w:w="963" w:type="dxa"/>
            <w:vAlign w:val="top"/>
          </w:tcPr>
          <w:p w14:paraId="35FC428A">
            <w:pPr>
              <w:rPr>
                <w:rFonts w:ascii="Arial"/>
                <w:sz w:val="21"/>
              </w:rPr>
            </w:pPr>
          </w:p>
        </w:tc>
        <w:tc>
          <w:tcPr>
            <w:tcW w:w="1036" w:type="dxa"/>
            <w:vAlign w:val="top"/>
          </w:tcPr>
          <w:p w14:paraId="3D8925F2">
            <w:pPr>
              <w:rPr>
                <w:rFonts w:ascii="Arial"/>
                <w:sz w:val="21"/>
              </w:rPr>
            </w:pPr>
          </w:p>
        </w:tc>
        <w:tc>
          <w:tcPr>
            <w:tcW w:w="1042" w:type="dxa"/>
            <w:tcBorders>
              <w:right w:val="single" w:color="000000" w:sz="6" w:space="0"/>
            </w:tcBorders>
            <w:vAlign w:val="top"/>
          </w:tcPr>
          <w:p w14:paraId="5125D821">
            <w:pPr>
              <w:rPr>
                <w:rFonts w:ascii="Arial"/>
                <w:sz w:val="21"/>
              </w:rPr>
            </w:pPr>
          </w:p>
        </w:tc>
      </w:tr>
      <w:tr w14:paraId="1A2F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91" w:type="dxa"/>
            <w:tcBorders>
              <w:left w:val="single" w:color="000000" w:sz="6" w:space="0"/>
              <w:bottom w:val="single" w:color="000000" w:sz="6" w:space="0"/>
            </w:tcBorders>
            <w:vAlign w:val="top"/>
          </w:tcPr>
          <w:p w14:paraId="3A77462C">
            <w:pPr>
              <w:rPr>
                <w:rFonts w:ascii="Arial"/>
                <w:sz w:val="21"/>
              </w:rPr>
            </w:pPr>
          </w:p>
        </w:tc>
        <w:tc>
          <w:tcPr>
            <w:tcW w:w="1124" w:type="dxa"/>
            <w:tcBorders>
              <w:bottom w:val="single" w:color="000000" w:sz="6" w:space="0"/>
            </w:tcBorders>
            <w:vAlign w:val="top"/>
          </w:tcPr>
          <w:p w14:paraId="7AB267D8">
            <w:pPr>
              <w:rPr>
                <w:rFonts w:ascii="Arial"/>
                <w:sz w:val="21"/>
              </w:rPr>
            </w:pPr>
          </w:p>
        </w:tc>
        <w:tc>
          <w:tcPr>
            <w:tcW w:w="1652" w:type="dxa"/>
            <w:tcBorders>
              <w:bottom w:val="single" w:color="000000" w:sz="6" w:space="0"/>
            </w:tcBorders>
            <w:vAlign w:val="top"/>
          </w:tcPr>
          <w:p w14:paraId="73153CC7">
            <w:pPr>
              <w:pStyle w:val="11"/>
              <w:spacing w:before="59" w:line="221" w:lineRule="auto"/>
              <w:ind w:left="106"/>
              <w:rPr>
                <w:sz w:val="18"/>
                <w:szCs w:val="18"/>
              </w:rPr>
            </w:pPr>
            <w:r>
              <w:rPr>
                <w:spacing w:val="-4"/>
                <w:sz w:val="18"/>
                <w:szCs w:val="18"/>
              </w:rPr>
              <w:t>合</w:t>
            </w:r>
            <w:r>
              <w:rPr>
                <w:spacing w:val="3"/>
                <w:sz w:val="18"/>
                <w:szCs w:val="18"/>
              </w:rPr>
              <w:t xml:space="preserve">   </w:t>
            </w:r>
            <w:r>
              <w:rPr>
                <w:spacing w:val="-4"/>
                <w:sz w:val="18"/>
                <w:szCs w:val="18"/>
              </w:rPr>
              <w:t>计</w:t>
            </w:r>
          </w:p>
        </w:tc>
        <w:tc>
          <w:tcPr>
            <w:tcW w:w="1527" w:type="dxa"/>
            <w:tcBorders>
              <w:bottom w:val="single" w:color="000000" w:sz="6" w:space="0"/>
            </w:tcBorders>
            <w:vAlign w:val="top"/>
          </w:tcPr>
          <w:p w14:paraId="717B0DA5">
            <w:pPr>
              <w:rPr>
                <w:rFonts w:ascii="Arial"/>
                <w:sz w:val="21"/>
              </w:rPr>
            </w:pPr>
          </w:p>
        </w:tc>
        <w:tc>
          <w:tcPr>
            <w:tcW w:w="798" w:type="dxa"/>
            <w:tcBorders>
              <w:bottom w:val="single" w:color="000000" w:sz="6" w:space="0"/>
            </w:tcBorders>
            <w:vAlign w:val="top"/>
          </w:tcPr>
          <w:p w14:paraId="7699064A">
            <w:pPr>
              <w:rPr>
                <w:rFonts w:ascii="Arial"/>
                <w:sz w:val="21"/>
              </w:rPr>
            </w:pPr>
          </w:p>
        </w:tc>
        <w:tc>
          <w:tcPr>
            <w:tcW w:w="812" w:type="dxa"/>
            <w:tcBorders>
              <w:bottom w:val="single" w:color="000000" w:sz="6" w:space="0"/>
            </w:tcBorders>
            <w:vAlign w:val="top"/>
          </w:tcPr>
          <w:p w14:paraId="4731BFAB">
            <w:pPr>
              <w:rPr>
                <w:rFonts w:ascii="Arial"/>
                <w:sz w:val="21"/>
              </w:rPr>
            </w:pPr>
          </w:p>
        </w:tc>
        <w:tc>
          <w:tcPr>
            <w:tcW w:w="963" w:type="dxa"/>
            <w:tcBorders>
              <w:bottom w:val="single" w:color="000000" w:sz="6" w:space="0"/>
            </w:tcBorders>
            <w:vAlign w:val="top"/>
          </w:tcPr>
          <w:p w14:paraId="56CFBAA1">
            <w:pPr>
              <w:rPr>
                <w:rFonts w:ascii="Arial"/>
                <w:sz w:val="21"/>
              </w:rPr>
            </w:pPr>
          </w:p>
        </w:tc>
        <w:tc>
          <w:tcPr>
            <w:tcW w:w="1036" w:type="dxa"/>
            <w:tcBorders>
              <w:bottom w:val="single" w:color="000000" w:sz="6" w:space="0"/>
            </w:tcBorders>
            <w:vAlign w:val="top"/>
          </w:tcPr>
          <w:p w14:paraId="4CC9E04D">
            <w:pPr>
              <w:rPr>
                <w:rFonts w:ascii="Arial"/>
                <w:sz w:val="21"/>
              </w:rPr>
            </w:pPr>
          </w:p>
        </w:tc>
        <w:tc>
          <w:tcPr>
            <w:tcW w:w="1042" w:type="dxa"/>
            <w:tcBorders>
              <w:bottom w:val="single" w:color="000000" w:sz="6" w:space="0"/>
              <w:right w:val="single" w:color="000000" w:sz="6" w:space="0"/>
            </w:tcBorders>
            <w:vAlign w:val="top"/>
          </w:tcPr>
          <w:p w14:paraId="79194225">
            <w:pPr>
              <w:rPr>
                <w:rFonts w:ascii="Arial"/>
                <w:sz w:val="21"/>
              </w:rPr>
            </w:pPr>
          </w:p>
        </w:tc>
      </w:tr>
    </w:tbl>
    <w:p w14:paraId="5C489B44">
      <w:pPr>
        <w:spacing w:before="79"/>
        <w:ind w:left="7563"/>
        <w:rPr>
          <w:rFonts w:ascii="宋体" w:hAnsi="宋体" w:eastAsia="宋体" w:cs="宋体"/>
          <w:sz w:val="18"/>
          <w:szCs w:val="18"/>
        </w:rPr>
      </w:pPr>
      <w:r>
        <w:rPr>
          <w:rFonts w:ascii="宋体" w:hAnsi="宋体" w:eastAsia="宋体" w:cs="宋体"/>
          <w:position w:val="-5"/>
          <w:sz w:val="18"/>
          <w:szCs w:val="18"/>
        </w:rPr>
        <w:drawing>
          <wp:inline distT="0" distB="0" distL="0" distR="0">
            <wp:extent cx="4445" cy="147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4"/>
                    <a:stretch>
                      <a:fillRect/>
                    </a:stretch>
                  </pic:blipFill>
                  <pic:spPr>
                    <a:xfrm>
                      <a:off x="0" y="0"/>
                      <a:ext cx="4572" cy="147827"/>
                    </a:xfrm>
                    <a:prstGeom prst="rect">
                      <a:avLst/>
                    </a:prstGeom>
                  </pic:spPr>
                </pic:pic>
              </a:graphicData>
            </a:graphic>
          </wp:inline>
        </w:drawing>
      </w:r>
      <w:r>
        <w:rPr>
          <w:rFonts w:ascii="宋体" w:hAnsi="宋体" w:eastAsia="宋体" w:cs="宋体"/>
          <w:spacing w:val="23"/>
          <w:sz w:val="18"/>
          <w:szCs w:val="18"/>
        </w:rPr>
        <w:t xml:space="preserve"> </w:t>
      </w:r>
      <w:r>
        <w:rPr>
          <w:rFonts w:ascii="宋体" w:hAnsi="宋体" w:eastAsia="宋体" w:cs="宋体"/>
          <w:spacing w:val="-2"/>
          <w:sz w:val="18"/>
          <w:szCs w:val="18"/>
        </w:rPr>
        <w:t>法定代表人</w:t>
      </w:r>
    </w:p>
    <w:p w14:paraId="30968AF2">
      <w:pPr>
        <w:spacing w:before="126" w:line="213" w:lineRule="auto"/>
        <w:ind w:right="26"/>
        <w:jc w:val="right"/>
        <w:rPr>
          <w:rFonts w:ascii="宋体" w:hAnsi="宋体" w:eastAsia="宋体" w:cs="宋体"/>
          <w:sz w:val="18"/>
          <w:szCs w:val="18"/>
        </w:rPr>
      </w:pPr>
      <w:r>
        <w:rPr>
          <w:rFonts w:ascii="宋体" w:hAnsi="宋体" w:eastAsia="宋体" w:cs="宋体"/>
          <w:spacing w:val="-1"/>
          <w:sz w:val="18"/>
          <w:szCs w:val="18"/>
        </w:rPr>
        <w:t>（或委托代理人</w:t>
      </w:r>
      <w:r>
        <w:rPr>
          <w:rFonts w:ascii="宋体" w:hAnsi="宋体" w:eastAsia="宋体" w:cs="宋体"/>
          <w:spacing w:val="-9"/>
          <w:sz w:val="18"/>
          <w:szCs w:val="18"/>
        </w:rPr>
        <w:t>）</w:t>
      </w:r>
      <w:r>
        <w:rPr>
          <w:rFonts w:ascii="宋体" w:hAnsi="宋体" w:eastAsia="宋体" w:cs="宋体"/>
          <w:spacing w:val="26"/>
          <w:sz w:val="18"/>
          <w:szCs w:val="18"/>
        </w:rPr>
        <w:t xml:space="preserve"> </w:t>
      </w:r>
      <w:r>
        <w:rPr>
          <w:rFonts w:ascii="宋体" w:hAnsi="宋体" w:eastAsia="宋体" w:cs="宋体"/>
          <w:spacing w:val="-9"/>
          <w:sz w:val="18"/>
          <w:szCs w:val="18"/>
        </w:rPr>
        <w:t>：</w:t>
      </w:r>
      <w:r>
        <w:rPr>
          <w:rFonts w:ascii="宋体" w:hAnsi="宋体" w:eastAsia="宋体" w:cs="宋体"/>
          <w:spacing w:val="-1"/>
          <w:sz w:val="18"/>
          <w:szCs w:val="18"/>
        </w:rPr>
        <w:t>___签</w:t>
      </w:r>
    </w:p>
    <w:p w14:paraId="44FDE66B">
      <w:pPr>
        <w:spacing w:line="213" w:lineRule="auto"/>
        <w:rPr>
          <w:rFonts w:ascii="宋体" w:hAnsi="宋体" w:eastAsia="宋体" w:cs="宋体"/>
          <w:sz w:val="18"/>
          <w:szCs w:val="18"/>
        </w:rPr>
        <w:sectPr>
          <w:footerReference r:id="rId156" w:type="default"/>
          <w:pgSz w:w="11905" w:h="16843"/>
          <w:pgMar w:top="969" w:right="1355" w:bottom="1026" w:left="1480" w:header="0" w:footer="754" w:gutter="0"/>
          <w:cols w:space="0" w:num="1"/>
          <w:rtlGutter w:val="0"/>
          <w:docGrid w:linePitch="0" w:charSpace="0"/>
        </w:sectPr>
      </w:pPr>
    </w:p>
    <w:p w14:paraId="35C98619">
      <w:pPr>
        <w:pStyle w:val="5"/>
        <w:spacing w:line="243" w:lineRule="auto"/>
      </w:pPr>
    </w:p>
    <w:p w14:paraId="080CBF8C">
      <w:pPr>
        <w:pStyle w:val="5"/>
        <w:spacing w:line="243" w:lineRule="auto"/>
      </w:pPr>
    </w:p>
    <w:p w14:paraId="0CF7C51A">
      <w:pPr>
        <w:pStyle w:val="5"/>
        <w:spacing w:line="243" w:lineRule="auto"/>
      </w:pPr>
    </w:p>
    <w:p w14:paraId="0B0817F2">
      <w:pPr>
        <w:pStyle w:val="5"/>
        <w:spacing w:line="243" w:lineRule="auto"/>
      </w:pPr>
    </w:p>
    <w:p w14:paraId="7E9D418A">
      <w:pPr>
        <w:pStyle w:val="5"/>
        <w:spacing w:line="243" w:lineRule="auto"/>
      </w:pPr>
    </w:p>
    <w:p w14:paraId="3F00FFE2">
      <w:pPr>
        <w:pStyle w:val="5"/>
        <w:spacing w:line="243" w:lineRule="auto"/>
      </w:pPr>
    </w:p>
    <w:p w14:paraId="44C422FD">
      <w:pPr>
        <w:pStyle w:val="5"/>
        <w:spacing w:line="244" w:lineRule="auto"/>
      </w:pPr>
    </w:p>
    <w:p w14:paraId="0DC3CE02">
      <w:pPr>
        <w:pStyle w:val="5"/>
        <w:spacing w:line="244" w:lineRule="auto"/>
      </w:pPr>
    </w:p>
    <w:p w14:paraId="73A194EC">
      <w:pPr>
        <w:spacing w:before="78" w:line="233" w:lineRule="auto"/>
        <w:ind w:left="375"/>
        <w:outlineLvl w:val="2"/>
        <w:rPr>
          <w:rFonts w:ascii="黑体" w:hAnsi="黑体" w:eastAsia="黑体" w:cs="黑体"/>
          <w:sz w:val="24"/>
          <w:szCs w:val="24"/>
        </w:rPr>
      </w:pPr>
      <w:bookmarkStart w:id="1259" w:name="bookmark381"/>
      <w:bookmarkEnd w:id="1259"/>
      <w:r>
        <w:rPr>
          <w:rFonts w:ascii="Times New Roman" w:hAnsi="Times New Roman" w:eastAsia="Times New Roman" w:cs="Times New Roman"/>
          <w:spacing w:val="-1"/>
          <w:sz w:val="24"/>
          <w:szCs w:val="24"/>
        </w:rPr>
        <w:t xml:space="preserve">3.7 </w:t>
      </w:r>
      <w:r>
        <w:rPr>
          <w:rFonts w:ascii="黑体" w:hAnsi="黑体" w:eastAsia="黑体" w:cs="黑体"/>
          <w:spacing w:val="-1"/>
          <w:sz w:val="24"/>
          <w:szCs w:val="24"/>
        </w:rPr>
        <w:t>措施项目清单计价表</w:t>
      </w:r>
    </w:p>
    <w:p w14:paraId="20B79886">
      <w:pPr>
        <w:spacing w:before="64" w:line="218" w:lineRule="auto"/>
        <w:ind w:left="3026"/>
        <w:rPr>
          <w:rFonts w:ascii="宋体" w:hAnsi="宋体" w:eastAsia="宋体" w:cs="宋体"/>
          <w:sz w:val="40"/>
          <w:szCs w:val="40"/>
        </w:rPr>
      </w:pPr>
      <w:bookmarkStart w:id="1260" w:name="bookmark615"/>
      <w:bookmarkEnd w:id="1260"/>
      <w:r>
        <w:rPr>
          <w:rFonts w:ascii="宋体" w:hAnsi="宋体" w:eastAsia="宋体" w:cs="宋体"/>
          <w:b/>
          <w:bCs/>
          <w:spacing w:val="-5"/>
          <w:sz w:val="40"/>
          <w:szCs w:val="40"/>
        </w:rPr>
        <w:t>措施项目清单计价表</w:t>
      </w:r>
    </w:p>
    <w:p w14:paraId="03909CFE">
      <w:pPr>
        <w:spacing w:before="54"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37ED488C">
      <w:pPr>
        <w:spacing w:before="169" w:line="220" w:lineRule="auto"/>
        <w:ind w:left="127"/>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  1  页、共</w:t>
      </w:r>
      <w:r>
        <w:rPr>
          <w:rFonts w:ascii="宋体" w:hAnsi="宋体" w:eastAsia="宋体" w:cs="宋体"/>
          <w:spacing w:val="9"/>
          <w:sz w:val="18"/>
          <w:szCs w:val="18"/>
        </w:rPr>
        <w:t xml:space="preserve">  </w:t>
      </w:r>
      <w:r>
        <w:rPr>
          <w:rFonts w:ascii="宋体" w:hAnsi="宋体" w:eastAsia="宋体" w:cs="宋体"/>
          <w:spacing w:val="-3"/>
          <w:sz w:val="18"/>
          <w:szCs w:val="18"/>
        </w:rPr>
        <w:t>1  页</w:t>
      </w:r>
    </w:p>
    <w:p w14:paraId="67525403">
      <w:pPr>
        <w:spacing w:line="122" w:lineRule="exact"/>
      </w:pPr>
    </w:p>
    <w:tbl>
      <w:tblPr>
        <w:tblStyle w:val="10"/>
        <w:tblW w:w="96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4"/>
        <w:gridCol w:w="3152"/>
        <w:gridCol w:w="839"/>
        <w:gridCol w:w="872"/>
        <w:gridCol w:w="1061"/>
        <w:gridCol w:w="966"/>
        <w:gridCol w:w="1136"/>
      </w:tblGrid>
      <w:tr w14:paraId="18BF7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94" w:type="dxa"/>
            <w:tcBorders>
              <w:top w:val="single" w:color="000000" w:sz="6" w:space="0"/>
              <w:left w:val="single" w:color="000000" w:sz="6" w:space="0"/>
            </w:tcBorders>
            <w:vAlign w:val="top"/>
          </w:tcPr>
          <w:p w14:paraId="1032F1B7">
            <w:pPr>
              <w:pStyle w:val="11"/>
              <w:spacing w:before="146" w:line="220" w:lineRule="auto"/>
              <w:ind w:left="436"/>
              <w:rPr>
                <w:sz w:val="18"/>
                <w:szCs w:val="18"/>
              </w:rPr>
            </w:pPr>
            <w:r>
              <w:rPr>
                <w:spacing w:val="-2"/>
                <w:sz w:val="18"/>
                <w:szCs w:val="18"/>
              </w:rPr>
              <w:t>项目编码</w:t>
            </w:r>
          </w:p>
        </w:tc>
        <w:tc>
          <w:tcPr>
            <w:tcW w:w="3152" w:type="dxa"/>
            <w:tcBorders>
              <w:top w:val="single" w:color="000000" w:sz="6" w:space="0"/>
            </w:tcBorders>
            <w:vAlign w:val="top"/>
          </w:tcPr>
          <w:p w14:paraId="760B1D61">
            <w:pPr>
              <w:pStyle w:val="11"/>
              <w:spacing w:before="147" w:line="220" w:lineRule="auto"/>
              <w:ind w:left="1217"/>
              <w:rPr>
                <w:sz w:val="18"/>
                <w:szCs w:val="18"/>
              </w:rPr>
            </w:pPr>
            <w:r>
              <w:rPr>
                <w:spacing w:val="-2"/>
                <w:sz w:val="18"/>
                <w:szCs w:val="18"/>
              </w:rPr>
              <w:t>项目名称</w:t>
            </w:r>
          </w:p>
        </w:tc>
        <w:tc>
          <w:tcPr>
            <w:tcW w:w="839" w:type="dxa"/>
            <w:tcBorders>
              <w:top w:val="single" w:color="000000" w:sz="6" w:space="0"/>
            </w:tcBorders>
            <w:vAlign w:val="top"/>
          </w:tcPr>
          <w:p w14:paraId="3249B442">
            <w:pPr>
              <w:pStyle w:val="11"/>
              <w:spacing w:before="147" w:line="220" w:lineRule="auto"/>
              <w:ind w:left="245"/>
              <w:rPr>
                <w:sz w:val="18"/>
                <w:szCs w:val="18"/>
              </w:rPr>
            </w:pPr>
            <w:r>
              <w:rPr>
                <w:spacing w:val="-3"/>
                <w:sz w:val="18"/>
                <w:szCs w:val="18"/>
              </w:rPr>
              <w:t>单位</w:t>
            </w:r>
          </w:p>
        </w:tc>
        <w:tc>
          <w:tcPr>
            <w:tcW w:w="872" w:type="dxa"/>
            <w:tcBorders>
              <w:top w:val="single" w:color="000000" w:sz="6" w:space="0"/>
            </w:tcBorders>
            <w:vAlign w:val="top"/>
          </w:tcPr>
          <w:p w14:paraId="5089A873">
            <w:pPr>
              <w:pStyle w:val="11"/>
              <w:spacing w:before="146" w:line="220" w:lineRule="auto"/>
              <w:ind w:left="263"/>
              <w:rPr>
                <w:sz w:val="18"/>
                <w:szCs w:val="18"/>
              </w:rPr>
            </w:pPr>
            <w:r>
              <w:rPr>
                <w:spacing w:val="-3"/>
                <w:sz w:val="18"/>
                <w:szCs w:val="18"/>
              </w:rPr>
              <w:t>数量</w:t>
            </w:r>
          </w:p>
        </w:tc>
        <w:tc>
          <w:tcPr>
            <w:tcW w:w="1061" w:type="dxa"/>
            <w:tcBorders>
              <w:top w:val="single" w:color="000000" w:sz="6" w:space="0"/>
            </w:tcBorders>
            <w:vAlign w:val="top"/>
          </w:tcPr>
          <w:p w14:paraId="6BAD77AB">
            <w:pPr>
              <w:pStyle w:val="11"/>
              <w:spacing w:before="29" w:line="224" w:lineRule="auto"/>
              <w:ind w:left="273" w:right="266" w:firstLine="85"/>
              <w:rPr>
                <w:sz w:val="18"/>
                <w:szCs w:val="18"/>
              </w:rPr>
            </w:pPr>
            <w:r>
              <w:rPr>
                <w:spacing w:val="-5"/>
                <w:sz w:val="18"/>
                <w:szCs w:val="18"/>
              </w:rPr>
              <w:t>单价</w:t>
            </w:r>
            <w:r>
              <w:rPr>
                <w:spacing w:val="-8"/>
                <w:sz w:val="18"/>
                <w:szCs w:val="18"/>
              </w:rPr>
              <w:t>（元）</w:t>
            </w:r>
          </w:p>
        </w:tc>
        <w:tc>
          <w:tcPr>
            <w:tcW w:w="966" w:type="dxa"/>
            <w:tcBorders>
              <w:top w:val="single" w:color="000000" w:sz="6" w:space="0"/>
            </w:tcBorders>
            <w:vAlign w:val="top"/>
          </w:tcPr>
          <w:p w14:paraId="3EA14A92">
            <w:pPr>
              <w:pStyle w:val="11"/>
              <w:spacing w:before="29" w:line="224" w:lineRule="auto"/>
              <w:ind w:left="228" w:right="216" w:firstLine="84"/>
              <w:rPr>
                <w:sz w:val="18"/>
                <w:szCs w:val="18"/>
              </w:rPr>
            </w:pPr>
            <w:r>
              <w:rPr>
                <w:spacing w:val="-4"/>
                <w:sz w:val="18"/>
                <w:szCs w:val="18"/>
              </w:rPr>
              <w:t>合价</w:t>
            </w:r>
            <w:r>
              <w:rPr>
                <w:spacing w:val="-8"/>
                <w:sz w:val="18"/>
                <w:szCs w:val="18"/>
              </w:rPr>
              <w:t>（元）</w:t>
            </w:r>
          </w:p>
        </w:tc>
        <w:tc>
          <w:tcPr>
            <w:tcW w:w="1136" w:type="dxa"/>
            <w:tcBorders>
              <w:top w:val="single" w:color="000000" w:sz="6" w:space="0"/>
              <w:right w:val="single" w:color="000000" w:sz="6" w:space="0"/>
            </w:tcBorders>
            <w:vAlign w:val="top"/>
          </w:tcPr>
          <w:p w14:paraId="53A49DE9">
            <w:pPr>
              <w:pStyle w:val="11"/>
              <w:spacing w:before="147" w:line="221" w:lineRule="auto"/>
              <w:ind w:left="397"/>
              <w:rPr>
                <w:sz w:val="18"/>
                <w:szCs w:val="18"/>
              </w:rPr>
            </w:pPr>
            <w:r>
              <w:rPr>
                <w:spacing w:val="-3"/>
                <w:sz w:val="18"/>
                <w:szCs w:val="18"/>
              </w:rPr>
              <w:t>备注</w:t>
            </w:r>
          </w:p>
        </w:tc>
      </w:tr>
      <w:tr w14:paraId="7458B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94" w:type="dxa"/>
            <w:tcBorders>
              <w:left w:val="single" w:color="000000" w:sz="6" w:space="0"/>
            </w:tcBorders>
            <w:vAlign w:val="top"/>
          </w:tcPr>
          <w:p w14:paraId="470F5BA1">
            <w:pPr>
              <w:pStyle w:val="11"/>
              <w:spacing w:before="113" w:line="139" w:lineRule="exact"/>
              <w:ind w:left="708"/>
              <w:rPr>
                <w:sz w:val="18"/>
                <w:szCs w:val="18"/>
              </w:rPr>
            </w:pPr>
            <w:r>
              <w:rPr>
                <w:position w:val="-4"/>
                <w:sz w:val="18"/>
                <w:szCs w:val="18"/>
              </w:rPr>
              <w:t>一</w:t>
            </w:r>
          </w:p>
        </w:tc>
        <w:tc>
          <w:tcPr>
            <w:tcW w:w="3152" w:type="dxa"/>
            <w:vAlign w:val="top"/>
          </w:tcPr>
          <w:p w14:paraId="0E2BBE5E">
            <w:pPr>
              <w:pStyle w:val="11"/>
              <w:spacing w:before="46" w:line="220" w:lineRule="auto"/>
              <w:ind w:left="1037"/>
              <w:rPr>
                <w:sz w:val="18"/>
                <w:szCs w:val="18"/>
              </w:rPr>
            </w:pPr>
            <w:r>
              <w:rPr>
                <w:spacing w:val="-2"/>
                <w:sz w:val="18"/>
                <w:szCs w:val="18"/>
              </w:rPr>
              <w:t>不可计量措施</w:t>
            </w:r>
          </w:p>
        </w:tc>
        <w:tc>
          <w:tcPr>
            <w:tcW w:w="839" w:type="dxa"/>
            <w:vAlign w:val="top"/>
          </w:tcPr>
          <w:p w14:paraId="3D80CC4C">
            <w:pPr>
              <w:rPr>
                <w:rFonts w:ascii="Arial"/>
                <w:sz w:val="21"/>
              </w:rPr>
            </w:pPr>
          </w:p>
        </w:tc>
        <w:tc>
          <w:tcPr>
            <w:tcW w:w="872" w:type="dxa"/>
            <w:vAlign w:val="top"/>
          </w:tcPr>
          <w:p w14:paraId="1A98B3BF">
            <w:pPr>
              <w:rPr>
                <w:rFonts w:ascii="Arial"/>
                <w:sz w:val="21"/>
              </w:rPr>
            </w:pPr>
          </w:p>
        </w:tc>
        <w:tc>
          <w:tcPr>
            <w:tcW w:w="1061" w:type="dxa"/>
            <w:vAlign w:val="top"/>
          </w:tcPr>
          <w:p w14:paraId="7631F695">
            <w:pPr>
              <w:rPr>
                <w:rFonts w:ascii="Arial"/>
                <w:sz w:val="21"/>
              </w:rPr>
            </w:pPr>
          </w:p>
        </w:tc>
        <w:tc>
          <w:tcPr>
            <w:tcW w:w="966" w:type="dxa"/>
            <w:vAlign w:val="top"/>
          </w:tcPr>
          <w:p w14:paraId="3763686A">
            <w:pPr>
              <w:rPr>
                <w:rFonts w:ascii="Arial"/>
                <w:sz w:val="21"/>
              </w:rPr>
            </w:pPr>
          </w:p>
        </w:tc>
        <w:tc>
          <w:tcPr>
            <w:tcW w:w="1136" w:type="dxa"/>
            <w:tcBorders>
              <w:right w:val="single" w:color="000000" w:sz="6" w:space="0"/>
            </w:tcBorders>
            <w:vAlign w:val="top"/>
          </w:tcPr>
          <w:p w14:paraId="34A4734E">
            <w:pPr>
              <w:rPr>
                <w:rFonts w:ascii="Arial"/>
                <w:sz w:val="21"/>
              </w:rPr>
            </w:pPr>
          </w:p>
        </w:tc>
      </w:tr>
      <w:tr w14:paraId="40FC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1E73E82C">
            <w:pPr>
              <w:rPr>
                <w:rFonts w:ascii="Arial"/>
                <w:sz w:val="21"/>
              </w:rPr>
            </w:pPr>
          </w:p>
        </w:tc>
        <w:tc>
          <w:tcPr>
            <w:tcW w:w="3152" w:type="dxa"/>
            <w:vAlign w:val="top"/>
          </w:tcPr>
          <w:p w14:paraId="247F55EB">
            <w:pPr>
              <w:rPr>
                <w:rFonts w:ascii="Arial"/>
                <w:sz w:val="21"/>
              </w:rPr>
            </w:pPr>
          </w:p>
        </w:tc>
        <w:tc>
          <w:tcPr>
            <w:tcW w:w="839" w:type="dxa"/>
            <w:vAlign w:val="top"/>
          </w:tcPr>
          <w:p w14:paraId="7DD5D5A9">
            <w:pPr>
              <w:rPr>
                <w:rFonts w:ascii="Arial"/>
                <w:sz w:val="21"/>
              </w:rPr>
            </w:pPr>
          </w:p>
        </w:tc>
        <w:tc>
          <w:tcPr>
            <w:tcW w:w="872" w:type="dxa"/>
            <w:vAlign w:val="top"/>
          </w:tcPr>
          <w:p w14:paraId="365B1FF0">
            <w:pPr>
              <w:rPr>
                <w:rFonts w:ascii="Arial"/>
                <w:sz w:val="21"/>
              </w:rPr>
            </w:pPr>
          </w:p>
        </w:tc>
        <w:tc>
          <w:tcPr>
            <w:tcW w:w="1061" w:type="dxa"/>
            <w:vAlign w:val="top"/>
          </w:tcPr>
          <w:p w14:paraId="0E9E4A4F">
            <w:pPr>
              <w:rPr>
                <w:rFonts w:ascii="Arial"/>
                <w:sz w:val="21"/>
              </w:rPr>
            </w:pPr>
          </w:p>
        </w:tc>
        <w:tc>
          <w:tcPr>
            <w:tcW w:w="966" w:type="dxa"/>
            <w:vAlign w:val="top"/>
          </w:tcPr>
          <w:p w14:paraId="3740BBC9">
            <w:pPr>
              <w:rPr>
                <w:rFonts w:ascii="Arial"/>
                <w:sz w:val="21"/>
              </w:rPr>
            </w:pPr>
          </w:p>
        </w:tc>
        <w:tc>
          <w:tcPr>
            <w:tcW w:w="1136" w:type="dxa"/>
            <w:tcBorders>
              <w:right w:val="single" w:color="000000" w:sz="6" w:space="0"/>
            </w:tcBorders>
            <w:vAlign w:val="top"/>
          </w:tcPr>
          <w:p w14:paraId="7A5E90D5">
            <w:pPr>
              <w:rPr>
                <w:rFonts w:ascii="Arial"/>
                <w:sz w:val="21"/>
              </w:rPr>
            </w:pPr>
          </w:p>
        </w:tc>
      </w:tr>
      <w:tr w14:paraId="4FDC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17DADD5F">
            <w:pPr>
              <w:rPr>
                <w:rFonts w:ascii="Arial"/>
                <w:sz w:val="21"/>
              </w:rPr>
            </w:pPr>
          </w:p>
        </w:tc>
        <w:tc>
          <w:tcPr>
            <w:tcW w:w="3152" w:type="dxa"/>
            <w:vAlign w:val="top"/>
          </w:tcPr>
          <w:p w14:paraId="3D909B1D">
            <w:pPr>
              <w:rPr>
                <w:rFonts w:ascii="Arial"/>
                <w:sz w:val="21"/>
              </w:rPr>
            </w:pPr>
          </w:p>
        </w:tc>
        <w:tc>
          <w:tcPr>
            <w:tcW w:w="839" w:type="dxa"/>
            <w:vAlign w:val="top"/>
          </w:tcPr>
          <w:p w14:paraId="2D4E41B5">
            <w:pPr>
              <w:rPr>
                <w:rFonts w:ascii="Arial"/>
                <w:sz w:val="21"/>
              </w:rPr>
            </w:pPr>
          </w:p>
        </w:tc>
        <w:tc>
          <w:tcPr>
            <w:tcW w:w="872" w:type="dxa"/>
            <w:vAlign w:val="top"/>
          </w:tcPr>
          <w:p w14:paraId="738B6C21">
            <w:pPr>
              <w:rPr>
                <w:rFonts w:ascii="Arial"/>
                <w:sz w:val="21"/>
              </w:rPr>
            </w:pPr>
          </w:p>
        </w:tc>
        <w:tc>
          <w:tcPr>
            <w:tcW w:w="1061" w:type="dxa"/>
            <w:vAlign w:val="top"/>
          </w:tcPr>
          <w:p w14:paraId="6F3AF1C3">
            <w:pPr>
              <w:rPr>
                <w:rFonts w:ascii="Arial"/>
                <w:sz w:val="21"/>
              </w:rPr>
            </w:pPr>
          </w:p>
        </w:tc>
        <w:tc>
          <w:tcPr>
            <w:tcW w:w="966" w:type="dxa"/>
            <w:vAlign w:val="top"/>
          </w:tcPr>
          <w:p w14:paraId="6B15D6D0">
            <w:pPr>
              <w:rPr>
                <w:rFonts w:ascii="Arial"/>
                <w:sz w:val="21"/>
              </w:rPr>
            </w:pPr>
          </w:p>
        </w:tc>
        <w:tc>
          <w:tcPr>
            <w:tcW w:w="1136" w:type="dxa"/>
            <w:tcBorders>
              <w:right w:val="single" w:color="000000" w:sz="6" w:space="0"/>
            </w:tcBorders>
            <w:vAlign w:val="top"/>
          </w:tcPr>
          <w:p w14:paraId="530C07C5">
            <w:pPr>
              <w:rPr>
                <w:rFonts w:ascii="Arial"/>
                <w:sz w:val="21"/>
              </w:rPr>
            </w:pPr>
          </w:p>
        </w:tc>
      </w:tr>
      <w:tr w14:paraId="042A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03071AF3">
            <w:pPr>
              <w:pStyle w:val="11"/>
              <w:spacing w:before="116" w:line="178" w:lineRule="auto"/>
              <w:ind w:left="708"/>
              <w:rPr>
                <w:sz w:val="18"/>
                <w:szCs w:val="18"/>
              </w:rPr>
            </w:pPr>
            <w:r>
              <w:rPr>
                <w:sz w:val="18"/>
                <w:szCs w:val="18"/>
              </w:rPr>
              <w:t>二</w:t>
            </w:r>
          </w:p>
        </w:tc>
        <w:tc>
          <w:tcPr>
            <w:tcW w:w="3152" w:type="dxa"/>
            <w:vAlign w:val="top"/>
          </w:tcPr>
          <w:p w14:paraId="57A81164">
            <w:pPr>
              <w:pStyle w:val="11"/>
              <w:spacing w:before="83" w:line="220" w:lineRule="auto"/>
              <w:ind w:left="1127"/>
              <w:rPr>
                <w:sz w:val="18"/>
                <w:szCs w:val="18"/>
              </w:rPr>
            </w:pPr>
            <w:r>
              <w:rPr>
                <w:spacing w:val="-2"/>
                <w:sz w:val="18"/>
                <w:szCs w:val="18"/>
              </w:rPr>
              <w:t>可计量措施</w:t>
            </w:r>
          </w:p>
        </w:tc>
        <w:tc>
          <w:tcPr>
            <w:tcW w:w="839" w:type="dxa"/>
            <w:vAlign w:val="top"/>
          </w:tcPr>
          <w:p w14:paraId="7A4A296B">
            <w:pPr>
              <w:rPr>
                <w:rFonts w:ascii="Arial"/>
                <w:sz w:val="21"/>
              </w:rPr>
            </w:pPr>
          </w:p>
        </w:tc>
        <w:tc>
          <w:tcPr>
            <w:tcW w:w="872" w:type="dxa"/>
            <w:vAlign w:val="top"/>
          </w:tcPr>
          <w:p w14:paraId="6C5AFC3D">
            <w:pPr>
              <w:rPr>
                <w:rFonts w:ascii="Arial"/>
                <w:sz w:val="21"/>
              </w:rPr>
            </w:pPr>
          </w:p>
        </w:tc>
        <w:tc>
          <w:tcPr>
            <w:tcW w:w="1061" w:type="dxa"/>
            <w:vAlign w:val="top"/>
          </w:tcPr>
          <w:p w14:paraId="05BCF1F8">
            <w:pPr>
              <w:rPr>
                <w:rFonts w:ascii="Arial"/>
                <w:sz w:val="21"/>
              </w:rPr>
            </w:pPr>
          </w:p>
        </w:tc>
        <w:tc>
          <w:tcPr>
            <w:tcW w:w="966" w:type="dxa"/>
            <w:vAlign w:val="top"/>
          </w:tcPr>
          <w:p w14:paraId="39534125">
            <w:pPr>
              <w:rPr>
                <w:rFonts w:ascii="Arial"/>
                <w:sz w:val="21"/>
              </w:rPr>
            </w:pPr>
          </w:p>
        </w:tc>
        <w:tc>
          <w:tcPr>
            <w:tcW w:w="1136" w:type="dxa"/>
            <w:tcBorders>
              <w:right w:val="single" w:color="000000" w:sz="6" w:space="0"/>
            </w:tcBorders>
            <w:vAlign w:val="top"/>
          </w:tcPr>
          <w:p w14:paraId="2EA18BF3">
            <w:pPr>
              <w:rPr>
                <w:rFonts w:ascii="Arial"/>
                <w:sz w:val="21"/>
              </w:rPr>
            </w:pPr>
          </w:p>
        </w:tc>
      </w:tr>
      <w:tr w14:paraId="0231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50C6325E">
            <w:pPr>
              <w:rPr>
                <w:rFonts w:ascii="Arial"/>
                <w:sz w:val="21"/>
              </w:rPr>
            </w:pPr>
          </w:p>
        </w:tc>
        <w:tc>
          <w:tcPr>
            <w:tcW w:w="3152" w:type="dxa"/>
            <w:vAlign w:val="top"/>
          </w:tcPr>
          <w:p w14:paraId="7E58D2AC">
            <w:pPr>
              <w:rPr>
                <w:rFonts w:ascii="Arial"/>
                <w:sz w:val="21"/>
              </w:rPr>
            </w:pPr>
          </w:p>
        </w:tc>
        <w:tc>
          <w:tcPr>
            <w:tcW w:w="839" w:type="dxa"/>
            <w:vAlign w:val="top"/>
          </w:tcPr>
          <w:p w14:paraId="16045996">
            <w:pPr>
              <w:rPr>
                <w:rFonts w:ascii="Arial"/>
                <w:sz w:val="21"/>
              </w:rPr>
            </w:pPr>
          </w:p>
        </w:tc>
        <w:tc>
          <w:tcPr>
            <w:tcW w:w="872" w:type="dxa"/>
            <w:vAlign w:val="top"/>
          </w:tcPr>
          <w:p w14:paraId="64E9E9F5">
            <w:pPr>
              <w:rPr>
                <w:rFonts w:ascii="Arial"/>
                <w:sz w:val="21"/>
              </w:rPr>
            </w:pPr>
          </w:p>
        </w:tc>
        <w:tc>
          <w:tcPr>
            <w:tcW w:w="1061" w:type="dxa"/>
            <w:vAlign w:val="top"/>
          </w:tcPr>
          <w:p w14:paraId="6F087DAD">
            <w:pPr>
              <w:rPr>
                <w:rFonts w:ascii="Arial"/>
                <w:sz w:val="21"/>
              </w:rPr>
            </w:pPr>
          </w:p>
        </w:tc>
        <w:tc>
          <w:tcPr>
            <w:tcW w:w="966" w:type="dxa"/>
            <w:vAlign w:val="top"/>
          </w:tcPr>
          <w:p w14:paraId="7D1F9859">
            <w:pPr>
              <w:rPr>
                <w:rFonts w:ascii="Arial"/>
                <w:sz w:val="21"/>
              </w:rPr>
            </w:pPr>
          </w:p>
        </w:tc>
        <w:tc>
          <w:tcPr>
            <w:tcW w:w="1136" w:type="dxa"/>
            <w:tcBorders>
              <w:right w:val="single" w:color="000000" w:sz="6" w:space="0"/>
            </w:tcBorders>
            <w:vAlign w:val="top"/>
          </w:tcPr>
          <w:p w14:paraId="73269CB1">
            <w:pPr>
              <w:rPr>
                <w:rFonts w:ascii="Arial"/>
                <w:sz w:val="21"/>
              </w:rPr>
            </w:pPr>
          </w:p>
        </w:tc>
      </w:tr>
      <w:tr w14:paraId="2121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254C8F7C">
            <w:pPr>
              <w:rPr>
                <w:rFonts w:ascii="Arial"/>
                <w:sz w:val="21"/>
              </w:rPr>
            </w:pPr>
          </w:p>
        </w:tc>
        <w:tc>
          <w:tcPr>
            <w:tcW w:w="3152" w:type="dxa"/>
            <w:vAlign w:val="top"/>
          </w:tcPr>
          <w:p w14:paraId="39E922CD">
            <w:pPr>
              <w:rPr>
                <w:rFonts w:ascii="Arial"/>
                <w:sz w:val="21"/>
              </w:rPr>
            </w:pPr>
          </w:p>
        </w:tc>
        <w:tc>
          <w:tcPr>
            <w:tcW w:w="839" w:type="dxa"/>
            <w:vAlign w:val="top"/>
          </w:tcPr>
          <w:p w14:paraId="3AB97535">
            <w:pPr>
              <w:rPr>
                <w:rFonts w:ascii="Arial"/>
                <w:sz w:val="21"/>
              </w:rPr>
            </w:pPr>
          </w:p>
        </w:tc>
        <w:tc>
          <w:tcPr>
            <w:tcW w:w="872" w:type="dxa"/>
            <w:vAlign w:val="top"/>
          </w:tcPr>
          <w:p w14:paraId="624C2DAE">
            <w:pPr>
              <w:rPr>
                <w:rFonts w:ascii="Arial"/>
                <w:sz w:val="21"/>
              </w:rPr>
            </w:pPr>
          </w:p>
        </w:tc>
        <w:tc>
          <w:tcPr>
            <w:tcW w:w="1061" w:type="dxa"/>
            <w:vAlign w:val="top"/>
          </w:tcPr>
          <w:p w14:paraId="08562E3A">
            <w:pPr>
              <w:rPr>
                <w:rFonts w:ascii="Arial"/>
                <w:sz w:val="21"/>
              </w:rPr>
            </w:pPr>
          </w:p>
        </w:tc>
        <w:tc>
          <w:tcPr>
            <w:tcW w:w="966" w:type="dxa"/>
            <w:vAlign w:val="top"/>
          </w:tcPr>
          <w:p w14:paraId="59F78679">
            <w:pPr>
              <w:rPr>
                <w:rFonts w:ascii="Arial"/>
                <w:sz w:val="21"/>
              </w:rPr>
            </w:pPr>
          </w:p>
        </w:tc>
        <w:tc>
          <w:tcPr>
            <w:tcW w:w="1136" w:type="dxa"/>
            <w:tcBorders>
              <w:right w:val="single" w:color="000000" w:sz="6" w:space="0"/>
            </w:tcBorders>
            <w:vAlign w:val="top"/>
          </w:tcPr>
          <w:p w14:paraId="65D068C9">
            <w:pPr>
              <w:rPr>
                <w:rFonts w:ascii="Arial"/>
                <w:sz w:val="21"/>
              </w:rPr>
            </w:pPr>
          </w:p>
        </w:tc>
      </w:tr>
      <w:tr w14:paraId="251B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7D45A028">
            <w:pPr>
              <w:rPr>
                <w:rFonts w:ascii="Arial"/>
                <w:sz w:val="21"/>
              </w:rPr>
            </w:pPr>
          </w:p>
        </w:tc>
        <w:tc>
          <w:tcPr>
            <w:tcW w:w="3152" w:type="dxa"/>
            <w:vAlign w:val="top"/>
          </w:tcPr>
          <w:p w14:paraId="26217914">
            <w:pPr>
              <w:rPr>
                <w:rFonts w:ascii="Arial"/>
                <w:sz w:val="21"/>
              </w:rPr>
            </w:pPr>
          </w:p>
        </w:tc>
        <w:tc>
          <w:tcPr>
            <w:tcW w:w="839" w:type="dxa"/>
            <w:vAlign w:val="top"/>
          </w:tcPr>
          <w:p w14:paraId="0237B434">
            <w:pPr>
              <w:rPr>
                <w:rFonts w:ascii="Arial"/>
                <w:sz w:val="21"/>
              </w:rPr>
            </w:pPr>
          </w:p>
        </w:tc>
        <w:tc>
          <w:tcPr>
            <w:tcW w:w="872" w:type="dxa"/>
            <w:vAlign w:val="top"/>
          </w:tcPr>
          <w:p w14:paraId="5863BB94">
            <w:pPr>
              <w:rPr>
                <w:rFonts w:ascii="Arial"/>
                <w:sz w:val="21"/>
              </w:rPr>
            </w:pPr>
          </w:p>
        </w:tc>
        <w:tc>
          <w:tcPr>
            <w:tcW w:w="1061" w:type="dxa"/>
            <w:vAlign w:val="top"/>
          </w:tcPr>
          <w:p w14:paraId="325785C9">
            <w:pPr>
              <w:rPr>
                <w:rFonts w:ascii="Arial"/>
                <w:sz w:val="21"/>
              </w:rPr>
            </w:pPr>
          </w:p>
        </w:tc>
        <w:tc>
          <w:tcPr>
            <w:tcW w:w="966" w:type="dxa"/>
            <w:vAlign w:val="top"/>
          </w:tcPr>
          <w:p w14:paraId="475CCC00">
            <w:pPr>
              <w:rPr>
                <w:rFonts w:ascii="Arial"/>
                <w:sz w:val="21"/>
              </w:rPr>
            </w:pPr>
          </w:p>
        </w:tc>
        <w:tc>
          <w:tcPr>
            <w:tcW w:w="1136" w:type="dxa"/>
            <w:tcBorders>
              <w:right w:val="single" w:color="000000" w:sz="6" w:space="0"/>
            </w:tcBorders>
            <w:vAlign w:val="top"/>
          </w:tcPr>
          <w:p w14:paraId="3C5F2BF4">
            <w:pPr>
              <w:rPr>
                <w:rFonts w:ascii="Arial"/>
                <w:sz w:val="21"/>
              </w:rPr>
            </w:pPr>
          </w:p>
        </w:tc>
      </w:tr>
      <w:tr w14:paraId="64EC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23F191C1">
            <w:pPr>
              <w:rPr>
                <w:rFonts w:ascii="Arial"/>
                <w:sz w:val="21"/>
              </w:rPr>
            </w:pPr>
          </w:p>
        </w:tc>
        <w:tc>
          <w:tcPr>
            <w:tcW w:w="3152" w:type="dxa"/>
            <w:vAlign w:val="top"/>
          </w:tcPr>
          <w:p w14:paraId="1441DFF3">
            <w:pPr>
              <w:rPr>
                <w:rFonts w:ascii="Arial"/>
                <w:sz w:val="21"/>
              </w:rPr>
            </w:pPr>
          </w:p>
        </w:tc>
        <w:tc>
          <w:tcPr>
            <w:tcW w:w="839" w:type="dxa"/>
            <w:vAlign w:val="top"/>
          </w:tcPr>
          <w:p w14:paraId="100BF546">
            <w:pPr>
              <w:rPr>
                <w:rFonts w:ascii="Arial"/>
                <w:sz w:val="21"/>
              </w:rPr>
            </w:pPr>
          </w:p>
        </w:tc>
        <w:tc>
          <w:tcPr>
            <w:tcW w:w="872" w:type="dxa"/>
            <w:vAlign w:val="top"/>
          </w:tcPr>
          <w:p w14:paraId="42523C9B">
            <w:pPr>
              <w:rPr>
                <w:rFonts w:ascii="Arial"/>
                <w:sz w:val="21"/>
              </w:rPr>
            </w:pPr>
          </w:p>
        </w:tc>
        <w:tc>
          <w:tcPr>
            <w:tcW w:w="1061" w:type="dxa"/>
            <w:vAlign w:val="top"/>
          </w:tcPr>
          <w:p w14:paraId="50151B89">
            <w:pPr>
              <w:rPr>
                <w:rFonts w:ascii="Arial"/>
                <w:sz w:val="21"/>
              </w:rPr>
            </w:pPr>
          </w:p>
        </w:tc>
        <w:tc>
          <w:tcPr>
            <w:tcW w:w="966" w:type="dxa"/>
            <w:vAlign w:val="top"/>
          </w:tcPr>
          <w:p w14:paraId="1AB105DE">
            <w:pPr>
              <w:rPr>
                <w:rFonts w:ascii="Arial"/>
                <w:sz w:val="21"/>
              </w:rPr>
            </w:pPr>
          </w:p>
        </w:tc>
        <w:tc>
          <w:tcPr>
            <w:tcW w:w="1136" w:type="dxa"/>
            <w:tcBorders>
              <w:right w:val="single" w:color="000000" w:sz="6" w:space="0"/>
            </w:tcBorders>
            <w:vAlign w:val="top"/>
          </w:tcPr>
          <w:p w14:paraId="114252EC">
            <w:pPr>
              <w:rPr>
                <w:rFonts w:ascii="Arial"/>
                <w:sz w:val="21"/>
              </w:rPr>
            </w:pPr>
          </w:p>
        </w:tc>
      </w:tr>
      <w:tr w14:paraId="19D7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6E1AF8DB">
            <w:pPr>
              <w:rPr>
                <w:rFonts w:ascii="Arial"/>
                <w:sz w:val="21"/>
              </w:rPr>
            </w:pPr>
          </w:p>
        </w:tc>
        <w:tc>
          <w:tcPr>
            <w:tcW w:w="3152" w:type="dxa"/>
            <w:vAlign w:val="top"/>
          </w:tcPr>
          <w:p w14:paraId="0E1A3648">
            <w:pPr>
              <w:rPr>
                <w:rFonts w:ascii="Arial"/>
                <w:sz w:val="21"/>
              </w:rPr>
            </w:pPr>
          </w:p>
        </w:tc>
        <w:tc>
          <w:tcPr>
            <w:tcW w:w="839" w:type="dxa"/>
            <w:vAlign w:val="top"/>
          </w:tcPr>
          <w:p w14:paraId="538C3108">
            <w:pPr>
              <w:rPr>
                <w:rFonts w:ascii="Arial"/>
                <w:sz w:val="21"/>
              </w:rPr>
            </w:pPr>
          </w:p>
        </w:tc>
        <w:tc>
          <w:tcPr>
            <w:tcW w:w="872" w:type="dxa"/>
            <w:vAlign w:val="top"/>
          </w:tcPr>
          <w:p w14:paraId="01BA50B9">
            <w:pPr>
              <w:rPr>
                <w:rFonts w:ascii="Arial"/>
                <w:sz w:val="21"/>
              </w:rPr>
            </w:pPr>
          </w:p>
        </w:tc>
        <w:tc>
          <w:tcPr>
            <w:tcW w:w="1061" w:type="dxa"/>
            <w:vAlign w:val="top"/>
          </w:tcPr>
          <w:p w14:paraId="79D685BC">
            <w:pPr>
              <w:rPr>
                <w:rFonts w:ascii="Arial"/>
                <w:sz w:val="21"/>
              </w:rPr>
            </w:pPr>
          </w:p>
        </w:tc>
        <w:tc>
          <w:tcPr>
            <w:tcW w:w="966" w:type="dxa"/>
            <w:vAlign w:val="top"/>
          </w:tcPr>
          <w:p w14:paraId="4A12A962">
            <w:pPr>
              <w:rPr>
                <w:rFonts w:ascii="Arial"/>
                <w:sz w:val="21"/>
              </w:rPr>
            </w:pPr>
          </w:p>
        </w:tc>
        <w:tc>
          <w:tcPr>
            <w:tcW w:w="1136" w:type="dxa"/>
            <w:tcBorders>
              <w:right w:val="single" w:color="000000" w:sz="6" w:space="0"/>
            </w:tcBorders>
            <w:vAlign w:val="top"/>
          </w:tcPr>
          <w:p w14:paraId="5E572FB6">
            <w:pPr>
              <w:rPr>
                <w:rFonts w:ascii="Arial"/>
                <w:sz w:val="21"/>
              </w:rPr>
            </w:pPr>
          </w:p>
        </w:tc>
      </w:tr>
      <w:tr w14:paraId="6DE6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2B202DA6">
            <w:pPr>
              <w:rPr>
                <w:rFonts w:ascii="Arial"/>
                <w:sz w:val="21"/>
              </w:rPr>
            </w:pPr>
          </w:p>
        </w:tc>
        <w:tc>
          <w:tcPr>
            <w:tcW w:w="3152" w:type="dxa"/>
            <w:vAlign w:val="top"/>
          </w:tcPr>
          <w:p w14:paraId="1F6B941B">
            <w:pPr>
              <w:rPr>
                <w:rFonts w:ascii="Arial"/>
                <w:sz w:val="21"/>
              </w:rPr>
            </w:pPr>
          </w:p>
        </w:tc>
        <w:tc>
          <w:tcPr>
            <w:tcW w:w="839" w:type="dxa"/>
            <w:vAlign w:val="top"/>
          </w:tcPr>
          <w:p w14:paraId="07D0638B">
            <w:pPr>
              <w:rPr>
                <w:rFonts w:ascii="Arial"/>
                <w:sz w:val="21"/>
              </w:rPr>
            </w:pPr>
          </w:p>
        </w:tc>
        <w:tc>
          <w:tcPr>
            <w:tcW w:w="872" w:type="dxa"/>
            <w:vAlign w:val="top"/>
          </w:tcPr>
          <w:p w14:paraId="2D56A3DE">
            <w:pPr>
              <w:rPr>
                <w:rFonts w:ascii="Arial"/>
                <w:sz w:val="21"/>
              </w:rPr>
            </w:pPr>
          </w:p>
        </w:tc>
        <w:tc>
          <w:tcPr>
            <w:tcW w:w="1061" w:type="dxa"/>
            <w:vAlign w:val="top"/>
          </w:tcPr>
          <w:p w14:paraId="48A97B16">
            <w:pPr>
              <w:rPr>
                <w:rFonts w:ascii="Arial"/>
                <w:sz w:val="21"/>
              </w:rPr>
            </w:pPr>
          </w:p>
        </w:tc>
        <w:tc>
          <w:tcPr>
            <w:tcW w:w="966" w:type="dxa"/>
            <w:vAlign w:val="top"/>
          </w:tcPr>
          <w:p w14:paraId="516E4B07">
            <w:pPr>
              <w:rPr>
                <w:rFonts w:ascii="Arial"/>
                <w:sz w:val="21"/>
              </w:rPr>
            </w:pPr>
          </w:p>
        </w:tc>
        <w:tc>
          <w:tcPr>
            <w:tcW w:w="1136" w:type="dxa"/>
            <w:tcBorders>
              <w:right w:val="single" w:color="000000" w:sz="6" w:space="0"/>
            </w:tcBorders>
            <w:vAlign w:val="top"/>
          </w:tcPr>
          <w:p w14:paraId="0AC8CC51">
            <w:pPr>
              <w:rPr>
                <w:rFonts w:ascii="Arial"/>
                <w:sz w:val="21"/>
              </w:rPr>
            </w:pPr>
          </w:p>
        </w:tc>
      </w:tr>
      <w:tr w14:paraId="0962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55DEAD20">
            <w:pPr>
              <w:rPr>
                <w:rFonts w:ascii="Arial"/>
                <w:sz w:val="21"/>
              </w:rPr>
            </w:pPr>
          </w:p>
        </w:tc>
        <w:tc>
          <w:tcPr>
            <w:tcW w:w="3152" w:type="dxa"/>
            <w:vAlign w:val="top"/>
          </w:tcPr>
          <w:p w14:paraId="27E12EEA">
            <w:pPr>
              <w:rPr>
                <w:rFonts w:ascii="Arial"/>
                <w:sz w:val="21"/>
              </w:rPr>
            </w:pPr>
          </w:p>
        </w:tc>
        <w:tc>
          <w:tcPr>
            <w:tcW w:w="839" w:type="dxa"/>
            <w:vAlign w:val="top"/>
          </w:tcPr>
          <w:p w14:paraId="5AC35793">
            <w:pPr>
              <w:rPr>
                <w:rFonts w:ascii="Arial"/>
                <w:sz w:val="21"/>
              </w:rPr>
            </w:pPr>
          </w:p>
        </w:tc>
        <w:tc>
          <w:tcPr>
            <w:tcW w:w="872" w:type="dxa"/>
            <w:vAlign w:val="top"/>
          </w:tcPr>
          <w:p w14:paraId="220D265C">
            <w:pPr>
              <w:rPr>
                <w:rFonts w:ascii="Arial"/>
                <w:sz w:val="21"/>
              </w:rPr>
            </w:pPr>
          </w:p>
        </w:tc>
        <w:tc>
          <w:tcPr>
            <w:tcW w:w="1061" w:type="dxa"/>
            <w:vAlign w:val="top"/>
          </w:tcPr>
          <w:p w14:paraId="1F6362F1">
            <w:pPr>
              <w:rPr>
                <w:rFonts w:ascii="Arial"/>
                <w:sz w:val="21"/>
              </w:rPr>
            </w:pPr>
          </w:p>
        </w:tc>
        <w:tc>
          <w:tcPr>
            <w:tcW w:w="966" w:type="dxa"/>
            <w:vAlign w:val="top"/>
          </w:tcPr>
          <w:p w14:paraId="3BE5530E">
            <w:pPr>
              <w:rPr>
                <w:rFonts w:ascii="Arial"/>
                <w:sz w:val="21"/>
              </w:rPr>
            </w:pPr>
          </w:p>
        </w:tc>
        <w:tc>
          <w:tcPr>
            <w:tcW w:w="1136" w:type="dxa"/>
            <w:tcBorders>
              <w:right w:val="single" w:color="000000" w:sz="6" w:space="0"/>
            </w:tcBorders>
            <w:vAlign w:val="top"/>
          </w:tcPr>
          <w:p w14:paraId="4A1F44A4">
            <w:pPr>
              <w:rPr>
                <w:rFonts w:ascii="Arial"/>
                <w:sz w:val="21"/>
              </w:rPr>
            </w:pPr>
          </w:p>
        </w:tc>
      </w:tr>
      <w:tr w14:paraId="12D21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43D62EBC">
            <w:pPr>
              <w:rPr>
                <w:rFonts w:ascii="Arial"/>
                <w:sz w:val="21"/>
              </w:rPr>
            </w:pPr>
          </w:p>
        </w:tc>
        <w:tc>
          <w:tcPr>
            <w:tcW w:w="3152" w:type="dxa"/>
            <w:vAlign w:val="top"/>
          </w:tcPr>
          <w:p w14:paraId="45E09659">
            <w:pPr>
              <w:rPr>
                <w:rFonts w:ascii="Arial"/>
                <w:sz w:val="21"/>
              </w:rPr>
            </w:pPr>
          </w:p>
        </w:tc>
        <w:tc>
          <w:tcPr>
            <w:tcW w:w="839" w:type="dxa"/>
            <w:vAlign w:val="top"/>
          </w:tcPr>
          <w:p w14:paraId="52924DAB">
            <w:pPr>
              <w:rPr>
                <w:rFonts w:ascii="Arial"/>
                <w:sz w:val="21"/>
              </w:rPr>
            </w:pPr>
          </w:p>
        </w:tc>
        <w:tc>
          <w:tcPr>
            <w:tcW w:w="872" w:type="dxa"/>
            <w:vAlign w:val="top"/>
          </w:tcPr>
          <w:p w14:paraId="11AE2643">
            <w:pPr>
              <w:rPr>
                <w:rFonts w:ascii="Arial"/>
                <w:sz w:val="21"/>
              </w:rPr>
            </w:pPr>
          </w:p>
        </w:tc>
        <w:tc>
          <w:tcPr>
            <w:tcW w:w="1061" w:type="dxa"/>
            <w:vAlign w:val="top"/>
          </w:tcPr>
          <w:p w14:paraId="653FA4BC">
            <w:pPr>
              <w:rPr>
                <w:rFonts w:ascii="Arial"/>
                <w:sz w:val="21"/>
              </w:rPr>
            </w:pPr>
          </w:p>
        </w:tc>
        <w:tc>
          <w:tcPr>
            <w:tcW w:w="966" w:type="dxa"/>
            <w:vAlign w:val="top"/>
          </w:tcPr>
          <w:p w14:paraId="27EF9D63">
            <w:pPr>
              <w:rPr>
                <w:rFonts w:ascii="Arial"/>
                <w:sz w:val="21"/>
              </w:rPr>
            </w:pPr>
          </w:p>
        </w:tc>
        <w:tc>
          <w:tcPr>
            <w:tcW w:w="1136" w:type="dxa"/>
            <w:tcBorders>
              <w:right w:val="single" w:color="000000" w:sz="6" w:space="0"/>
            </w:tcBorders>
            <w:vAlign w:val="top"/>
          </w:tcPr>
          <w:p w14:paraId="3A4213CC">
            <w:pPr>
              <w:rPr>
                <w:rFonts w:ascii="Arial"/>
                <w:sz w:val="21"/>
              </w:rPr>
            </w:pPr>
          </w:p>
        </w:tc>
      </w:tr>
      <w:tr w14:paraId="43770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603623C8">
            <w:pPr>
              <w:rPr>
                <w:rFonts w:ascii="Arial"/>
                <w:sz w:val="21"/>
              </w:rPr>
            </w:pPr>
          </w:p>
        </w:tc>
        <w:tc>
          <w:tcPr>
            <w:tcW w:w="3152" w:type="dxa"/>
            <w:vAlign w:val="top"/>
          </w:tcPr>
          <w:p w14:paraId="4D860894">
            <w:pPr>
              <w:rPr>
                <w:rFonts w:ascii="Arial"/>
                <w:sz w:val="21"/>
              </w:rPr>
            </w:pPr>
          </w:p>
        </w:tc>
        <w:tc>
          <w:tcPr>
            <w:tcW w:w="839" w:type="dxa"/>
            <w:vAlign w:val="top"/>
          </w:tcPr>
          <w:p w14:paraId="5BE31BE7">
            <w:pPr>
              <w:rPr>
                <w:rFonts w:ascii="Arial"/>
                <w:sz w:val="21"/>
              </w:rPr>
            </w:pPr>
          </w:p>
        </w:tc>
        <w:tc>
          <w:tcPr>
            <w:tcW w:w="872" w:type="dxa"/>
            <w:vAlign w:val="top"/>
          </w:tcPr>
          <w:p w14:paraId="6C54CD47">
            <w:pPr>
              <w:rPr>
                <w:rFonts w:ascii="Arial"/>
                <w:sz w:val="21"/>
              </w:rPr>
            </w:pPr>
          </w:p>
        </w:tc>
        <w:tc>
          <w:tcPr>
            <w:tcW w:w="1061" w:type="dxa"/>
            <w:vAlign w:val="top"/>
          </w:tcPr>
          <w:p w14:paraId="70C8CB73">
            <w:pPr>
              <w:rPr>
                <w:rFonts w:ascii="Arial"/>
                <w:sz w:val="21"/>
              </w:rPr>
            </w:pPr>
          </w:p>
        </w:tc>
        <w:tc>
          <w:tcPr>
            <w:tcW w:w="966" w:type="dxa"/>
            <w:vAlign w:val="top"/>
          </w:tcPr>
          <w:p w14:paraId="7F003020">
            <w:pPr>
              <w:rPr>
                <w:rFonts w:ascii="Arial"/>
                <w:sz w:val="21"/>
              </w:rPr>
            </w:pPr>
          </w:p>
        </w:tc>
        <w:tc>
          <w:tcPr>
            <w:tcW w:w="1136" w:type="dxa"/>
            <w:tcBorders>
              <w:right w:val="single" w:color="000000" w:sz="6" w:space="0"/>
            </w:tcBorders>
            <w:vAlign w:val="top"/>
          </w:tcPr>
          <w:p w14:paraId="7B61E294">
            <w:pPr>
              <w:rPr>
                <w:rFonts w:ascii="Arial"/>
                <w:sz w:val="21"/>
              </w:rPr>
            </w:pPr>
          </w:p>
        </w:tc>
      </w:tr>
      <w:tr w14:paraId="4C4E5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734E046D">
            <w:pPr>
              <w:rPr>
                <w:rFonts w:ascii="Arial"/>
                <w:sz w:val="21"/>
              </w:rPr>
            </w:pPr>
          </w:p>
        </w:tc>
        <w:tc>
          <w:tcPr>
            <w:tcW w:w="3152" w:type="dxa"/>
            <w:vAlign w:val="top"/>
          </w:tcPr>
          <w:p w14:paraId="39D237C1">
            <w:pPr>
              <w:rPr>
                <w:rFonts w:ascii="Arial"/>
                <w:sz w:val="21"/>
              </w:rPr>
            </w:pPr>
          </w:p>
        </w:tc>
        <w:tc>
          <w:tcPr>
            <w:tcW w:w="839" w:type="dxa"/>
            <w:vAlign w:val="top"/>
          </w:tcPr>
          <w:p w14:paraId="65A62DD2">
            <w:pPr>
              <w:rPr>
                <w:rFonts w:ascii="Arial"/>
                <w:sz w:val="21"/>
              </w:rPr>
            </w:pPr>
          </w:p>
        </w:tc>
        <w:tc>
          <w:tcPr>
            <w:tcW w:w="872" w:type="dxa"/>
            <w:vAlign w:val="top"/>
          </w:tcPr>
          <w:p w14:paraId="7E353465">
            <w:pPr>
              <w:rPr>
                <w:rFonts w:ascii="Arial"/>
                <w:sz w:val="21"/>
              </w:rPr>
            </w:pPr>
          </w:p>
        </w:tc>
        <w:tc>
          <w:tcPr>
            <w:tcW w:w="1061" w:type="dxa"/>
            <w:vAlign w:val="top"/>
          </w:tcPr>
          <w:p w14:paraId="69962802">
            <w:pPr>
              <w:rPr>
                <w:rFonts w:ascii="Arial"/>
                <w:sz w:val="21"/>
              </w:rPr>
            </w:pPr>
          </w:p>
        </w:tc>
        <w:tc>
          <w:tcPr>
            <w:tcW w:w="966" w:type="dxa"/>
            <w:vAlign w:val="top"/>
          </w:tcPr>
          <w:p w14:paraId="45289BDA">
            <w:pPr>
              <w:rPr>
                <w:rFonts w:ascii="Arial"/>
                <w:sz w:val="21"/>
              </w:rPr>
            </w:pPr>
          </w:p>
        </w:tc>
        <w:tc>
          <w:tcPr>
            <w:tcW w:w="1136" w:type="dxa"/>
            <w:tcBorders>
              <w:right w:val="single" w:color="000000" w:sz="6" w:space="0"/>
            </w:tcBorders>
            <w:vAlign w:val="top"/>
          </w:tcPr>
          <w:p w14:paraId="14E9D59B">
            <w:pPr>
              <w:rPr>
                <w:rFonts w:ascii="Arial"/>
                <w:sz w:val="21"/>
              </w:rPr>
            </w:pPr>
          </w:p>
        </w:tc>
      </w:tr>
      <w:tr w14:paraId="1EADC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45CC15B9">
            <w:pPr>
              <w:rPr>
                <w:rFonts w:ascii="Arial"/>
                <w:sz w:val="21"/>
              </w:rPr>
            </w:pPr>
          </w:p>
        </w:tc>
        <w:tc>
          <w:tcPr>
            <w:tcW w:w="3152" w:type="dxa"/>
            <w:vAlign w:val="top"/>
          </w:tcPr>
          <w:p w14:paraId="455F397C">
            <w:pPr>
              <w:rPr>
                <w:rFonts w:ascii="Arial"/>
                <w:sz w:val="21"/>
              </w:rPr>
            </w:pPr>
          </w:p>
        </w:tc>
        <w:tc>
          <w:tcPr>
            <w:tcW w:w="839" w:type="dxa"/>
            <w:vAlign w:val="top"/>
          </w:tcPr>
          <w:p w14:paraId="58C435A9">
            <w:pPr>
              <w:rPr>
                <w:rFonts w:ascii="Arial"/>
                <w:sz w:val="21"/>
              </w:rPr>
            </w:pPr>
          </w:p>
        </w:tc>
        <w:tc>
          <w:tcPr>
            <w:tcW w:w="872" w:type="dxa"/>
            <w:vAlign w:val="top"/>
          </w:tcPr>
          <w:p w14:paraId="6788004C">
            <w:pPr>
              <w:rPr>
                <w:rFonts w:ascii="Arial"/>
                <w:sz w:val="21"/>
              </w:rPr>
            </w:pPr>
          </w:p>
        </w:tc>
        <w:tc>
          <w:tcPr>
            <w:tcW w:w="1061" w:type="dxa"/>
            <w:vAlign w:val="top"/>
          </w:tcPr>
          <w:p w14:paraId="1ECA5D0D">
            <w:pPr>
              <w:rPr>
                <w:rFonts w:ascii="Arial"/>
                <w:sz w:val="21"/>
              </w:rPr>
            </w:pPr>
          </w:p>
        </w:tc>
        <w:tc>
          <w:tcPr>
            <w:tcW w:w="966" w:type="dxa"/>
            <w:vAlign w:val="top"/>
          </w:tcPr>
          <w:p w14:paraId="70601D22">
            <w:pPr>
              <w:rPr>
                <w:rFonts w:ascii="Arial"/>
                <w:sz w:val="21"/>
              </w:rPr>
            </w:pPr>
          </w:p>
        </w:tc>
        <w:tc>
          <w:tcPr>
            <w:tcW w:w="1136" w:type="dxa"/>
            <w:tcBorders>
              <w:right w:val="single" w:color="000000" w:sz="6" w:space="0"/>
            </w:tcBorders>
            <w:vAlign w:val="top"/>
          </w:tcPr>
          <w:p w14:paraId="7F0BAA18">
            <w:pPr>
              <w:rPr>
                <w:rFonts w:ascii="Arial"/>
                <w:sz w:val="21"/>
              </w:rPr>
            </w:pPr>
          </w:p>
        </w:tc>
      </w:tr>
      <w:tr w14:paraId="5EA9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0F1B9BF4">
            <w:pPr>
              <w:rPr>
                <w:rFonts w:ascii="Arial"/>
                <w:sz w:val="21"/>
              </w:rPr>
            </w:pPr>
          </w:p>
        </w:tc>
        <w:tc>
          <w:tcPr>
            <w:tcW w:w="3152" w:type="dxa"/>
            <w:vAlign w:val="top"/>
          </w:tcPr>
          <w:p w14:paraId="61854F19">
            <w:pPr>
              <w:rPr>
                <w:rFonts w:ascii="Arial"/>
                <w:sz w:val="21"/>
              </w:rPr>
            </w:pPr>
          </w:p>
        </w:tc>
        <w:tc>
          <w:tcPr>
            <w:tcW w:w="839" w:type="dxa"/>
            <w:vAlign w:val="top"/>
          </w:tcPr>
          <w:p w14:paraId="2F21B952">
            <w:pPr>
              <w:rPr>
                <w:rFonts w:ascii="Arial"/>
                <w:sz w:val="21"/>
              </w:rPr>
            </w:pPr>
          </w:p>
        </w:tc>
        <w:tc>
          <w:tcPr>
            <w:tcW w:w="872" w:type="dxa"/>
            <w:vAlign w:val="top"/>
          </w:tcPr>
          <w:p w14:paraId="398AC550">
            <w:pPr>
              <w:rPr>
                <w:rFonts w:ascii="Arial"/>
                <w:sz w:val="21"/>
              </w:rPr>
            </w:pPr>
          </w:p>
        </w:tc>
        <w:tc>
          <w:tcPr>
            <w:tcW w:w="1061" w:type="dxa"/>
            <w:vAlign w:val="top"/>
          </w:tcPr>
          <w:p w14:paraId="288CCF98">
            <w:pPr>
              <w:rPr>
                <w:rFonts w:ascii="Arial"/>
                <w:sz w:val="21"/>
              </w:rPr>
            </w:pPr>
          </w:p>
        </w:tc>
        <w:tc>
          <w:tcPr>
            <w:tcW w:w="966" w:type="dxa"/>
            <w:vAlign w:val="top"/>
          </w:tcPr>
          <w:p w14:paraId="1133FCF6">
            <w:pPr>
              <w:rPr>
                <w:rFonts w:ascii="Arial"/>
                <w:sz w:val="21"/>
              </w:rPr>
            </w:pPr>
          </w:p>
        </w:tc>
        <w:tc>
          <w:tcPr>
            <w:tcW w:w="1136" w:type="dxa"/>
            <w:tcBorders>
              <w:right w:val="single" w:color="000000" w:sz="6" w:space="0"/>
            </w:tcBorders>
            <w:vAlign w:val="top"/>
          </w:tcPr>
          <w:p w14:paraId="6F06AEB9">
            <w:pPr>
              <w:rPr>
                <w:rFonts w:ascii="Arial"/>
                <w:sz w:val="21"/>
              </w:rPr>
            </w:pPr>
          </w:p>
        </w:tc>
      </w:tr>
      <w:tr w14:paraId="1DF49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4083FC2F">
            <w:pPr>
              <w:rPr>
                <w:rFonts w:ascii="Arial"/>
                <w:sz w:val="21"/>
              </w:rPr>
            </w:pPr>
          </w:p>
        </w:tc>
        <w:tc>
          <w:tcPr>
            <w:tcW w:w="3152" w:type="dxa"/>
            <w:vAlign w:val="top"/>
          </w:tcPr>
          <w:p w14:paraId="40C24453">
            <w:pPr>
              <w:rPr>
                <w:rFonts w:ascii="Arial"/>
                <w:sz w:val="21"/>
              </w:rPr>
            </w:pPr>
          </w:p>
        </w:tc>
        <w:tc>
          <w:tcPr>
            <w:tcW w:w="839" w:type="dxa"/>
            <w:vAlign w:val="top"/>
          </w:tcPr>
          <w:p w14:paraId="32F402EC">
            <w:pPr>
              <w:rPr>
                <w:rFonts w:ascii="Arial"/>
                <w:sz w:val="21"/>
              </w:rPr>
            </w:pPr>
          </w:p>
        </w:tc>
        <w:tc>
          <w:tcPr>
            <w:tcW w:w="872" w:type="dxa"/>
            <w:vAlign w:val="top"/>
          </w:tcPr>
          <w:p w14:paraId="39004947">
            <w:pPr>
              <w:rPr>
                <w:rFonts w:ascii="Arial"/>
                <w:sz w:val="21"/>
              </w:rPr>
            </w:pPr>
          </w:p>
        </w:tc>
        <w:tc>
          <w:tcPr>
            <w:tcW w:w="1061" w:type="dxa"/>
            <w:vAlign w:val="top"/>
          </w:tcPr>
          <w:p w14:paraId="0652E3E1">
            <w:pPr>
              <w:rPr>
                <w:rFonts w:ascii="Arial"/>
                <w:sz w:val="21"/>
              </w:rPr>
            </w:pPr>
          </w:p>
        </w:tc>
        <w:tc>
          <w:tcPr>
            <w:tcW w:w="966" w:type="dxa"/>
            <w:vAlign w:val="top"/>
          </w:tcPr>
          <w:p w14:paraId="3A2E8263">
            <w:pPr>
              <w:rPr>
                <w:rFonts w:ascii="Arial"/>
                <w:sz w:val="21"/>
              </w:rPr>
            </w:pPr>
          </w:p>
        </w:tc>
        <w:tc>
          <w:tcPr>
            <w:tcW w:w="1136" w:type="dxa"/>
            <w:tcBorders>
              <w:right w:val="single" w:color="000000" w:sz="6" w:space="0"/>
            </w:tcBorders>
            <w:vAlign w:val="top"/>
          </w:tcPr>
          <w:p w14:paraId="7FF8E0DB">
            <w:pPr>
              <w:rPr>
                <w:rFonts w:ascii="Arial"/>
                <w:sz w:val="21"/>
              </w:rPr>
            </w:pPr>
          </w:p>
        </w:tc>
      </w:tr>
      <w:tr w14:paraId="08D08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08C864D6">
            <w:pPr>
              <w:rPr>
                <w:rFonts w:ascii="Arial"/>
                <w:sz w:val="21"/>
              </w:rPr>
            </w:pPr>
          </w:p>
        </w:tc>
        <w:tc>
          <w:tcPr>
            <w:tcW w:w="3152" w:type="dxa"/>
            <w:vAlign w:val="top"/>
          </w:tcPr>
          <w:p w14:paraId="3827DD70">
            <w:pPr>
              <w:rPr>
                <w:rFonts w:ascii="Arial"/>
                <w:sz w:val="21"/>
              </w:rPr>
            </w:pPr>
          </w:p>
        </w:tc>
        <w:tc>
          <w:tcPr>
            <w:tcW w:w="839" w:type="dxa"/>
            <w:vAlign w:val="top"/>
          </w:tcPr>
          <w:p w14:paraId="17D3E98A">
            <w:pPr>
              <w:rPr>
                <w:rFonts w:ascii="Arial"/>
                <w:sz w:val="21"/>
              </w:rPr>
            </w:pPr>
          </w:p>
        </w:tc>
        <w:tc>
          <w:tcPr>
            <w:tcW w:w="872" w:type="dxa"/>
            <w:vAlign w:val="top"/>
          </w:tcPr>
          <w:p w14:paraId="10247759">
            <w:pPr>
              <w:rPr>
                <w:rFonts w:ascii="Arial"/>
                <w:sz w:val="21"/>
              </w:rPr>
            </w:pPr>
          </w:p>
        </w:tc>
        <w:tc>
          <w:tcPr>
            <w:tcW w:w="1061" w:type="dxa"/>
            <w:vAlign w:val="top"/>
          </w:tcPr>
          <w:p w14:paraId="0F6D8BFE">
            <w:pPr>
              <w:rPr>
                <w:rFonts w:ascii="Arial"/>
                <w:sz w:val="21"/>
              </w:rPr>
            </w:pPr>
          </w:p>
        </w:tc>
        <w:tc>
          <w:tcPr>
            <w:tcW w:w="966" w:type="dxa"/>
            <w:vAlign w:val="top"/>
          </w:tcPr>
          <w:p w14:paraId="018B360B">
            <w:pPr>
              <w:rPr>
                <w:rFonts w:ascii="Arial"/>
                <w:sz w:val="21"/>
              </w:rPr>
            </w:pPr>
          </w:p>
        </w:tc>
        <w:tc>
          <w:tcPr>
            <w:tcW w:w="1136" w:type="dxa"/>
            <w:tcBorders>
              <w:right w:val="single" w:color="000000" w:sz="6" w:space="0"/>
            </w:tcBorders>
            <w:vAlign w:val="top"/>
          </w:tcPr>
          <w:p w14:paraId="130865F2">
            <w:pPr>
              <w:rPr>
                <w:rFonts w:ascii="Arial"/>
                <w:sz w:val="21"/>
              </w:rPr>
            </w:pPr>
          </w:p>
        </w:tc>
      </w:tr>
      <w:tr w14:paraId="76C4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37A18242">
            <w:pPr>
              <w:rPr>
                <w:rFonts w:ascii="Arial"/>
                <w:sz w:val="21"/>
              </w:rPr>
            </w:pPr>
          </w:p>
        </w:tc>
        <w:tc>
          <w:tcPr>
            <w:tcW w:w="3152" w:type="dxa"/>
            <w:vAlign w:val="top"/>
          </w:tcPr>
          <w:p w14:paraId="61ED6008">
            <w:pPr>
              <w:rPr>
                <w:rFonts w:ascii="Arial"/>
                <w:sz w:val="21"/>
              </w:rPr>
            </w:pPr>
          </w:p>
        </w:tc>
        <w:tc>
          <w:tcPr>
            <w:tcW w:w="839" w:type="dxa"/>
            <w:vAlign w:val="top"/>
          </w:tcPr>
          <w:p w14:paraId="68104A9F">
            <w:pPr>
              <w:rPr>
                <w:rFonts w:ascii="Arial"/>
                <w:sz w:val="21"/>
              </w:rPr>
            </w:pPr>
          </w:p>
        </w:tc>
        <w:tc>
          <w:tcPr>
            <w:tcW w:w="872" w:type="dxa"/>
            <w:vAlign w:val="top"/>
          </w:tcPr>
          <w:p w14:paraId="74AB6056">
            <w:pPr>
              <w:rPr>
                <w:rFonts w:ascii="Arial"/>
                <w:sz w:val="21"/>
              </w:rPr>
            </w:pPr>
          </w:p>
        </w:tc>
        <w:tc>
          <w:tcPr>
            <w:tcW w:w="1061" w:type="dxa"/>
            <w:vAlign w:val="top"/>
          </w:tcPr>
          <w:p w14:paraId="209EE937">
            <w:pPr>
              <w:rPr>
                <w:rFonts w:ascii="Arial"/>
                <w:sz w:val="21"/>
              </w:rPr>
            </w:pPr>
          </w:p>
        </w:tc>
        <w:tc>
          <w:tcPr>
            <w:tcW w:w="966" w:type="dxa"/>
            <w:vAlign w:val="top"/>
          </w:tcPr>
          <w:p w14:paraId="28E479E6">
            <w:pPr>
              <w:rPr>
                <w:rFonts w:ascii="Arial"/>
                <w:sz w:val="21"/>
              </w:rPr>
            </w:pPr>
          </w:p>
        </w:tc>
        <w:tc>
          <w:tcPr>
            <w:tcW w:w="1136" w:type="dxa"/>
            <w:tcBorders>
              <w:right w:val="single" w:color="000000" w:sz="6" w:space="0"/>
            </w:tcBorders>
            <w:vAlign w:val="top"/>
          </w:tcPr>
          <w:p w14:paraId="3DAED3BD">
            <w:pPr>
              <w:rPr>
                <w:rFonts w:ascii="Arial"/>
                <w:sz w:val="21"/>
              </w:rPr>
            </w:pPr>
          </w:p>
        </w:tc>
      </w:tr>
      <w:tr w14:paraId="37FB6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4E75C939">
            <w:pPr>
              <w:rPr>
                <w:rFonts w:ascii="Arial"/>
                <w:sz w:val="21"/>
              </w:rPr>
            </w:pPr>
          </w:p>
        </w:tc>
        <w:tc>
          <w:tcPr>
            <w:tcW w:w="3152" w:type="dxa"/>
            <w:vAlign w:val="top"/>
          </w:tcPr>
          <w:p w14:paraId="16046999">
            <w:pPr>
              <w:rPr>
                <w:rFonts w:ascii="Arial"/>
                <w:sz w:val="21"/>
              </w:rPr>
            </w:pPr>
          </w:p>
        </w:tc>
        <w:tc>
          <w:tcPr>
            <w:tcW w:w="839" w:type="dxa"/>
            <w:vAlign w:val="top"/>
          </w:tcPr>
          <w:p w14:paraId="52BA7447">
            <w:pPr>
              <w:rPr>
                <w:rFonts w:ascii="Arial"/>
                <w:sz w:val="21"/>
              </w:rPr>
            </w:pPr>
          </w:p>
        </w:tc>
        <w:tc>
          <w:tcPr>
            <w:tcW w:w="872" w:type="dxa"/>
            <w:vAlign w:val="top"/>
          </w:tcPr>
          <w:p w14:paraId="6AC0A4AC">
            <w:pPr>
              <w:rPr>
                <w:rFonts w:ascii="Arial"/>
                <w:sz w:val="21"/>
              </w:rPr>
            </w:pPr>
          </w:p>
        </w:tc>
        <w:tc>
          <w:tcPr>
            <w:tcW w:w="1061" w:type="dxa"/>
            <w:vAlign w:val="top"/>
          </w:tcPr>
          <w:p w14:paraId="4317D049">
            <w:pPr>
              <w:rPr>
                <w:rFonts w:ascii="Arial"/>
                <w:sz w:val="21"/>
              </w:rPr>
            </w:pPr>
          </w:p>
        </w:tc>
        <w:tc>
          <w:tcPr>
            <w:tcW w:w="966" w:type="dxa"/>
            <w:vAlign w:val="top"/>
          </w:tcPr>
          <w:p w14:paraId="752FB4E7">
            <w:pPr>
              <w:rPr>
                <w:rFonts w:ascii="Arial"/>
                <w:sz w:val="21"/>
              </w:rPr>
            </w:pPr>
          </w:p>
        </w:tc>
        <w:tc>
          <w:tcPr>
            <w:tcW w:w="1136" w:type="dxa"/>
            <w:tcBorders>
              <w:right w:val="single" w:color="000000" w:sz="6" w:space="0"/>
            </w:tcBorders>
            <w:vAlign w:val="top"/>
          </w:tcPr>
          <w:p w14:paraId="1B11D597">
            <w:pPr>
              <w:rPr>
                <w:rFonts w:ascii="Arial"/>
                <w:sz w:val="21"/>
              </w:rPr>
            </w:pPr>
          </w:p>
        </w:tc>
      </w:tr>
      <w:tr w14:paraId="6B9B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7FB03204">
            <w:pPr>
              <w:rPr>
                <w:rFonts w:ascii="Arial"/>
                <w:sz w:val="21"/>
              </w:rPr>
            </w:pPr>
          </w:p>
        </w:tc>
        <w:tc>
          <w:tcPr>
            <w:tcW w:w="3152" w:type="dxa"/>
            <w:vAlign w:val="top"/>
          </w:tcPr>
          <w:p w14:paraId="078AFF7B">
            <w:pPr>
              <w:rPr>
                <w:rFonts w:ascii="Arial"/>
                <w:sz w:val="21"/>
              </w:rPr>
            </w:pPr>
          </w:p>
        </w:tc>
        <w:tc>
          <w:tcPr>
            <w:tcW w:w="839" w:type="dxa"/>
            <w:vAlign w:val="top"/>
          </w:tcPr>
          <w:p w14:paraId="5B7ED5C7">
            <w:pPr>
              <w:rPr>
                <w:rFonts w:ascii="Arial"/>
                <w:sz w:val="21"/>
              </w:rPr>
            </w:pPr>
          </w:p>
        </w:tc>
        <w:tc>
          <w:tcPr>
            <w:tcW w:w="872" w:type="dxa"/>
            <w:vAlign w:val="top"/>
          </w:tcPr>
          <w:p w14:paraId="383A5736">
            <w:pPr>
              <w:rPr>
                <w:rFonts w:ascii="Arial"/>
                <w:sz w:val="21"/>
              </w:rPr>
            </w:pPr>
          </w:p>
        </w:tc>
        <w:tc>
          <w:tcPr>
            <w:tcW w:w="1061" w:type="dxa"/>
            <w:vAlign w:val="top"/>
          </w:tcPr>
          <w:p w14:paraId="382390E0">
            <w:pPr>
              <w:rPr>
                <w:rFonts w:ascii="Arial"/>
                <w:sz w:val="21"/>
              </w:rPr>
            </w:pPr>
          </w:p>
        </w:tc>
        <w:tc>
          <w:tcPr>
            <w:tcW w:w="966" w:type="dxa"/>
            <w:vAlign w:val="top"/>
          </w:tcPr>
          <w:p w14:paraId="45FA4FA6">
            <w:pPr>
              <w:rPr>
                <w:rFonts w:ascii="Arial"/>
                <w:sz w:val="21"/>
              </w:rPr>
            </w:pPr>
          </w:p>
        </w:tc>
        <w:tc>
          <w:tcPr>
            <w:tcW w:w="1136" w:type="dxa"/>
            <w:tcBorders>
              <w:right w:val="single" w:color="000000" w:sz="6" w:space="0"/>
            </w:tcBorders>
            <w:vAlign w:val="top"/>
          </w:tcPr>
          <w:p w14:paraId="692F1850">
            <w:pPr>
              <w:rPr>
                <w:rFonts w:ascii="Arial"/>
                <w:sz w:val="21"/>
              </w:rPr>
            </w:pPr>
          </w:p>
        </w:tc>
      </w:tr>
      <w:tr w14:paraId="1937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6850740A">
            <w:pPr>
              <w:rPr>
                <w:rFonts w:ascii="Arial"/>
                <w:sz w:val="21"/>
              </w:rPr>
            </w:pPr>
          </w:p>
        </w:tc>
        <w:tc>
          <w:tcPr>
            <w:tcW w:w="3152" w:type="dxa"/>
            <w:vAlign w:val="top"/>
          </w:tcPr>
          <w:p w14:paraId="661EAB43">
            <w:pPr>
              <w:rPr>
                <w:rFonts w:ascii="Arial"/>
                <w:sz w:val="21"/>
              </w:rPr>
            </w:pPr>
          </w:p>
        </w:tc>
        <w:tc>
          <w:tcPr>
            <w:tcW w:w="839" w:type="dxa"/>
            <w:vAlign w:val="top"/>
          </w:tcPr>
          <w:p w14:paraId="241F0BCE">
            <w:pPr>
              <w:rPr>
                <w:rFonts w:ascii="Arial"/>
                <w:sz w:val="21"/>
              </w:rPr>
            </w:pPr>
          </w:p>
        </w:tc>
        <w:tc>
          <w:tcPr>
            <w:tcW w:w="872" w:type="dxa"/>
            <w:vAlign w:val="top"/>
          </w:tcPr>
          <w:p w14:paraId="6AF94992">
            <w:pPr>
              <w:rPr>
                <w:rFonts w:ascii="Arial"/>
                <w:sz w:val="21"/>
              </w:rPr>
            </w:pPr>
          </w:p>
        </w:tc>
        <w:tc>
          <w:tcPr>
            <w:tcW w:w="1061" w:type="dxa"/>
            <w:vAlign w:val="top"/>
          </w:tcPr>
          <w:p w14:paraId="56E0BFDC">
            <w:pPr>
              <w:rPr>
                <w:rFonts w:ascii="Arial"/>
                <w:sz w:val="21"/>
              </w:rPr>
            </w:pPr>
          </w:p>
        </w:tc>
        <w:tc>
          <w:tcPr>
            <w:tcW w:w="966" w:type="dxa"/>
            <w:vAlign w:val="top"/>
          </w:tcPr>
          <w:p w14:paraId="0D77E7E4">
            <w:pPr>
              <w:rPr>
                <w:rFonts w:ascii="Arial"/>
                <w:sz w:val="21"/>
              </w:rPr>
            </w:pPr>
          </w:p>
        </w:tc>
        <w:tc>
          <w:tcPr>
            <w:tcW w:w="1136" w:type="dxa"/>
            <w:tcBorders>
              <w:right w:val="single" w:color="000000" w:sz="6" w:space="0"/>
            </w:tcBorders>
            <w:vAlign w:val="top"/>
          </w:tcPr>
          <w:p w14:paraId="187108C2">
            <w:pPr>
              <w:rPr>
                <w:rFonts w:ascii="Arial"/>
                <w:sz w:val="21"/>
              </w:rPr>
            </w:pPr>
          </w:p>
        </w:tc>
      </w:tr>
      <w:tr w14:paraId="5A57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7C6C47B1">
            <w:pPr>
              <w:rPr>
                <w:rFonts w:ascii="Arial"/>
                <w:sz w:val="21"/>
              </w:rPr>
            </w:pPr>
          </w:p>
        </w:tc>
        <w:tc>
          <w:tcPr>
            <w:tcW w:w="3152" w:type="dxa"/>
            <w:vAlign w:val="top"/>
          </w:tcPr>
          <w:p w14:paraId="451BB89C">
            <w:pPr>
              <w:rPr>
                <w:rFonts w:ascii="Arial"/>
                <w:sz w:val="21"/>
              </w:rPr>
            </w:pPr>
          </w:p>
        </w:tc>
        <w:tc>
          <w:tcPr>
            <w:tcW w:w="839" w:type="dxa"/>
            <w:vAlign w:val="top"/>
          </w:tcPr>
          <w:p w14:paraId="1F203338">
            <w:pPr>
              <w:rPr>
                <w:rFonts w:ascii="Arial"/>
                <w:sz w:val="21"/>
              </w:rPr>
            </w:pPr>
          </w:p>
        </w:tc>
        <w:tc>
          <w:tcPr>
            <w:tcW w:w="872" w:type="dxa"/>
            <w:vAlign w:val="top"/>
          </w:tcPr>
          <w:p w14:paraId="7FBB0D83">
            <w:pPr>
              <w:rPr>
                <w:rFonts w:ascii="Arial"/>
                <w:sz w:val="21"/>
              </w:rPr>
            </w:pPr>
          </w:p>
        </w:tc>
        <w:tc>
          <w:tcPr>
            <w:tcW w:w="1061" w:type="dxa"/>
            <w:vAlign w:val="top"/>
          </w:tcPr>
          <w:p w14:paraId="39711954">
            <w:pPr>
              <w:rPr>
                <w:rFonts w:ascii="Arial"/>
                <w:sz w:val="21"/>
              </w:rPr>
            </w:pPr>
          </w:p>
        </w:tc>
        <w:tc>
          <w:tcPr>
            <w:tcW w:w="966" w:type="dxa"/>
            <w:vAlign w:val="top"/>
          </w:tcPr>
          <w:p w14:paraId="640F5E8D">
            <w:pPr>
              <w:rPr>
                <w:rFonts w:ascii="Arial"/>
                <w:sz w:val="21"/>
              </w:rPr>
            </w:pPr>
          </w:p>
        </w:tc>
        <w:tc>
          <w:tcPr>
            <w:tcW w:w="1136" w:type="dxa"/>
            <w:tcBorders>
              <w:right w:val="single" w:color="000000" w:sz="6" w:space="0"/>
            </w:tcBorders>
            <w:vAlign w:val="top"/>
          </w:tcPr>
          <w:p w14:paraId="0D13389B">
            <w:pPr>
              <w:rPr>
                <w:rFonts w:ascii="Arial"/>
                <w:sz w:val="21"/>
              </w:rPr>
            </w:pPr>
          </w:p>
        </w:tc>
      </w:tr>
      <w:tr w14:paraId="79F3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94" w:type="dxa"/>
            <w:tcBorders>
              <w:left w:val="single" w:color="000000" w:sz="6" w:space="0"/>
            </w:tcBorders>
            <w:vAlign w:val="top"/>
          </w:tcPr>
          <w:p w14:paraId="17EF5E43">
            <w:pPr>
              <w:rPr>
                <w:rFonts w:ascii="Arial"/>
                <w:sz w:val="21"/>
              </w:rPr>
            </w:pPr>
          </w:p>
        </w:tc>
        <w:tc>
          <w:tcPr>
            <w:tcW w:w="3152" w:type="dxa"/>
            <w:vAlign w:val="top"/>
          </w:tcPr>
          <w:p w14:paraId="05C2AA74">
            <w:pPr>
              <w:rPr>
                <w:rFonts w:ascii="Arial"/>
                <w:sz w:val="21"/>
              </w:rPr>
            </w:pPr>
          </w:p>
        </w:tc>
        <w:tc>
          <w:tcPr>
            <w:tcW w:w="839" w:type="dxa"/>
            <w:vAlign w:val="top"/>
          </w:tcPr>
          <w:p w14:paraId="5B1ABB5A">
            <w:pPr>
              <w:rPr>
                <w:rFonts w:ascii="Arial"/>
                <w:sz w:val="21"/>
              </w:rPr>
            </w:pPr>
          </w:p>
        </w:tc>
        <w:tc>
          <w:tcPr>
            <w:tcW w:w="872" w:type="dxa"/>
            <w:vAlign w:val="top"/>
          </w:tcPr>
          <w:p w14:paraId="0E2224D7">
            <w:pPr>
              <w:rPr>
                <w:rFonts w:ascii="Arial"/>
                <w:sz w:val="21"/>
              </w:rPr>
            </w:pPr>
          </w:p>
        </w:tc>
        <w:tc>
          <w:tcPr>
            <w:tcW w:w="1061" w:type="dxa"/>
            <w:vAlign w:val="top"/>
          </w:tcPr>
          <w:p w14:paraId="30D62A61">
            <w:pPr>
              <w:rPr>
                <w:rFonts w:ascii="Arial"/>
                <w:sz w:val="21"/>
              </w:rPr>
            </w:pPr>
          </w:p>
        </w:tc>
        <w:tc>
          <w:tcPr>
            <w:tcW w:w="966" w:type="dxa"/>
            <w:vAlign w:val="top"/>
          </w:tcPr>
          <w:p w14:paraId="69D06F3B">
            <w:pPr>
              <w:rPr>
                <w:rFonts w:ascii="Arial"/>
                <w:sz w:val="21"/>
              </w:rPr>
            </w:pPr>
          </w:p>
        </w:tc>
        <w:tc>
          <w:tcPr>
            <w:tcW w:w="1136" w:type="dxa"/>
            <w:tcBorders>
              <w:right w:val="single" w:color="000000" w:sz="6" w:space="0"/>
            </w:tcBorders>
            <w:vAlign w:val="top"/>
          </w:tcPr>
          <w:p w14:paraId="7F757DA3">
            <w:pPr>
              <w:rPr>
                <w:rFonts w:ascii="Arial"/>
                <w:sz w:val="21"/>
              </w:rPr>
            </w:pPr>
          </w:p>
        </w:tc>
      </w:tr>
      <w:tr w14:paraId="52D3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594" w:type="dxa"/>
            <w:tcBorders>
              <w:left w:val="single" w:color="000000" w:sz="6" w:space="0"/>
            </w:tcBorders>
            <w:vAlign w:val="top"/>
          </w:tcPr>
          <w:p w14:paraId="7A148C8F">
            <w:pPr>
              <w:rPr>
                <w:rFonts w:ascii="Arial"/>
                <w:sz w:val="21"/>
              </w:rPr>
            </w:pPr>
          </w:p>
        </w:tc>
        <w:tc>
          <w:tcPr>
            <w:tcW w:w="3152" w:type="dxa"/>
            <w:vAlign w:val="top"/>
          </w:tcPr>
          <w:p w14:paraId="64EE2993">
            <w:pPr>
              <w:rPr>
                <w:rFonts w:ascii="Arial"/>
                <w:sz w:val="21"/>
              </w:rPr>
            </w:pPr>
          </w:p>
        </w:tc>
        <w:tc>
          <w:tcPr>
            <w:tcW w:w="839" w:type="dxa"/>
            <w:vAlign w:val="top"/>
          </w:tcPr>
          <w:p w14:paraId="61AB3259">
            <w:pPr>
              <w:rPr>
                <w:rFonts w:ascii="Arial"/>
                <w:sz w:val="21"/>
              </w:rPr>
            </w:pPr>
          </w:p>
        </w:tc>
        <w:tc>
          <w:tcPr>
            <w:tcW w:w="872" w:type="dxa"/>
            <w:vAlign w:val="top"/>
          </w:tcPr>
          <w:p w14:paraId="58202E78">
            <w:pPr>
              <w:rPr>
                <w:rFonts w:ascii="Arial"/>
                <w:sz w:val="21"/>
              </w:rPr>
            </w:pPr>
          </w:p>
        </w:tc>
        <w:tc>
          <w:tcPr>
            <w:tcW w:w="1061" w:type="dxa"/>
            <w:vAlign w:val="top"/>
          </w:tcPr>
          <w:p w14:paraId="020E7985">
            <w:pPr>
              <w:rPr>
                <w:rFonts w:ascii="Arial"/>
                <w:sz w:val="21"/>
              </w:rPr>
            </w:pPr>
          </w:p>
        </w:tc>
        <w:tc>
          <w:tcPr>
            <w:tcW w:w="966" w:type="dxa"/>
            <w:vAlign w:val="top"/>
          </w:tcPr>
          <w:p w14:paraId="1669DFEF">
            <w:pPr>
              <w:rPr>
                <w:rFonts w:ascii="Arial"/>
                <w:sz w:val="21"/>
              </w:rPr>
            </w:pPr>
          </w:p>
        </w:tc>
        <w:tc>
          <w:tcPr>
            <w:tcW w:w="1136" w:type="dxa"/>
            <w:tcBorders>
              <w:right w:val="single" w:color="000000" w:sz="6" w:space="0"/>
            </w:tcBorders>
            <w:vAlign w:val="top"/>
          </w:tcPr>
          <w:p w14:paraId="31A15337">
            <w:pPr>
              <w:rPr>
                <w:rFonts w:ascii="Arial"/>
                <w:sz w:val="21"/>
              </w:rPr>
            </w:pPr>
          </w:p>
        </w:tc>
      </w:tr>
      <w:tr w14:paraId="55496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594" w:type="dxa"/>
            <w:tcBorders>
              <w:left w:val="single" w:color="000000" w:sz="6" w:space="0"/>
              <w:bottom w:val="single" w:color="000000" w:sz="6" w:space="0"/>
              <w:right w:val="nil"/>
            </w:tcBorders>
            <w:vAlign w:val="top"/>
          </w:tcPr>
          <w:p w14:paraId="522E3614">
            <w:pPr>
              <w:rPr>
                <w:rFonts w:ascii="Arial"/>
                <w:sz w:val="21"/>
              </w:rPr>
            </w:pPr>
          </w:p>
        </w:tc>
        <w:tc>
          <w:tcPr>
            <w:tcW w:w="3152" w:type="dxa"/>
            <w:tcBorders>
              <w:left w:val="nil"/>
              <w:bottom w:val="single" w:color="000000" w:sz="6" w:space="0"/>
              <w:right w:val="nil"/>
            </w:tcBorders>
            <w:vAlign w:val="top"/>
          </w:tcPr>
          <w:p w14:paraId="761553F0">
            <w:pPr>
              <w:pStyle w:val="11"/>
              <w:spacing w:before="97" w:line="221" w:lineRule="auto"/>
              <w:ind w:left="1995"/>
              <w:rPr>
                <w:sz w:val="18"/>
                <w:szCs w:val="18"/>
              </w:rPr>
            </w:pPr>
            <w:r>
              <w:rPr>
                <w:spacing w:val="-2"/>
                <w:sz w:val="18"/>
                <w:szCs w:val="18"/>
              </w:rPr>
              <w:t>合计</w:t>
            </w:r>
          </w:p>
        </w:tc>
        <w:tc>
          <w:tcPr>
            <w:tcW w:w="839" w:type="dxa"/>
            <w:tcBorders>
              <w:left w:val="nil"/>
              <w:bottom w:val="single" w:color="000000" w:sz="6" w:space="0"/>
              <w:right w:val="nil"/>
            </w:tcBorders>
            <w:vAlign w:val="top"/>
          </w:tcPr>
          <w:p w14:paraId="7D2FD8B7">
            <w:pPr>
              <w:rPr>
                <w:rFonts w:ascii="Arial"/>
                <w:sz w:val="21"/>
              </w:rPr>
            </w:pPr>
          </w:p>
        </w:tc>
        <w:tc>
          <w:tcPr>
            <w:tcW w:w="872" w:type="dxa"/>
            <w:tcBorders>
              <w:left w:val="nil"/>
              <w:bottom w:val="single" w:color="000000" w:sz="6" w:space="0"/>
              <w:right w:val="nil"/>
            </w:tcBorders>
            <w:vAlign w:val="top"/>
          </w:tcPr>
          <w:p w14:paraId="03F121D3">
            <w:pPr>
              <w:rPr>
                <w:rFonts w:ascii="Arial"/>
                <w:sz w:val="21"/>
              </w:rPr>
            </w:pPr>
          </w:p>
        </w:tc>
        <w:tc>
          <w:tcPr>
            <w:tcW w:w="1061" w:type="dxa"/>
            <w:tcBorders>
              <w:left w:val="nil"/>
              <w:bottom w:val="single" w:color="000000" w:sz="6" w:space="0"/>
            </w:tcBorders>
            <w:vAlign w:val="top"/>
          </w:tcPr>
          <w:p w14:paraId="2E4A2749">
            <w:pPr>
              <w:rPr>
                <w:rFonts w:ascii="Arial"/>
                <w:sz w:val="21"/>
              </w:rPr>
            </w:pPr>
          </w:p>
        </w:tc>
        <w:tc>
          <w:tcPr>
            <w:tcW w:w="966" w:type="dxa"/>
            <w:tcBorders>
              <w:bottom w:val="single" w:color="000000" w:sz="6" w:space="0"/>
            </w:tcBorders>
            <w:vAlign w:val="top"/>
          </w:tcPr>
          <w:p w14:paraId="41C84254">
            <w:pPr>
              <w:rPr>
                <w:rFonts w:ascii="Arial"/>
                <w:sz w:val="21"/>
              </w:rPr>
            </w:pPr>
          </w:p>
        </w:tc>
        <w:tc>
          <w:tcPr>
            <w:tcW w:w="1136" w:type="dxa"/>
            <w:tcBorders>
              <w:bottom w:val="single" w:color="000000" w:sz="6" w:space="0"/>
              <w:right w:val="single" w:color="000000" w:sz="6" w:space="0"/>
            </w:tcBorders>
            <w:vAlign w:val="top"/>
          </w:tcPr>
          <w:p w14:paraId="5DBEE3BC">
            <w:pPr>
              <w:rPr>
                <w:rFonts w:ascii="Arial"/>
                <w:sz w:val="21"/>
              </w:rPr>
            </w:pPr>
          </w:p>
        </w:tc>
      </w:tr>
    </w:tbl>
    <w:p w14:paraId="26C84489">
      <w:pPr>
        <w:spacing w:before="25" w:line="220" w:lineRule="auto"/>
        <w:ind w:left="6765"/>
        <w:rPr>
          <w:rFonts w:ascii="宋体" w:hAnsi="宋体" w:eastAsia="宋体" w:cs="宋体"/>
          <w:sz w:val="18"/>
          <w:szCs w:val="18"/>
        </w:rPr>
      </w:pPr>
      <w:r>
        <w:rPr>
          <w:rFonts w:ascii="宋体" w:hAnsi="宋体" w:eastAsia="宋体" w:cs="宋体"/>
          <w:spacing w:val="-2"/>
          <w:sz w:val="18"/>
          <w:szCs w:val="18"/>
        </w:rPr>
        <w:t>法定代表人</w:t>
      </w:r>
    </w:p>
    <w:p w14:paraId="2A66F22F">
      <w:pPr>
        <w:spacing w:before="84" w:line="213" w:lineRule="auto"/>
        <w:ind w:left="6586"/>
        <w:rPr>
          <w:rFonts w:ascii="宋体" w:hAnsi="宋体" w:eastAsia="宋体" w:cs="宋体"/>
          <w:sz w:val="18"/>
          <w:szCs w:val="18"/>
        </w:rPr>
      </w:pPr>
      <w:r>
        <w:rPr>
          <w:rFonts w:ascii="宋体" w:hAnsi="宋体" w:eastAsia="宋体" w:cs="宋体"/>
          <w:spacing w:val="-1"/>
          <w:sz w:val="18"/>
          <w:szCs w:val="18"/>
        </w:rPr>
        <w:t>（或委托代理人</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9"/>
          <w:sz w:val="18"/>
          <w:szCs w:val="18"/>
        </w:rPr>
        <w:t>：</w:t>
      </w:r>
      <w:r>
        <w:rPr>
          <w:rFonts w:ascii="宋体" w:hAnsi="宋体" w:eastAsia="宋体" w:cs="宋体"/>
          <w:spacing w:val="-1"/>
          <w:sz w:val="18"/>
          <w:szCs w:val="18"/>
        </w:rPr>
        <w:t>_______签字</w:t>
      </w:r>
    </w:p>
    <w:p w14:paraId="4ABA3800">
      <w:pPr>
        <w:spacing w:line="213" w:lineRule="auto"/>
        <w:rPr>
          <w:rFonts w:ascii="宋体" w:hAnsi="宋体" w:eastAsia="宋体" w:cs="宋体"/>
          <w:sz w:val="18"/>
          <w:szCs w:val="18"/>
        </w:rPr>
        <w:sectPr>
          <w:footerReference r:id="rId157" w:type="default"/>
          <w:pgSz w:w="11905" w:h="16843"/>
          <w:pgMar w:top="969" w:right="1355" w:bottom="1026" w:left="1480" w:header="0" w:footer="754" w:gutter="0"/>
          <w:cols w:space="0" w:num="1"/>
          <w:rtlGutter w:val="0"/>
          <w:docGrid w:linePitch="0" w:charSpace="0"/>
        </w:sectPr>
      </w:pPr>
    </w:p>
    <w:p w14:paraId="61F0EFD5">
      <w:pPr>
        <w:pStyle w:val="5"/>
        <w:spacing w:line="265" w:lineRule="auto"/>
      </w:pPr>
    </w:p>
    <w:p w14:paraId="35EA1744">
      <w:pPr>
        <w:pStyle w:val="5"/>
        <w:spacing w:line="265" w:lineRule="auto"/>
      </w:pPr>
    </w:p>
    <w:p w14:paraId="6059CEB8">
      <w:pPr>
        <w:pStyle w:val="5"/>
        <w:spacing w:line="266" w:lineRule="auto"/>
      </w:pPr>
    </w:p>
    <w:p w14:paraId="39750677">
      <w:pPr>
        <w:pStyle w:val="5"/>
        <w:spacing w:line="266" w:lineRule="auto"/>
      </w:pPr>
    </w:p>
    <w:p w14:paraId="702B9231">
      <w:pPr>
        <w:pStyle w:val="5"/>
        <w:spacing w:line="266" w:lineRule="auto"/>
      </w:pPr>
    </w:p>
    <w:p w14:paraId="039E58D3">
      <w:pPr>
        <w:spacing w:before="78" w:line="233" w:lineRule="auto"/>
        <w:ind w:left="233"/>
        <w:outlineLvl w:val="2"/>
        <w:rPr>
          <w:rFonts w:ascii="黑体" w:hAnsi="黑体" w:eastAsia="黑体" w:cs="黑体"/>
          <w:sz w:val="24"/>
          <w:szCs w:val="24"/>
        </w:rPr>
      </w:pPr>
      <w:bookmarkStart w:id="1261" w:name="bookmark382"/>
      <w:bookmarkEnd w:id="1261"/>
      <w:r>
        <w:rPr>
          <w:rFonts w:ascii="Times New Roman" w:hAnsi="Times New Roman" w:eastAsia="Times New Roman" w:cs="Times New Roman"/>
          <w:spacing w:val="-1"/>
          <w:sz w:val="24"/>
          <w:szCs w:val="24"/>
        </w:rPr>
        <w:t xml:space="preserve">3.8 </w:t>
      </w:r>
      <w:r>
        <w:rPr>
          <w:rFonts w:ascii="黑体" w:hAnsi="黑体" w:eastAsia="黑体" w:cs="黑体"/>
          <w:spacing w:val="-1"/>
          <w:sz w:val="24"/>
          <w:szCs w:val="24"/>
        </w:rPr>
        <w:t>不可计量措施项目清单计价表</w:t>
      </w:r>
    </w:p>
    <w:p w14:paraId="4B6662FC">
      <w:pPr>
        <w:spacing w:before="292" w:line="218" w:lineRule="auto"/>
        <w:ind w:left="2085"/>
        <w:rPr>
          <w:rFonts w:ascii="宋体" w:hAnsi="宋体" w:eastAsia="宋体" w:cs="宋体"/>
          <w:sz w:val="40"/>
          <w:szCs w:val="40"/>
        </w:rPr>
      </w:pPr>
      <w:bookmarkStart w:id="1262" w:name="bookmark616"/>
      <w:bookmarkEnd w:id="1262"/>
      <w:r>
        <w:rPr>
          <w:rFonts w:ascii="宋体" w:hAnsi="宋体" w:eastAsia="宋体" w:cs="宋体"/>
          <w:b/>
          <w:bCs/>
          <w:spacing w:val="-5"/>
          <w:sz w:val="40"/>
          <w:szCs w:val="40"/>
        </w:rPr>
        <w:t>不可计量措施项目清单计价表</w:t>
      </w:r>
    </w:p>
    <w:p w14:paraId="17FA2210">
      <w:pPr>
        <w:spacing w:before="32"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404C8ACB">
      <w:pPr>
        <w:spacing w:before="147" w:line="220" w:lineRule="auto"/>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w:t>
      </w:r>
      <w:r>
        <w:rPr>
          <w:rFonts w:ascii="宋体" w:hAnsi="宋体" w:eastAsia="宋体" w:cs="宋体"/>
          <w:spacing w:val="11"/>
          <w:sz w:val="18"/>
          <w:szCs w:val="18"/>
        </w:rPr>
        <w:t xml:space="preserve">  </w:t>
      </w:r>
      <w:r>
        <w:rPr>
          <w:rFonts w:ascii="宋体" w:hAnsi="宋体" w:eastAsia="宋体" w:cs="宋体"/>
          <w:spacing w:val="-3"/>
          <w:sz w:val="18"/>
          <w:szCs w:val="18"/>
        </w:rPr>
        <w:t>1</w:t>
      </w:r>
      <w:r>
        <w:rPr>
          <w:rFonts w:ascii="宋体" w:hAnsi="宋体" w:eastAsia="宋体" w:cs="宋体"/>
          <w:spacing w:val="7"/>
          <w:sz w:val="18"/>
          <w:szCs w:val="18"/>
        </w:rPr>
        <w:t xml:space="preserve">  </w:t>
      </w:r>
      <w:r>
        <w:rPr>
          <w:rFonts w:ascii="宋体" w:hAnsi="宋体" w:eastAsia="宋体" w:cs="宋体"/>
          <w:spacing w:val="-3"/>
          <w:sz w:val="18"/>
          <w:szCs w:val="18"/>
        </w:rPr>
        <w:t>页、共</w:t>
      </w:r>
      <w:r>
        <w:rPr>
          <w:rFonts w:ascii="宋体" w:hAnsi="宋体" w:eastAsia="宋体" w:cs="宋体"/>
          <w:spacing w:val="9"/>
          <w:sz w:val="18"/>
          <w:szCs w:val="18"/>
        </w:rPr>
        <w:t xml:space="preserve">  </w:t>
      </w:r>
      <w:r>
        <w:rPr>
          <w:rFonts w:ascii="宋体" w:hAnsi="宋体" w:eastAsia="宋体" w:cs="宋体"/>
          <w:spacing w:val="-3"/>
          <w:sz w:val="18"/>
          <w:szCs w:val="18"/>
        </w:rPr>
        <w:t>1</w:t>
      </w:r>
      <w:r>
        <w:rPr>
          <w:rFonts w:ascii="宋体" w:hAnsi="宋体" w:eastAsia="宋体" w:cs="宋体"/>
          <w:spacing w:val="6"/>
          <w:sz w:val="18"/>
          <w:szCs w:val="18"/>
        </w:rPr>
        <w:t xml:space="preserve">  </w:t>
      </w:r>
      <w:r>
        <w:rPr>
          <w:rFonts w:ascii="宋体" w:hAnsi="宋体" w:eastAsia="宋体" w:cs="宋体"/>
          <w:spacing w:val="-3"/>
          <w:sz w:val="18"/>
          <w:szCs w:val="18"/>
        </w:rPr>
        <w:t>页</w:t>
      </w:r>
    </w:p>
    <w:p w14:paraId="2D2DC88C">
      <w:pPr>
        <w:spacing w:line="111" w:lineRule="exact"/>
      </w:pPr>
    </w:p>
    <w:tbl>
      <w:tblPr>
        <w:tblStyle w:val="10"/>
        <w:tblW w:w="933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2962"/>
        <w:gridCol w:w="810"/>
        <w:gridCol w:w="2020"/>
        <w:gridCol w:w="693"/>
        <w:gridCol w:w="1002"/>
        <w:gridCol w:w="1073"/>
      </w:tblGrid>
      <w:tr w14:paraId="655D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76" w:type="dxa"/>
            <w:tcBorders>
              <w:top w:val="single" w:color="000000" w:sz="6" w:space="0"/>
              <w:left w:val="single" w:color="000000" w:sz="6" w:space="0"/>
            </w:tcBorders>
            <w:vAlign w:val="top"/>
          </w:tcPr>
          <w:p w14:paraId="026E4599">
            <w:pPr>
              <w:pStyle w:val="11"/>
              <w:spacing w:before="29" w:line="223" w:lineRule="auto"/>
              <w:ind w:left="293" w:right="118" w:hanging="176"/>
              <w:rPr>
                <w:sz w:val="18"/>
                <w:szCs w:val="18"/>
              </w:rPr>
            </w:pPr>
            <w:r>
              <w:rPr>
                <w:spacing w:val="-4"/>
                <w:sz w:val="18"/>
                <w:szCs w:val="18"/>
              </w:rPr>
              <w:t>项目编</w:t>
            </w:r>
            <w:r>
              <w:rPr>
                <w:sz w:val="18"/>
                <w:szCs w:val="18"/>
              </w:rPr>
              <w:t>码</w:t>
            </w:r>
          </w:p>
        </w:tc>
        <w:tc>
          <w:tcPr>
            <w:tcW w:w="2962" w:type="dxa"/>
            <w:tcBorders>
              <w:top w:val="single" w:color="000000" w:sz="6" w:space="0"/>
            </w:tcBorders>
            <w:vAlign w:val="top"/>
          </w:tcPr>
          <w:p w14:paraId="21964D90">
            <w:pPr>
              <w:pStyle w:val="11"/>
              <w:spacing w:before="147" w:line="220" w:lineRule="auto"/>
              <w:ind w:left="1124"/>
              <w:rPr>
                <w:sz w:val="18"/>
                <w:szCs w:val="18"/>
              </w:rPr>
            </w:pPr>
            <w:r>
              <w:rPr>
                <w:spacing w:val="-2"/>
                <w:sz w:val="18"/>
                <w:szCs w:val="18"/>
              </w:rPr>
              <w:t>项目名称</w:t>
            </w:r>
          </w:p>
        </w:tc>
        <w:tc>
          <w:tcPr>
            <w:tcW w:w="810" w:type="dxa"/>
            <w:tcBorders>
              <w:top w:val="single" w:color="000000" w:sz="6" w:space="0"/>
            </w:tcBorders>
            <w:vAlign w:val="top"/>
          </w:tcPr>
          <w:p w14:paraId="01F83874">
            <w:pPr>
              <w:pStyle w:val="11"/>
              <w:spacing w:before="147" w:line="220" w:lineRule="auto"/>
              <w:ind w:left="230"/>
              <w:rPr>
                <w:sz w:val="18"/>
                <w:szCs w:val="18"/>
              </w:rPr>
            </w:pPr>
            <w:r>
              <w:rPr>
                <w:spacing w:val="-3"/>
                <w:sz w:val="18"/>
                <w:szCs w:val="18"/>
              </w:rPr>
              <w:t>单位</w:t>
            </w:r>
          </w:p>
        </w:tc>
        <w:tc>
          <w:tcPr>
            <w:tcW w:w="2020" w:type="dxa"/>
            <w:tcBorders>
              <w:top w:val="single" w:color="000000" w:sz="6" w:space="0"/>
            </w:tcBorders>
            <w:vAlign w:val="top"/>
          </w:tcPr>
          <w:p w14:paraId="385EC74A">
            <w:pPr>
              <w:pStyle w:val="11"/>
              <w:spacing w:before="146" w:line="220" w:lineRule="auto"/>
              <w:ind w:left="655"/>
              <w:rPr>
                <w:sz w:val="18"/>
                <w:szCs w:val="18"/>
              </w:rPr>
            </w:pPr>
            <w:r>
              <w:rPr>
                <w:spacing w:val="-2"/>
                <w:sz w:val="18"/>
                <w:szCs w:val="18"/>
              </w:rPr>
              <w:t>计算基础</w:t>
            </w:r>
          </w:p>
        </w:tc>
        <w:tc>
          <w:tcPr>
            <w:tcW w:w="693" w:type="dxa"/>
            <w:tcBorders>
              <w:top w:val="single" w:color="000000" w:sz="6" w:space="0"/>
            </w:tcBorders>
            <w:vAlign w:val="top"/>
          </w:tcPr>
          <w:p w14:paraId="0189989F">
            <w:pPr>
              <w:pStyle w:val="11"/>
              <w:spacing w:before="29" w:line="223" w:lineRule="auto"/>
              <w:ind w:left="133" w:right="127" w:firstLine="50"/>
              <w:rPr>
                <w:sz w:val="18"/>
                <w:szCs w:val="18"/>
              </w:rPr>
            </w:pPr>
            <w:r>
              <w:rPr>
                <w:spacing w:val="-9"/>
                <w:sz w:val="18"/>
                <w:szCs w:val="18"/>
              </w:rPr>
              <w:t>费率</w:t>
            </w:r>
            <w:r>
              <w:rPr>
                <w:spacing w:val="-8"/>
                <w:sz w:val="18"/>
                <w:szCs w:val="18"/>
              </w:rPr>
              <w:t>（%）</w:t>
            </w:r>
          </w:p>
        </w:tc>
        <w:tc>
          <w:tcPr>
            <w:tcW w:w="1002" w:type="dxa"/>
            <w:tcBorders>
              <w:top w:val="single" w:color="000000" w:sz="6" w:space="0"/>
            </w:tcBorders>
            <w:vAlign w:val="top"/>
          </w:tcPr>
          <w:p w14:paraId="55FBA4DC">
            <w:pPr>
              <w:pStyle w:val="11"/>
              <w:spacing w:before="29" w:line="223" w:lineRule="auto"/>
              <w:ind w:left="244" w:right="236" w:firstLine="88"/>
              <w:rPr>
                <w:sz w:val="18"/>
                <w:szCs w:val="18"/>
              </w:rPr>
            </w:pPr>
            <w:r>
              <w:rPr>
                <w:spacing w:val="-5"/>
                <w:sz w:val="18"/>
                <w:szCs w:val="18"/>
              </w:rPr>
              <w:t>金额</w:t>
            </w:r>
            <w:r>
              <w:rPr>
                <w:spacing w:val="-8"/>
                <w:sz w:val="18"/>
                <w:szCs w:val="18"/>
              </w:rPr>
              <w:t>（元）</w:t>
            </w:r>
          </w:p>
        </w:tc>
        <w:tc>
          <w:tcPr>
            <w:tcW w:w="1073" w:type="dxa"/>
            <w:tcBorders>
              <w:top w:val="single" w:color="000000" w:sz="6" w:space="0"/>
              <w:right w:val="single" w:color="000000" w:sz="6" w:space="0"/>
            </w:tcBorders>
            <w:vAlign w:val="top"/>
          </w:tcPr>
          <w:p w14:paraId="4222C729">
            <w:pPr>
              <w:pStyle w:val="11"/>
              <w:spacing w:before="147" w:line="221" w:lineRule="auto"/>
              <w:ind w:left="363"/>
              <w:rPr>
                <w:sz w:val="18"/>
                <w:szCs w:val="18"/>
              </w:rPr>
            </w:pPr>
            <w:r>
              <w:rPr>
                <w:spacing w:val="-3"/>
                <w:sz w:val="18"/>
                <w:szCs w:val="18"/>
              </w:rPr>
              <w:t>备注</w:t>
            </w:r>
          </w:p>
        </w:tc>
      </w:tr>
      <w:tr w14:paraId="73A9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76" w:type="dxa"/>
            <w:tcBorders>
              <w:left w:val="single" w:color="000000" w:sz="6" w:space="0"/>
            </w:tcBorders>
            <w:vAlign w:val="top"/>
          </w:tcPr>
          <w:p w14:paraId="730C0084">
            <w:pPr>
              <w:pStyle w:val="11"/>
              <w:spacing w:before="40" w:line="221" w:lineRule="auto"/>
              <w:ind w:left="353"/>
              <w:rPr>
                <w:sz w:val="18"/>
                <w:szCs w:val="18"/>
              </w:rPr>
            </w:pPr>
            <w:r>
              <w:rPr>
                <w:sz w:val="18"/>
                <w:szCs w:val="18"/>
              </w:rPr>
              <w:t>1</w:t>
            </w:r>
          </w:p>
        </w:tc>
        <w:tc>
          <w:tcPr>
            <w:tcW w:w="2962" w:type="dxa"/>
            <w:vAlign w:val="top"/>
          </w:tcPr>
          <w:p w14:paraId="07F8C44F">
            <w:pPr>
              <w:rPr>
                <w:rFonts w:ascii="Arial"/>
                <w:sz w:val="21"/>
              </w:rPr>
            </w:pPr>
          </w:p>
        </w:tc>
        <w:tc>
          <w:tcPr>
            <w:tcW w:w="810" w:type="dxa"/>
            <w:vAlign w:val="top"/>
          </w:tcPr>
          <w:p w14:paraId="3D118D80">
            <w:pPr>
              <w:rPr>
                <w:rFonts w:ascii="Arial"/>
                <w:sz w:val="21"/>
              </w:rPr>
            </w:pPr>
          </w:p>
        </w:tc>
        <w:tc>
          <w:tcPr>
            <w:tcW w:w="2020" w:type="dxa"/>
            <w:vAlign w:val="top"/>
          </w:tcPr>
          <w:p w14:paraId="6826E1C0">
            <w:pPr>
              <w:rPr>
                <w:rFonts w:ascii="Arial"/>
                <w:sz w:val="21"/>
              </w:rPr>
            </w:pPr>
          </w:p>
        </w:tc>
        <w:tc>
          <w:tcPr>
            <w:tcW w:w="693" w:type="dxa"/>
            <w:vAlign w:val="top"/>
          </w:tcPr>
          <w:p w14:paraId="44B976D4">
            <w:pPr>
              <w:rPr>
                <w:rFonts w:ascii="Arial"/>
                <w:sz w:val="21"/>
              </w:rPr>
            </w:pPr>
          </w:p>
        </w:tc>
        <w:tc>
          <w:tcPr>
            <w:tcW w:w="1002" w:type="dxa"/>
            <w:vAlign w:val="top"/>
          </w:tcPr>
          <w:p w14:paraId="22743A5F">
            <w:pPr>
              <w:rPr>
                <w:rFonts w:ascii="Arial"/>
                <w:sz w:val="21"/>
              </w:rPr>
            </w:pPr>
          </w:p>
        </w:tc>
        <w:tc>
          <w:tcPr>
            <w:tcW w:w="1073" w:type="dxa"/>
            <w:tcBorders>
              <w:right w:val="single" w:color="000000" w:sz="6" w:space="0"/>
            </w:tcBorders>
            <w:vAlign w:val="top"/>
          </w:tcPr>
          <w:p w14:paraId="054B927A">
            <w:pPr>
              <w:rPr>
                <w:rFonts w:ascii="Arial"/>
                <w:sz w:val="21"/>
              </w:rPr>
            </w:pPr>
          </w:p>
        </w:tc>
      </w:tr>
      <w:tr w14:paraId="60F9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2FE7D474">
            <w:pPr>
              <w:rPr>
                <w:rFonts w:ascii="Arial"/>
                <w:sz w:val="21"/>
              </w:rPr>
            </w:pPr>
          </w:p>
        </w:tc>
        <w:tc>
          <w:tcPr>
            <w:tcW w:w="2962" w:type="dxa"/>
            <w:vAlign w:val="top"/>
          </w:tcPr>
          <w:p w14:paraId="6532394A">
            <w:pPr>
              <w:rPr>
                <w:rFonts w:ascii="Arial"/>
                <w:sz w:val="21"/>
              </w:rPr>
            </w:pPr>
          </w:p>
        </w:tc>
        <w:tc>
          <w:tcPr>
            <w:tcW w:w="810" w:type="dxa"/>
            <w:vAlign w:val="top"/>
          </w:tcPr>
          <w:p w14:paraId="355B22B5">
            <w:pPr>
              <w:rPr>
                <w:rFonts w:ascii="Arial"/>
                <w:sz w:val="21"/>
              </w:rPr>
            </w:pPr>
          </w:p>
        </w:tc>
        <w:tc>
          <w:tcPr>
            <w:tcW w:w="2020" w:type="dxa"/>
            <w:vAlign w:val="top"/>
          </w:tcPr>
          <w:p w14:paraId="4AAA722D">
            <w:pPr>
              <w:rPr>
                <w:rFonts w:ascii="Arial"/>
                <w:sz w:val="21"/>
              </w:rPr>
            </w:pPr>
          </w:p>
        </w:tc>
        <w:tc>
          <w:tcPr>
            <w:tcW w:w="693" w:type="dxa"/>
            <w:vAlign w:val="top"/>
          </w:tcPr>
          <w:p w14:paraId="11335EE9">
            <w:pPr>
              <w:rPr>
                <w:rFonts w:ascii="Arial"/>
                <w:sz w:val="21"/>
              </w:rPr>
            </w:pPr>
          </w:p>
        </w:tc>
        <w:tc>
          <w:tcPr>
            <w:tcW w:w="1002" w:type="dxa"/>
            <w:vAlign w:val="top"/>
          </w:tcPr>
          <w:p w14:paraId="11825EBC">
            <w:pPr>
              <w:rPr>
                <w:rFonts w:ascii="Arial"/>
                <w:sz w:val="21"/>
              </w:rPr>
            </w:pPr>
          </w:p>
        </w:tc>
        <w:tc>
          <w:tcPr>
            <w:tcW w:w="1073" w:type="dxa"/>
            <w:tcBorders>
              <w:right w:val="single" w:color="000000" w:sz="6" w:space="0"/>
            </w:tcBorders>
            <w:vAlign w:val="top"/>
          </w:tcPr>
          <w:p w14:paraId="17B4F234">
            <w:pPr>
              <w:rPr>
                <w:rFonts w:ascii="Arial"/>
                <w:sz w:val="21"/>
              </w:rPr>
            </w:pPr>
          </w:p>
        </w:tc>
      </w:tr>
      <w:tr w14:paraId="13DA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029E3BB">
            <w:pPr>
              <w:rPr>
                <w:rFonts w:ascii="Arial"/>
                <w:sz w:val="21"/>
              </w:rPr>
            </w:pPr>
          </w:p>
        </w:tc>
        <w:tc>
          <w:tcPr>
            <w:tcW w:w="2962" w:type="dxa"/>
            <w:vAlign w:val="top"/>
          </w:tcPr>
          <w:p w14:paraId="69F2547F">
            <w:pPr>
              <w:rPr>
                <w:rFonts w:ascii="Arial"/>
                <w:sz w:val="21"/>
              </w:rPr>
            </w:pPr>
          </w:p>
        </w:tc>
        <w:tc>
          <w:tcPr>
            <w:tcW w:w="810" w:type="dxa"/>
            <w:vAlign w:val="top"/>
          </w:tcPr>
          <w:p w14:paraId="25D642D8">
            <w:pPr>
              <w:rPr>
                <w:rFonts w:ascii="Arial"/>
                <w:sz w:val="21"/>
              </w:rPr>
            </w:pPr>
          </w:p>
        </w:tc>
        <w:tc>
          <w:tcPr>
            <w:tcW w:w="2020" w:type="dxa"/>
            <w:vAlign w:val="top"/>
          </w:tcPr>
          <w:p w14:paraId="1C3709BA">
            <w:pPr>
              <w:rPr>
                <w:rFonts w:ascii="Arial"/>
                <w:sz w:val="21"/>
              </w:rPr>
            </w:pPr>
          </w:p>
        </w:tc>
        <w:tc>
          <w:tcPr>
            <w:tcW w:w="693" w:type="dxa"/>
            <w:vAlign w:val="top"/>
          </w:tcPr>
          <w:p w14:paraId="41CBB15B">
            <w:pPr>
              <w:rPr>
                <w:rFonts w:ascii="Arial"/>
                <w:sz w:val="21"/>
              </w:rPr>
            </w:pPr>
          </w:p>
        </w:tc>
        <w:tc>
          <w:tcPr>
            <w:tcW w:w="1002" w:type="dxa"/>
            <w:vAlign w:val="top"/>
          </w:tcPr>
          <w:p w14:paraId="08230D64">
            <w:pPr>
              <w:rPr>
                <w:rFonts w:ascii="Arial"/>
                <w:sz w:val="21"/>
              </w:rPr>
            </w:pPr>
          </w:p>
        </w:tc>
        <w:tc>
          <w:tcPr>
            <w:tcW w:w="1073" w:type="dxa"/>
            <w:tcBorders>
              <w:right w:val="single" w:color="000000" w:sz="6" w:space="0"/>
            </w:tcBorders>
            <w:vAlign w:val="top"/>
          </w:tcPr>
          <w:p w14:paraId="306A9D5E">
            <w:pPr>
              <w:rPr>
                <w:rFonts w:ascii="Arial"/>
                <w:sz w:val="21"/>
              </w:rPr>
            </w:pPr>
          </w:p>
        </w:tc>
      </w:tr>
      <w:tr w14:paraId="656C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76" w:type="dxa"/>
            <w:tcBorders>
              <w:left w:val="single" w:color="000000" w:sz="6" w:space="0"/>
            </w:tcBorders>
            <w:vAlign w:val="top"/>
          </w:tcPr>
          <w:p w14:paraId="13555642">
            <w:pPr>
              <w:rPr>
                <w:rFonts w:ascii="Arial"/>
                <w:sz w:val="21"/>
              </w:rPr>
            </w:pPr>
          </w:p>
        </w:tc>
        <w:tc>
          <w:tcPr>
            <w:tcW w:w="2962" w:type="dxa"/>
            <w:vAlign w:val="top"/>
          </w:tcPr>
          <w:p w14:paraId="460DBA58">
            <w:pPr>
              <w:rPr>
                <w:rFonts w:ascii="Arial"/>
                <w:sz w:val="21"/>
              </w:rPr>
            </w:pPr>
          </w:p>
        </w:tc>
        <w:tc>
          <w:tcPr>
            <w:tcW w:w="810" w:type="dxa"/>
            <w:vAlign w:val="top"/>
          </w:tcPr>
          <w:p w14:paraId="16916B37">
            <w:pPr>
              <w:rPr>
                <w:rFonts w:ascii="Arial"/>
                <w:sz w:val="21"/>
              </w:rPr>
            </w:pPr>
          </w:p>
        </w:tc>
        <w:tc>
          <w:tcPr>
            <w:tcW w:w="2020" w:type="dxa"/>
            <w:vAlign w:val="top"/>
          </w:tcPr>
          <w:p w14:paraId="0DE886EB">
            <w:pPr>
              <w:rPr>
                <w:rFonts w:ascii="Arial"/>
                <w:sz w:val="21"/>
              </w:rPr>
            </w:pPr>
          </w:p>
        </w:tc>
        <w:tc>
          <w:tcPr>
            <w:tcW w:w="693" w:type="dxa"/>
            <w:vAlign w:val="top"/>
          </w:tcPr>
          <w:p w14:paraId="056220FE">
            <w:pPr>
              <w:rPr>
                <w:rFonts w:ascii="Arial"/>
                <w:sz w:val="21"/>
              </w:rPr>
            </w:pPr>
          </w:p>
        </w:tc>
        <w:tc>
          <w:tcPr>
            <w:tcW w:w="1002" w:type="dxa"/>
            <w:vAlign w:val="top"/>
          </w:tcPr>
          <w:p w14:paraId="37DD1DE7">
            <w:pPr>
              <w:rPr>
                <w:rFonts w:ascii="Arial"/>
                <w:sz w:val="21"/>
              </w:rPr>
            </w:pPr>
          </w:p>
        </w:tc>
        <w:tc>
          <w:tcPr>
            <w:tcW w:w="1073" w:type="dxa"/>
            <w:tcBorders>
              <w:right w:val="single" w:color="000000" w:sz="6" w:space="0"/>
            </w:tcBorders>
            <w:vAlign w:val="top"/>
          </w:tcPr>
          <w:p w14:paraId="529AEC36">
            <w:pPr>
              <w:rPr>
                <w:rFonts w:ascii="Arial"/>
                <w:sz w:val="21"/>
              </w:rPr>
            </w:pPr>
          </w:p>
        </w:tc>
      </w:tr>
      <w:tr w14:paraId="7A91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C48AF74">
            <w:pPr>
              <w:rPr>
                <w:rFonts w:ascii="Arial"/>
                <w:sz w:val="21"/>
              </w:rPr>
            </w:pPr>
          </w:p>
        </w:tc>
        <w:tc>
          <w:tcPr>
            <w:tcW w:w="2962" w:type="dxa"/>
            <w:vAlign w:val="top"/>
          </w:tcPr>
          <w:p w14:paraId="5383B417">
            <w:pPr>
              <w:rPr>
                <w:rFonts w:ascii="Arial"/>
                <w:sz w:val="21"/>
              </w:rPr>
            </w:pPr>
          </w:p>
        </w:tc>
        <w:tc>
          <w:tcPr>
            <w:tcW w:w="810" w:type="dxa"/>
            <w:vAlign w:val="top"/>
          </w:tcPr>
          <w:p w14:paraId="32037758">
            <w:pPr>
              <w:rPr>
                <w:rFonts w:ascii="Arial"/>
                <w:sz w:val="21"/>
              </w:rPr>
            </w:pPr>
          </w:p>
        </w:tc>
        <w:tc>
          <w:tcPr>
            <w:tcW w:w="2020" w:type="dxa"/>
            <w:vAlign w:val="top"/>
          </w:tcPr>
          <w:p w14:paraId="3E0F97A8">
            <w:pPr>
              <w:rPr>
                <w:rFonts w:ascii="Arial"/>
                <w:sz w:val="21"/>
              </w:rPr>
            </w:pPr>
          </w:p>
        </w:tc>
        <w:tc>
          <w:tcPr>
            <w:tcW w:w="693" w:type="dxa"/>
            <w:vAlign w:val="top"/>
          </w:tcPr>
          <w:p w14:paraId="64F3017C">
            <w:pPr>
              <w:rPr>
                <w:rFonts w:ascii="Arial"/>
                <w:sz w:val="21"/>
              </w:rPr>
            </w:pPr>
          </w:p>
        </w:tc>
        <w:tc>
          <w:tcPr>
            <w:tcW w:w="1002" w:type="dxa"/>
            <w:vAlign w:val="top"/>
          </w:tcPr>
          <w:p w14:paraId="6B22885F">
            <w:pPr>
              <w:rPr>
                <w:rFonts w:ascii="Arial"/>
                <w:sz w:val="21"/>
              </w:rPr>
            </w:pPr>
          </w:p>
        </w:tc>
        <w:tc>
          <w:tcPr>
            <w:tcW w:w="1073" w:type="dxa"/>
            <w:tcBorders>
              <w:right w:val="single" w:color="000000" w:sz="6" w:space="0"/>
            </w:tcBorders>
            <w:vAlign w:val="top"/>
          </w:tcPr>
          <w:p w14:paraId="2C828DF6">
            <w:pPr>
              <w:rPr>
                <w:rFonts w:ascii="Arial"/>
                <w:sz w:val="21"/>
              </w:rPr>
            </w:pPr>
          </w:p>
        </w:tc>
      </w:tr>
      <w:tr w14:paraId="6102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9C47207">
            <w:pPr>
              <w:rPr>
                <w:rFonts w:ascii="Arial"/>
                <w:sz w:val="21"/>
              </w:rPr>
            </w:pPr>
          </w:p>
        </w:tc>
        <w:tc>
          <w:tcPr>
            <w:tcW w:w="2962" w:type="dxa"/>
            <w:vAlign w:val="top"/>
          </w:tcPr>
          <w:p w14:paraId="4BA071AA">
            <w:pPr>
              <w:rPr>
                <w:rFonts w:ascii="Arial"/>
                <w:sz w:val="21"/>
              </w:rPr>
            </w:pPr>
          </w:p>
        </w:tc>
        <w:tc>
          <w:tcPr>
            <w:tcW w:w="810" w:type="dxa"/>
            <w:vAlign w:val="top"/>
          </w:tcPr>
          <w:p w14:paraId="010FE7CA">
            <w:pPr>
              <w:rPr>
                <w:rFonts w:ascii="Arial"/>
                <w:sz w:val="21"/>
              </w:rPr>
            </w:pPr>
          </w:p>
        </w:tc>
        <w:tc>
          <w:tcPr>
            <w:tcW w:w="2020" w:type="dxa"/>
            <w:vAlign w:val="top"/>
          </w:tcPr>
          <w:p w14:paraId="0295CB79">
            <w:pPr>
              <w:rPr>
                <w:rFonts w:ascii="Arial"/>
                <w:sz w:val="21"/>
              </w:rPr>
            </w:pPr>
          </w:p>
        </w:tc>
        <w:tc>
          <w:tcPr>
            <w:tcW w:w="693" w:type="dxa"/>
            <w:vAlign w:val="top"/>
          </w:tcPr>
          <w:p w14:paraId="5C3F5FE6">
            <w:pPr>
              <w:rPr>
                <w:rFonts w:ascii="Arial"/>
                <w:sz w:val="21"/>
              </w:rPr>
            </w:pPr>
          </w:p>
        </w:tc>
        <w:tc>
          <w:tcPr>
            <w:tcW w:w="1002" w:type="dxa"/>
            <w:vAlign w:val="top"/>
          </w:tcPr>
          <w:p w14:paraId="450DD822">
            <w:pPr>
              <w:rPr>
                <w:rFonts w:ascii="Arial"/>
                <w:sz w:val="21"/>
              </w:rPr>
            </w:pPr>
          </w:p>
        </w:tc>
        <w:tc>
          <w:tcPr>
            <w:tcW w:w="1073" w:type="dxa"/>
            <w:tcBorders>
              <w:right w:val="single" w:color="000000" w:sz="6" w:space="0"/>
            </w:tcBorders>
            <w:vAlign w:val="top"/>
          </w:tcPr>
          <w:p w14:paraId="1F55583D">
            <w:pPr>
              <w:rPr>
                <w:rFonts w:ascii="Arial"/>
                <w:sz w:val="21"/>
              </w:rPr>
            </w:pPr>
          </w:p>
        </w:tc>
      </w:tr>
      <w:tr w14:paraId="5422F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5654CC24">
            <w:pPr>
              <w:rPr>
                <w:rFonts w:ascii="Arial"/>
                <w:sz w:val="21"/>
              </w:rPr>
            </w:pPr>
          </w:p>
        </w:tc>
        <w:tc>
          <w:tcPr>
            <w:tcW w:w="2962" w:type="dxa"/>
            <w:vAlign w:val="top"/>
          </w:tcPr>
          <w:p w14:paraId="73A40844">
            <w:pPr>
              <w:rPr>
                <w:rFonts w:ascii="Arial"/>
                <w:sz w:val="21"/>
              </w:rPr>
            </w:pPr>
          </w:p>
        </w:tc>
        <w:tc>
          <w:tcPr>
            <w:tcW w:w="810" w:type="dxa"/>
            <w:vAlign w:val="top"/>
          </w:tcPr>
          <w:p w14:paraId="2D665E55">
            <w:pPr>
              <w:rPr>
                <w:rFonts w:ascii="Arial"/>
                <w:sz w:val="21"/>
              </w:rPr>
            </w:pPr>
          </w:p>
        </w:tc>
        <w:tc>
          <w:tcPr>
            <w:tcW w:w="2020" w:type="dxa"/>
            <w:vAlign w:val="top"/>
          </w:tcPr>
          <w:p w14:paraId="4EB4F3D8">
            <w:pPr>
              <w:rPr>
                <w:rFonts w:ascii="Arial"/>
                <w:sz w:val="21"/>
              </w:rPr>
            </w:pPr>
          </w:p>
        </w:tc>
        <w:tc>
          <w:tcPr>
            <w:tcW w:w="693" w:type="dxa"/>
            <w:vAlign w:val="top"/>
          </w:tcPr>
          <w:p w14:paraId="5B071D00">
            <w:pPr>
              <w:rPr>
                <w:rFonts w:ascii="Arial"/>
                <w:sz w:val="21"/>
              </w:rPr>
            </w:pPr>
          </w:p>
        </w:tc>
        <w:tc>
          <w:tcPr>
            <w:tcW w:w="1002" w:type="dxa"/>
            <w:vAlign w:val="top"/>
          </w:tcPr>
          <w:p w14:paraId="761D8E56">
            <w:pPr>
              <w:rPr>
                <w:rFonts w:ascii="Arial"/>
                <w:sz w:val="21"/>
              </w:rPr>
            </w:pPr>
          </w:p>
        </w:tc>
        <w:tc>
          <w:tcPr>
            <w:tcW w:w="1073" w:type="dxa"/>
            <w:tcBorders>
              <w:right w:val="single" w:color="000000" w:sz="6" w:space="0"/>
            </w:tcBorders>
            <w:vAlign w:val="top"/>
          </w:tcPr>
          <w:p w14:paraId="5C56E1D9">
            <w:pPr>
              <w:rPr>
                <w:rFonts w:ascii="Arial"/>
                <w:sz w:val="21"/>
              </w:rPr>
            </w:pPr>
          </w:p>
        </w:tc>
      </w:tr>
      <w:tr w14:paraId="2B92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FC87846">
            <w:pPr>
              <w:rPr>
                <w:rFonts w:ascii="Arial"/>
                <w:sz w:val="21"/>
              </w:rPr>
            </w:pPr>
          </w:p>
        </w:tc>
        <w:tc>
          <w:tcPr>
            <w:tcW w:w="2962" w:type="dxa"/>
            <w:vAlign w:val="top"/>
          </w:tcPr>
          <w:p w14:paraId="7534FF8A">
            <w:pPr>
              <w:rPr>
                <w:rFonts w:ascii="Arial"/>
                <w:sz w:val="21"/>
              </w:rPr>
            </w:pPr>
          </w:p>
        </w:tc>
        <w:tc>
          <w:tcPr>
            <w:tcW w:w="810" w:type="dxa"/>
            <w:vAlign w:val="top"/>
          </w:tcPr>
          <w:p w14:paraId="6EF01160">
            <w:pPr>
              <w:rPr>
                <w:rFonts w:ascii="Arial"/>
                <w:sz w:val="21"/>
              </w:rPr>
            </w:pPr>
          </w:p>
        </w:tc>
        <w:tc>
          <w:tcPr>
            <w:tcW w:w="2020" w:type="dxa"/>
            <w:vAlign w:val="top"/>
          </w:tcPr>
          <w:p w14:paraId="447133C3">
            <w:pPr>
              <w:rPr>
                <w:rFonts w:ascii="Arial"/>
                <w:sz w:val="21"/>
              </w:rPr>
            </w:pPr>
          </w:p>
        </w:tc>
        <w:tc>
          <w:tcPr>
            <w:tcW w:w="693" w:type="dxa"/>
            <w:vAlign w:val="top"/>
          </w:tcPr>
          <w:p w14:paraId="4C193702">
            <w:pPr>
              <w:rPr>
                <w:rFonts w:ascii="Arial"/>
                <w:sz w:val="21"/>
              </w:rPr>
            </w:pPr>
          </w:p>
        </w:tc>
        <w:tc>
          <w:tcPr>
            <w:tcW w:w="1002" w:type="dxa"/>
            <w:vAlign w:val="top"/>
          </w:tcPr>
          <w:p w14:paraId="457CC8B2">
            <w:pPr>
              <w:rPr>
                <w:rFonts w:ascii="Arial"/>
                <w:sz w:val="21"/>
              </w:rPr>
            </w:pPr>
          </w:p>
        </w:tc>
        <w:tc>
          <w:tcPr>
            <w:tcW w:w="1073" w:type="dxa"/>
            <w:tcBorders>
              <w:right w:val="single" w:color="000000" w:sz="6" w:space="0"/>
            </w:tcBorders>
            <w:vAlign w:val="top"/>
          </w:tcPr>
          <w:p w14:paraId="557E5A53">
            <w:pPr>
              <w:rPr>
                <w:rFonts w:ascii="Arial"/>
                <w:sz w:val="21"/>
              </w:rPr>
            </w:pPr>
          </w:p>
        </w:tc>
      </w:tr>
      <w:tr w14:paraId="6AAB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1457A370">
            <w:pPr>
              <w:rPr>
                <w:rFonts w:ascii="Arial"/>
                <w:sz w:val="21"/>
              </w:rPr>
            </w:pPr>
          </w:p>
        </w:tc>
        <w:tc>
          <w:tcPr>
            <w:tcW w:w="2962" w:type="dxa"/>
            <w:vAlign w:val="top"/>
          </w:tcPr>
          <w:p w14:paraId="67D026E6">
            <w:pPr>
              <w:rPr>
                <w:rFonts w:ascii="Arial"/>
                <w:sz w:val="21"/>
              </w:rPr>
            </w:pPr>
          </w:p>
        </w:tc>
        <w:tc>
          <w:tcPr>
            <w:tcW w:w="810" w:type="dxa"/>
            <w:vAlign w:val="top"/>
          </w:tcPr>
          <w:p w14:paraId="14EAFBBB">
            <w:pPr>
              <w:rPr>
                <w:rFonts w:ascii="Arial"/>
                <w:sz w:val="21"/>
              </w:rPr>
            </w:pPr>
          </w:p>
        </w:tc>
        <w:tc>
          <w:tcPr>
            <w:tcW w:w="2020" w:type="dxa"/>
            <w:vAlign w:val="top"/>
          </w:tcPr>
          <w:p w14:paraId="1CE9306F">
            <w:pPr>
              <w:rPr>
                <w:rFonts w:ascii="Arial"/>
                <w:sz w:val="21"/>
              </w:rPr>
            </w:pPr>
          </w:p>
        </w:tc>
        <w:tc>
          <w:tcPr>
            <w:tcW w:w="693" w:type="dxa"/>
            <w:vAlign w:val="top"/>
          </w:tcPr>
          <w:p w14:paraId="5E638AA9">
            <w:pPr>
              <w:rPr>
                <w:rFonts w:ascii="Arial"/>
                <w:sz w:val="21"/>
              </w:rPr>
            </w:pPr>
          </w:p>
        </w:tc>
        <w:tc>
          <w:tcPr>
            <w:tcW w:w="1002" w:type="dxa"/>
            <w:vAlign w:val="top"/>
          </w:tcPr>
          <w:p w14:paraId="55922FC2">
            <w:pPr>
              <w:rPr>
                <w:rFonts w:ascii="Arial"/>
                <w:sz w:val="21"/>
              </w:rPr>
            </w:pPr>
          </w:p>
        </w:tc>
        <w:tc>
          <w:tcPr>
            <w:tcW w:w="1073" w:type="dxa"/>
            <w:tcBorders>
              <w:right w:val="single" w:color="000000" w:sz="6" w:space="0"/>
            </w:tcBorders>
            <w:vAlign w:val="top"/>
          </w:tcPr>
          <w:p w14:paraId="3B3E1442">
            <w:pPr>
              <w:rPr>
                <w:rFonts w:ascii="Arial"/>
                <w:sz w:val="21"/>
              </w:rPr>
            </w:pPr>
          </w:p>
        </w:tc>
      </w:tr>
      <w:tr w14:paraId="52E7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76" w:type="dxa"/>
            <w:tcBorders>
              <w:left w:val="single" w:color="000000" w:sz="6" w:space="0"/>
            </w:tcBorders>
            <w:vAlign w:val="top"/>
          </w:tcPr>
          <w:p w14:paraId="2DAFDC7A">
            <w:pPr>
              <w:rPr>
                <w:rFonts w:ascii="Arial"/>
                <w:sz w:val="21"/>
              </w:rPr>
            </w:pPr>
          </w:p>
        </w:tc>
        <w:tc>
          <w:tcPr>
            <w:tcW w:w="2962" w:type="dxa"/>
            <w:vAlign w:val="top"/>
          </w:tcPr>
          <w:p w14:paraId="42ED2317">
            <w:pPr>
              <w:rPr>
                <w:rFonts w:ascii="Arial"/>
                <w:sz w:val="21"/>
              </w:rPr>
            </w:pPr>
          </w:p>
        </w:tc>
        <w:tc>
          <w:tcPr>
            <w:tcW w:w="810" w:type="dxa"/>
            <w:vAlign w:val="top"/>
          </w:tcPr>
          <w:p w14:paraId="240E99DF">
            <w:pPr>
              <w:rPr>
                <w:rFonts w:ascii="Arial"/>
                <w:sz w:val="21"/>
              </w:rPr>
            </w:pPr>
          </w:p>
        </w:tc>
        <w:tc>
          <w:tcPr>
            <w:tcW w:w="2020" w:type="dxa"/>
            <w:vAlign w:val="top"/>
          </w:tcPr>
          <w:p w14:paraId="709D69D5">
            <w:pPr>
              <w:rPr>
                <w:rFonts w:ascii="Arial"/>
                <w:sz w:val="21"/>
              </w:rPr>
            </w:pPr>
          </w:p>
        </w:tc>
        <w:tc>
          <w:tcPr>
            <w:tcW w:w="693" w:type="dxa"/>
            <w:vAlign w:val="top"/>
          </w:tcPr>
          <w:p w14:paraId="300FB651">
            <w:pPr>
              <w:rPr>
                <w:rFonts w:ascii="Arial"/>
                <w:sz w:val="21"/>
              </w:rPr>
            </w:pPr>
          </w:p>
        </w:tc>
        <w:tc>
          <w:tcPr>
            <w:tcW w:w="1002" w:type="dxa"/>
            <w:vAlign w:val="top"/>
          </w:tcPr>
          <w:p w14:paraId="4F5A007A">
            <w:pPr>
              <w:rPr>
                <w:rFonts w:ascii="Arial"/>
                <w:sz w:val="21"/>
              </w:rPr>
            </w:pPr>
          </w:p>
        </w:tc>
        <w:tc>
          <w:tcPr>
            <w:tcW w:w="1073" w:type="dxa"/>
            <w:tcBorders>
              <w:right w:val="single" w:color="000000" w:sz="6" w:space="0"/>
            </w:tcBorders>
            <w:vAlign w:val="top"/>
          </w:tcPr>
          <w:p w14:paraId="313EA5BA">
            <w:pPr>
              <w:rPr>
                <w:rFonts w:ascii="Arial"/>
                <w:sz w:val="21"/>
              </w:rPr>
            </w:pPr>
          </w:p>
        </w:tc>
      </w:tr>
      <w:tr w14:paraId="4809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6DA11A6">
            <w:pPr>
              <w:rPr>
                <w:rFonts w:ascii="Arial"/>
                <w:sz w:val="21"/>
              </w:rPr>
            </w:pPr>
          </w:p>
        </w:tc>
        <w:tc>
          <w:tcPr>
            <w:tcW w:w="2962" w:type="dxa"/>
            <w:vAlign w:val="top"/>
          </w:tcPr>
          <w:p w14:paraId="69138E1C">
            <w:pPr>
              <w:rPr>
                <w:rFonts w:ascii="Arial"/>
                <w:sz w:val="21"/>
              </w:rPr>
            </w:pPr>
          </w:p>
        </w:tc>
        <w:tc>
          <w:tcPr>
            <w:tcW w:w="810" w:type="dxa"/>
            <w:vAlign w:val="top"/>
          </w:tcPr>
          <w:p w14:paraId="6DFC5143">
            <w:pPr>
              <w:rPr>
                <w:rFonts w:ascii="Arial"/>
                <w:sz w:val="21"/>
              </w:rPr>
            </w:pPr>
          </w:p>
        </w:tc>
        <w:tc>
          <w:tcPr>
            <w:tcW w:w="2020" w:type="dxa"/>
            <w:vAlign w:val="top"/>
          </w:tcPr>
          <w:p w14:paraId="577D7870">
            <w:pPr>
              <w:rPr>
                <w:rFonts w:ascii="Arial"/>
                <w:sz w:val="21"/>
              </w:rPr>
            </w:pPr>
          </w:p>
        </w:tc>
        <w:tc>
          <w:tcPr>
            <w:tcW w:w="693" w:type="dxa"/>
            <w:vAlign w:val="top"/>
          </w:tcPr>
          <w:p w14:paraId="46DE4F0A">
            <w:pPr>
              <w:rPr>
                <w:rFonts w:ascii="Arial"/>
                <w:sz w:val="21"/>
              </w:rPr>
            </w:pPr>
          </w:p>
        </w:tc>
        <w:tc>
          <w:tcPr>
            <w:tcW w:w="1002" w:type="dxa"/>
            <w:vAlign w:val="top"/>
          </w:tcPr>
          <w:p w14:paraId="7C870864">
            <w:pPr>
              <w:rPr>
                <w:rFonts w:ascii="Arial"/>
                <w:sz w:val="21"/>
              </w:rPr>
            </w:pPr>
          </w:p>
        </w:tc>
        <w:tc>
          <w:tcPr>
            <w:tcW w:w="1073" w:type="dxa"/>
            <w:tcBorders>
              <w:right w:val="single" w:color="000000" w:sz="6" w:space="0"/>
            </w:tcBorders>
            <w:vAlign w:val="top"/>
          </w:tcPr>
          <w:p w14:paraId="57644E8F">
            <w:pPr>
              <w:rPr>
                <w:rFonts w:ascii="Arial"/>
                <w:sz w:val="21"/>
              </w:rPr>
            </w:pPr>
          </w:p>
        </w:tc>
      </w:tr>
      <w:tr w14:paraId="328C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DB42E70">
            <w:pPr>
              <w:rPr>
                <w:rFonts w:ascii="Arial"/>
                <w:sz w:val="21"/>
              </w:rPr>
            </w:pPr>
          </w:p>
        </w:tc>
        <w:tc>
          <w:tcPr>
            <w:tcW w:w="2962" w:type="dxa"/>
            <w:vAlign w:val="top"/>
          </w:tcPr>
          <w:p w14:paraId="73692912">
            <w:pPr>
              <w:rPr>
                <w:rFonts w:ascii="Arial"/>
                <w:sz w:val="21"/>
              </w:rPr>
            </w:pPr>
          </w:p>
        </w:tc>
        <w:tc>
          <w:tcPr>
            <w:tcW w:w="810" w:type="dxa"/>
            <w:vAlign w:val="top"/>
          </w:tcPr>
          <w:p w14:paraId="688C50C7">
            <w:pPr>
              <w:rPr>
                <w:rFonts w:ascii="Arial"/>
                <w:sz w:val="21"/>
              </w:rPr>
            </w:pPr>
          </w:p>
        </w:tc>
        <w:tc>
          <w:tcPr>
            <w:tcW w:w="2020" w:type="dxa"/>
            <w:vAlign w:val="top"/>
          </w:tcPr>
          <w:p w14:paraId="1AF94B84">
            <w:pPr>
              <w:rPr>
                <w:rFonts w:ascii="Arial"/>
                <w:sz w:val="21"/>
              </w:rPr>
            </w:pPr>
          </w:p>
        </w:tc>
        <w:tc>
          <w:tcPr>
            <w:tcW w:w="693" w:type="dxa"/>
            <w:vAlign w:val="top"/>
          </w:tcPr>
          <w:p w14:paraId="36FC772F">
            <w:pPr>
              <w:rPr>
                <w:rFonts w:ascii="Arial"/>
                <w:sz w:val="21"/>
              </w:rPr>
            </w:pPr>
          </w:p>
        </w:tc>
        <w:tc>
          <w:tcPr>
            <w:tcW w:w="1002" w:type="dxa"/>
            <w:vAlign w:val="top"/>
          </w:tcPr>
          <w:p w14:paraId="7E662065">
            <w:pPr>
              <w:rPr>
                <w:rFonts w:ascii="Arial"/>
                <w:sz w:val="21"/>
              </w:rPr>
            </w:pPr>
          </w:p>
        </w:tc>
        <w:tc>
          <w:tcPr>
            <w:tcW w:w="1073" w:type="dxa"/>
            <w:tcBorders>
              <w:right w:val="single" w:color="000000" w:sz="6" w:space="0"/>
            </w:tcBorders>
            <w:vAlign w:val="top"/>
          </w:tcPr>
          <w:p w14:paraId="0A64FE71">
            <w:pPr>
              <w:rPr>
                <w:rFonts w:ascii="Arial"/>
                <w:sz w:val="21"/>
              </w:rPr>
            </w:pPr>
          </w:p>
        </w:tc>
      </w:tr>
      <w:tr w14:paraId="394E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6962F8F">
            <w:pPr>
              <w:rPr>
                <w:rFonts w:ascii="Arial"/>
                <w:sz w:val="21"/>
              </w:rPr>
            </w:pPr>
          </w:p>
        </w:tc>
        <w:tc>
          <w:tcPr>
            <w:tcW w:w="2962" w:type="dxa"/>
            <w:vAlign w:val="top"/>
          </w:tcPr>
          <w:p w14:paraId="69FB05ED">
            <w:pPr>
              <w:rPr>
                <w:rFonts w:ascii="Arial"/>
                <w:sz w:val="21"/>
              </w:rPr>
            </w:pPr>
          </w:p>
        </w:tc>
        <w:tc>
          <w:tcPr>
            <w:tcW w:w="810" w:type="dxa"/>
            <w:vAlign w:val="top"/>
          </w:tcPr>
          <w:p w14:paraId="20A42A7C">
            <w:pPr>
              <w:rPr>
                <w:rFonts w:ascii="Arial"/>
                <w:sz w:val="21"/>
              </w:rPr>
            </w:pPr>
          </w:p>
        </w:tc>
        <w:tc>
          <w:tcPr>
            <w:tcW w:w="2020" w:type="dxa"/>
            <w:vAlign w:val="top"/>
          </w:tcPr>
          <w:p w14:paraId="04A0D818">
            <w:pPr>
              <w:rPr>
                <w:rFonts w:ascii="Arial"/>
                <w:sz w:val="21"/>
              </w:rPr>
            </w:pPr>
          </w:p>
        </w:tc>
        <w:tc>
          <w:tcPr>
            <w:tcW w:w="693" w:type="dxa"/>
            <w:vAlign w:val="top"/>
          </w:tcPr>
          <w:p w14:paraId="7D92ABAC">
            <w:pPr>
              <w:rPr>
                <w:rFonts w:ascii="Arial"/>
                <w:sz w:val="21"/>
              </w:rPr>
            </w:pPr>
          </w:p>
        </w:tc>
        <w:tc>
          <w:tcPr>
            <w:tcW w:w="1002" w:type="dxa"/>
            <w:vAlign w:val="top"/>
          </w:tcPr>
          <w:p w14:paraId="5E84203F">
            <w:pPr>
              <w:rPr>
                <w:rFonts w:ascii="Arial"/>
                <w:sz w:val="21"/>
              </w:rPr>
            </w:pPr>
          </w:p>
        </w:tc>
        <w:tc>
          <w:tcPr>
            <w:tcW w:w="1073" w:type="dxa"/>
            <w:tcBorders>
              <w:right w:val="single" w:color="000000" w:sz="6" w:space="0"/>
            </w:tcBorders>
            <w:vAlign w:val="top"/>
          </w:tcPr>
          <w:p w14:paraId="4F5B07DC">
            <w:pPr>
              <w:rPr>
                <w:rFonts w:ascii="Arial"/>
                <w:sz w:val="21"/>
              </w:rPr>
            </w:pPr>
          </w:p>
        </w:tc>
      </w:tr>
      <w:tr w14:paraId="050F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7C6D7FF">
            <w:pPr>
              <w:rPr>
                <w:rFonts w:ascii="Arial"/>
                <w:sz w:val="21"/>
              </w:rPr>
            </w:pPr>
          </w:p>
        </w:tc>
        <w:tc>
          <w:tcPr>
            <w:tcW w:w="2962" w:type="dxa"/>
            <w:vAlign w:val="top"/>
          </w:tcPr>
          <w:p w14:paraId="4B92B578">
            <w:pPr>
              <w:rPr>
                <w:rFonts w:ascii="Arial"/>
                <w:sz w:val="21"/>
              </w:rPr>
            </w:pPr>
          </w:p>
        </w:tc>
        <w:tc>
          <w:tcPr>
            <w:tcW w:w="810" w:type="dxa"/>
            <w:vAlign w:val="top"/>
          </w:tcPr>
          <w:p w14:paraId="67C2D536">
            <w:pPr>
              <w:rPr>
                <w:rFonts w:ascii="Arial"/>
                <w:sz w:val="21"/>
              </w:rPr>
            </w:pPr>
          </w:p>
        </w:tc>
        <w:tc>
          <w:tcPr>
            <w:tcW w:w="2020" w:type="dxa"/>
            <w:vAlign w:val="top"/>
          </w:tcPr>
          <w:p w14:paraId="6637E248">
            <w:pPr>
              <w:rPr>
                <w:rFonts w:ascii="Arial"/>
                <w:sz w:val="21"/>
              </w:rPr>
            </w:pPr>
          </w:p>
        </w:tc>
        <w:tc>
          <w:tcPr>
            <w:tcW w:w="693" w:type="dxa"/>
            <w:vAlign w:val="top"/>
          </w:tcPr>
          <w:p w14:paraId="50C217BD">
            <w:pPr>
              <w:rPr>
                <w:rFonts w:ascii="Arial"/>
                <w:sz w:val="21"/>
              </w:rPr>
            </w:pPr>
          </w:p>
        </w:tc>
        <w:tc>
          <w:tcPr>
            <w:tcW w:w="1002" w:type="dxa"/>
            <w:vAlign w:val="top"/>
          </w:tcPr>
          <w:p w14:paraId="3A723E73">
            <w:pPr>
              <w:rPr>
                <w:rFonts w:ascii="Arial"/>
                <w:sz w:val="21"/>
              </w:rPr>
            </w:pPr>
          </w:p>
        </w:tc>
        <w:tc>
          <w:tcPr>
            <w:tcW w:w="1073" w:type="dxa"/>
            <w:tcBorders>
              <w:right w:val="single" w:color="000000" w:sz="6" w:space="0"/>
            </w:tcBorders>
            <w:vAlign w:val="top"/>
          </w:tcPr>
          <w:p w14:paraId="224E3668">
            <w:pPr>
              <w:rPr>
                <w:rFonts w:ascii="Arial"/>
                <w:sz w:val="21"/>
              </w:rPr>
            </w:pPr>
          </w:p>
        </w:tc>
      </w:tr>
      <w:tr w14:paraId="0E72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63DB9B4A">
            <w:pPr>
              <w:rPr>
                <w:rFonts w:ascii="Arial"/>
                <w:sz w:val="21"/>
              </w:rPr>
            </w:pPr>
          </w:p>
        </w:tc>
        <w:tc>
          <w:tcPr>
            <w:tcW w:w="2962" w:type="dxa"/>
            <w:vAlign w:val="top"/>
          </w:tcPr>
          <w:p w14:paraId="1E2E5B92">
            <w:pPr>
              <w:rPr>
                <w:rFonts w:ascii="Arial"/>
                <w:sz w:val="21"/>
              </w:rPr>
            </w:pPr>
          </w:p>
        </w:tc>
        <w:tc>
          <w:tcPr>
            <w:tcW w:w="810" w:type="dxa"/>
            <w:vAlign w:val="top"/>
          </w:tcPr>
          <w:p w14:paraId="3AE75ED3">
            <w:pPr>
              <w:rPr>
                <w:rFonts w:ascii="Arial"/>
                <w:sz w:val="21"/>
              </w:rPr>
            </w:pPr>
          </w:p>
        </w:tc>
        <w:tc>
          <w:tcPr>
            <w:tcW w:w="2020" w:type="dxa"/>
            <w:vAlign w:val="top"/>
          </w:tcPr>
          <w:p w14:paraId="0388AFB6">
            <w:pPr>
              <w:rPr>
                <w:rFonts w:ascii="Arial"/>
                <w:sz w:val="21"/>
              </w:rPr>
            </w:pPr>
          </w:p>
        </w:tc>
        <w:tc>
          <w:tcPr>
            <w:tcW w:w="693" w:type="dxa"/>
            <w:vAlign w:val="top"/>
          </w:tcPr>
          <w:p w14:paraId="002CFE86">
            <w:pPr>
              <w:rPr>
                <w:rFonts w:ascii="Arial"/>
                <w:sz w:val="21"/>
              </w:rPr>
            </w:pPr>
          </w:p>
        </w:tc>
        <w:tc>
          <w:tcPr>
            <w:tcW w:w="1002" w:type="dxa"/>
            <w:vAlign w:val="top"/>
          </w:tcPr>
          <w:p w14:paraId="29D255D7">
            <w:pPr>
              <w:rPr>
                <w:rFonts w:ascii="Arial"/>
                <w:sz w:val="21"/>
              </w:rPr>
            </w:pPr>
          </w:p>
        </w:tc>
        <w:tc>
          <w:tcPr>
            <w:tcW w:w="1073" w:type="dxa"/>
            <w:tcBorders>
              <w:right w:val="single" w:color="000000" w:sz="6" w:space="0"/>
            </w:tcBorders>
            <w:vAlign w:val="top"/>
          </w:tcPr>
          <w:p w14:paraId="18A59DD5">
            <w:pPr>
              <w:rPr>
                <w:rFonts w:ascii="Arial"/>
                <w:sz w:val="21"/>
              </w:rPr>
            </w:pPr>
          </w:p>
        </w:tc>
      </w:tr>
      <w:tr w14:paraId="2C439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76" w:type="dxa"/>
            <w:tcBorders>
              <w:left w:val="single" w:color="000000" w:sz="6" w:space="0"/>
            </w:tcBorders>
            <w:vAlign w:val="top"/>
          </w:tcPr>
          <w:p w14:paraId="0172857F">
            <w:pPr>
              <w:rPr>
                <w:rFonts w:ascii="Arial"/>
                <w:sz w:val="21"/>
              </w:rPr>
            </w:pPr>
          </w:p>
        </w:tc>
        <w:tc>
          <w:tcPr>
            <w:tcW w:w="2962" w:type="dxa"/>
            <w:vAlign w:val="top"/>
          </w:tcPr>
          <w:p w14:paraId="2628014B">
            <w:pPr>
              <w:rPr>
                <w:rFonts w:ascii="Arial"/>
                <w:sz w:val="21"/>
              </w:rPr>
            </w:pPr>
          </w:p>
        </w:tc>
        <w:tc>
          <w:tcPr>
            <w:tcW w:w="810" w:type="dxa"/>
            <w:vAlign w:val="top"/>
          </w:tcPr>
          <w:p w14:paraId="0709E5B0">
            <w:pPr>
              <w:rPr>
                <w:rFonts w:ascii="Arial"/>
                <w:sz w:val="21"/>
              </w:rPr>
            </w:pPr>
          </w:p>
        </w:tc>
        <w:tc>
          <w:tcPr>
            <w:tcW w:w="2020" w:type="dxa"/>
            <w:vAlign w:val="top"/>
          </w:tcPr>
          <w:p w14:paraId="0962231B">
            <w:pPr>
              <w:rPr>
                <w:rFonts w:ascii="Arial"/>
                <w:sz w:val="21"/>
              </w:rPr>
            </w:pPr>
          </w:p>
        </w:tc>
        <w:tc>
          <w:tcPr>
            <w:tcW w:w="693" w:type="dxa"/>
            <w:vAlign w:val="top"/>
          </w:tcPr>
          <w:p w14:paraId="59CCB9B3">
            <w:pPr>
              <w:rPr>
                <w:rFonts w:ascii="Arial"/>
                <w:sz w:val="21"/>
              </w:rPr>
            </w:pPr>
          </w:p>
        </w:tc>
        <w:tc>
          <w:tcPr>
            <w:tcW w:w="1002" w:type="dxa"/>
            <w:vAlign w:val="top"/>
          </w:tcPr>
          <w:p w14:paraId="116F2EE2">
            <w:pPr>
              <w:rPr>
                <w:rFonts w:ascii="Arial"/>
                <w:sz w:val="21"/>
              </w:rPr>
            </w:pPr>
          </w:p>
        </w:tc>
        <w:tc>
          <w:tcPr>
            <w:tcW w:w="1073" w:type="dxa"/>
            <w:tcBorders>
              <w:right w:val="single" w:color="000000" w:sz="6" w:space="0"/>
            </w:tcBorders>
            <w:vAlign w:val="top"/>
          </w:tcPr>
          <w:p w14:paraId="1B92C0CB">
            <w:pPr>
              <w:rPr>
                <w:rFonts w:ascii="Arial"/>
                <w:sz w:val="21"/>
              </w:rPr>
            </w:pPr>
          </w:p>
        </w:tc>
      </w:tr>
      <w:tr w14:paraId="0469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31DE567">
            <w:pPr>
              <w:rPr>
                <w:rFonts w:ascii="Arial"/>
                <w:sz w:val="21"/>
              </w:rPr>
            </w:pPr>
          </w:p>
        </w:tc>
        <w:tc>
          <w:tcPr>
            <w:tcW w:w="2962" w:type="dxa"/>
            <w:vAlign w:val="top"/>
          </w:tcPr>
          <w:p w14:paraId="241FFAEF">
            <w:pPr>
              <w:rPr>
                <w:rFonts w:ascii="Arial"/>
                <w:sz w:val="21"/>
              </w:rPr>
            </w:pPr>
          </w:p>
        </w:tc>
        <w:tc>
          <w:tcPr>
            <w:tcW w:w="810" w:type="dxa"/>
            <w:vAlign w:val="top"/>
          </w:tcPr>
          <w:p w14:paraId="3BF86EB1">
            <w:pPr>
              <w:rPr>
                <w:rFonts w:ascii="Arial"/>
                <w:sz w:val="21"/>
              </w:rPr>
            </w:pPr>
          </w:p>
        </w:tc>
        <w:tc>
          <w:tcPr>
            <w:tcW w:w="2020" w:type="dxa"/>
            <w:vAlign w:val="top"/>
          </w:tcPr>
          <w:p w14:paraId="06C0D8BD">
            <w:pPr>
              <w:rPr>
                <w:rFonts w:ascii="Arial"/>
                <w:sz w:val="21"/>
              </w:rPr>
            </w:pPr>
          </w:p>
        </w:tc>
        <w:tc>
          <w:tcPr>
            <w:tcW w:w="693" w:type="dxa"/>
            <w:vAlign w:val="top"/>
          </w:tcPr>
          <w:p w14:paraId="657710A4">
            <w:pPr>
              <w:rPr>
                <w:rFonts w:ascii="Arial"/>
                <w:sz w:val="21"/>
              </w:rPr>
            </w:pPr>
          </w:p>
        </w:tc>
        <w:tc>
          <w:tcPr>
            <w:tcW w:w="1002" w:type="dxa"/>
            <w:vAlign w:val="top"/>
          </w:tcPr>
          <w:p w14:paraId="1EC5290E">
            <w:pPr>
              <w:rPr>
                <w:rFonts w:ascii="Arial"/>
                <w:sz w:val="21"/>
              </w:rPr>
            </w:pPr>
          </w:p>
        </w:tc>
        <w:tc>
          <w:tcPr>
            <w:tcW w:w="1073" w:type="dxa"/>
            <w:tcBorders>
              <w:right w:val="single" w:color="000000" w:sz="6" w:space="0"/>
            </w:tcBorders>
            <w:vAlign w:val="top"/>
          </w:tcPr>
          <w:p w14:paraId="528DE9E6">
            <w:pPr>
              <w:rPr>
                <w:rFonts w:ascii="Arial"/>
                <w:sz w:val="21"/>
              </w:rPr>
            </w:pPr>
          </w:p>
        </w:tc>
      </w:tr>
      <w:tr w14:paraId="1212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67DF7D55">
            <w:pPr>
              <w:rPr>
                <w:rFonts w:ascii="Arial"/>
                <w:sz w:val="21"/>
              </w:rPr>
            </w:pPr>
          </w:p>
        </w:tc>
        <w:tc>
          <w:tcPr>
            <w:tcW w:w="2962" w:type="dxa"/>
            <w:vAlign w:val="top"/>
          </w:tcPr>
          <w:p w14:paraId="332E7941">
            <w:pPr>
              <w:rPr>
                <w:rFonts w:ascii="Arial"/>
                <w:sz w:val="21"/>
              </w:rPr>
            </w:pPr>
          </w:p>
        </w:tc>
        <w:tc>
          <w:tcPr>
            <w:tcW w:w="810" w:type="dxa"/>
            <w:vAlign w:val="top"/>
          </w:tcPr>
          <w:p w14:paraId="07B0C472">
            <w:pPr>
              <w:rPr>
                <w:rFonts w:ascii="Arial"/>
                <w:sz w:val="21"/>
              </w:rPr>
            </w:pPr>
          </w:p>
        </w:tc>
        <w:tc>
          <w:tcPr>
            <w:tcW w:w="2020" w:type="dxa"/>
            <w:vAlign w:val="top"/>
          </w:tcPr>
          <w:p w14:paraId="56730C39">
            <w:pPr>
              <w:rPr>
                <w:rFonts w:ascii="Arial"/>
                <w:sz w:val="21"/>
              </w:rPr>
            </w:pPr>
          </w:p>
        </w:tc>
        <w:tc>
          <w:tcPr>
            <w:tcW w:w="693" w:type="dxa"/>
            <w:vAlign w:val="top"/>
          </w:tcPr>
          <w:p w14:paraId="200724ED">
            <w:pPr>
              <w:rPr>
                <w:rFonts w:ascii="Arial"/>
                <w:sz w:val="21"/>
              </w:rPr>
            </w:pPr>
          </w:p>
        </w:tc>
        <w:tc>
          <w:tcPr>
            <w:tcW w:w="1002" w:type="dxa"/>
            <w:vAlign w:val="top"/>
          </w:tcPr>
          <w:p w14:paraId="383A264B">
            <w:pPr>
              <w:rPr>
                <w:rFonts w:ascii="Arial"/>
                <w:sz w:val="21"/>
              </w:rPr>
            </w:pPr>
          </w:p>
        </w:tc>
        <w:tc>
          <w:tcPr>
            <w:tcW w:w="1073" w:type="dxa"/>
            <w:tcBorders>
              <w:right w:val="single" w:color="000000" w:sz="6" w:space="0"/>
            </w:tcBorders>
            <w:vAlign w:val="top"/>
          </w:tcPr>
          <w:p w14:paraId="7C046A0F">
            <w:pPr>
              <w:rPr>
                <w:rFonts w:ascii="Arial"/>
                <w:sz w:val="21"/>
              </w:rPr>
            </w:pPr>
          </w:p>
        </w:tc>
      </w:tr>
      <w:tr w14:paraId="741C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077299FC">
            <w:pPr>
              <w:rPr>
                <w:rFonts w:ascii="Arial"/>
                <w:sz w:val="21"/>
              </w:rPr>
            </w:pPr>
          </w:p>
        </w:tc>
        <w:tc>
          <w:tcPr>
            <w:tcW w:w="2962" w:type="dxa"/>
            <w:vAlign w:val="top"/>
          </w:tcPr>
          <w:p w14:paraId="0574B02B">
            <w:pPr>
              <w:rPr>
                <w:rFonts w:ascii="Arial"/>
                <w:sz w:val="21"/>
              </w:rPr>
            </w:pPr>
          </w:p>
        </w:tc>
        <w:tc>
          <w:tcPr>
            <w:tcW w:w="810" w:type="dxa"/>
            <w:vAlign w:val="top"/>
          </w:tcPr>
          <w:p w14:paraId="4B6073B6">
            <w:pPr>
              <w:rPr>
                <w:rFonts w:ascii="Arial"/>
                <w:sz w:val="21"/>
              </w:rPr>
            </w:pPr>
          </w:p>
        </w:tc>
        <w:tc>
          <w:tcPr>
            <w:tcW w:w="2020" w:type="dxa"/>
            <w:vAlign w:val="top"/>
          </w:tcPr>
          <w:p w14:paraId="24B65E37">
            <w:pPr>
              <w:rPr>
                <w:rFonts w:ascii="Arial"/>
                <w:sz w:val="21"/>
              </w:rPr>
            </w:pPr>
          </w:p>
        </w:tc>
        <w:tc>
          <w:tcPr>
            <w:tcW w:w="693" w:type="dxa"/>
            <w:vAlign w:val="top"/>
          </w:tcPr>
          <w:p w14:paraId="39E65D99">
            <w:pPr>
              <w:rPr>
                <w:rFonts w:ascii="Arial"/>
                <w:sz w:val="21"/>
              </w:rPr>
            </w:pPr>
          </w:p>
        </w:tc>
        <w:tc>
          <w:tcPr>
            <w:tcW w:w="1002" w:type="dxa"/>
            <w:vAlign w:val="top"/>
          </w:tcPr>
          <w:p w14:paraId="2172B9B9">
            <w:pPr>
              <w:rPr>
                <w:rFonts w:ascii="Arial"/>
                <w:sz w:val="21"/>
              </w:rPr>
            </w:pPr>
          </w:p>
        </w:tc>
        <w:tc>
          <w:tcPr>
            <w:tcW w:w="1073" w:type="dxa"/>
            <w:tcBorders>
              <w:right w:val="single" w:color="000000" w:sz="6" w:space="0"/>
            </w:tcBorders>
            <w:vAlign w:val="top"/>
          </w:tcPr>
          <w:p w14:paraId="75790AAE">
            <w:pPr>
              <w:rPr>
                <w:rFonts w:ascii="Arial"/>
                <w:sz w:val="21"/>
              </w:rPr>
            </w:pPr>
          </w:p>
        </w:tc>
      </w:tr>
      <w:tr w14:paraId="2D45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96F36CD">
            <w:pPr>
              <w:rPr>
                <w:rFonts w:ascii="Arial"/>
                <w:sz w:val="21"/>
              </w:rPr>
            </w:pPr>
          </w:p>
        </w:tc>
        <w:tc>
          <w:tcPr>
            <w:tcW w:w="2962" w:type="dxa"/>
            <w:vAlign w:val="top"/>
          </w:tcPr>
          <w:p w14:paraId="3BF7159C">
            <w:pPr>
              <w:rPr>
                <w:rFonts w:ascii="Arial"/>
                <w:sz w:val="21"/>
              </w:rPr>
            </w:pPr>
          </w:p>
        </w:tc>
        <w:tc>
          <w:tcPr>
            <w:tcW w:w="810" w:type="dxa"/>
            <w:vAlign w:val="top"/>
          </w:tcPr>
          <w:p w14:paraId="71F0AF24">
            <w:pPr>
              <w:rPr>
                <w:rFonts w:ascii="Arial"/>
                <w:sz w:val="21"/>
              </w:rPr>
            </w:pPr>
          </w:p>
        </w:tc>
        <w:tc>
          <w:tcPr>
            <w:tcW w:w="2020" w:type="dxa"/>
            <w:vAlign w:val="top"/>
          </w:tcPr>
          <w:p w14:paraId="2C1F747B">
            <w:pPr>
              <w:rPr>
                <w:rFonts w:ascii="Arial"/>
                <w:sz w:val="21"/>
              </w:rPr>
            </w:pPr>
          </w:p>
        </w:tc>
        <w:tc>
          <w:tcPr>
            <w:tcW w:w="693" w:type="dxa"/>
            <w:vAlign w:val="top"/>
          </w:tcPr>
          <w:p w14:paraId="537D7E57">
            <w:pPr>
              <w:rPr>
                <w:rFonts w:ascii="Arial"/>
                <w:sz w:val="21"/>
              </w:rPr>
            </w:pPr>
          </w:p>
        </w:tc>
        <w:tc>
          <w:tcPr>
            <w:tcW w:w="1002" w:type="dxa"/>
            <w:vAlign w:val="top"/>
          </w:tcPr>
          <w:p w14:paraId="59F8F046">
            <w:pPr>
              <w:rPr>
                <w:rFonts w:ascii="Arial"/>
                <w:sz w:val="21"/>
              </w:rPr>
            </w:pPr>
          </w:p>
        </w:tc>
        <w:tc>
          <w:tcPr>
            <w:tcW w:w="1073" w:type="dxa"/>
            <w:tcBorders>
              <w:right w:val="single" w:color="000000" w:sz="6" w:space="0"/>
            </w:tcBorders>
            <w:vAlign w:val="top"/>
          </w:tcPr>
          <w:p w14:paraId="16A833B6">
            <w:pPr>
              <w:rPr>
                <w:rFonts w:ascii="Arial"/>
                <w:sz w:val="21"/>
              </w:rPr>
            </w:pPr>
          </w:p>
        </w:tc>
      </w:tr>
      <w:tr w14:paraId="7C03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755B0B80">
            <w:pPr>
              <w:rPr>
                <w:rFonts w:ascii="Arial"/>
                <w:sz w:val="21"/>
              </w:rPr>
            </w:pPr>
          </w:p>
        </w:tc>
        <w:tc>
          <w:tcPr>
            <w:tcW w:w="2962" w:type="dxa"/>
            <w:vAlign w:val="top"/>
          </w:tcPr>
          <w:p w14:paraId="098A5AFC">
            <w:pPr>
              <w:rPr>
                <w:rFonts w:ascii="Arial"/>
                <w:sz w:val="21"/>
              </w:rPr>
            </w:pPr>
          </w:p>
        </w:tc>
        <w:tc>
          <w:tcPr>
            <w:tcW w:w="810" w:type="dxa"/>
            <w:vAlign w:val="top"/>
          </w:tcPr>
          <w:p w14:paraId="367C0536">
            <w:pPr>
              <w:rPr>
                <w:rFonts w:ascii="Arial"/>
                <w:sz w:val="21"/>
              </w:rPr>
            </w:pPr>
          </w:p>
        </w:tc>
        <w:tc>
          <w:tcPr>
            <w:tcW w:w="2020" w:type="dxa"/>
            <w:vAlign w:val="top"/>
          </w:tcPr>
          <w:p w14:paraId="3FD848B1">
            <w:pPr>
              <w:rPr>
                <w:rFonts w:ascii="Arial"/>
                <w:sz w:val="21"/>
              </w:rPr>
            </w:pPr>
          </w:p>
        </w:tc>
        <w:tc>
          <w:tcPr>
            <w:tcW w:w="693" w:type="dxa"/>
            <w:vAlign w:val="top"/>
          </w:tcPr>
          <w:p w14:paraId="153A7842">
            <w:pPr>
              <w:rPr>
                <w:rFonts w:ascii="Arial"/>
                <w:sz w:val="21"/>
              </w:rPr>
            </w:pPr>
          </w:p>
        </w:tc>
        <w:tc>
          <w:tcPr>
            <w:tcW w:w="1002" w:type="dxa"/>
            <w:vAlign w:val="top"/>
          </w:tcPr>
          <w:p w14:paraId="43C1A358">
            <w:pPr>
              <w:rPr>
                <w:rFonts w:ascii="Arial"/>
                <w:sz w:val="21"/>
              </w:rPr>
            </w:pPr>
          </w:p>
        </w:tc>
        <w:tc>
          <w:tcPr>
            <w:tcW w:w="1073" w:type="dxa"/>
            <w:tcBorders>
              <w:right w:val="single" w:color="000000" w:sz="6" w:space="0"/>
            </w:tcBorders>
            <w:vAlign w:val="top"/>
          </w:tcPr>
          <w:p w14:paraId="4951D742">
            <w:pPr>
              <w:rPr>
                <w:rFonts w:ascii="Arial"/>
                <w:sz w:val="21"/>
              </w:rPr>
            </w:pPr>
          </w:p>
        </w:tc>
      </w:tr>
      <w:tr w14:paraId="49204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76" w:type="dxa"/>
            <w:tcBorders>
              <w:left w:val="single" w:color="000000" w:sz="6" w:space="0"/>
            </w:tcBorders>
            <w:vAlign w:val="top"/>
          </w:tcPr>
          <w:p w14:paraId="64C505B5">
            <w:pPr>
              <w:rPr>
                <w:rFonts w:ascii="Arial"/>
                <w:sz w:val="21"/>
              </w:rPr>
            </w:pPr>
          </w:p>
        </w:tc>
        <w:tc>
          <w:tcPr>
            <w:tcW w:w="2962" w:type="dxa"/>
            <w:vAlign w:val="top"/>
          </w:tcPr>
          <w:p w14:paraId="52EE31CE">
            <w:pPr>
              <w:rPr>
                <w:rFonts w:ascii="Arial"/>
                <w:sz w:val="21"/>
              </w:rPr>
            </w:pPr>
          </w:p>
        </w:tc>
        <w:tc>
          <w:tcPr>
            <w:tcW w:w="810" w:type="dxa"/>
            <w:vAlign w:val="top"/>
          </w:tcPr>
          <w:p w14:paraId="2C1559C1">
            <w:pPr>
              <w:rPr>
                <w:rFonts w:ascii="Arial"/>
                <w:sz w:val="21"/>
              </w:rPr>
            </w:pPr>
          </w:p>
        </w:tc>
        <w:tc>
          <w:tcPr>
            <w:tcW w:w="2020" w:type="dxa"/>
            <w:vAlign w:val="top"/>
          </w:tcPr>
          <w:p w14:paraId="69C7D2B7">
            <w:pPr>
              <w:rPr>
                <w:rFonts w:ascii="Arial"/>
                <w:sz w:val="21"/>
              </w:rPr>
            </w:pPr>
          </w:p>
        </w:tc>
        <w:tc>
          <w:tcPr>
            <w:tcW w:w="693" w:type="dxa"/>
            <w:vAlign w:val="top"/>
          </w:tcPr>
          <w:p w14:paraId="407CC292">
            <w:pPr>
              <w:rPr>
                <w:rFonts w:ascii="Arial"/>
                <w:sz w:val="21"/>
              </w:rPr>
            </w:pPr>
          </w:p>
        </w:tc>
        <w:tc>
          <w:tcPr>
            <w:tcW w:w="1002" w:type="dxa"/>
            <w:vAlign w:val="top"/>
          </w:tcPr>
          <w:p w14:paraId="0CEBAFFD">
            <w:pPr>
              <w:rPr>
                <w:rFonts w:ascii="Arial"/>
                <w:sz w:val="21"/>
              </w:rPr>
            </w:pPr>
          </w:p>
        </w:tc>
        <w:tc>
          <w:tcPr>
            <w:tcW w:w="1073" w:type="dxa"/>
            <w:tcBorders>
              <w:right w:val="single" w:color="000000" w:sz="6" w:space="0"/>
            </w:tcBorders>
            <w:vAlign w:val="top"/>
          </w:tcPr>
          <w:p w14:paraId="6D77F23E">
            <w:pPr>
              <w:rPr>
                <w:rFonts w:ascii="Arial"/>
                <w:sz w:val="21"/>
              </w:rPr>
            </w:pPr>
          </w:p>
        </w:tc>
      </w:tr>
      <w:tr w14:paraId="3E67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04E85766">
            <w:pPr>
              <w:rPr>
                <w:rFonts w:ascii="Arial"/>
                <w:sz w:val="21"/>
              </w:rPr>
            </w:pPr>
          </w:p>
        </w:tc>
        <w:tc>
          <w:tcPr>
            <w:tcW w:w="2962" w:type="dxa"/>
            <w:vAlign w:val="top"/>
          </w:tcPr>
          <w:p w14:paraId="1F9D4F78">
            <w:pPr>
              <w:rPr>
                <w:rFonts w:ascii="Arial"/>
                <w:sz w:val="21"/>
              </w:rPr>
            </w:pPr>
          </w:p>
        </w:tc>
        <w:tc>
          <w:tcPr>
            <w:tcW w:w="810" w:type="dxa"/>
            <w:vAlign w:val="top"/>
          </w:tcPr>
          <w:p w14:paraId="3124DBD3">
            <w:pPr>
              <w:rPr>
                <w:rFonts w:ascii="Arial"/>
                <w:sz w:val="21"/>
              </w:rPr>
            </w:pPr>
          </w:p>
        </w:tc>
        <w:tc>
          <w:tcPr>
            <w:tcW w:w="2020" w:type="dxa"/>
            <w:vAlign w:val="top"/>
          </w:tcPr>
          <w:p w14:paraId="21083F90">
            <w:pPr>
              <w:rPr>
                <w:rFonts w:ascii="Arial"/>
                <w:sz w:val="21"/>
              </w:rPr>
            </w:pPr>
          </w:p>
        </w:tc>
        <w:tc>
          <w:tcPr>
            <w:tcW w:w="693" w:type="dxa"/>
            <w:vAlign w:val="top"/>
          </w:tcPr>
          <w:p w14:paraId="2C6D8001">
            <w:pPr>
              <w:rPr>
                <w:rFonts w:ascii="Arial"/>
                <w:sz w:val="21"/>
              </w:rPr>
            </w:pPr>
          </w:p>
        </w:tc>
        <w:tc>
          <w:tcPr>
            <w:tcW w:w="1002" w:type="dxa"/>
            <w:vAlign w:val="top"/>
          </w:tcPr>
          <w:p w14:paraId="28E5EFC7">
            <w:pPr>
              <w:rPr>
                <w:rFonts w:ascii="Arial"/>
                <w:sz w:val="21"/>
              </w:rPr>
            </w:pPr>
          </w:p>
        </w:tc>
        <w:tc>
          <w:tcPr>
            <w:tcW w:w="1073" w:type="dxa"/>
            <w:tcBorders>
              <w:right w:val="single" w:color="000000" w:sz="6" w:space="0"/>
            </w:tcBorders>
            <w:vAlign w:val="top"/>
          </w:tcPr>
          <w:p w14:paraId="425AD6C1">
            <w:pPr>
              <w:rPr>
                <w:rFonts w:ascii="Arial"/>
                <w:sz w:val="21"/>
              </w:rPr>
            </w:pPr>
          </w:p>
        </w:tc>
      </w:tr>
      <w:tr w14:paraId="78DD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5BFC411D">
            <w:pPr>
              <w:rPr>
                <w:rFonts w:ascii="Arial"/>
                <w:sz w:val="21"/>
              </w:rPr>
            </w:pPr>
          </w:p>
        </w:tc>
        <w:tc>
          <w:tcPr>
            <w:tcW w:w="2962" w:type="dxa"/>
            <w:vAlign w:val="top"/>
          </w:tcPr>
          <w:p w14:paraId="34A5FF30">
            <w:pPr>
              <w:rPr>
                <w:rFonts w:ascii="Arial"/>
                <w:sz w:val="21"/>
              </w:rPr>
            </w:pPr>
          </w:p>
        </w:tc>
        <w:tc>
          <w:tcPr>
            <w:tcW w:w="810" w:type="dxa"/>
            <w:vAlign w:val="top"/>
          </w:tcPr>
          <w:p w14:paraId="4F00BB8E">
            <w:pPr>
              <w:rPr>
                <w:rFonts w:ascii="Arial"/>
                <w:sz w:val="21"/>
              </w:rPr>
            </w:pPr>
          </w:p>
        </w:tc>
        <w:tc>
          <w:tcPr>
            <w:tcW w:w="2020" w:type="dxa"/>
            <w:vAlign w:val="top"/>
          </w:tcPr>
          <w:p w14:paraId="64547822">
            <w:pPr>
              <w:rPr>
                <w:rFonts w:ascii="Arial"/>
                <w:sz w:val="21"/>
              </w:rPr>
            </w:pPr>
          </w:p>
        </w:tc>
        <w:tc>
          <w:tcPr>
            <w:tcW w:w="693" w:type="dxa"/>
            <w:vAlign w:val="top"/>
          </w:tcPr>
          <w:p w14:paraId="07334623">
            <w:pPr>
              <w:rPr>
                <w:rFonts w:ascii="Arial"/>
                <w:sz w:val="21"/>
              </w:rPr>
            </w:pPr>
          </w:p>
        </w:tc>
        <w:tc>
          <w:tcPr>
            <w:tcW w:w="1002" w:type="dxa"/>
            <w:vAlign w:val="top"/>
          </w:tcPr>
          <w:p w14:paraId="2BE57C77">
            <w:pPr>
              <w:rPr>
                <w:rFonts w:ascii="Arial"/>
                <w:sz w:val="21"/>
              </w:rPr>
            </w:pPr>
          </w:p>
        </w:tc>
        <w:tc>
          <w:tcPr>
            <w:tcW w:w="1073" w:type="dxa"/>
            <w:tcBorders>
              <w:right w:val="single" w:color="000000" w:sz="6" w:space="0"/>
            </w:tcBorders>
            <w:vAlign w:val="top"/>
          </w:tcPr>
          <w:p w14:paraId="726BE048">
            <w:pPr>
              <w:rPr>
                <w:rFonts w:ascii="Arial"/>
                <w:sz w:val="21"/>
              </w:rPr>
            </w:pPr>
          </w:p>
        </w:tc>
      </w:tr>
      <w:tr w14:paraId="50B4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68E1588B">
            <w:pPr>
              <w:rPr>
                <w:rFonts w:ascii="Arial"/>
                <w:sz w:val="21"/>
              </w:rPr>
            </w:pPr>
          </w:p>
        </w:tc>
        <w:tc>
          <w:tcPr>
            <w:tcW w:w="2962" w:type="dxa"/>
            <w:vAlign w:val="top"/>
          </w:tcPr>
          <w:p w14:paraId="69329863">
            <w:pPr>
              <w:rPr>
                <w:rFonts w:ascii="Arial"/>
                <w:sz w:val="21"/>
              </w:rPr>
            </w:pPr>
          </w:p>
        </w:tc>
        <w:tc>
          <w:tcPr>
            <w:tcW w:w="810" w:type="dxa"/>
            <w:vAlign w:val="top"/>
          </w:tcPr>
          <w:p w14:paraId="52648DB1">
            <w:pPr>
              <w:rPr>
                <w:rFonts w:ascii="Arial"/>
                <w:sz w:val="21"/>
              </w:rPr>
            </w:pPr>
          </w:p>
        </w:tc>
        <w:tc>
          <w:tcPr>
            <w:tcW w:w="2020" w:type="dxa"/>
            <w:vAlign w:val="top"/>
          </w:tcPr>
          <w:p w14:paraId="5D1B7F3D">
            <w:pPr>
              <w:rPr>
                <w:rFonts w:ascii="Arial"/>
                <w:sz w:val="21"/>
              </w:rPr>
            </w:pPr>
          </w:p>
        </w:tc>
        <w:tc>
          <w:tcPr>
            <w:tcW w:w="693" w:type="dxa"/>
            <w:vAlign w:val="top"/>
          </w:tcPr>
          <w:p w14:paraId="0C0B3EA8">
            <w:pPr>
              <w:rPr>
                <w:rFonts w:ascii="Arial"/>
                <w:sz w:val="21"/>
              </w:rPr>
            </w:pPr>
          </w:p>
        </w:tc>
        <w:tc>
          <w:tcPr>
            <w:tcW w:w="1002" w:type="dxa"/>
            <w:vAlign w:val="top"/>
          </w:tcPr>
          <w:p w14:paraId="6A5F53FD">
            <w:pPr>
              <w:rPr>
                <w:rFonts w:ascii="Arial"/>
                <w:sz w:val="21"/>
              </w:rPr>
            </w:pPr>
          </w:p>
        </w:tc>
        <w:tc>
          <w:tcPr>
            <w:tcW w:w="1073" w:type="dxa"/>
            <w:tcBorders>
              <w:right w:val="single" w:color="000000" w:sz="6" w:space="0"/>
            </w:tcBorders>
            <w:vAlign w:val="top"/>
          </w:tcPr>
          <w:p w14:paraId="166FE4D7">
            <w:pPr>
              <w:rPr>
                <w:rFonts w:ascii="Arial"/>
                <w:sz w:val="21"/>
              </w:rPr>
            </w:pPr>
          </w:p>
        </w:tc>
      </w:tr>
      <w:tr w14:paraId="6886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6EF84F1F">
            <w:pPr>
              <w:rPr>
                <w:rFonts w:ascii="Arial"/>
                <w:sz w:val="21"/>
              </w:rPr>
            </w:pPr>
          </w:p>
        </w:tc>
        <w:tc>
          <w:tcPr>
            <w:tcW w:w="2962" w:type="dxa"/>
            <w:vAlign w:val="top"/>
          </w:tcPr>
          <w:p w14:paraId="421B13AE">
            <w:pPr>
              <w:rPr>
                <w:rFonts w:ascii="Arial"/>
                <w:sz w:val="21"/>
              </w:rPr>
            </w:pPr>
          </w:p>
        </w:tc>
        <w:tc>
          <w:tcPr>
            <w:tcW w:w="810" w:type="dxa"/>
            <w:vAlign w:val="top"/>
          </w:tcPr>
          <w:p w14:paraId="0C134F9A">
            <w:pPr>
              <w:rPr>
                <w:rFonts w:ascii="Arial"/>
                <w:sz w:val="21"/>
              </w:rPr>
            </w:pPr>
          </w:p>
        </w:tc>
        <w:tc>
          <w:tcPr>
            <w:tcW w:w="2020" w:type="dxa"/>
            <w:vAlign w:val="top"/>
          </w:tcPr>
          <w:p w14:paraId="632D7A51">
            <w:pPr>
              <w:rPr>
                <w:rFonts w:ascii="Arial"/>
                <w:sz w:val="21"/>
              </w:rPr>
            </w:pPr>
          </w:p>
        </w:tc>
        <w:tc>
          <w:tcPr>
            <w:tcW w:w="693" w:type="dxa"/>
            <w:vAlign w:val="top"/>
          </w:tcPr>
          <w:p w14:paraId="4C65BD41">
            <w:pPr>
              <w:rPr>
                <w:rFonts w:ascii="Arial"/>
                <w:sz w:val="21"/>
              </w:rPr>
            </w:pPr>
          </w:p>
        </w:tc>
        <w:tc>
          <w:tcPr>
            <w:tcW w:w="1002" w:type="dxa"/>
            <w:vAlign w:val="top"/>
          </w:tcPr>
          <w:p w14:paraId="51EBE85C">
            <w:pPr>
              <w:rPr>
                <w:rFonts w:ascii="Arial"/>
                <w:sz w:val="21"/>
              </w:rPr>
            </w:pPr>
          </w:p>
        </w:tc>
        <w:tc>
          <w:tcPr>
            <w:tcW w:w="1073" w:type="dxa"/>
            <w:tcBorders>
              <w:right w:val="single" w:color="000000" w:sz="6" w:space="0"/>
            </w:tcBorders>
            <w:vAlign w:val="top"/>
          </w:tcPr>
          <w:p w14:paraId="6F596CC4">
            <w:pPr>
              <w:rPr>
                <w:rFonts w:ascii="Arial"/>
                <w:sz w:val="21"/>
              </w:rPr>
            </w:pPr>
          </w:p>
        </w:tc>
      </w:tr>
      <w:tr w14:paraId="1E96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76" w:type="dxa"/>
            <w:tcBorders>
              <w:left w:val="single" w:color="000000" w:sz="6" w:space="0"/>
            </w:tcBorders>
            <w:vAlign w:val="top"/>
          </w:tcPr>
          <w:p w14:paraId="380A20B2">
            <w:pPr>
              <w:rPr>
                <w:rFonts w:ascii="Arial"/>
                <w:sz w:val="21"/>
              </w:rPr>
            </w:pPr>
          </w:p>
        </w:tc>
        <w:tc>
          <w:tcPr>
            <w:tcW w:w="2962" w:type="dxa"/>
            <w:vAlign w:val="top"/>
          </w:tcPr>
          <w:p w14:paraId="4CADA219">
            <w:pPr>
              <w:rPr>
                <w:rFonts w:ascii="Arial"/>
                <w:sz w:val="21"/>
              </w:rPr>
            </w:pPr>
          </w:p>
        </w:tc>
        <w:tc>
          <w:tcPr>
            <w:tcW w:w="810" w:type="dxa"/>
            <w:vAlign w:val="top"/>
          </w:tcPr>
          <w:p w14:paraId="74207299">
            <w:pPr>
              <w:rPr>
                <w:rFonts w:ascii="Arial"/>
                <w:sz w:val="21"/>
              </w:rPr>
            </w:pPr>
          </w:p>
        </w:tc>
        <w:tc>
          <w:tcPr>
            <w:tcW w:w="2020" w:type="dxa"/>
            <w:vAlign w:val="top"/>
          </w:tcPr>
          <w:p w14:paraId="727C48F5">
            <w:pPr>
              <w:rPr>
                <w:rFonts w:ascii="Arial"/>
                <w:sz w:val="21"/>
              </w:rPr>
            </w:pPr>
          </w:p>
        </w:tc>
        <w:tc>
          <w:tcPr>
            <w:tcW w:w="693" w:type="dxa"/>
            <w:vAlign w:val="top"/>
          </w:tcPr>
          <w:p w14:paraId="47ED7A6B">
            <w:pPr>
              <w:rPr>
                <w:rFonts w:ascii="Arial"/>
                <w:sz w:val="21"/>
              </w:rPr>
            </w:pPr>
          </w:p>
        </w:tc>
        <w:tc>
          <w:tcPr>
            <w:tcW w:w="1002" w:type="dxa"/>
            <w:vAlign w:val="top"/>
          </w:tcPr>
          <w:p w14:paraId="4E5DFA51">
            <w:pPr>
              <w:rPr>
                <w:rFonts w:ascii="Arial"/>
                <w:sz w:val="21"/>
              </w:rPr>
            </w:pPr>
          </w:p>
        </w:tc>
        <w:tc>
          <w:tcPr>
            <w:tcW w:w="1073" w:type="dxa"/>
            <w:tcBorders>
              <w:right w:val="single" w:color="000000" w:sz="6" w:space="0"/>
            </w:tcBorders>
            <w:vAlign w:val="top"/>
          </w:tcPr>
          <w:p w14:paraId="36E5DCA4">
            <w:pPr>
              <w:rPr>
                <w:rFonts w:ascii="Arial"/>
                <w:sz w:val="21"/>
              </w:rPr>
            </w:pPr>
          </w:p>
        </w:tc>
      </w:tr>
      <w:tr w14:paraId="6EB94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76" w:type="dxa"/>
            <w:tcBorders>
              <w:left w:val="single" w:color="000000" w:sz="6" w:space="0"/>
            </w:tcBorders>
            <w:vAlign w:val="top"/>
          </w:tcPr>
          <w:p w14:paraId="4BBD8686">
            <w:pPr>
              <w:rPr>
                <w:rFonts w:ascii="Arial"/>
                <w:sz w:val="21"/>
              </w:rPr>
            </w:pPr>
          </w:p>
        </w:tc>
        <w:tc>
          <w:tcPr>
            <w:tcW w:w="2962" w:type="dxa"/>
            <w:vAlign w:val="top"/>
          </w:tcPr>
          <w:p w14:paraId="2B51F7F6">
            <w:pPr>
              <w:rPr>
                <w:rFonts w:ascii="Arial"/>
                <w:sz w:val="21"/>
              </w:rPr>
            </w:pPr>
          </w:p>
        </w:tc>
        <w:tc>
          <w:tcPr>
            <w:tcW w:w="810" w:type="dxa"/>
            <w:vAlign w:val="top"/>
          </w:tcPr>
          <w:p w14:paraId="5FB1FC28">
            <w:pPr>
              <w:rPr>
                <w:rFonts w:ascii="Arial"/>
                <w:sz w:val="21"/>
              </w:rPr>
            </w:pPr>
          </w:p>
        </w:tc>
        <w:tc>
          <w:tcPr>
            <w:tcW w:w="2020" w:type="dxa"/>
            <w:vAlign w:val="top"/>
          </w:tcPr>
          <w:p w14:paraId="61430429">
            <w:pPr>
              <w:rPr>
                <w:rFonts w:ascii="Arial"/>
                <w:sz w:val="21"/>
              </w:rPr>
            </w:pPr>
          </w:p>
        </w:tc>
        <w:tc>
          <w:tcPr>
            <w:tcW w:w="693" w:type="dxa"/>
            <w:vAlign w:val="top"/>
          </w:tcPr>
          <w:p w14:paraId="380B9B7E">
            <w:pPr>
              <w:rPr>
                <w:rFonts w:ascii="Arial"/>
                <w:sz w:val="21"/>
              </w:rPr>
            </w:pPr>
          </w:p>
        </w:tc>
        <w:tc>
          <w:tcPr>
            <w:tcW w:w="1002" w:type="dxa"/>
            <w:vAlign w:val="top"/>
          </w:tcPr>
          <w:p w14:paraId="3EC9B64A">
            <w:pPr>
              <w:rPr>
                <w:rFonts w:ascii="Arial"/>
                <w:sz w:val="21"/>
              </w:rPr>
            </w:pPr>
          </w:p>
        </w:tc>
        <w:tc>
          <w:tcPr>
            <w:tcW w:w="1073" w:type="dxa"/>
            <w:tcBorders>
              <w:right w:val="single" w:color="000000" w:sz="6" w:space="0"/>
            </w:tcBorders>
            <w:vAlign w:val="top"/>
          </w:tcPr>
          <w:p w14:paraId="345349D0">
            <w:pPr>
              <w:rPr>
                <w:rFonts w:ascii="Arial"/>
                <w:sz w:val="21"/>
              </w:rPr>
            </w:pPr>
          </w:p>
        </w:tc>
      </w:tr>
      <w:tr w14:paraId="4AB0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7261" w:type="dxa"/>
            <w:gridSpan w:val="5"/>
            <w:tcBorders>
              <w:left w:val="single" w:color="000000" w:sz="6" w:space="0"/>
              <w:bottom w:val="single" w:color="000000" w:sz="6" w:space="0"/>
            </w:tcBorders>
            <w:vAlign w:val="top"/>
          </w:tcPr>
          <w:p w14:paraId="3D0FB5DD">
            <w:pPr>
              <w:pStyle w:val="11"/>
              <w:spacing w:before="88" w:line="221" w:lineRule="auto"/>
              <w:ind w:left="3454"/>
              <w:rPr>
                <w:sz w:val="18"/>
                <w:szCs w:val="18"/>
              </w:rPr>
            </w:pPr>
            <w:r>
              <w:rPr>
                <w:spacing w:val="-2"/>
                <w:sz w:val="18"/>
                <w:szCs w:val="18"/>
              </w:rPr>
              <w:t>合计</w:t>
            </w:r>
          </w:p>
        </w:tc>
        <w:tc>
          <w:tcPr>
            <w:tcW w:w="1002" w:type="dxa"/>
            <w:tcBorders>
              <w:bottom w:val="single" w:color="000000" w:sz="6" w:space="0"/>
            </w:tcBorders>
            <w:vAlign w:val="top"/>
          </w:tcPr>
          <w:p w14:paraId="348F10E2">
            <w:pPr>
              <w:rPr>
                <w:rFonts w:ascii="Arial"/>
                <w:sz w:val="21"/>
              </w:rPr>
            </w:pPr>
          </w:p>
        </w:tc>
        <w:tc>
          <w:tcPr>
            <w:tcW w:w="1073" w:type="dxa"/>
            <w:tcBorders>
              <w:bottom w:val="single" w:color="000000" w:sz="6" w:space="0"/>
              <w:right w:val="single" w:color="000000" w:sz="6" w:space="0"/>
            </w:tcBorders>
            <w:vAlign w:val="top"/>
          </w:tcPr>
          <w:p w14:paraId="30FD2EDB">
            <w:pPr>
              <w:rPr>
                <w:rFonts w:ascii="Arial"/>
                <w:sz w:val="21"/>
              </w:rPr>
            </w:pPr>
          </w:p>
        </w:tc>
      </w:tr>
    </w:tbl>
    <w:p w14:paraId="79639E01">
      <w:pPr>
        <w:spacing w:before="28" w:line="220" w:lineRule="auto"/>
        <w:ind w:left="6877"/>
        <w:rPr>
          <w:rFonts w:ascii="宋体" w:hAnsi="宋体" w:eastAsia="宋体" w:cs="宋体"/>
          <w:sz w:val="18"/>
          <w:szCs w:val="18"/>
        </w:rPr>
      </w:pPr>
      <w:r>
        <w:rPr>
          <w:rFonts w:ascii="宋体" w:hAnsi="宋体" w:eastAsia="宋体" w:cs="宋体"/>
          <w:spacing w:val="-2"/>
          <w:sz w:val="18"/>
          <w:szCs w:val="18"/>
        </w:rPr>
        <w:t>法定代表人</w:t>
      </w:r>
    </w:p>
    <w:p w14:paraId="156493AB">
      <w:pPr>
        <w:spacing w:before="18" w:line="241" w:lineRule="auto"/>
        <w:ind w:left="6695" w:right="143" w:firstLine="4"/>
        <w:rPr>
          <w:rFonts w:ascii="宋体" w:hAnsi="宋体" w:eastAsia="宋体" w:cs="宋体"/>
          <w:sz w:val="18"/>
          <w:szCs w:val="18"/>
        </w:rPr>
      </w:pPr>
      <w:r>
        <w:rPr>
          <w:rFonts w:ascii="宋体" w:hAnsi="宋体" w:eastAsia="宋体" w:cs="宋体"/>
          <w:spacing w:val="-1"/>
          <w:sz w:val="18"/>
          <w:szCs w:val="18"/>
        </w:rPr>
        <w:t>（或委托代理人</w:t>
      </w:r>
      <w:r>
        <w:rPr>
          <w:rFonts w:ascii="宋体" w:hAnsi="宋体" w:eastAsia="宋体" w:cs="宋体"/>
          <w:spacing w:val="-11"/>
          <w:sz w:val="18"/>
          <w:szCs w:val="18"/>
        </w:rPr>
        <w:t>）</w:t>
      </w:r>
      <w:r>
        <w:rPr>
          <w:rFonts w:ascii="宋体" w:hAnsi="宋体" w:eastAsia="宋体" w:cs="宋体"/>
          <w:spacing w:val="24"/>
          <w:sz w:val="18"/>
          <w:szCs w:val="18"/>
        </w:rPr>
        <w:t xml:space="preserve"> </w:t>
      </w:r>
      <w:r>
        <w:rPr>
          <w:rFonts w:ascii="宋体" w:hAnsi="宋体" w:eastAsia="宋体" w:cs="宋体"/>
          <w:spacing w:val="-11"/>
          <w:sz w:val="18"/>
          <w:szCs w:val="18"/>
        </w:rPr>
        <w:t>：</w:t>
      </w:r>
      <w:r>
        <w:rPr>
          <w:rFonts w:ascii="宋体" w:hAnsi="宋体" w:eastAsia="宋体" w:cs="宋体"/>
          <w:spacing w:val="-1"/>
          <w:sz w:val="18"/>
          <w:szCs w:val="18"/>
        </w:rPr>
        <w:t>_______签</w:t>
      </w:r>
      <w:r>
        <w:rPr>
          <w:rFonts w:ascii="宋体" w:hAnsi="宋体" w:eastAsia="宋体" w:cs="宋体"/>
          <w:sz w:val="18"/>
          <w:szCs w:val="18"/>
        </w:rPr>
        <w:t>字</w:t>
      </w:r>
    </w:p>
    <w:p w14:paraId="4D70BC8C">
      <w:pPr>
        <w:spacing w:line="241" w:lineRule="auto"/>
        <w:rPr>
          <w:rFonts w:ascii="宋体" w:hAnsi="宋体" w:eastAsia="宋体" w:cs="宋体"/>
          <w:sz w:val="18"/>
          <w:szCs w:val="18"/>
        </w:rPr>
        <w:sectPr>
          <w:footerReference r:id="rId158" w:type="default"/>
          <w:pgSz w:w="11905" w:h="16843"/>
          <w:pgMar w:top="969" w:right="1355" w:bottom="1026" w:left="1480" w:header="0" w:footer="754" w:gutter="0"/>
          <w:cols w:space="0" w:num="1"/>
          <w:rtlGutter w:val="0"/>
          <w:docGrid w:linePitch="0" w:charSpace="0"/>
        </w:sectPr>
      </w:pPr>
    </w:p>
    <w:p w14:paraId="69A83E2C">
      <w:pPr>
        <w:pStyle w:val="5"/>
        <w:spacing w:line="261" w:lineRule="auto"/>
      </w:pPr>
    </w:p>
    <w:p w14:paraId="6165B23C">
      <w:pPr>
        <w:pStyle w:val="5"/>
        <w:spacing w:line="261" w:lineRule="auto"/>
      </w:pPr>
    </w:p>
    <w:p w14:paraId="2CB7E005">
      <w:pPr>
        <w:pStyle w:val="5"/>
        <w:spacing w:line="261" w:lineRule="auto"/>
      </w:pPr>
    </w:p>
    <w:p w14:paraId="5D7C6E4D">
      <w:pPr>
        <w:pStyle w:val="5"/>
        <w:spacing w:line="262" w:lineRule="auto"/>
      </w:pPr>
    </w:p>
    <w:p w14:paraId="1784017F">
      <w:pPr>
        <w:pStyle w:val="5"/>
        <w:spacing w:line="262" w:lineRule="auto"/>
      </w:pPr>
    </w:p>
    <w:p w14:paraId="12DBE259">
      <w:pPr>
        <w:pStyle w:val="5"/>
        <w:spacing w:line="262" w:lineRule="auto"/>
      </w:pPr>
    </w:p>
    <w:p w14:paraId="31EFAAC6">
      <w:pPr>
        <w:spacing w:before="78" w:line="233" w:lineRule="auto"/>
        <w:ind w:left="415"/>
        <w:outlineLvl w:val="2"/>
        <w:rPr>
          <w:rFonts w:ascii="黑体" w:hAnsi="黑体" w:eastAsia="黑体" w:cs="黑体"/>
          <w:sz w:val="24"/>
          <w:szCs w:val="24"/>
        </w:rPr>
      </w:pPr>
      <w:bookmarkStart w:id="1263" w:name="bookmark383"/>
      <w:bookmarkEnd w:id="1263"/>
      <w:r>
        <w:rPr>
          <w:rFonts w:ascii="Times New Roman" w:hAnsi="Times New Roman" w:eastAsia="Times New Roman" w:cs="Times New Roman"/>
          <w:spacing w:val="-1"/>
          <w:sz w:val="24"/>
          <w:szCs w:val="24"/>
        </w:rPr>
        <w:t xml:space="preserve">3.9 </w:t>
      </w:r>
      <w:r>
        <w:rPr>
          <w:rFonts w:ascii="黑体" w:hAnsi="黑体" w:eastAsia="黑体" w:cs="黑体"/>
          <w:spacing w:val="-1"/>
          <w:sz w:val="24"/>
          <w:szCs w:val="24"/>
        </w:rPr>
        <w:t>可计量措施项目清单计价表</w:t>
      </w:r>
    </w:p>
    <w:p w14:paraId="001F6904">
      <w:pPr>
        <w:spacing w:before="76" w:line="218" w:lineRule="auto"/>
        <w:ind w:left="2464"/>
        <w:rPr>
          <w:rFonts w:ascii="宋体" w:hAnsi="宋体" w:eastAsia="宋体" w:cs="宋体"/>
          <w:sz w:val="40"/>
          <w:szCs w:val="40"/>
        </w:rPr>
      </w:pPr>
      <w:bookmarkStart w:id="1264" w:name="bookmark617"/>
      <w:bookmarkEnd w:id="1264"/>
      <w:r>
        <w:rPr>
          <w:rFonts w:ascii="宋体" w:hAnsi="宋体" w:eastAsia="宋体" w:cs="宋体"/>
          <w:b/>
          <w:bCs/>
          <w:spacing w:val="-5"/>
          <w:sz w:val="40"/>
          <w:szCs w:val="40"/>
        </w:rPr>
        <w:t>可计量措施项目清单计价表</w:t>
      </w:r>
    </w:p>
    <w:p w14:paraId="729954D9">
      <w:pPr>
        <w:spacing w:before="73"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4ABC5F9B">
      <w:pPr>
        <w:spacing w:before="183" w:line="220" w:lineRule="auto"/>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  1  页、共  1</w:t>
      </w:r>
      <w:r>
        <w:rPr>
          <w:rFonts w:ascii="宋体" w:hAnsi="宋体" w:eastAsia="宋体" w:cs="宋体"/>
          <w:spacing w:val="6"/>
          <w:sz w:val="18"/>
          <w:szCs w:val="18"/>
        </w:rPr>
        <w:t xml:space="preserve">  </w:t>
      </w:r>
      <w:r>
        <w:rPr>
          <w:rFonts w:ascii="宋体" w:hAnsi="宋体" w:eastAsia="宋体" w:cs="宋体"/>
          <w:spacing w:val="-3"/>
          <w:sz w:val="18"/>
          <w:szCs w:val="18"/>
        </w:rPr>
        <w:t>页</w:t>
      </w:r>
    </w:p>
    <w:p w14:paraId="2A061924">
      <w:pPr>
        <w:spacing w:line="135" w:lineRule="exact"/>
      </w:pPr>
    </w:p>
    <w:tbl>
      <w:tblPr>
        <w:tblStyle w:val="10"/>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399"/>
        <w:gridCol w:w="1637"/>
        <w:gridCol w:w="779"/>
        <w:gridCol w:w="860"/>
        <w:gridCol w:w="1119"/>
        <w:gridCol w:w="1021"/>
        <w:gridCol w:w="1095"/>
      </w:tblGrid>
      <w:tr w14:paraId="260B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89" w:type="dxa"/>
            <w:tcBorders>
              <w:top w:val="single" w:color="000000" w:sz="6" w:space="0"/>
              <w:left w:val="single" w:color="000000" w:sz="6" w:space="0"/>
            </w:tcBorders>
            <w:vAlign w:val="top"/>
          </w:tcPr>
          <w:p w14:paraId="13BA2889">
            <w:pPr>
              <w:pStyle w:val="11"/>
              <w:spacing w:before="29" w:line="224" w:lineRule="auto"/>
              <w:ind w:left="300" w:right="123" w:hanging="176"/>
              <w:rPr>
                <w:sz w:val="18"/>
                <w:szCs w:val="18"/>
              </w:rPr>
            </w:pPr>
            <w:r>
              <w:rPr>
                <w:spacing w:val="-4"/>
                <w:sz w:val="18"/>
                <w:szCs w:val="18"/>
              </w:rPr>
              <w:t>项目编</w:t>
            </w:r>
            <w:r>
              <w:rPr>
                <w:sz w:val="18"/>
                <w:szCs w:val="18"/>
              </w:rPr>
              <w:t>码</w:t>
            </w:r>
          </w:p>
        </w:tc>
        <w:tc>
          <w:tcPr>
            <w:tcW w:w="2399" w:type="dxa"/>
            <w:tcBorders>
              <w:top w:val="single" w:color="000000" w:sz="6" w:space="0"/>
            </w:tcBorders>
            <w:vAlign w:val="top"/>
          </w:tcPr>
          <w:p w14:paraId="0C780938">
            <w:pPr>
              <w:pStyle w:val="11"/>
              <w:spacing w:before="147" w:line="220" w:lineRule="auto"/>
              <w:ind w:left="840"/>
              <w:rPr>
                <w:sz w:val="18"/>
                <w:szCs w:val="18"/>
              </w:rPr>
            </w:pPr>
            <w:r>
              <w:rPr>
                <w:spacing w:val="-2"/>
                <w:sz w:val="18"/>
                <w:szCs w:val="18"/>
              </w:rPr>
              <w:t>项目名称</w:t>
            </w:r>
          </w:p>
        </w:tc>
        <w:tc>
          <w:tcPr>
            <w:tcW w:w="1637" w:type="dxa"/>
            <w:tcBorders>
              <w:top w:val="single" w:color="000000" w:sz="6" w:space="0"/>
            </w:tcBorders>
            <w:vAlign w:val="top"/>
          </w:tcPr>
          <w:p w14:paraId="33A54681">
            <w:pPr>
              <w:pStyle w:val="11"/>
              <w:spacing w:before="146" w:line="220" w:lineRule="auto"/>
              <w:ind w:left="463"/>
              <w:rPr>
                <w:sz w:val="18"/>
                <w:szCs w:val="18"/>
              </w:rPr>
            </w:pPr>
            <w:r>
              <w:rPr>
                <w:spacing w:val="-2"/>
                <w:sz w:val="18"/>
                <w:szCs w:val="18"/>
              </w:rPr>
              <w:t>项目特征</w:t>
            </w:r>
          </w:p>
        </w:tc>
        <w:tc>
          <w:tcPr>
            <w:tcW w:w="779" w:type="dxa"/>
            <w:tcBorders>
              <w:top w:val="single" w:color="000000" w:sz="6" w:space="0"/>
            </w:tcBorders>
            <w:vAlign w:val="top"/>
          </w:tcPr>
          <w:p w14:paraId="0C152851">
            <w:pPr>
              <w:pStyle w:val="11"/>
              <w:spacing w:before="147" w:line="220" w:lineRule="auto"/>
              <w:ind w:left="214"/>
              <w:rPr>
                <w:sz w:val="18"/>
                <w:szCs w:val="18"/>
              </w:rPr>
            </w:pPr>
            <w:r>
              <w:rPr>
                <w:spacing w:val="-3"/>
                <w:sz w:val="18"/>
                <w:szCs w:val="18"/>
              </w:rPr>
              <w:t>单位</w:t>
            </w:r>
          </w:p>
        </w:tc>
        <w:tc>
          <w:tcPr>
            <w:tcW w:w="860" w:type="dxa"/>
            <w:tcBorders>
              <w:top w:val="single" w:color="000000" w:sz="6" w:space="0"/>
            </w:tcBorders>
            <w:vAlign w:val="top"/>
          </w:tcPr>
          <w:p w14:paraId="633F825F">
            <w:pPr>
              <w:pStyle w:val="11"/>
              <w:spacing w:before="146" w:line="220" w:lineRule="auto"/>
              <w:ind w:left="256"/>
              <w:rPr>
                <w:sz w:val="18"/>
                <w:szCs w:val="18"/>
              </w:rPr>
            </w:pPr>
            <w:r>
              <w:rPr>
                <w:spacing w:val="-3"/>
                <w:sz w:val="18"/>
                <w:szCs w:val="18"/>
              </w:rPr>
              <w:t>数量</w:t>
            </w:r>
          </w:p>
        </w:tc>
        <w:tc>
          <w:tcPr>
            <w:tcW w:w="1119" w:type="dxa"/>
            <w:tcBorders>
              <w:top w:val="single" w:color="000000" w:sz="6" w:space="0"/>
            </w:tcBorders>
            <w:vAlign w:val="top"/>
          </w:tcPr>
          <w:p w14:paraId="31B95BB5">
            <w:pPr>
              <w:pStyle w:val="11"/>
              <w:spacing w:before="147" w:line="218" w:lineRule="auto"/>
              <w:ind w:left="119"/>
              <w:rPr>
                <w:sz w:val="18"/>
                <w:szCs w:val="18"/>
              </w:rPr>
            </w:pPr>
            <w:r>
              <w:rPr>
                <w:spacing w:val="-4"/>
                <w:sz w:val="18"/>
                <w:szCs w:val="18"/>
              </w:rPr>
              <w:t>单价（元）</w:t>
            </w:r>
          </w:p>
        </w:tc>
        <w:tc>
          <w:tcPr>
            <w:tcW w:w="1021" w:type="dxa"/>
            <w:tcBorders>
              <w:top w:val="single" w:color="000000" w:sz="6" w:space="0"/>
            </w:tcBorders>
            <w:vAlign w:val="top"/>
          </w:tcPr>
          <w:p w14:paraId="74BD8353">
            <w:pPr>
              <w:pStyle w:val="11"/>
              <w:spacing w:before="29" w:line="224" w:lineRule="auto"/>
              <w:ind w:left="254" w:right="245" w:firstLine="87"/>
              <w:rPr>
                <w:sz w:val="18"/>
                <w:szCs w:val="18"/>
              </w:rPr>
            </w:pPr>
            <w:r>
              <w:rPr>
                <w:spacing w:val="-4"/>
                <w:sz w:val="18"/>
                <w:szCs w:val="18"/>
              </w:rPr>
              <w:t>合价</w:t>
            </w:r>
            <w:r>
              <w:rPr>
                <w:spacing w:val="-8"/>
                <w:sz w:val="18"/>
                <w:szCs w:val="18"/>
              </w:rPr>
              <w:t>（元）</w:t>
            </w:r>
          </w:p>
        </w:tc>
        <w:tc>
          <w:tcPr>
            <w:tcW w:w="1095" w:type="dxa"/>
            <w:tcBorders>
              <w:top w:val="single" w:color="000000" w:sz="6" w:space="0"/>
              <w:right w:val="single" w:color="000000" w:sz="6" w:space="0"/>
            </w:tcBorders>
            <w:vAlign w:val="top"/>
          </w:tcPr>
          <w:p w14:paraId="3BA8DF88">
            <w:pPr>
              <w:pStyle w:val="11"/>
              <w:spacing w:before="147" w:line="221" w:lineRule="auto"/>
              <w:ind w:left="375"/>
              <w:rPr>
                <w:sz w:val="18"/>
                <w:szCs w:val="18"/>
              </w:rPr>
            </w:pPr>
            <w:r>
              <w:rPr>
                <w:spacing w:val="-3"/>
                <w:sz w:val="18"/>
                <w:szCs w:val="18"/>
              </w:rPr>
              <w:t>备注</w:t>
            </w:r>
          </w:p>
        </w:tc>
      </w:tr>
      <w:tr w14:paraId="00C2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89" w:type="dxa"/>
            <w:tcBorders>
              <w:left w:val="single" w:color="000000" w:sz="6" w:space="0"/>
            </w:tcBorders>
            <w:vAlign w:val="top"/>
          </w:tcPr>
          <w:p w14:paraId="3D7DA1D5">
            <w:pPr>
              <w:rPr>
                <w:rFonts w:ascii="Arial"/>
                <w:sz w:val="21"/>
              </w:rPr>
            </w:pPr>
          </w:p>
        </w:tc>
        <w:tc>
          <w:tcPr>
            <w:tcW w:w="2399" w:type="dxa"/>
            <w:vAlign w:val="top"/>
          </w:tcPr>
          <w:p w14:paraId="04EBBBEF">
            <w:pPr>
              <w:rPr>
                <w:rFonts w:ascii="Arial"/>
                <w:sz w:val="21"/>
              </w:rPr>
            </w:pPr>
          </w:p>
        </w:tc>
        <w:tc>
          <w:tcPr>
            <w:tcW w:w="1637" w:type="dxa"/>
            <w:vAlign w:val="top"/>
          </w:tcPr>
          <w:p w14:paraId="2363E2DD">
            <w:pPr>
              <w:rPr>
                <w:rFonts w:ascii="Arial"/>
                <w:sz w:val="21"/>
              </w:rPr>
            </w:pPr>
          </w:p>
        </w:tc>
        <w:tc>
          <w:tcPr>
            <w:tcW w:w="779" w:type="dxa"/>
            <w:vAlign w:val="top"/>
          </w:tcPr>
          <w:p w14:paraId="10C03EEF">
            <w:pPr>
              <w:rPr>
                <w:rFonts w:ascii="Arial"/>
                <w:sz w:val="21"/>
              </w:rPr>
            </w:pPr>
          </w:p>
        </w:tc>
        <w:tc>
          <w:tcPr>
            <w:tcW w:w="860" w:type="dxa"/>
            <w:vAlign w:val="top"/>
          </w:tcPr>
          <w:p w14:paraId="5635C775">
            <w:pPr>
              <w:rPr>
                <w:rFonts w:ascii="Arial"/>
                <w:sz w:val="21"/>
              </w:rPr>
            </w:pPr>
          </w:p>
        </w:tc>
        <w:tc>
          <w:tcPr>
            <w:tcW w:w="1119" w:type="dxa"/>
            <w:vAlign w:val="top"/>
          </w:tcPr>
          <w:p w14:paraId="3E1CB946">
            <w:pPr>
              <w:rPr>
                <w:rFonts w:ascii="Arial"/>
                <w:sz w:val="21"/>
              </w:rPr>
            </w:pPr>
          </w:p>
        </w:tc>
        <w:tc>
          <w:tcPr>
            <w:tcW w:w="1021" w:type="dxa"/>
            <w:vAlign w:val="top"/>
          </w:tcPr>
          <w:p w14:paraId="1180F64A">
            <w:pPr>
              <w:rPr>
                <w:rFonts w:ascii="Arial"/>
                <w:sz w:val="21"/>
              </w:rPr>
            </w:pPr>
          </w:p>
        </w:tc>
        <w:tc>
          <w:tcPr>
            <w:tcW w:w="1095" w:type="dxa"/>
            <w:tcBorders>
              <w:right w:val="single" w:color="000000" w:sz="6" w:space="0"/>
            </w:tcBorders>
            <w:vAlign w:val="top"/>
          </w:tcPr>
          <w:p w14:paraId="606A8544">
            <w:pPr>
              <w:rPr>
                <w:rFonts w:ascii="Arial"/>
                <w:sz w:val="21"/>
              </w:rPr>
            </w:pPr>
          </w:p>
        </w:tc>
      </w:tr>
      <w:tr w14:paraId="2C08C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68088154">
            <w:pPr>
              <w:rPr>
                <w:rFonts w:ascii="Arial"/>
                <w:sz w:val="21"/>
              </w:rPr>
            </w:pPr>
          </w:p>
        </w:tc>
        <w:tc>
          <w:tcPr>
            <w:tcW w:w="2399" w:type="dxa"/>
            <w:vAlign w:val="top"/>
          </w:tcPr>
          <w:p w14:paraId="688E0BDB">
            <w:pPr>
              <w:rPr>
                <w:rFonts w:ascii="Arial"/>
                <w:sz w:val="21"/>
              </w:rPr>
            </w:pPr>
          </w:p>
        </w:tc>
        <w:tc>
          <w:tcPr>
            <w:tcW w:w="1637" w:type="dxa"/>
            <w:vAlign w:val="top"/>
          </w:tcPr>
          <w:p w14:paraId="68902E59">
            <w:pPr>
              <w:rPr>
                <w:rFonts w:ascii="Arial"/>
                <w:sz w:val="21"/>
              </w:rPr>
            </w:pPr>
          </w:p>
        </w:tc>
        <w:tc>
          <w:tcPr>
            <w:tcW w:w="779" w:type="dxa"/>
            <w:vAlign w:val="top"/>
          </w:tcPr>
          <w:p w14:paraId="7C824729">
            <w:pPr>
              <w:rPr>
                <w:rFonts w:ascii="Arial"/>
                <w:sz w:val="21"/>
              </w:rPr>
            </w:pPr>
          </w:p>
        </w:tc>
        <w:tc>
          <w:tcPr>
            <w:tcW w:w="860" w:type="dxa"/>
            <w:vAlign w:val="top"/>
          </w:tcPr>
          <w:p w14:paraId="2537D991">
            <w:pPr>
              <w:rPr>
                <w:rFonts w:ascii="Arial"/>
                <w:sz w:val="21"/>
              </w:rPr>
            </w:pPr>
          </w:p>
        </w:tc>
        <w:tc>
          <w:tcPr>
            <w:tcW w:w="1119" w:type="dxa"/>
            <w:vAlign w:val="top"/>
          </w:tcPr>
          <w:p w14:paraId="63DE26E3">
            <w:pPr>
              <w:rPr>
                <w:rFonts w:ascii="Arial"/>
                <w:sz w:val="21"/>
              </w:rPr>
            </w:pPr>
          </w:p>
        </w:tc>
        <w:tc>
          <w:tcPr>
            <w:tcW w:w="1021" w:type="dxa"/>
            <w:vAlign w:val="top"/>
          </w:tcPr>
          <w:p w14:paraId="3CA9E7BB">
            <w:pPr>
              <w:rPr>
                <w:rFonts w:ascii="Arial"/>
                <w:sz w:val="21"/>
              </w:rPr>
            </w:pPr>
          </w:p>
        </w:tc>
        <w:tc>
          <w:tcPr>
            <w:tcW w:w="1095" w:type="dxa"/>
            <w:tcBorders>
              <w:right w:val="single" w:color="000000" w:sz="6" w:space="0"/>
            </w:tcBorders>
            <w:vAlign w:val="top"/>
          </w:tcPr>
          <w:p w14:paraId="2305C5A9">
            <w:pPr>
              <w:rPr>
                <w:rFonts w:ascii="Arial"/>
                <w:sz w:val="21"/>
              </w:rPr>
            </w:pPr>
          </w:p>
        </w:tc>
      </w:tr>
      <w:tr w14:paraId="384AC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25289A0E">
            <w:pPr>
              <w:rPr>
                <w:rFonts w:ascii="Arial"/>
                <w:sz w:val="21"/>
              </w:rPr>
            </w:pPr>
          </w:p>
        </w:tc>
        <w:tc>
          <w:tcPr>
            <w:tcW w:w="2399" w:type="dxa"/>
            <w:vAlign w:val="top"/>
          </w:tcPr>
          <w:p w14:paraId="5C7331DA">
            <w:pPr>
              <w:rPr>
                <w:rFonts w:ascii="Arial"/>
                <w:sz w:val="21"/>
              </w:rPr>
            </w:pPr>
          </w:p>
        </w:tc>
        <w:tc>
          <w:tcPr>
            <w:tcW w:w="1637" w:type="dxa"/>
            <w:vAlign w:val="top"/>
          </w:tcPr>
          <w:p w14:paraId="2FA3458E">
            <w:pPr>
              <w:rPr>
                <w:rFonts w:ascii="Arial"/>
                <w:sz w:val="21"/>
              </w:rPr>
            </w:pPr>
          </w:p>
        </w:tc>
        <w:tc>
          <w:tcPr>
            <w:tcW w:w="779" w:type="dxa"/>
            <w:vAlign w:val="top"/>
          </w:tcPr>
          <w:p w14:paraId="03F4556E">
            <w:pPr>
              <w:rPr>
                <w:rFonts w:ascii="Arial"/>
                <w:sz w:val="21"/>
              </w:rPr>
            </w:pPr>
          </w:p>
        </w:tc>
        <w:tc>
          <w:tcPr>
            <w:tcW w:w="860" w:type="dxa"/>
            <w:vAlign w:val="top"/>
          </w:tcPr>
          <w:p w14:paraId="04E6E8E1">
            <w:pPr>
              <w:rPr>
                <w:rFonts w:ascii="Arial"/>
                <w:sz w:val="21"/>
              </w:rPr>
            </w:pPr>
          </w:p>
        </w:tc>
        <w:tc>
          <w:tcPr>
            <w:tcW w:w="1119" w:type="dxa"/>
            <w:vAlign w:val="top"/>
          </w:tcPr>
          <w:p w14:paraId="574D9676">
            <w:pPr>
              <w:rPr>
                <w:rFonts w:ascii="Arial"/>
                <w:sz w:val="21"/>
              </w:rPr>
            </w:pPr>
          </w:p>
        </w:tc>
        <w:tc>
          <w:tcPr>
            <w:tcW w:w="1021" w:type="dxa"/>
            <w:vAlign w:val="top"/>
          </w:tcPr>
          <w:p w14:paraId="33BB81F6">
            <w:pPr>
              <w:rPr>
                <w:rFonts w:ascii="Arial"/>
                <w:sz w:val="21"/>
              </w:rPr>
            </w:pPr>
          </w:p>
        </w:tc>
        <w:tc>
          <w:tcPr>
            <w:tcW w:w="1095" w:type="dxa"/>
            <w:tcBorders>
              <w:right w:val="single" w:color="000000" w:sz="6" w:space="0"/>
            </w:tcBorders>
            <w:vAlign w:val="top"/>
          </w:tcPr>
          <w:p w14:paraId="3F33D578">
            <w:pPr>
              <w:rPr>
                <w:rFonts w:ascii="Arial"/>
                <w:sz w:val="21"/>
              </w:rPr>
            </w:pPr>
          </w:p>
        </w:tc>
      </w:tr>
      <w:tr w14:paraId="450B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21E85481">
            <w:pPr>
              <w:rPr>
                <w:rFonts w:ascii="Arial"/>
                <w:sz w:val="21"/>
              </w:rPr>
            </w:pPr>
          </w:p>
        </w:tc>
        <w:tc>
          <w:tcPr>
            <w:tcW w:w="2399" w:type="dxa"/>
            <w:vAlign w:val="top"/>
          </w:tcPr>
          <w:p w14:paraId="30CBB23F">
            <w:pPr>
              <w:rPr>
                <w:rFonts w:ascii="Arial"/>
                <w:sz w:val="21"/>
              </w:rPr>
            </w:pPr>
          </w:p>
        </w:tc>
        <w:tc>
          <w:tcPr>
            <w:tcW w:w="1637" w:type="dxa"/>
            <w:vAlign w:val="top"/>
          </w:tcPr>
          <w:p w14:paraId="33C15D8B">
            <w:pPr>
              <w:rPr>
                <w:rFonts w:ascii="Arial"/>
                <w:sz w:val="21"/>
              </w:rPr>
            </w:pPr>
          </w:p>
        </w:tc>
        <w:tc>
          <w:tcPr>
            <w:tcW w:w="779" w:type="dxa"/>
            <w:vAlign w:val="top"/>
          </w:tcPr>
          <w:p w14:paraId="2826A71F">
            <w:pPr>
              <w:rPr>
                <w:rFonts w:ascii="Arial"/>
                <w:sz w:val="21"/>
              </w:rPr>
            </w:pPr>
          </w:p>
        </w:tc>
        <w:tc>
          <w:tcPr>
            <w:tcW w:w="860" w:type="dxa"/>
            <w:vAlign w:val="top"/>
          </w:tcPr>
          <w:p w14:paraId="7E43A24E">
            <w:pPr>
              <w:rPr>
                <w:rFonts w:ascii="Arial"/>
                <w:sz w:val="21"/>
              </w:rPr>
            </w:pPr>
          </w:p>
        </w:tc>
        <w:tc>
          <w:tcPr>
            <w:tcW w:w="1119" w:type="dxa"/>
            <w:vAlign w:val="top"/>
          </w:tcPr>
          <w:p w14:paraId="6DE2A8C7">
            <w:pPr>
              <w:rPr>
                <w:rFonts w:ascii="Arial"/>
                <w:sz w:val="21"/>
              </w:rPr>
            </w:pPr>
          </w:p>
        </w:tc>
        <w:tc>
          <w:tcPr>
            <w:tcW w:w="1021" w:type="dxa"/>
            <w:vAlign w:val="top"/>
          </w:tcPr>
          <w:p w14:paraId="0D68F155">
            <w:pPr>
              <w:rPr>
                <w:rFonts w:ascii="Arial"/>
                <w:sz w:val="21"/>
              </w:rPr>
            </w:pPr>
          </w:p>
        </w:tc>
        <w:tc>
          <w:tcPr>
            <w:tcW w:w="1095" w:type="dxa"/>
            <w:tcBorders>
              <w:right w:val="single" w:color="000000" w:sz="6" w:space="0"/>
            </w:tcBorders>
            <w:vAlign w:val="top"/>
          </w:tcPr>
          <w:p w14:paraId="2924FD3E">
            <w:pPr>
              <w:rPr>
                <w:rFonts w:ascii="Arial"/>
                <w:sz w:val="21"/>
              </w:rPr>
            </w:pPr>
          </w:p>
        </w:tc>
      </w:tr>
      <w:tr w14:paraId="6BEA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074A6040">
            <w:pPr>
              <w:rPr>
                <w:rFonts w:ascii="Arial"/>
                <w:sz w:val="21"/>
              </w:rPr>
            </w:pPr>
          </w:p>
        </w:tc>
        <w:tc>
          <w:tcPr>
            <w:tcW w:w="2399" w:type="dxa"/>
            <w:vAlign w:val="top"/>
          </w:tcPr>
          <w:p w14:paraId="2C95AFEB">
            <w:pPr>
              <w:rPr>
                <w:rFonts w:ascii="Arial"/>
                <w:sz w:val="21"/>
              </w:rPr>
            </w:pPr>
          </w:p>
        </w:tc>
        <w:tc>
          <w:tcPr>
            <w:tcW w:w="1637" w:type="dxa"/>
            <w:vAlign w:val="top"/>
          </w:tcPr>
          <w:p w14:paraId="75FE469E">
            <w:pPr>
              <w:rPr>
                <w:rFonts w:ascii="Arial"/>
                <w:sz w:val="21"/>
              </w:rPr>
            </w:pPr>
          </w:p>
        </w:tc>
        <w:tc>
          <w:tcPr>
            <w:tcW w:w="779" w:type="dxa"/>
            <w:vAlign w:val="top"/>
          </w:tcPr>
          <w:p w14:paraId="1AFD474C">
            <w:pPr>
              <w:rPr>
                <w:rFonts w:ascii="Arial"/>
                <w:sz w:val="21"/>
              </w:rPr>
            </w:pPr>
          </w:p>
        </w:tc>
        <w:tc>
          <w:tcPr>
            <w:tcW w:w="860" w:type="dxa"/>
            <w:vAlign w:val="top"/>
          </w:tcPr>
          <w:p w14:paraId="6EB7A5BC">
            <w:pPr>
              <w:rPr>
                <w:rFonts w:ascii="Arial"/>
                <w:sz w:val="21"/>
              </w:rPr>
            </w:pPr>
          </w:p>
        </w:tc>
        <w:tc>
          <w:tcPr>
            <w:tcW w:w="1119" w:type="dxa"/>
            <w:vAlign w:val="top"/>
          </w:tcPr>
          <w:p w14:paraId="086CF661">
            <w:pPr>
              <w:rPr>
                <w:rFonts w:ascii="Arial"/>
                <w:sz w:val="21"/>
              </w:rPr>
            </w:pPr>
          </w:p>
        </w:tc>
        <w:tc>
          <w:tcPr>
            <w:tcW w:w="1021" w:type="dxa"/>
            <w:vAlign w:val="top"/>
          </w:tcPr>
          <w:p w14:paraId="7B24F79C">
            <w:pPr>
              <w:rPr>
                <w:rFonts w:ascii="Arial"/>
                <w:sz w:val="21"/>
              </w:rPr>
            </w:pPr>
          </w:p>
        </w:tc>
        <w:tc>
          <w:tcPr>
            <w:tcW w:w="1095" w:type="dxa"/>
            <w:tcBorders>
              <w:right w:val="single" w:color="000000" w:sz="6" w:space="0"/>
            </w:tcBorders>
            <w:vAlign w:val="top"/>
          </w:tcPr>
          <w:p w14:paraId="61A6EBC5">
            <w:pPr>
              <w:rPr>
                <w:rFonts w:ascii="Arial"/>
                <w:sz w:val="21"/>
              </w:rPr>
            </w:pPr>
          </w:p>
        </w:tc>
      </w:tr>
      <w:tr w14:paraId="44D2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77197071">
            <w:pPr>
              <w:rPr>
                <w:rFonts w:ascii="Arial"/>
                <w:sz w:val="21"/>
              </w:rPr>
            </w:pPr>
          </w:p>
        </w:tc>
        <w:tc>
          <w:tcPr>
            <w:tcW w:w="2399" w:type="dxa"/>
            <w:vAlign w:val="top"/>
          </w:tcPr>
          <w:p w14:paraId="480A38C8">
            <w:pPr>
              <w:rPr>
                <w:rFonts w:ascii="Arial"/>
                <w:sz w:val="21"/>
              </w:rPr>
            </w:pPr>
          </w:p>
        </w:tc>
        <w:tc>
          <w:tcPr>
            <w:tcW w:w="1637" w:type="dxa"/>
            <w:vAlign w:val="top"/>
          </w:tcPr>
          <w:p w14:paraId="00274B7C">
            <w:pPr>
              <w:rPr>
                <w:rFonts w:ascii="Arial"/>
                <w:sz w:val="21"/>
              </w:rPr>
            </w:pPr>
          </w:p>
        </w:tc>
        <w:tc>
          <w:tcPr>
            <w:tcW w:w="779" w:type="dxa"/>
            <w:vAlign w:val="top"/>
          </w:tcPr>
          <w:p w14:paraId="54B336A0">
            <w:pPr>
              <w:rPr>
                <w:rFonts w:ascii="Arial"/>
                <w:sz w:val="21"/>
              </w:rPr>
            </w:pPr>
          </w:p>
        </w:tc>
        <w:tc>
          <w:tcPr>
            <w:tcW w:w="860" w:type="dxa"/>
            <w:vAlign w:val="top"/>
          </w:tcPr>
          <w:p w14:paraId="5AFC4CC2">
            <w:pPr>
              <w:rPr>
                <w:rFonts w:ascii="Arial"/>
                <w:sz w:val="21"/>
              </w:rPr>
            </w:pPr>
          </w:p>
        </w:tc>
        <w:tc>
          <w:tcPr>
            <w:tcW w:w="1119" w:type="dxa"/>
            <w:vAlign w:val="top"/>
          </w:tcPr>
          <w:p w14:paraId="42A283D6">
            <w:pPr>
              <w:rPr>
                <w:rFonts w:ascii="Arial"/>
                <w:sz w:val="21"/>
              </w:rPr>
            </w:pPr>
          </w:p>
        </w:tc>
        <w:tc>
          <w:tcPr>
            <w:tcW w:w="1021" w:type="dxa"/>
            <w:vAlign w:val="top"/>
          </w:tcPr>
          <w:p w14:paraId="2F9AEBD4">
            <w:pPr>
              <w:rPr>
                <w:rFonts w:ascii="Arial"/>
                <w:sz w:val="21"/>
              </w:rPr>
            </w:pPr>
          </w:p>
        </w:tc>
        <w:tc>
          <w:tcPr>
            <w:tcW w:w="1095" w:type="dxa"/>
            <w:tcBorders>
              <w:right w:val="single" w:color="000000" w:sz="6" w:space="0"/>
            </w:tcBorders>
            <w:vAlign w:val="top"/>
          </w:tcPr>
          <w:p w14:paraId="1BA89E59">
            <w:pPr>
              <w:rPr>
                <w:rFonts w:ascii="Arial"/>
                <w:sz w:val="21"/>
              </w:rPr>
            </w:pPr>
          </w:p>
        </w:tc>
      </w:tr>
      <w:tr w14:paraId="4B404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4AF0D265">
            <w:pPr>
              <w:rPr>
                <w:rFonts w:ascii="Arial"/>
                <w:sz w:val="21"/>
              </w:rPr>
            </w:pPr>
          </w:p>
        </w:tc>
        <w:tc>
          <w:tcPr>
            <w:tcW w:w="2399" w:type="dxa"/>
            <w:vAlign w:val="top"/>
          </w:tcPr>
          <w:p w14:paraId="6F75A4EB">
            <w:pPr>
              <w:rPr>
                <w:rFonts w:ascii="Arial"/>
                <w:sz w:val="21"/>
              </w:rPr>
            </w:pPr>
          </w:p>
        </w:tc>
        <w:tc>
          <w:tcPr>
            <w:tcW w:w="1637" w:type="dxa"/>
            <w:vAlign w:val="top"/>
          </w:tcPr>
          <w:p w14:paraId="0AB33941">
            <w:pPr>
              <w:rPr>
                <w:rFonts w:ascii="Arial"/>
                <w:sz w:val="21"/>
              </w:rPr>
            </w:pPr>
          </w:p>
        </w:tc>
        <w:tc>
          <w:tcPr>
            <w:tcW w:w="779" w:type="dxa"/>
            <w:vAlign w:val="top"/>
          </w:tcPr>
          <w:p w14:paraId="34503F8B">
            <w:pPr>
              <w:rPr>
                <w:rFonts w:ascii="Arial"/>
                <w:sz w:val="21"/>
              </w:rPr>
            </w:pPr>
          </w:p>
        </w:tc>
        <w:tc>
          <w:tcPr>
            <w:tcW w:w="860" w:type="dxa"/>
            <w:vAlign w:val="top"/>
          </w:tcPr>
          <w:p w14:paraId="5DF25DB4">
            <w:pPr>
              <w:rPr>
                <w:rFonts w:ascii="Arial"/>
                <w:sz w:val="21"/>
              </w:rPr>
            </w:pPr>
          </w:p>
        </w:tc>
        <w:tc>
          <w:tcPr>
            <w:tcW w:w="1119" w:type="dxa"/>
            <w:vAlign w:val="top"/>
          </w:tcPr>
          <w:p w14:paraId="79CDB1E2">
            <w:pPr>
              <w:rPr>
                <w:rFonts w:ascii="Arial"/>
                <w:sz w:val="21"/>
              </w:rPr>
            </w:pPr>
          </w:p>
        </w:tc>
        <w:tc>
          <w:tcPr>
            <w:tcW w:w="1021" w:type="dxa"/>
            <w:vAlign w:val="top"/>
          </w:tcPr>
          <w:p w14:paraId="13F4F1A8">
            <w:pPr>
              <w:rPr>
                <w:rFonts w:ascii="Arial"/>
                <w:sz w:val="21"/>
              </w:rPr>
            </w:pPr>
          </w:p>
        </w:tc>
        <w:tc>
          <w:tcPr>
            <w:tcW w:w="1095" w:type="dxa"/>
            <w:tcBorders>
              <w:right w:val="single" w:color="000000" w:sz="6" w:space="0"/>
            </w:tcBorders>
            <w:vAlign w:val="top"/>
          </w:tcPr>
          <w:p w14:paraId="6E0DCF43">
            <w:pPr>
              <w:rPr>
                <w:rFonts w:ascii="Arial"/>
                <w:sz w:val="21"/>
              </w:rPr>
            </w:pPr>
          </w:p>
        </w:tc>
      </w:tr>
      <w:tr w14:paraId="5775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53A25655">
            <w:pPr>
              <w:rPr>
                <w:rFonts w:ascii="Arial"/>
                <w:sz w:val="21"/>
              </w:rPr>
            </w:pPr>
          </w:p>
        </w:tc>
        <w:tc>
          <w:tcPr>
            <w:tcW w:w="2399" w:type="dxa"/>
            <w:vAlign w:val="top"/>
          </w:tcPr>
          <w:p w14:paraId="71E58416">
            <w:pPr>
              <w:rPr>
                <w:rFonts w:ascii="Arial"/>
                <w:sz w:val="21"/>
              </w:rPr>
            </w:pPr>
          </w:p>
        </w:tc>
        <w:tc>
          <w:tcPr>
            <w:tcW w:w="1637" w:type="dxa"/>
            <w:vAlign w:val="top"/>
          </w:tcPr>
          <w:p w14:paraId="5686A660">
            <w:pPr>
              <w:rPr>
                <w:rFonts w:ascii="Arial"/>
                <w:sz w:val="21"/>
              </w:rPr>
            </w:pPr>
          </w:p>
        </w:tc>
        <w:tc>
          <w:tcPr>
            <w:tcW w:w="779" w:type="dxa"/>
            <w:vAlign w:val="top"/>
          </w:tcPr>
          <w:p w14:paraId="28753DDD">
            <w:pPr>
              <w:rPr>
                <w:rFonts w:ascii="Arial"/>
                <w:sz w:val="21"/>
              </w:rPr>
            </w:pPr>
          </w:p>
        </w:tc>
        <w:tc>
          <w:tcPr>
            <w:tcW w:w="860" w:type="dxa"/>
            <w:vAlign w:val="top"/>
          </w:tcPr>
          <w:p w14:paraId="3EF7065C">
            <w:pPr>
              <w:rPr>
                <w:rFonts w:ascii="Arial"/>
                <w:sz w:val="21"/>
              </w:rPr>
            </w:pPr>
          </w:p>
        </w:tc>
        <w:tc>
          <w:tcPr>
            <w:tcW w:w="1119" w:type="dxa"/>
            <w:vAlign w:val="top"/>
          </w:tcPr>
          <w:p w14:paraId="0782F7CD">
            <w:pPr>
              <w:rPr>
                <w:rFonts w:ascii="Arial"/>
                <w:sz w:val="21"/>
              </w:rPr>
            </w:pPr>
          </w:p>
        </w:tc>
        <w:tc>
          <w:tcPr>
            <w:tcW w:w="1021" w:type="dxa"/>
            <w:vAlign w:val="top"/>
          </w:tcPr>
          <w:p w14:paraId="39D2B1C3">
            <w:pPr>
              <w:rPr>
                <w:rFonts w:ascii="Arial"/>
                <w:sz w:val="21"/>
              </w:rPr>
            </w:pPr>
          </w:p>
        </w:tc>
        <w:tc>
          <w:tcPr>
            <w:tcW w:w="1095" w:type="dxa"/>
            <w:tcBorders>
              <w:right w:val="single" w:color="000000" w:sz="6" w:space="0"/>
            </w:tcBorders>
            <w:vAlign w:val="top"/>
          </w:tcPr>
          <w:p w14:paraId="3BEC39FF">
            <w:pPr>
              <w:rPr>
                <w:rFonts w:ascii="Arial"/>
                <w:sz w:val="21"/>
              </w:rPr>
            </w:pPr>
          </w:p>
        </w:tc>
      </w:tr>
      <w:tr w14:paraId="2926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4C4A9EFA">
            <w:pPr>
              <w:rPr>
                <w:rFonts w:ascii="Arial"/>
                <w:sz w:val="21"/>
              </w:rPr>
            </w:pPr>
          </w:p>
        </w:tc>
        <w:tc>
          <w:tcPr>
            <w:tcW w:w="2399" w:type="dxa"/>
            <w:vAlign w:val="top"/>
          </w:tcPr>
          <w:p w14:paraId="01F9EF50">
            <w:pPr>
              <w:rPr>
                <w:rFonts w:ascii="Arial"/>
                <w:sz w:val="21"/>
              </w:rPr>
            </w:pPr>
          </w:p>
        </w:tc>
        <w:tc>
          <w:tcPr>
            <w:tcW w:w="1637" w:type="dxa"/>
            <w:vAlign w:val="top"/>
          </w:tcPr>
          <w:p w14:paraId="6564F174">
            <w:pPr>
              <w:rPr>
                <w:rFonts w:ascii="Arial"/>
                <w:sz w:val="21"/>
              </w:rPr>
            </w:pPr>
          </w:p>
        </w:tc>
        <w:tc>
          <w:tcPr>
            <w:tcW w:w="779" w:type="dxa"/>
            <w:vAlign w:val="top"/>
          </w:tcPr>
          <w:p w14:paraId="65BDC8F8">
            <w:pPr>
              <w:rPr>
                <w:rFonts w:ascii="Arial"/>
                <w:sz w:val="21"/>
              </w:rPr>
            </w:pPr>
          </w:p>
        </w:tc>
        <w:tc>
          <w:tcPr>
            <w:tcW w:w="860" w:type="dxa"/>
            <w:vAlign w:val="top"/>
          </w:tcPr>
          <w:p w14:paraId="08EEE693">
            <w:pPr>
              <w:rPr>
                <w:rFonts w:ascii="Arial"/>
                <w:sz w:val="21"/>
              </w:rPr>
            </w:pPr>
          </w:p>
        </w:tc>
        <w:tc>
          <w:tcPr>
            <w:tcW w:w="1119" w:type="dxa"/>
            <w:vAlign w:val="top"/>
          </w:tcPr>
          <w:p w14:paraId="25F32EBA">
            <w:pPr>
              <w:rPr>
                <w:rFonts w:ascii="Arial"/>
                <w:sz w:val="21"/>
              </w:rPr>
            </w:pPr>
          </w:p>
        </w:tc>
        <w:tc>
          <w:tcPr>
            <w:tcW w:w="1021" w:type="dxa"/>
            <w:vAlign w:val="top"/>
          </w:tcPr>
          <w:p w14:paraId="38D5BD1E">
            <w:pPr>
              <w:rPr>
                <w:rFonts w:ascii="Arial"/>
                <w:sz w:val="21"/>
              </w:rPr>
            </w:pPr>
          </w:p>
        </w:tc>
        <w:tc>
          <w:tcPr>
            <w:tcW w:w="1095" w:type="dxa"/>
            <w:tcBorders>
              <w:right w:val="single" w:color="000000" w:sz="6" w:space="0"/>
            </w:tcBorders>
            <w:vAlign w:val="top"/>
          </w:tcPr>
          <w:p w14:paraId="5F77CA75">
            <w:pPr>
              <w:rPr>
                <w:rFonts w:ascii="Arial"/>
                <w:sz w:val="21"/>
              </w:rPr>
            </w:pPr>
          </w:p>
        </w:tc>
      </w:tr>
      <w:tr w14:paraId="5199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05859410">
            <w:pPr>
              <w:rPr>
                <w:rFonts w:ascii="Arial"/>
                <w:sz w:val="21"/>
              </w:rPr>
            </w:pPr>
          </w:p>
        </w:tc>
        <w:tc>
          <w:tcPr>
            <w:tcW w:w="2399" w:type="dxa"/>
            <w:vAlign w:val="top"/>
          </w:tcPr>
          <w:p w14:paraId="6ADE6719">
            <w:pPr>
              <w:rPr>
                <w:rFonts w:ascii="Arial"/>
                <w:sz w:val="21"/>
              </w:rPr>
            </w:pPr>
          </w:p>
        </w:tc>
        <w:tc>
          <w:tcPr>
            <w:tcW w:w="1637" w:type="dxa"/>
            <w:vAlign w:val="top"/>
          </w:tcPr>
          <w:p w14:paraId="2026FD39">
            <w:pPr>
              <w:rPr>
                <w:rFonts w:ascii="Arial"/>
                <w:sz w:val="21"/>
              </w:rPr>
            </w:pPr>
          </w:p>
        </w:tc>
        <w:tc>
          <w:tcPr>
            <w:tcW w:w="779" w:type="dxa"/>
            <w:vAlign w:val="top"/>
          </w:tcPr>
          <w:p w14:paraId="27F61EF4">
            <w:pPr>
              <w:rPr>
                <w:rFonts w:ascii="Arial"/>
                <w:sz w:val="21"/>
              </w:rPr>
            </w:pPr>
          </w:p>
        </w:tc>
        <w:tc>
          <w:tcPr>
            <w:tcW w:w="860" w:type="dxa"/>
            <w:vAlign w:val="top"/>
          </w:tcPr>
          <w:p w14:paraId="5AF94A30">
            <w:pPr>
              <w:rPr>
                <w:rFonts w:ascii="Arial"/>
                <w:sz w:val="21"/>
              </w:rPr>
            </w:pPr>
          </w:p>
        </w:tc>
        <w:tc>
          <w:tcPr>
            <w:tcW w:w="1119" w:type="dxa"/>
            <w:vAlign w:val="top"/>
          </w:tcPr>
          <w:p w14:paraId="368B67DC">
            <w:pPr>
              <w:rPr>
                <w:rFonts w:ascii="Arial"/>
                <w:sz w:val="21"/>
              </w:rPr>
            </w:pPr>
          </w:p>
        </w:tc>
        <w:tc>
          <w:tcPr>
            <w:tcW w:w="1021" w:type="dxa"/>
            <w:vAlign w:val="top"/>
          </w:tcPr>
          <w:p w14:paraId="67802AF0">
            <w:pPr>
              <w:rPr>
                <w:rFonts w:ascii="Arial"/>
                <w:sz w:val="21"/>
              </w:rPr>
            </w:pPr>
          </w:p>
        </w:tc>
        <w:tc>
          <w:tcPr>
            <w:tcW w:w="1095" w:type="dxa"/>
            <w:tcBorders>
              <w:right w:val="single" w:color="000000" w:sz="6" w:space="0"/>
            </w:tcBorders>
            <w:vAlign w:val="top"/>
          </w:tcPr>
          <w:p w14:paraId="782D0D52">
            <w:pPr>
              <w:rPr>
                <w:rFonts w:ascii="Arial"/>
                <w:sz w:val="21"/>
              </w:rPr>
            </w:pPr>
          </w:p>
        </w:tc>
      </w:tr>
      <w:tr w14:paraId="5EFB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5B9E4114">
            <w:pPr>
              <w:rPr>
                <w:rFonts w:ascii="Arial"/>
                <w:sz w:val="21"/>
              </w:rPr>
            </w:pPr>
          </w:p>
        </w:tc>
        <w:tc>
          <w:tcPr>
            <w:tcW w:w="2399" w:type="dxa"/>
            <w:vAlign w:val="top"/>
          </w:tcPr>
          <w:p w14:paraId="3CA65535">
            <w:pPr>
              <w:rPr>
                <w:rFonts w:ascii="Arial"/>
                <w:sz w:val="21"/>
              </w:rPr>
            </w:pPr>
          </w:p>
        </w:tc>
        <w:tc>
          <w:tcPr>
            <w:tcW w:w="1637" w:type="dxa"/>
            <w:vAlign w:val="top"/>
          </w:tcPr>
          <w:p w14:paraId="3DE709DC">
            <w:pPr>
              <w:rPr>
                <w:rFonts w:ascii="Arial"/>
                <w:sz w:val="21"/>
              </w:rPr>
            </w:pPr>
          </w:p>
        </w:tc>
        <w:tc>
          <w:tcPr>
            <w:tcW w:w="779" w:type="dxa"/>
            <w:vAlign w:val="top"/>
          </w:tcPr>
          <w:p w14:paraId="43E98F10">
            <w:pPr>
              <w:rPr>
                <w:rFonts w:ascii="Arial"/>
                <w:sz w:val="21"/>
              </w:rPr>
            </w:pPr>
          </w:p>
        </w:tc>
        <w:tc>
          <w:tcPr>
            <w:tcW w:w="860" w:type="dxa"/>
            <w:vAlign w:val="top"/>
          </w:tcPr>
          <w:p w14:paraId="33AFDA54">
            <w:pPr>
              <w:rPr>
                <w:rFonts w:ascii="Arial"/>
                <w:sz w:val="21"/>
              </w:rPr>
            </w:pPr>
          </w:p>
        </w:tc>
        <w:tc>
          <w:tcPr>
            <w:tcW w:w="1119" w:type="dxa"/>
            <w:vAlign w:val="top"/>
          </w:tcPr>
          <w:p w14:paraId="70DE2A52">
            <w:pPr>
              <w:rPr>
                <w:rFonts w:ascii="Arial"/>
                <w:sz w:val="21"/>
              </w:rPr>
            </w:pPr>
          </w:p>
        </w:tc>
        <w:tc>
          <w:tcPr>
            <w:tcW w:w="1021" w:type="dxa"/>
            <w:vAlign w:val="top"/>
          </w:tcPr>
          <w:p w14:paraId="224AA81E">
            <w:pPr>
              <w:rPr>
                <w:rFonts w:ascii="Arial"/>
                <w:sz w:val="21"/>
              </w:rPr>
            </w:pPr>
          </w:p>
        </w:tc>
        <w:tc>
          <w:tcPr>
            <w:tcW w:w="1095" w:type="dxa"/>
            <w:tcBorders>
              <w:right w:val="single" w:color="000000" w:sz="6" w:space="0"/>
            </w:tcBorders>
            <w:vAlign w:val="top"/>
          </w:tcPr>
          <w:p w14:paraId="30EF0EF2">
            <w:pPr>
              <w:rPr>
                <w:rFonts w:ascii="Arial"/>
                <w:sz w:val="21"/>
              </w:rPr>
            </w:pPr>
          </w:p>
        </w:tc>
      </w:tr>
      <w:tr w14:paraId="0099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182DFB66">
            <w:pPr>
              <w:rPr>
                <w:rFonts w:ascii="Arial"/>
                <w:sz w:val="21"/>
              </w:rPr>
            </w:pPr>
          </w:p>
        </w:tc>
        <w:tc>
          <w:tcPr>
            <w:tcW w:w="2399" w:type="dxa"/>
            <w:vAlign w:val="top"/>
          </w:tcPr>
          <w:p w14:paraId="44CC21CD">
            <w:pPr>
              <w:rPr>
                <w:rFonts w:ascii="Arial"/>
                <w:sz w:val="21"/>
              </w:rPr>
            </w:pPr>
          </w:p>
        </w:tc>
        <w:tc>
          <w:tcPr>
            <w:tcW w:w="1637" w:type="dxa"/>
            <w:vAlign w:val="top"/>
          </w:tcPr>
          <w:p w14:paraId="0DE061B3">
            <w:pPr>
              <w:rPr>
                <w:rFonts w:ascii="Arial"/>
                <w:sz w:val="21"/>
              </w:rPr>
            </w:pPr>
          </w:p>
        </w:tc>
        <w:tc>
          <w:tcPr>
            <w:tcW w:w="779" w:type="dxa"/>
            <w:vAlign w:val="top"/>
          </w:tcPr>
          <w:p w14:paraId="525A00F3">
            <w:pPr>
              <w:rPr>
                <w:rFonts w:ascii="Arial"/>
                <w:sz w:val="21"/>
              </w:rPr>
            </w:pPr>
          </w:p>
        </w:tc>
        <w:tc>
          <w:tcPr>
            <w:tcW w:w="860" w:type="dxa"/>
            <w:vAlign w:val="top"/>
          </w:tcPr>
          <w:p w14:paraId="0BD17C4D">
            <w:pPr>
              <w:rPr>
                <w:rFonts w:ascii="Arial"/>
                <w:sz w:val="21"/>
              </w:rPr>
            </w:pPr>
          </w:p>
        </w:tc>
        <w:tc>
          <w:tcPr>
            <w:tcW w:w="1119" w:type="dxa"/>
            <w:vAlign w:val="top"/>
          </w:tcPr>
          <w:p w14:paraId="571D08AA">
            <w:pPr>
              <w:rPr>
                <w:rFonts w:ascii="Arial"/>
                <w:sz w:val="21"/>
              </w:rPr>
            </w:pPr>
          </w:p>
        </w:tc>
        <w:tc>
          <w:tcPr>
            <w:tcW w:w="1021" w:type="dxa"/>
            <w:vAlign w:val="top"/>
          </w:tcPr>
          <w:p w14:paraId="678ADF8C">
            <w:pPr>
              <w:rPr>
                <w:rFonts w:ascii="Arial"/>
                <w:sz w:val="21"/>
              </w:rPr>
            </w:pPr>
          </w:p>
        </w:tc>
        <w:tc>
          <w:tcPr>
            <w:tcW w:w="1095" w:type="dxa"/>
            <w:tcBorders>
              <w:right w:val="single" w:color="000000" w:sz="6" w:space="0"/>
            </w:tcBorders>
            <w:vAlign w:val="top"/>
          </w:tcPr>
          <w:p w14:paraId="69918F9D">
            <w:pPr>
              <w:rPr>
                <w:rFonts w:ascii="Arial"/>
                <w:sz w:val="21"/>
              </w:rPr>
            </w:pPr>
          </w:p>
        </w:tc>
      </w:tr>
      <w:tr w14:paraId="24AE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2C4E3672">
            <w:pPr>
              <w:rPr>
                <w:rFonts w:ascii="Arial"/>
                <w:sz w:val="21"/>
              </w:rPr>
            </w:pPr>
          </w:p>
        </w:tc>
        <w:tc>
          <w:tcPr>
            <w:tcW w:w="2399" w:type="dxa"/>
            <w:vAlign w:val="top"/>
          </w:tcPr>
          <w:p w14:paraId="5F3C73BC">
            <w:pPr>
              <w:rPr>
                <w:rFonts w:ascii="Arial"/>
                <w:sz w:val="21"/>
              </w:rPr>
            </w:pPr>
          </w:p>
        </w:tc>
        <w:tc>
          <w:tcPr>
            <w:tcW w:w="1637" w:type="dxa"/>
            <w:vAlign w:val="top"/>
          </w:tcPr>
          <w:p w14:paraId="0E51241B">
            <w:pPr>
              <w:rPr>
                <w:rFonts w:ascii="Arial"/>
                <w:sz w:val="21"/>
              </w:rPr>
            </w:pPr>
          </w:p>
        </w:tc>
        <w:tc>
          <w:tcPr>
            <w:tcW w:w="779" w:type="dxa"/>
            <w:vAlign w:val="top"/>
          </w:tcPr>
          <w:p w14:paraId="6BAE4339">
            <w:pPr>
              <w:rPr>
                <w:rFonts w:ascii="Arial"/>
                <w:sz w:val="21"/>
              </w:rPr>
            </w:pPr>
          </w:p>
        </w:tc>
        <w:tc>
          <w:tcPr>
            <w:tcW w:w="860" w:type="dxa"/>
            <w:vAlign w:val="top"/>
          </w:tcPr>
          <w:p w14:paraId="12480C47">
            <w:pPr>
              <w:rPr>
                <w:rFonts w:ascii="Arial"/>
                <w:sz w:val="21"/>
              </w:rPr>
            </w:pPr>
          </w:p>
        </w:tc>
        <w:tc>
          <w:tcPr>
            <w:tcW w:w="1119" w:type="dxa"/>
            <w:vAlign w:val="top"/>
          </w:tcPr>
          <w:p w14:paraId="3692B6A2">
            <w:pPr>
              <w:rPr>
                <w:rFonts w:ascii="Arial"/>
                <w:sz w:val="21"/>
              </w:rPr>
            </w:pPr>
          </w:p>
        </w:tc>
        <w:tc>
          <w:tcPr>
            <w:tcW w:w="1021" w:type="dxa"/>
            <w:vAlign w:val="top"/>
          </w:tcPr>
          <w:p w14:paraId="751670D8">
            <w:pPr>
              <w:rPr>
                <w:rFonts w:ascii="Arial"/>
                <w:sz w:val="21"/>
              </w:rPr>
            </w:pPr>
          </w:p>
        </w:tc>
        <w:tc>
          <w:tcPr>
            <w:tcW w:w="1095" w:type="dxa"/>
            <w:tcBorders>
              <w:right w:val="single" w:color="000000" w:sz="6" w:space="0"/>
            </w:tcBorders>
            <w:vAlign w:val="top"/>
          </w:tcPr>
          <w:p w14:paraId="640C6D2E">
            <w:pPr>
              <w:rPr>
                <w:rFonts w:ascii="Arial"/>
                <w:sz w:val="21"/>
              </w:rPr>
            </w:pPr>
          </w:p>
        </w:tc>
      </w:tr>
      <w:tr w14:paraId="2B1B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7B0673C8">
            <w:pPr>
              <w:rPr>
                <w:rFonts w:ascii="Arial"/>
                <w:sz w:val="21"/>
              </w:rPr>
            </w:pPr>
          </w:p>
        </w:tc>
        <w:tc>
          <w:tcPr>
            <w:tcW w:w="2399" w:type="dxa"/>
            <w:vAlign w:val="top"/>
          </w:tcPr>
          <w:p w14:paraId="3446FEE2">
            <w:pPr>
              <w:rPr>
                <w:rFonts w:ascii="Arial"/>
                <w:sz w:val="21"/>
              </w:rPr>
            </w:pPr>
          </w:p>
        </w:tc>
        <w:tc>
          <w:tcPr>
            <w:tcW w:w="1637" w:type="dxa"/>
            <w:vAlign w:val="top"/>
          </w:tcPr>
          <w:p w14:paraId="3441179E">
            <w:pPr>
              <w:rPr>
                <w:rFonts w:ascii="Arial"/>
                <w:sz w:val="21"/>
              </w:rPr>
            </w:pPr>
          </w:p>
        </w:tc>
        <w:tc>
          <w:tcPr>
            <w:tcW w:w="779" w:type="dxa"/>
            <w:vAlign w:val="top"/>
          </w:tcPr>
          <w:p w14:paraId="2316260C">
            <w:pPr>
              <w:rPr>
                <w:rFonts w:ascii="Arial"/>
                <w:sz w:val="21"/>
              </w:rPr>
            </w:pPr>
          </w:p>
        </w:tc>
        <w:tc>
          <w:tcPr>
            <w:tcW w:w="860" w:type="dxa"/>
            <w:vAlign w:val="top"/>
          </w:tcPr>
          <w:p w14:paraId="26ACC453">
            <w:pPr>
              <w:rPr>
                <w:rFonts w:ascii="Arial"/>
                <w:sz w:val="21"/>
              </w:rPr>
            </w:pPr>
          </w:p>
        </w:tc>
        <w:tc>
          <w:tcPr>
            <w:tcW w:w="1119" w:type="dxa"/>
            <w:vAlign w:val="top"/>
          </w:tcPr>
          <w:p w14:paraId="5281BC3A">
            <w:pPr>
              <w:rPr>
                <w:rFonts w:ascii="Arial"/>
                <w:sz w:val="21"/>
              </w:rPr>
            </w:pPr>
          </w:p>
        </w:tc>
        <w:tc>
          <w:tcPr>
            <w:tcW w:w="1021" w:type="dxa"/>
            <w:vAlign w:val="top"/>
          </w:tcPr>
          <w:p w14:paraId="56399BD9">
            <w:pPr>
              <w:rPr>
                <w:rFonts w:ascii="Arial"/>
                <w:sz w:val="21"/>
              </w:rPr>
            </w:pPr>
          </w:p>
        </w:tc>
        <w:tc>
          <w:tcPr>
            <w:tcW w:w="1095" w:type="dxa"/>
            <w:tcBorders>
              <w:right w:val="single" w:color="000000" w:sz="6" w:space="0"/>
            </w:tcBorders>
            <w:vAlign w:val="top"/>
          </w:tcPr>
          <w:p w14:paraId="30AC3399">
            <w:pPr>
              <w:rPr>
                <w:rFonts w:ascii="Arial"/>
                <w:sz w:val="21"/>
              </w:rPr>
            </w:pPr>
          </w:p>
        </w:tc>
      </w:tr>
      <w:tr w14:paraId="3844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7A3A4B69">
            <w:pPr>
              <w:rPr>
                <w:rFonts w:ascii="Arial"/>
                <w:sz w:val="21"/>
              </w:rPr>
            </w:pPr>
          </w:p>
        </w:tc>
        <w:tc>
          <w:tcPr>
            <w:tcW w:w="2399" w:type="dxa"/>
            <w:vAlign w:val="top"/>
          </w:tcPr>
          <w:p w14:paraId="67B4DBE4">
            <w:pPr>
              <w:rPr>
                <w:rFonts w:ascii="Arial"/>
                <w:sz w:val="21"/>
              </w:rPr>
            </w:pPr>
          </w:p>
        </w:tc>
        <w:tc>
          <w:tcPr>
            <w:tcW w:w="1637" w:type="dxa"/>
            <w:vAlign w:val="top"/>
          </w:tcPr>
          <w:p w14:paraId="2CED28EB">
            <w:pPr>
              <w:rPr>
                <w:rFonts w:ascii="Arial"/>
                <w:sz w:val="21"/>
              </w:rPr>
            </w:pPr>
          </w:p>
        </w:tc>
        <w:tc>
          <w:tcPr>
            <w:tcW w:w="779" w:type="dxa"/>
            <w:vAlign w:val="top"/>
          </w:tcPr>
          <w:p w14:paraId="56060DCD">
            <w:pPr>
              <w:rPr>
                <w:rFonts w:ascii="Arial"/>
                <w:sz w:val="21"/>
              </w:rPr>
            </w:pPr>
          </w:p>
        </w:tc>
        <w:tc>
          <w:tcPr>
            <w:tcW w:w="860" w:type="dxa"/>
            <w:vAlign w:val="top"/>
          </w:tcPr>
          <w:p w14:paraId="4AFC2A12">
            <w:pPr>
              <w:rPr>
                <w:rFonts w:ascii="Arial"/>
                <w:sz w:val="21"/>
              </w:rPr>
            </w:pPr>
          </w:p>
        </w:tc>
        <w:tc>
          <w:tcPr>
            <w:tcW w:w="1119" w:type="dxa"/>
            <w:vAlign w:val="top"/>
          </w:tcPr>
          <w:p w14:paraId="297AD3BF">
            <w:pPr>
              <w:rPr>
                <w:rFonts w:ascii="Arial"/>
                <w:sz w:val="21"/>
              </w:rPr>
            </w:pPr>
          </w:p>
        </w:tc>
        <w:tc>
          <w:tcPr>
            <w:tcW w:w="1021" w:type="dxa"/>
            <w:vAlign w:val="top"/>
          </w:tcPr>
          <w:p w14:paraId="7CD0D3DB">
            <w:pPr>
              <w:rPr>
                <w:rFonts w:ascii="Arial"/>
                <w:sz w:val="21"/>
              </w:rPr>
            </w:pPr>
          </w:p>
        </w:tc>
        <w:tc>
          <w:tcPr>
            <w:tcW w:w="1095" w:type="dxa"/>
            <w:tcBorders>
              <w:right w:val="single" w:color="000000" w:sz="6" w:space="0"/>
            </w:tcBorders>
            <w:vAlign w:val="top"/>
          </w:tcPr>
          <w:p w14:paraId="3A967D46">
            <w:pPr>
              <w:rPr>
                <w:rFonts w:ascii="Arial"/>
                <w:sz w:val="21"/>
              </w:rPr>
            </w:pPr>
          </w:p>
        </w:tc>
      </w:tr>
      <w:tr w14:paraId="6B23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004DF63D">
            <w:pPr>
              <w:rPr>
                <w:rFonts w:ascii="Arial"/>
                <w:sz w:val="21"/>
              </w:rPr>
            </w:pPr>
          </w:p>
        </w:tc>
        <w:tc>
          <w:tcPr>
            <w:tcW w:w="2399" w:type="dxa"/>
            <w:vAlign w:val="top"/>
          </w:tcPr>
          <w:p w14:paraId="66F1A3D8">
            <w:pPr>
              <w:rPr>
                <w:rFonts w:ascii="Arial"/>
                <w:sz w:val="21"/>
              </w:rPr>
            </w:pPr>
          </w:p>
        </w:tc>
        <w:tc>
          <w:tcPr>
            <w:tcW w:w="1637" w:type="dxa"/>
            <w:vAlign w:val="top"/>
          </w:tcPr>
          <w:p w14:paraId="77DA620C">
            <w:pPr>
              <w:rPr>
                <w:rFonts w:ascii="Arial"/>
                <w:sz w:val="21"/>
              </w:rPr>
            </w:pPr>
          </w:p>
        </w:tc>
        <w:tc>
          <w:tcPr>
            <w:tcW w:w="779" w:type="dxa"/>
            <w:vAlign w:val="top"/>
          </w:tcPr>
          <w:p w14:paraId="62B2B56F">
            <w:pPr>
              <w:rPr>
                <w:rFonts w:ascii="Arial"/>
                <w:sz w:val="21"/>
              </w:rPr>
            </w:pPr>
          </w:p>
        </w:tc>
        <w:tc>
          <w:tcPr>
            <w:tcW w:w="860" w:type="dxa"/>
            <w:vAlign w:val="top"/>
          </w:tcPr>
          <w:p w14:paraId="4CE1670C">
            <w:pPr>
              <w:rPr>
                <w:rFonts w:ascii="Arial"/>
                <w:sz w:val="21"/>
              </w:rPr>
            </w:pPr>
          </w:p>
        </w:tc>
        <w:tc>
          <w:tcPr>
            <w:tcW w:w="1119" w:type="dxa"/>
            <w:vAlign w:val="top"/>
          </w:tcPr>
          <w:p w14:paraId="6A647801">
            <w:pPr>
              <w:rPr>
                <w:rFonts w:ascii="Arial"/>
                <w:sz w:val="21"/>
              </w:rPr>
            </w:pPr>
          </w:p>
        </w:tc>
        <w:tc>
          <w:tcPr>
            <w:tcW w:w="1021" w:type="dxa"/>
            <w:vAlign w:val="top"/>
          </w:tcPr>
          <w:p w14:paraId="3DDDAD82">
            <w:pPr>
              <w:rPr>
                <w:rFonts w:ascii="Arial"/>
                <w:sz w:val="21"/>
              </w:rPr>
            </w:pPr>
          </w:p>
        </w:tc>
        <w:tc>
          <w:tcPr>
            <w:tcW w:w="1095" w:type="dxa"/>
            <w:tcBorders>
              <w:right w:val="single" w:color="000000" w:sz="6" w:space="0"/>
            </w:tcBorders>
            <w:vAlign w:val="top"/>
          </w:tcPr>
          <w:p w14:paraId="3801E3FC">
            <w:pPr>
              <w:rPr>
                <w:rFonts w:ascii="Arial"/>
                <w:sz w:val="21"/>
              </w:rPr>
            </w:pPr>
          </w:p>
        </w:tc>
      </w:tr>
      <w:tr w14:paraId="7479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3142E5EC">
            <w:pPr>
              <w:rPr>
                <w:rFonts w:ascii="Arial"/>
                <w:sz w:val="21"/>
              </w:rPr>
            </w:pPr>
          </w:p>
        </w:tc>
        <w:tc>
          <w:tcPr>
            <w:tcW w:w="2399" w:type="dxa"/>
            <w:vAlign w:val="top"/>
          </w:tcPr>
          <w:p w14:paraId="1E63CC1D">
            <w:pPr>
              <w:rPr>
                <w:rFonts w:ascii="Arial"/>
                <w:sz w:val="21"/>
              </w:rPr>
            </w:pPr>
          </w:p>
        </w:tc>
        <w:tc>
          <w:tcPr>
            <w:tcW w:w="1637" w:type="dxa"/>
            <w:vAlign w:val="top"/>
          </w:tcPr>
          <w:p w14:paraId="5F090F81">
            <w:pPr>
              <w:rPr>
                <w:rFonts w:ascii="Arial"/>
                <w:sz w:val="21"/>
              </w:rPr>
            </w:pPr>
          </w:p>
        </w:tc>
        <w:tc>
          <w:tcPr>
            <w:tcW w:w="779" w:type="dxa"/>
            <w:vAlign w:val="top"/>
          </w:tcPr>
          <w:p w14:paraId="5F7A873D">
            <w:pPr>
              <w:rPr>
                <w:rFonts w:ascii="Arial"/>
                <w:sz w:val="21"/>
              </w:rPr>
            </w:pPr>
          </w:p>
        </w:tc>
        <w:tc>
          <w:tcPr>
            <w:tcW w:w="860" w:type="dxa"/>
            <w:vAlign w:val="top"/>
          </w:tcPr>
          <w:p w14:paraId="7C65B4D0">
            <w:pPr>
              <w:rPr>
                <w:rFonts w:ascii="Arial"/>
                <w:sz w:val="21"/>
              </w:rPr>
            </w:pPr>
          </w:p>
        </w:tc>
        <w:tc>
          <w:tcPr>
            <w:tcW w:w="1119" w:type="dxa"/>
            <w:vAlign w:val="top"/>
          </w:tcPr>
          <w:p w14:paraId="605D75E3">
            <w:pPr>
              <w:rPr>
                <w:rFonts w:ascii="Arial"/>
                <w:sz w:val="21"/>
              </w:rPr>
            </w:pPr>
          </w:p>
        </w:tc>
        <w:tc>
          <w:tcPr>
            <w:tcW w:w="1021" w:type="dxa"/>
            <w:vAlign w:val="top"/>
          </w:tcPr>
          <w:p w14:paraId="7C977AB6">
            <w:pPr>
              <w:rPr>
                <w:rFonts w:ascii="Arial"/>
                <w:sz w:val="21"/>
              </w:rPr>
            </w:pPr>
          </w:p>
        </w:tc>
        <w:tc>
          <w:tcPr>
            <w:tcW w:w="1095" w:type="dxa"/>
            <w:tcBorders>
              <w:right w:val="single" w:color="000000" w:sz="6" w:space="0"/>
            </w:tcBorders>
            <w:vAlign w:val="top"/>
          </w:tcPr>
          <w:p w14:paraId="7F094929">
            <w:pPr>
              <w:rPr>
                <w:rFonts w:ascii="Arial"/>
                <w:sz w:val="21"/>
              </w:rPr>
            </w:pPr>
          </w:p>
        </w:tc>
      </w:tr>
      <w:tr w14:paraId="6B29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3681624D">
            <w:pPr>
              <w:rPr>
                <w:rFonts w:ascii="Arial"/>
                <w:sz w:val="21"/>
              </w:rPr>
            </w:pPr>
          </w:p>
        </w:tc>
        <w:tc>
          <w:tcPr>
            <w:tcW w:w="2399" w:type="dxa"/>
            <w:vAlign w:val="top"/>
          </w:tcPr>
          <w:p w14:paraId="36AED45D">
            <w:pPr>
              <w:rPr>
                <w:rFonts w:ascii="Arial"/>
                <w:sz w:val="21"/>
              </w:rPr>
            </w:pPr>
          </w:p>
        </w:tc>
        <w:tc>
          <w:tcPr>
            <w:tcW w:w="1637" w:type="dxa"/>
            <w:vAlign w:val="top"/>
          </w:tcPr>
          <w:p w14:paraId="152FAB23">
            <w:pPr>
              <w:rPr>
                <w:rFonts w:ascii="Arial"/>
                <w:sz w:val="21"/>
              </w:rPr>
            </w:pPr>
          </w:p>
        </w:tc>
        <w:tc>
          <w:tcPr>
            <w:tcW w:w="779" w:type="dxa"/>
            <w:vAlign w:val="top"/>
          </w:tcPr>
          <w:p w14:paraId="4864F98D">
            <w:pPr>
              <w:rPr>
                <w:rFonts w:ascii="Arial"/>
                <w:sz w:val="21"/>
              </w:rPr>
            </w:pPr>
          </w:p>
        </w:tc>
        <w:tc>
          <w:tcPr>
            <w:tcW w:w="860" w:type="dxa"/>
            <w:vAlign w:val="top"/>
          </w:tcPr>
          <w:p w14:paraId="3B10A284">
            <w:pPr>
              <w:rPr>
                <w:rFonts w:ascii="Arial"/>
                <w:sz w:val="21"/>
              </w:rPr>
            </w:pPr>
          </w:p>
        </w:tc>
        <w:tc>
          <w:tcPr>
            <w:tcW w:w="1119" w:type="dxa"/>
            <w:vAlign w:val="top"/>
          </w:tcPr>
          <w:p w14:paraId="1B9BF6DE">
            <w:pPr>
              <w:rPr>
                <w:rFonts w:ascii="Arial"/>
                <w:sz w:val="21"/>
              </w:rPr>
            </w:pPr>
          </w:p>
        </w:tc>
        <w:tc>
          <w:tcPr>
            <w:tcW w:w="1021" w:type="dxa"/>
            <w:vAlign w:val="top"/>
          </w:tcPr>
          <w:p w14:paraId="283ED6CF">
            <w:pPr>
              <w:rPr>
                <w:rFonts w:ascii="Arial"/>
                <w:sz w:val="21"/>
              </w:rPr>
            </w:pPr>
          </w:p>
        </w:tc>
        <w:tc>
          <w:tcPr>
            <w:tcW w:w="1095" w:type="dxa"/>
            <w:tcBorders>
              <w:right w:val="single" w:color="000000" w:sz="6" w:space="0"/>
            </w:tcBorders>
            <w:vAlign w:val="top"/>
          </w:tcPr>
          <w:p w14:paraId="746882B9">
            <w:pPr>
              <w:rPr>
                <w:rFonts w:ascii="Arial"/>
                <w:sz w:val="21"/>
              </w:rPr>
            </w:pPr>
          </w:p>
        </w:tc>
      </w:tr>
      <w:tr w14:paraId="45B2D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29E46F71">
            <w:pPr>
              <w:rPr>
                <w:rFonts w:ascii="Arial"/>
                <w:sz w:val="21"/>
              </w:rPr>
            </w:pPr>
          </w:p>
        </w:tc>
        <w:tc>
          <w:tcPr>
            <w:tcW w:w="2399" w:type="dxa"/>
            <w:vAlign w:val="top"/>
          </w:tcPr>
          <w:p w14:paraId="1200283B">
            <w:pPr>
              <w:rPr>
                <w:rFonts w:ascii="Arial"/>
                <w:sz w:val="21"/>
              </w:rPr>
            </w:pPr>
          </w:p>
        </w:tc>
        <w:tc>
          <w:tcPr>
            <w:tcW w:w="1637" w:type="dxa"/>
            <w:vAlign w:val="top"/>
          </w:tcPr>
          <w:p w14:paraId="0052857F">
            <w:pPr>
              <w:rPr>
                <w:rFonts w:ascii="Arial"/>
                <w:sz w:val="21"/>
              </w:rPr>
            </w:pPr>
          </w:p>
        </w:tc>
        <w:tc>
          <w:tcPr>
            <w:tcW w:w="779" w:type="dxa"/>
            <w:vAlign w:val="top"/>
          </w:tcPr>
          <w:p w14:paraId="57EDE585">
            <w:pPr>
              <w:rPr>
                <w:rFonts w:ascii="Arial"/>
                <w:sz w:val="21"/>
              </w:rPr>
            </w:pPr>
          </w:p>
        </w:tc>
        <w:tc>
          <w:tcPr>
            <w:tcW w:w="860" w:type="dxa"/>
            <w:vAlign w:val="top"/>
          </w:tcPr>
          <w:p w14:paraId="3BAAB364">
            <w:pPr>
              <w:rPr>
                <w:rFonts w:ascii="Arial"/>
                <w:sz w:val="21"/>
              </w:rPr>
            </w:pPr>
          </w:p>
        </w:tc>
        <w:tc>
          <w:tcPr>
            <w:tcW w:w="1119" w:type="dxa"/>
            <w:vAlign w:val="top"/>
          </w:tcPr>
          <w:p w14:paraId="01BB6B69">
            <w:pPr>
              <w:rPr>
                <w:rFonts w:ascii="Arial"/>
                <w:sz w:val="21"/>
              </w:rPr>
            </w:pPr>
          </w:p>
        </w:tc>
        <w:tc>
          <w:tcPr>
            <w:tcW w:w="1021" w:type="dxa"/>
            <w:vAlign w:val="top"/>
          </w:tcPr>
          <w:p w14:paraId="6B0CF512">
            <w:pPr>
              <w:rPr>
                <w:rFonts w:ascii="Arial"/>
                <w:sz w:val="21"/>
              </w:rPr>
            </w:pPr>
          </w:p>
        </w:tc>
        <w:tc>
          <w:tcPr>
            <w:tcW w:w="1095" w:type="dxa"/>
            <w:tcBorders>
              <w:right w:val="single" w:color="000000" w:sz="6" w:space="0"/>
            </w:tcBorders>
            <w:vAlign w:val="top"/>
          </w:tcPr>
          <w:p w14:paraId="356491E0">
            <w:pPr>
              <w:rPr>
                <w:rFonts w:ascii="Arial"/>
                <w:sz w:val="21"/>
              </w:rPr>
            </w:pPr>
          </w:p>
        </w:tc>
      </w:tr>
      <w:tr w14:paraId="16CE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6256BF47">
            <w:pPr>
              <w:rPr>
                <w:rFonts w:ascii="Arial"/>
                <w:sz w:val="21"/>
              </w:rPr>
            </w:pPr>
          </w:p>
        </w:tc>
        <w:tc>
          <w:tcPr>
            <w:tcW w:w="2399" w:type="dxa"/>
            <w:vAlign w:val="top"/>
          </w:tcPr>
          <w:p w14:paraId="4431B2CF">
            <w:pPr>
              <w:rPr>
                <w:rFonts w:ascii="Arial"/>
                <w:sz w:val="21"/>
              </w:rPr>
            </w:pPr>
          </w:p>
        </w:tc>
        <w:tc>
          <w:tcPr>
            <w:tcW w:w="1637" w:type="dxa"/>
            <w:vAlign w:val="top"/>
          </w:tcPr>
          <w:p w14:paraId="4ACE2CBA">
            <w:pPr>
              <w:rPr>
                <w:rFonts w:ascii="Arial"/>
                <w:sz w:val="21"/>
              </w:rPr>
            </w:pPr>
          </w:p>
        </w:tc>
        <w:tc>
          <w:tcPr>
            <w:tcW w:w="779" w:type="dxa"/>
            <w:vAlign w:val="top"/>
          </w:tcPr>
          <w:p w14:paraId="0EE176B8">
            <w:pPr>
              <w:rPr>
                <w:rFonts w:ascii="Arial"/>
                <w:sz w:val="21"/>
              </w:rPr>
            </w:pPr>
          </w:p>
        </w:tc>
        <w:tc>
          <w:tcPr>
            <w:tcW w:w="860" w:type="dxa"/>
            <w:vAlign w:val="top"/>
          </w:tcPr>
          <w:p w14:paraId="5AE6CFCB">
            <w:pPr>
              <w:rPr>
                <w:rFonts w:ascii="Arial"/>
                <w:sz w:val="21"/>
              </w:rPr>
            </w:pPr>
          </w:p>
        </w:tc>
        <w:tc>
          <w:tcPr>
            <w:tcW w:w="1119" w:type="dxa"/>
            <w:vAlign w:val="top"/>
          </w:tcPr>
          <w:p w14:paraId="21CF0D04">
            <w:pPr>
              <w:rPr>
                <w:rFonts w:ascii="Arial"/>
                <w:sz w:val="21"/>
              </w:rPr>
            </w:pPr>
          </w:p>
        </w:tc>
        <w:tc>
          <w:tcPr>
            <w:tcW w:w="1021" w:type="dxa"/>
            <w:vAlign w:val="top"/>
          </w:tcPr>
          <w:p w14:paraId="7AA491DA">
            <w:pPr>
              <w:rPr>
                <w:rFonts w:ascii="Arial"/>
                <w:sz w:val="21"/>
              </w:rPr>
            </w:pPr>
          </w:p>
        </w:tc>
        <w:tc>
          <w:tcPr>
            <w:tcW w:w="1095" w:type="dxa"/>
            <w:tcBorders>
              <w:right w:val="single" w:color="000000" w:sz="6" w:space="0"/>
            </w:tcBorders>
            <w:vAlign w:val="top"/>
          </w:tcPr>
          <w:p w14:paraId="56A48D42">
            <w:pPr>
              <w:rPr>
                <w:rFonts w:ascii="Arial"/>
                <w:sz w:val="21"/>
              </w:rPr>
            </w:pPr>
          </w:p>
        </w:tc>
      </w:tr>
      <w:tr w14:paraId="4898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65BC9742">
            <w:pPr>
              <w:rPr>
                <w:rFonts w:ascii="Arial"/>
                <w:sz w:val="21"/>
              </w:rPr>
            </w:pPr>
          </w:p>
        </w:tc>
        <w:tc>
          <w:tcPr>
            <w:tcW w:w="2399" w:type="dxa"/>
            <w:vAlign w:val="top"/>
          </w:tcPr>
          <w:p w14:paraId="119384A0">
            <w:pPr>
              <w:rPr>
                <w:rFonts w:ascii="Arial"/>
                <w:sz w:val="21"/>
              </w:rPr>
            </w:pPr>
          </w:p>
        </w:tc>
        <w:tc>
          <w:tcPr>
            <w:tcW w:w="1637" w:type="dxa"/>
            <w:vAlign w:val="top"/>
          </w:tcPr>
          <w:p w14:paraId="56471094">
            <w:pPr>
              <w:rPr>
                <w:rFonts w:ascii="Arial"/>
                <w:sz w:val="21"/>
              </w:rPr>
            </w:pPr>
          </w:p>
        </w:tc>
        <w:tc>
          <w:tcPr>
            <w:tcW w:w="779" w:type="dxa"/>
            <w:vAlign w:val="top"/>
          </w:tcPr>
          <w:p w14:paraId="78FB1FAF">
            <w:pPr>
              <w:rPr>
                <w:rFonts w:ascii="Arial"/>
                <w:sz w:val="21"/>
              </w:rPr>
            </w:pPr>
          </w:p>
        </w:tc>
        <w:tc>
          <w:tcPr>
            <w:tcW w:w="860" w:type="dxa"/>
            <w:vAlign w:val="top"/>
          </w:tcPr>
          <w:p w14:paraId="7CDD762C">
            <w:pPr>
              <w:rPr>
                <w:rFonts w:ascii="Arial"/>
                <w:sz w:val="21"/>
              </w:rPr>
            </w:pPr>
          </w:p>
        </w:tc>
        <w:tc>
          <w:tcPr>
            <w:tcW w:w="1119" w:type="dxa"/>
            <w:vAlign w:val="top"/>
          </w:tcPr>
          <w:p w14:paraId="3793B512">
            <w:pPr>
              <w:rPr>
                <w:rFonts w:ascii="Arial"/>
                <w:sz w:val="21"/>
              </w:rPr>
            </w:pPr>
          </w:p>
        </w:tc>
        <w:tc>
          <w:tcPr>
            <w:tcW w:w="1021" w:type="dxa"/>
            <w:vAlign w:val="top"/>
          </w:tcPr>
          <w:p w14:paraId="7C77ED8B">
            <w:pPr>
              <w:rPr>
                <w:rFonts w:ascii="Arial"/>
                <w:sz w:val="21"/>
              </w:rPr>
            </w:pPr>
          </w:p>
        </w:tc>
        <w:tc>
          <w:tcPr>
            <w:tcW w:w="1095" w:type="dxa"/>
            <w:tcBorders>
              <w:right w:val="single" w:color="000000" w:sz="6" w:space="0"/>
            </w:tcBorders>
            <w:vAlign w:val="top"/>
          </w:tcPr>
          <w:p w14:paraId="5616B3F7">
            <w:pPr>
              <w:rPr>
                <w:rFonts w:ascii="Arial"/>
                <w:sz w:val="21"/>
              </w:rPr>
            </w:pPr>
          </w:p>
        </w:tc>
      </w:tr>
      <w:tr w14:paraId="1E9D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68EDBF64">
            <w:pPr>
              <w:rPr>
                <w:rFonts w:ascii="Arial"/>
                <w:sz w:val="21"/>
              </w:rPr>
            </w:pPr>
          </w:p>
        </w:tc>
        <w:tc>
          <w:tcPr>
            <w:tcW w:w="2399" w:type="dxa"/>
            <w:vAlign w:val="top"/>
          </w:tcPr>
          <w:p w14:paraId="62D480F6">
            <w:pPr>
              <w:rPr>
                <w:rFonts w:ascii="Arial"/>
                <w:sz w:val="21"/>
              </w:rPr>
            </w:pPr>
          </w:p>
        </w:tc>
        <w:tc>
          <w:tcPr>
            <w:tcW w:w="1637" w:type="dxa"/>
            <w:vAlign w:val="top"/>
          </w:tcPr>
          <w:p w14:paraId="7AD4B51B">
            <w:pPr>
              <w:rPr>
                <w:rFonts w:ascii="Arial"/>
                <w:sz w:val="21"/>
              </w:rPr>
            </w:pPr>
          </w:p>
        </w:tc>
        <w:tc>
          <w:tcPr>
            <w:tcW w:w="779" w:type="dxa"/>
            <w:vAlign w:val="top"/>
          </w:tcPr>
          <w:p w14:paraId="5CFC3945">
            <w:pPr>
              <w:rPr>
                <w:rFonts w:ascii="Arial"/>
                <w:sz w:val="21"/>
              </w:rPr>
            </w:pPr>
          </w:p>
        </w:tc>
        <w:tc>
          <w:tcPr>
            <w:tcW w:w="860" w:type="dxa"/>
            <w:vAlign w:val="top"/>
          </w:tcPr>
          <w:p w14:paraId="55BC115F">
            <w:pPr>
              <w:rPr>
                <w:rFonts w:ascii="Arial"/>
                <w:sz w:val="21"/>
              </w:rPr>
            </w:pPr>
          </w:p>
        </w:tc>
        <w:tc>
          <w:tcPr>
            <w:tcW w:w="1119" w:type="dxa"/>
            <w:vAlign w:val="top"/>
          </w:tcPr>
          <w:p w14:paraId="46502745">
            <w:pPr>
              <w:rPr>
                <w:rFonts w:ascii="Arial"/>
                <w:sz w:val="21"/>
              </w:rPr>
            </w:pPr>
          </w:p>
        </w:tc>
        <w:tc>
          <w:tcPr>
            <w:tcW w:w="1021" w:type="dxa"/>
            <w:vAlign w:val="top"/>
          </w:tcPr>
          <w:p w14:paraId="1834A4BF">
            <w:pPr>
              <w:rPr>
                <w:rFonts w:ascii="Arial"/>
                <w:sz w:val="21"/>
              </w:rPr>
            </w:pPr>
          </w:p>
        </w:tc>
        <w:tc>
          <w:tcPr>
            <w:tcW w:w="1095" w:type="dxa"/>
            <w:tcBorders>
              <w:right w:val="single" w:color="000000" w:sz="6" w:space="0"/>
            </w:tcBorders>
            <w:vAlign w:val="top"/>
          </w:tcPr>
          <w:p w14:paraId="04713362">
            <w:pPr>
              <w:rPr>
                <w:rFonts w:ascii="Arial"/>
                <w:sz w:val="21"/>
              </w:rPr>
            </w:pPr>
          </w:p>
        </w:tc>
      </w:tr>
      <w:tr w14:paraId="35F20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02A9EE79">
            <w:pPr>
              <w:rPr>
                <w:rFonts w:ascii="Arial"/>
                <w:sz w:val="21"/>
              </w:rPr>
            </w:pPr>
          </w:p>
        </w:tc>
        <w:tc>
          <w:tcPr>
            <w:tcW w:w="2399" w:type="dxa"/>
            <w:vAlign w:val="top"/>
          </w:tcPr>
          <w:p w14:paraId="4D82C32A">
            <w:pPr>
              <w:rPr>
                <w:rFonts w:ascii="Arial"/>
                <w:sz w:val="21"/>
              </w:rPr>
            </w:pPr>
          </w:p>
        </w:tc>
        <w:tc>
          <w:tcPr>
            <w:tcW w:w="1637" w:type="dxa"/>
            <w:vAlign w:val="top"/>
          </w:tcPr>
          <w:p w14:paraId="78EA5F5B">
            <w:pPr>
              <w:rPr>
                <w:rFonts w:ascii="Arial"/>
                <w:sz w:val="21"/>
              </w:rPr>
            </w:pPr>
          </w:p>
        </w:tc>
        <w:tc>
          <w:tcPr>
            <w:tcW w:w="779" w:type="dxa"/>
            <w:vAlign w:val="top"/>
          </w:tcPr>
          <w:p w14:paraId="7E42D596">
            <w:pPr>
              <w:rPr>
                <w:rFonts w:ascii="Arial"/>
                <w:sz w:val="21"/>
              </w:rPr>
            </w:pPr>
          </w:p>
        </w:tc>
        <w:tc>
          <w:tcPr>
            <w:tcW w:w="860" w:type="dxa"/>
            <w:vAlign w:val="top"/>
          </w:tcPr>
          <w:p w14:paraId="3E92B892">
            <w:pPr>
              <w:rPr>
                <w:rFonts w:ascii="Arial"/>
                <w:sz w:val="21"/>
              </w:rPr>
            </w:pPr>
          </w:p>
        </w:tc>
        <w:tc>
          <w:tcPr>
            <w:tcW w:w="1119" w:type="dxa"/>
            <w:vAlign w:val="top"/>
          </w:tcPr>
          <w:p w14:paraId="6C64A099">
            <w:pPr>
              <w:rPr>
                <w:rFonts w:ascii="Arial"/>
                <w:sz w:val="21"/>
              </w:rPr>
            </w:pPr>
          </w:p>
        </w:tc>
        <w:tc>
          <w:tcPr>
            <w:tcW w:w="1021" w:type="dxa"/>
            <w:vAlign w:val="top"/>
          </w:tcPr>
          <w:p w14:paraId="5D24DCBA">
            <w:pPr>
              <w:rPr>
                <w:rFonts w:ascii="Arial"/>
                <w:sz w:val="21"/>
              </w:rPr>
            </w:pPr>
          </w:p>
        </w:tc>
        <w:tc>
          <w:tcPr>
            <w:tcW w:w="1095" w:type="dxa"/>
            <w:tcBorders>
              <w:right w:val="single" w:color="000000" w:sz="6" w:space="0"/>
            </w:tcBorders>
            <w:vAlign w:val="top"/>
          </w:tcPr>
          <w:p w14:paraId="3147D09D">
            <w:pPr>
              <w:rPr>
                <w:rFonts w:ascii="Arial"/>
                <w:sz w:val="21"/>
              </w:rPr>
            </w:pPr>
          </w:p>
        </w:tc>
      </w:tr>
      <w:tr w14:paraId="64989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7E8EAE32">
            <w:pPr>
              <w:rPr>
                <w:rFonts w:ascii="Arial"/>
                <w:sz w:val="21"/>
              </w:rPr>
            </w:pPr>
          </w:p>
        </w:tc>
        <w:tc>
          <w:tcPr>
            <w:tcW w:w="2399" w:type="dxa"/>
            <w:vAlign w:val="top"/>
          </w:tcPr>
          <w:p w14:paraId="7673F473">
            <w:pPr>
              <w:rPr>
                <w:rFonts w:ascii="Arial"/>
                <w:sz w:val="21"/>
              </w:rPr>
            </w:pPr>
          </w:p>
        </w:tc>
        <w:tc>
          <w:tcPr>
            <w:tcW w:w="1637" w:type="dxa"/>
            <w:vAlign w:val="top"/>
          </w:tcPr>
          <w:p w14:paraId="3CA6D193">
            <w:pPr>
              <w:rPr>
                <w:rFonts w:ascii="Arial"/>
                <w:sz w:val="21"/>
              </w:rPr>
            </w:pPr>
          </w:p>
        </w:tc>
        <w:tc>
          <w:tcPr>
            <w:tcW w:w="779" w:type="dxa"/>
            <w:vAlign w:val="top"/>
          </w:tcPr>
          <w:p w14:paraId="679C0AE0">
            <w:pPr>
              <w:rPr>
                <w:rFonts w:ascii="Arial"/>
                <w:sz w:val="21"/>
              </w:rPr>
            </w:pPr>
          </w:p>
        </w:tc>
        <w:tc>
          <w:tcPr>
            <w:tcW w:w="860" w:type="dxa"/>
            <w:vAlign w:val="top"/>
          </w:tcPr>
          <w:p w14:paraId="4D6129D4">
            <w:pPr>
              <w:rPr>
                <w:rFonts w:ascii="Arial"/>
                <w:sz w:val="21"/>
              </w:rPr>
            </w:pPr>
          </w:p>
        </w:tc>
        <w:tc>
          <w:tcPr>
            <w:tcW w:w="1119" w:type="dxa"/>
            <w:vAlign w:val="top"/>
          </w:tcPr>
          <w:p w14:paraId="68E36A1A">
            <w:pPr>
              <w:rPr>
                <w:rFonts w:ascii="Arial"/>
                <w:sz w:val="21"/>
              </w:rPr>
            </w:pPr>
          </w:p>
        </w:tc>
        <w:tc>
          <w:tcPr>
            <w:tcW w:w="1021" w:type="dxa"/>
            <w:vAlign w:val="top"/>
          </w:tcPr>
          <w:p w14:paraId="47A6A8F7">
            <w:pPr>
              <w:rPr>
                <w:rFonts w:ascii="Arial"/>
                <w:sz w:val="21"/>
              </w:rPr>
            </w:pPr>
          </w:p>
        </w:tc>
        <w:tc>
          <w:tcPr>
            <w:tcW w:w="1095" w:type="dxa"/>
            <w:tcBorders>
              <w:right w:val="single" w:color="000000" w:sz="6" w:space="0"/>
            </w:tcBorders>
            <w:vAlign w:val="top"/>
          </w:tcPr>
          <w:p w14:paraId="2968B322">
            <w:pPr>
              <w:rPr>
                <w:rFonts w:ascii="Arial"/>
                <w:sz w:val="21"/>
              </w:rPr>
            </w:pPr>
          </w:p>
        </w:tc>
      </w:tr>
      <w:tr w14:paraId="235D5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89" w:type="dxa"/>
            <w:tcBorders>
              <w:left w:val="single" w:color="000000" w:sz="6" w:space="0"/>
            </w:tcBorders>
            <w:vAlign w:val="top"/>
          </w:tcPr>
          <w:p w14:paraId="3292FC84">
            <w:pPr>
              <w:rPr>
                <w:rFonts w:ascii="Arial"/>
                <w:sz w:val="21"/>
              </w:rPr>
            </w:pPr>
          </w:p>
        </w:tc>
        <w:tc>
          <w:tcPr>
            <w:tcW w:w="2399" w:type="dxa"/>
            <w:vAlign w:val="top"/>
          </w:tcPr>
          <w:p w14:paraId="3942BE4B">
            <w:pPr>
              <w:rPr>
                <w:rFonts w:ascii="Arial"/>
                <w:sz w:val="21"/>
              </w:rPr>
            </w:pPr>
          </w:p>
        </w:tc>
        <w:tc>
          <w:tcPr>
            <w:tcW w:w="1637" w:type="dxa"/>
            <w:vAlign w:val="top"/>
          </w:tcPr>
          <w:p w14:paraId="49B1D03D">
            <w:pPr>
              <w:rPr>
                <w:rFonts w:ascii="Arial"/>
                <w:sz w:val="21"/>
              </w:rPr>
            </w:pPr>
          </w:p>
        </w:tc>
        <w:tc>
          <w:tcPr>
            <w:tcW w:w="779" w:type="dxa"/>
            <w:vAlign w:val="top"/>
          </w:tcPr>
          <w:p w14:paraId="1C4F4839">
            <w:pPr>
              <w:rPr>
                <w:rFonts w:ascii="Arial"/>
                <w:sz w:val="21"/>
              </w:rPr>
            </w:pPr>
          </w:p>
        </w:tc>
        <w:tc>
          <w:tcPr>
            <w:tcW w:w="860" w:type="dxa"/>
            <w:vAlign w:val="top"/>
          </w:tcPr>
          <w:p w14:paraId="49779507">
            <w:pPr>
              <w:rPr>
                <w:rFonts w:ascii="Arial"/>
                <w:sz w:val="21"/>
              </w:rPr>
            </w:pPr>
          </w:p>
        </w:tc>
        <w:tc>
          <w:tcPr>
            <w:tcW w:w="1119" w:type="dxa"/>
            <w:vAlign w:val="top"/>
          </w:tcPr>
          <w:p w14:paraId="13A4FA93">
            <w:pPr>
              <w:rPr>
                <w:rFonts w:ascii="Arial"/>
                <w:sz w:val="21"/>
              </w:rPr>
            </w:pPr>
          </w:p>
        </w:tc>
        <w:tc>
          <w:tcPr>
            <w:tcW w:w="1021" w:type="dxa"/>
            <w:vAlign w:val="top"/>
          </w:tcPr>
          <w:p w14:paraId="2179807F">
            <w:pPr>
              <w:rPr>
                <w:rFonts w:ascii="Arial"/>
                <w:sz w:val="21"/>
              </w:rPr>
            </w:pPr>
          </w:p>
        </w:tc>
        <w:tc>
          <w:tcPr>
            <w:tcW w:w="1095" w:type="dxa"/>
            <w:tcBorders>
              <w:right w:val="single" w:color="000000" w:sz="6" w:space="0"/>
            </w:tcBorders>
            <w:vAlign w:val="top"/>
          </w:tcPr>
          <w:p w14:paraId="63210449">
            <w:pPr>
              <w:rPr>
                <w:rFonts w:ascii="Arial"/>
                <w:sz w:val="21"/>
              </w:rPr>
            </w:pPr>
          </w:p>
        </w:tc>
      </w:tr>
      <w:tr w14:paraId="57B22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89" w:type="dxa"/>
            <w:tcBorders>
              <w:left w:val="single" w:color="000000" w:sz="6" w:space="0"/>
            </w:tcBorders>
            <w:vAlign w:val="top"/>
          </w:tcPr>
          <w:p w14:paraId="489D4EC6">
            <w:pPr>
              <w:rPr>
                <w:rFonts w:ascii="Arial"/>
                <w:sz w:val="21"/>
              </w:rPr>
            </w:pPr>
          </w:p>
        </w:tc>
        <w:tc>
          <w:tcPr>
            <w:tcW w:w="2399" w:type="dxa"/>
            <w:vAlign w:val="top"/>
          </w:tcPr>
          <w:p w14:paraId="58299CF5">
            <w:pPr>
              <w:rPr>
                <w:rFonts w:ascii="Arial"/>
                <w:sz w:val="21"/>
              </w:rPr>
            </w:pPr>
          </w:p>
        </w:tc>
        <w:tc>
          <w:tcPr>
            <w:tcW w:w="1637" w:type="dxa"/>
            <w:vAlign w:val="top"/>
          </w:tcPr>
          <w:p w14:paraId="718D8377">
            <w:pPr>
              <w:rPr>
                <w:rFonts w:ascii="Arial"/>
                <w:sz w:val="21"/>
              </w:rPr>
            </w:pPr>
          </w:p>
        </w:tc>
        <w:tc>
          <w:tcPr>
            <w:tcW w:w="779" w:type="dxa"/>
            <w:vAlign w:val="top"/>
          </w:tcPr>
          <w:p w14:paraId="51C0641E">
            <w:pPr>
              <w:rPr>
                <w:rFonts w:ascii="Arial"/>
                <w:sz w:val="21"/>
              </w:rPr>
            </w:pPr>
          </w:p>
        </w:tc>
        <w:tc>
          <w:tcPr>
            <w:tcW w:w="860" w:type="dxa"/>
            <w:vAlign w:val="top"/>
          </w:tcPr>
          <w:p w14:paraId="50785461">
            <w:pPr>
              <w:rPr>
                <w:rFonts w:ascii="Arial"/>
                <w:sz w:val="21"/>
              </w:rPr>
            </w:pPr>
          </w:p>
        </w:tc>
        <w:tc>
          <w:tcPr>
            <w:tcW w:w="1119" w:type="dxa"/>
            <w:vAlign w:val="top"/>
          </w:tcPr>
          <w:p w14:paraId="3CD5A6C4">
            <w:pPr>
              <w:rPr>
                <w:rFonts w:ascii="Arial"/>
                <w:sz w:val="21"/>
              </w:rPr>
            </w:pPr>
          </w:p>
        </w:tc>
        <w:tc>
          <w:tcPr>
            <w:tcW w:w="1021" w:type="dxa"/>
            <w:vAlign w:val="top"/>
          </w:tcPr>
          <w:p w14:paraId="0B557F84">
            <w:pPr>
              <w:rPr>
                <w:rFonts w:ascii="Arial"/>
                <w:sz w:val="21"/>
              </w:rPr>
            </w:pPr>
          </w:p>
        </w:tc>
        <w:tc>
          <w:tcPr>
            <w:tcW w:w="1095" w:type="dxa"/>
            <w:tcBorders>
              <w:right w:val="single" w:color="000000" w:sz="6" w:space="0"/>
            </w:tcBorders>
            <w:vAlign w:val="top"/>
          </w:tcPr>
          <w:p w14:paraId="77E6F5A7">
            <w:pPr>
              <w:rPr>
                <w:rFonts w:ascii="Arial"/>
                <w:sz w:val="21"/>
              </w:rPr>
            </w:pPr>
          </w:p>
        </w:tc>
      </w:tr>
      <w:tr w14:paraId="2BBD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7583" w:type="dxa"/>
            <w:gridSpan w:val="6"/>
            <w:tcBorders>
              <w:left w:val="single" w:color="000000" w:sz="6" w:space="0"/>
              <w:bottom w:val="single" w:color="000000" w:sz="6" w:space="0"/>
            </w:tcBorders>
            <w:vAlign w:val="top"/>
          </w:tcPr>
          <w:p w14:paraId="7F5A5732">
            <w:pPr>
              <w:pStyle w:val="11"/>
              <w:spacing w:before="105" w:line="221" w:lineRule="auto"/>
              <w:ind w:left="3615"/>
              <w:rPr>
                <w:sz w:val="18"/>
                <w:szCs w:val="18"/>
              </w:rPr>
            </w:pPr>
            <w:r>
              <w:rPr>
                <w:spacing w:val="-2"/>
                <w:sz w:val="18"/>
                <w:szCs w:val="18"/>
              </w:rPr>
              <w:t>合计</w:t>
            </w:r>
          </w:p>
        </w:tc>
        <w:tc>
          <w:tcPr>
            <w:tcW w:w="1021" w:type="dxa"/>
            <w:tcBorders>
              <w:bottom w:val="single" w:color="000000" w:sz="6" w:space="0"/>
            </w:tcBorders>
            <w:vAlign w:val="top"/>
          </w:tcPr>
          <w:p w14:paraId="6FF911E3">
            <w:pPr>
              <w:rPr>
                <w:rFonts w:ascii="Arial"/>
                <w:sz w:val="21"/>
              </w:rPr>
            </w:pPr>
          </w:p>
        </w:tc>
        <w:tc>
          <w:tcPr>
            <w:tcW w:w="1095" w:type="dxa"/>
            <w:tcBorders>
              <w:bottom w:val="single" w:color="000000" w:sz="6" w:space="0"/>
              <w:right w:val="single" w:color="000000" w:sz="6" w:space="0"/>
            </w:tcBorders>
            <w:vAlign w:val="top"/>
          </w:tcPr>
          <w:p w14:paraId="786C7F94">
            <w:pPr>
              <w:rPr>
                <w:rFonts w:ascii="Arial"/>
                <w:sz w:val="21"/>
              </w:rPr>
            </w:pPr>
          </w:p>
        </w:tc>
      </w:tr>
    </w:tbl>
    <w:p w14:paraId="60953BEC">
      <w:pPr>
        <w:spacing w:before="27" w:line="220" w:lineRule="auto"/>
        <w:ind w:left="6772"/>
        <w:rPr>
          <w:rFonts w:ascii="宋体" w:hAnsi="宋体" w:eastAsia="宋体" w:cs="宋体"/>
          <w:sz w:val="18"/>
          <w:szCs w:val="18"/>
        </w:rPr>
      </w:pPr>
      <w:r>
        <w:rPr>
          <w:rFonts w:ascii="宋体" w:hAnsi="宋体" w:eastAsia="宋体" w:cs="宋体"/>
          <w:spacing w:val="-2"/>
          <w:sz w:val="18"/>
          <w:szCs w:val="18"/>
        </w:rPr>
        <w:t>法定代表人</w:t>
      </w:r>
    </w:p>
    <w:p w14:paraId="7D563C07">
      <w:pPr>
        <w:spacing w:before="91" w:line="213" w:lineRule="auto"/>
        <w:ind w:left="6594"/>
        <w:rPr>
          <w:rFonts w:ascii="宋体" w:hAnsi="宋体" w:eastAsia="宋体" w:cs="宋体"/>
          <w:sz w:val="18"/>
          <w:szCs w:val="18"/>
        </w:rPr>
      </w:pPr>
      <w:r>
        <w:rPr>
          <w:rFonts w:ascii="宋体" w:hAnsi="宋体" w:eastAsia="宋体" w:cs="宋体"/>
          <w:spacing w:val="-1"/>
          <w:sz w:val="18"/>
          <w:szCs w:val="18"/>
        </w:rPr>
        <w:t>（或委托代理人</w:t>
      </w:r>
      <w:r>
        <w:rPr>
          <w:rFonts w:ascii="宋体" w:hAnsi="宋体" w:eastAsia="宋体" w:cs="宋体"/>
          <w:spacing w:val="-9"/>
          <w:sz w:val="18"/>
          <w:szCs w:val="18"/>
        </w:rPr>
        <w:t>）</w:t>
      </w:r>
      <w:r>
        <w:rPr>
          <w:rFonts w:ascii="宋体" w:hAnsi="宋体" w:eastAsia="宋体" w:cs="宋体"/>
          <w:spacing w:val="25"/>
          <w:sz w:val="18"/>
          <w:szCs w:val="18"/>
        </w:rPr>
        <w:t xml:space="preserve"> </w:t>
      </w:r>
      <w:r>
        <w:rPr>
          <w:rFonts w:ascii="宋体" w:hAnsi="宋体" w:eastAsia="宋体" w:cs="宋体"/>
          <w:spacing w:val="-9"/>
          <w:sz w:val="18"/>
          <w:szCs w:val="18"/>
        </w:rPr>
        <w:t>：</w:t>
      </w:r>
      <w:r>
        <w:rPr>
          <w:rFonts w:ascii="宋体" w:hAnsi="宋体" w:eastAsia="宋体" w:cs="宋体"/>
          <w:spacing w:val="-1"/>
          <w:sz w:val="18"/>
          <w:szCs w:val="18"/>
        </w:rPr>
        <w:t>_______签字</w:t>
      </w:r>
    </w:p>
    <w:p w14:paraId="2BFDE751">
      <w:pPr>
        <w:spacing w:line="213" w:lineRule="auto"/>
        <w:rPr>
          <w:rFonts w:ascii="宋体" w:hAnsi="宋体" w:eastAsia="宋体" w:cs="宋体"/>
          <w:sz w:val="18"/>
          <w:szCs w:val="18"/>
        </w:rPr>
        <w:sectPr>
          <w:footerReference r:id="rId159" w:type="default"/>
          <w:pgSz w:w="11905" w:h="16843"/>
          <w:pgMar w:top="969" w:right="1355" w:bottom="1026" w:left="1480" w:header="0" w:footer="754" w:gutter="0"/>
          <w:cols w:space="0" w:num="1"/>
          <w:rtlGutter w:val="0"/>
          <w:docGrid w:linePitch="0" w:charSpace="0"/>
        </w:sectPr>
      </w:pPr>
    </w:p>
    <w:p w14:paraId="1EA23487">
      <w:pPr>
        <w:pStyle w:val="5"/>
        <w:spacing w:line="265" w:lineRule="auto"/>
      </w:pPr>
    </w:p>
    <w:p w14:paraId="23BE8631">
      <w:pPr>
        <w:pStyle w:val="5"/>
        <w:spacing w:line="265" w:lineRule="auto"/>
      </w:pPr>
    </w:p>
    <w:p w14:paraId="5FD1D7B3">
      <w:pPr>
        <w:pStyle w:val="5"/>
        <w:spacing w:line="266" w:lineRule="auto"/>
      </w:pPr>
    </w:p>
    <w:p w14:paraId="4C767880">
      <w:pPr>
        <w:pStyle w:val="5"/>
        <w:spacing w:line="266" w:lineRule="auto"/>
      </w:pPr>
    </w:p>
    <w:p w14:paraId="28ABC9AE">
      <w:pPr>
        <w:pStyle w:val="5"/>
        <w:spacing w:line="266" w:lineRule="auto"/>
      </w:pPr>
    </w:p>
    <w:p w14:paraId="6EFE42FF">
      <w:pPr>
        <w:spacing w:before="78" w:line="233" w:lineRule="auto"/>
        <w:ind w:left="19"/>
        <w:outlineLvl w:val="2"/>
        <w:rPr>
          <w:rFonts w:ascii="黑体" w:hAnsi="黑体" w:eastAsia="黑体" w:cs="黑体"/>
          <w:sz w:val="24"/>
          <w:szCs w:val="24"/>
        </w:rPr>
      </w:pPr>
      <w:bookmarkStart w:id="1265" w:name="bookmark384"/>
      <w:bookmarkEnd w:id="1265"/>
      <w:r>
        <w:rPr>
          <w:rFonts w:ascii="Times New Roman" w:hAnsi="Times New Roman" w:eastAsia="Times New Roman" w:cs="Times New Roman"/>
          <w:spacing w:val="-1"/>
          <w:sz w:val="24"/>
          <w:szCs w:val="24"/>
        </w:rPr>
        <w:t xml:space="preserve">3.10 </w:t>
      </w:r>
      <w:r>
        <w:rPr>
          <w:rFonts w:ascii="黑体" w:hAnsi="黑体" w:eastAsia="黑体" w:cs="黑体"/>
          <w:spacing w:val="-1"/>
          <w:sz w:val="24"/>
          <w:szCs w:val="24"/>
        </w:rPr>
        <w:t>其他项目清单计价表</w:t>
      </w:r>
    </w:p>
    <w:p w14:paraId="22E86C5E">
      <w:pPr>
        <w:pStyle w:val="5"/>
        <w:spacing w:line="318" w:lineRule="auto"/>
      </w:pPr>
    </w:p>
    <w:p w14:paraId="5CA678BE">
      <w:pPr>
        <w:spacing w:before="130" w:line="218" w:lineRule="auto"/>
        <w:ind w:left="2772"/>
        <w:rPr>
          <w:rFonts w:ascii="宋体" w:hAnsi="宋体" w:eastAsia="宋体" w:cs="宋体"/>
          <w:sz w:val="40"/>
          <w:szCs w:val="40"/>
        </w:rPr>
      </w:pPr>
      <w:bookmarkStart w:id="1266" w:name="bookmark618"/>
      <w:bookmarkEnd w:id="1266"/>
      <w:r>
        <w:rPr>
          <w:rFonts w:ascii="宋体" w:hAnsi="宋体" w:eastAsia="宋体" w:cs="宋体"/>
          <w:b/>
          <w:bCs/>
          <w:spacing w:val="-5"/>
          <w:sz w:val="40"/>
          <w:szCs w:val="40"/>
        </w:rPr>
        <w:t>其他项目清单计价表</w:t>
      </w:r>
    </w:p>
    <w:p w14:paraId="00F66FDA">
      <w:pPr>
        <w:spacing w:before="276"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4C3367F0">
      <w:pPr>
        <w:spacing w:before="173" w:line="228" w:lineRule="auto"/>
        <w:ind w:left="127"/>
        <w:rPr>
          <w:rFonts w:ascii="宋体" w:hAnsi="宋体" w:eastAsia="宋体" w:cs="宋体"/>
          <w:sz w:val="19"/>
          <w:szCs w:val="19"/>
        </w:rPr>
      </w:pPr>
      <w:r>
        <w:rPr>
          <w:rFonts w:ascii="宋体" w:hAnsi="宋体" w:eastAsia="宋体" w:cs="宋体"/>
          <w:spacing w:val="1"/>
          <w:sz w:val="19"/>
          <w:szCs w:val="19"/>
        </w:rPr>
        <w:t>工程名称：                                                                  第</w:t>
      </w:r>
      <w:r>
        <w:rPr>
          <w:rFonts w:ascii="宋体" w:hAnsi="宋体" w:eastAsia="宋体" w:cs="宋体"/>
          <w:spacing w:val="37"/>
          <w:sz w:val="19"/>
          <w:szCs w:val="19"/>
        </w:rPr>
        <w:t xml:space="preserve"> </w:t>
      </w:r>
      <w:r>
        <w:rPr>
          <w:rFonts w:ascii="宋体" w:hAnsi="宋体" w:eastAsia="宋体" w:cs="宋体"/>
          <w:spacing w:val="1"/>
          <w:sz w:val="19"/>
          <w:szCs w:val="19"/>
        </w:rPr>
        <w:t>1 页、共</w:t>
      </w:r>
      <w:r>
        <w:rPr>
          <w:rFonts w:ascii="宋体" w:hAnsi="宋体" w:eastAsia="宋体" w:cs="宋体"/>
          <w:spacing w:val="28"/>
          <w:sz w:val="19"/>
          <w:szCs w:val="19"/>
        </w:rPr>
        <w:t xml:space="preserve"> </w:t>
      </w:r>
      <w:r>
        <w:rPr>
          <w:rFonts w:ascii="宋体" w:hAnsi="宋体" w:eastAsia="宋体" w:cs="宋体"/>
          <w:spacing w:val="1"/>
          <w:sz w:val="19"/>
          <w:szCs w:val="19"/>
        </w:rPr>
        <w:t>1 页</w:t>
      </w:r>
    </w:p>
    <w:p w14:paraId="62AEB191">
      <w:pPr>
        <w:spacing w:line="142" w:lineRule="exact"/>
      </w:pPr>
    </w:p>
    <w:tbl>
      <w:tblPr>
        <w:tblStyle w:val="10"/>
        <w:tblW w:w="911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1"/>
        <w:gridCol w:w="3758"/>
        <w:gridCol w:w="2228"/>
        <w:gridCol w:w="1896"/>
      </w:tblGrid>
      <w:tr w14:paraId="1FC7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231" w:type="dxa"/>
            <w:tcBorders>
              <w:top w:val="single" w:color="000000" w:sz="6" w:space="0"/>
              <w:left w:val="single" w:color="000000" w:sz="6" w:space="0"/>
            </w:tcBorders>
            <w:vAlign w:val="top"/>
          </w:tcPr>
          <w:p w14:paraId="57AFD8E6">
            <w:pPr>
              <w:pStyle w:val="11"/>
              <w:spacing w:before="82" w:line="230" w:lineRule="auto"/>
              <w:ind w:left="411"/>
              <w:rPr>
                <w:sz w:val="19"/>
                <w:szCs w:val="19"/>
              </w:rPr>
            </w:pPr>
            <w:r>
              <w:rPr>
                <w:spacing w:val="5"/>
                <w:sz w:val="19"/>
                <w:szCs w:val="19"/>
              </w:rPr>
              <w:t>序号</w:t>
            </w:r>
          </w:p>
        </w:tc>
        <w:tc>
          <w:tcPr>
            <w:tcW w:w="3758" w:type="dxa"/>
            <w:tcBorders>
              <w:top w:val="single" w:color="000000" w:sz="6" w:space="0"/>
            </w:tcBorders>
            <w:vAlign w:val="top"/>
          </w:tcPr>
          <w:p w14:paraId="1739F77B">
            <w:pPr>
              <w:pStyle w:val="11"/>
              <w:spacing w:before="82" w:line="229" w:lineRule="auto"/>
              <w:ind w:left="1484"/>
              <w:rPr>
                <w:sz w:val="19"/>
                <w:szCs w:val="19"/>
              </w:rPr>
            </w:pPr>
            <w:r>
              <w:rPr>
                <w:spacing w:val="6"/>
                <w:sz w:val="19"/>
                <w:szCs w:val="19"/>
              </w:rPr>
              <w:t>项目名称</w:t>
            </w:r>
          </w:p>
        </w:tc>
        <w:tc>
          <w:tcPr>
            <w:tcW w:w="2228" w:type="dxa"/>
            <w:tcBorders>
              <w:top w:val="single" w:color="000000" w:sz="6" w:space="0"/>
            </w:tcBorders>
            <w:vAlign w:val="top"/>
          </w:tcPr>
          <w:p w14:paraId="729FF90D">
            <w:pPr>
              <w:pStyle w:val="11"/>
              <w:spacing w:before="83" w:line="228" w:lineRule="auto"/>
              <w:ind w:left="622"/>
              <w:rPr>
                <w:sz w:val="19"/>
                <w:szCs w:val="19"/>
              </w:rPr>
            </w:pPr>
            <w:r>
              <w:rPr>
                <w:spacing w:val="5"/>
                <w:sz w:val="19"/>
                <w:szCs w:val="19"/>
              </w:rPr>
              <w:t>金额（元）</w:t>
            </w:r>
          </w:p>
        </w:tc>
        <w:tc>
          <w:tcPr>
            <w:tcW w:w="1896" w:type="dxa"/>
            <w:tcBorders>
              <w:top w:val="single" w:color="000000" w:sz="6" w:space="0"/>
              <w:right w:val="single" w:color="000000" w:sz="6" w:space="0"/>
            </w:tcBorders>
            <w:vAlign w:val="top"/>
          </w:tcPr>
          <w:p w14:paraId="06B10F0A">
            <w:pPr>
              <w:pStyle w:val="11"/>
              <w:spacing w:before="82" w:line="230" w:lineRule="auto"/>
              <w:ind w:left="757"/>
              <w:rPr>
                <w:sz w:val="19"/>
                <w:szCs w:val="19"/>
              </w:rPr>
            </w:pPr>
            <w:r>
              <w:rPr>
                <w:spacing w:val="4"/>
                <w:sz w:val="19"/>
                <w:szCs w:val="19"/>
              </w:rPr>
              <w:t>备注</w:t>
            </w:r>
          </w:p>
        </w:tc>
      </w:tr>
      <w:tr w14:paraId="4C7F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729ED8CD">
            <w:pPr>
              <w:pStyle w:val="11"/>
              <w:spacing w:before="79" w:line="258" w:lineRule="exact"/>
              <w:ind w:left="578"/>
              <w:rPr>
                <w:sz w:val="19"/>
                <w:szCs w:val="19"/>
              </w:rPr>
            </w:pPr>
            <w:r>
              <w:rPr>
                <w:position w:val="1"/>
                <w:sz w:val="19"/>
                <w:szCs w:val="19"/>
              </w:rPr>
              <w:t>1</w:t>
            </w:r>
          </w:p>
        </w:tc>
        <w:tc>
          <w:tcPr>
            <w:tcW w:w="3758" w:type="dxa"/>
            <w:vAlign w:val="top"/>
          </w:tcPr>
          <w:p w14:paraId="0F9F5A2B">
            <w:pPr>
              <w:pStyle w:val="11"/>
              <w:spacing w:before="79" w:line="229" w:lineRule="auto"/>
              <w:ind w:left="109"/>
              <w:rPr>
                <w:sz w:val="19"/>
                <w:szCs w:val="19"/>
              </w:rPr>
            </w:pPr>
            <w:r>
              <w:rPr>
                <w:spacing w:val="6"/>
                <w:sz w:val="19"/>
                <w:szCs w:val="19"/>
              </w:rPr>
              <w:t>预留金</w:t>
            </w:r>
          </w:p>
        </w:tc>
        <w:tc>
          <w:tcPr>
            <w:tcW w:w="2228" w:type="dxa"/>
            <w:vAlign w:val="top"/>
          </w:tcPr>
          <w:p w14:paraId="57485773">
            <w:pPr>
              <w:rPr>
                <w:rFonts w:ascii="Arial"/>
                <w:sz w:val="21"/>
              </w:rPr>
            </w:pPr>
          </w:p>
        </w:tc>
        <w:tc>
          <w:tcPr>
            <w:tcW w:w="1896" w:type="dxa"/>
            <w:tcBorders>
              <w:right w:val="single" w:color="000000" w:sz="6" w:space="0"/>
            </w:tcBorders>
            <w:vAlign w:val="top"/>
          </w:tcPr>
          <w:p w14:paraId="3CA97B11">
            <w:pPr>
              <w:rPr>
                <w:rFonts w:ascii="Arial"/>
                <w:sz w:val="21"/>
              </w:rPr>
            </w:pPr>
          </w:p>
        </w:tc>
      </w:tr>
      <w:tr w14:paraId="0E08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0007D287">
            <w:pPr>
              <w:rPr>
                <w:rFonts w:ascii="Arial"/>
                <w:sz w:val="21"/>
              </w:rPr>
            </w:pPr>
          </w:p>
        </w:tc>
        <w:tc>
          <w:tcPr>
            <w:tcW w:w="3758" w:type="dxa"/>
            <w:vAlign w:val="top"/>
          </w:tcPr>
          <w:p w14:paraId="2728C9A5">
            <w:pPr>
              <w:rPr>
                <w:rFonts w:ascii="Arial"/>
                <w:sz w:val="21"/>
              </w:rPr>
            </w:pPr>
          </w:p>
        </w:tc>
        <w:tc>
          <w:tcPr>
            <w:tcW w:w="2228" w:type="dxa"/>
            <w:vAlign w:val="top"/>
          </w:tcPr>
          <w:p w14:paraId="7971CC03">
            <w:pPr>
              <w:rPr>
                <w:rFonts w:ascii="Arial"/>
                <w:sz w:val="21"/>
              </w:rPr>
            </w:pPr>
          </w:p>
        </w:tc>
        <w:tc>
          <w:tcPr>
            <w:tcW w:w="1896" w:type="dxa"/>
            <w:tcBorders>
              <w:right w:val="single" w:color="000000" w:sz="6" w:space="0"/>
            </w:tcBorders>
            <w:vAlign w:val="top"/>
          </w:tcPr>
          <w:p w14:paraId="0D17B177">
            <w:pPr>
              <w:rPr>
                <w:rFonts w:ascii="Arial"/>
                <w:sz w:val="21"/>
              </w:rPr>
            </w:pPr>
          </w:p>
        </w:tc>
      </w:tr>
      <w:tr w14:paraId="2751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0EEE36E0">
            <w:pPr>
              <w:rPr>
                <w:rFonts w:ascii="Arial"/>
                <w:sz w:val="21"/>
              </w:rPr>
            </w:pPr>
          </w:p>
        </w:tc>
        <w:tc>
          <w:tcPr>
            <w:tcW w:w="3758" w:type="dxa"/>
            <w:vAlign w:val="top"/>
          </w:tcPr>
          <w:p w14:paraId="16800FBD">
            <w:pPr>
              <w:rPr>
                <w:rFonts w:ascii="Arial"/>
                <w:sz w:val="21"/>
              </w:rPr>
            </w:pPr>
          </w:p>
        </w:tc>
        <w:tc>
          <w:tcPr>
            <w:tcW w:w="2228" w:type="dxa"/>
            <w:vAlign w:val="top"/>
          </w:tcPr>
          <w:p w14:paraId="773238A5">
            <w:pPr>
              <w:rPr>
                <w:rFonts w:ascii="Arial"/>
                <w:sz w:val="21"/>
              </w:rPr>
            </w:pPr>
          </w:p>
        </w:tc>
        <w:tc>
          <w:tcPr>
            <w:tcW w:w="1896" w:type="dxa"/>
            <w:tcBorders>
              <w:right w:val="single" w:color="000000" w:sz="6" w:space="0"/>
            </w:tcBorders>
            <w:vAlign w:val="top"/>
          </w:tcPr>
          <w:p w14:paraId="65283639">
            <w:pPr>
              <w:rPr>
                <w:rFonts w:ascii="Arial"/>
                <w:sz w:val="21"/>
              </w:rPr>
            </w:pPr>
          </w:p>
        </w:tc>
      </w:tr>
      <w:tr w14:paraId="2C48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0453F67E">
            <w:pPr>
              <w:rPr>
                <w:rFonts w:ascii="Arial"/>
                <w:sz w:val="21"/>
              </w:rPr>
            </w:pPr>
          </w:p>
        </w:tc>
        <w:tc>
          <w:tcPr>
            <w:tcW w:w="3758" w:type="dxa"/>
            <w:vAlign w:val="top"/>
          </w:tcPr>
          <w:p w14:paraId="2FABDBF5">
            <w:pPr>
              <w:rPr>
                <w:rFonts w:ascii="Arial"/>
                <w:sz w:val="21"/>
              </w:rPr>
            </w:pPr>
          </w:p>
        </w:tc>
        <w:tc>
          <w:tcPr>
            <w:tcW w:w="2228" w:type="dxa"/>
            <w:vAlign w:val="top"/>
          </w:tcPr>
          <w:p w14:paraId="6FFE2323">
            <w:pPr>
              <w:rPr>
                <w:rFonts w:ascii="Arial"/>
                <w:sz w:val="21"/>
              </w:rPr>
            </w:pPr>
          </w:p>
        </w:tc>
        <w:tc>
          <w:tcPr>
            <w:tcW w:w="1896" w:type="dxa"/>
            <w:tcBorders>
              <w:right w:val="single" w:color="000000" w:sz="6" w:space="0"/>
            </w:tcBorders>
            <w:vAlign w:val="top"/>
          </w:tcPr>
          <w:p w14:paraId="6CBAE20D">
            <w:pPr>
              <w:rPr>
                <w:rFonts w:ascii="Arial"/>
                <w:sz w:val="21"/>
              </w:rPr>
            </w:pPr>
          </w:p>
        </w:tc>
      </w:tr>
      <w:tr w14:paraId="2840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35EC1845">
            <w:pPr>
              <w:rPr>
                <w:rFonts w:ascii="Arial"/>
                <w:sz w:val="21"/>
              </w:rPr>
            </w:pPr>
          </w:p>
        </w:tc>
        <w:tc>
          <w:tcPr>
            <w:tcW w:w="3758" w:type="dxa"/>
            <w:vAlign w:val="top"/>
          </w:tcPr>
          <w:p w14:paraId="5AF0D54E">
            <w:pPr>
              <w:rPr>
                <w:rFonts w:ascii="Arial"/>
                <w:sz w:val="21"/>
              </w:rPr>
            </w:pPr>
          </w:p>
        </w:tc>
        <w:tc>
          <w:tcPr>
            <w:tcW w:w="2228" w:type="dxa"/>
            <w:vAlign w:val="top"/>
          </w:tcPr>
          <w:p w14:paraId="3ADA4778">
            <w:pPr>
              <w:rPr>
                <w:rFonts w:ascii="Arial"/>
                <w:sz w:val="21"/>
              </w:rPr>
            </w:pPr>
          </w:p>
        </w:tc>
        <w:tc>
          <w:tcPr>
            <w:tcW w:w="1896" w:type="dxa"/>
            <w:tcBorders>
              <w:right w:val="single" w:color="000000" w:sz="6" w:space="0"/>
            </w:tcBorders>
            <w:vAlign w:val="top"/>
          </w:tcPr>
          <w:p w14:paraId="20FC91F9">
            <w:pPr>
              <w:rPr>
                <w:rFonts w:ascii="Arial"/>
                <w:sz w:val="21"/>
              </w:rPr>
            </w:pPr>
          </w:p>
        </w:tc>
      </w:tr>
      <w:tr w14:paraId="2819A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31" w:type="dxa"/>
            <w:tcBorders>
              <w:left w:val="single" w:color="000000" w:sz="6" w:space="0"/>
            </w:tcBorders>
            <w:vAlign w:val="top"/>
          </w:tcPr>
          <w:p w14:paraId="42EC2223">
            <w:pPr>
              <w:rPr>
                <w:rFonts w:ascii="Arial"/>
                <w:sz w:val="21"/>
              </w:rPr>
            </w:pPr>
          </w:p>
        </w:tc>
        <w:tc>
          <w:tcPr>
            <w:tcW w:w="3758" w:type="dxa"/>
            <w:vAlign w:val="top"/>
          </w:tcPr>
          <w:p w14:paraId="14003670">
            <w:pPr>
              <w:rPr>
                <w:rFonts w:ascii="Arial"/>
                <w:sz w:val="21"/>
              </w:rPr>
            </w:pPr>
          </w:p>
        </w:tc>
        <w:tc>
          <w:tcPr>
            <w:tcW w:w="2228" w:type="dxa"/>
            <w:vAlign w:val="top"/>
          </w:tcPr>
          <w:p w14:paraId="1E7BE307">
            <w:pPr>
              <w:rPr>
                <w:rFonts w:ascii="Arial"/>
                <w:sz w:val="21"/>
              </w:rPr>
            </w:pPr>
          </w:p>
        </w:tc>
        <w:tc>
          <w:tcPr>
            <w:tcW w:w="1896" w:type="dxa"/>
            <w:tcBorders>
              <w:right w:val="single" w:color="000000" w:sz="6" w:space="0"/>
            </w:tcBorders>
            <w:vAlign w:val="top"/>
          </w:tcPr>
          <w:p w14:paraId="75D1A23D">
            <w:pPr>
              <w:rPr>
                <w:rFonts w:ascii="Arial"/>
                <w:sz w:val="21"/>
              </w:rPr>
            </w:pPr>
          </w:p>
        </w:tc>
      </w:tr>
      <w:tr w14:paraId="753A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552A6055">
            <w:pPr>
              <w:rPr>
                <w:rFonts w:ascii="Arial"/>
                <w:sz w:val="21"/>
              </w:rPr>
            </w:pPr>
          </w:p>
        </w:tc>
        <w:tc>
          <w:tcPr>
            <w:tcW w:w="3758" w:type="dxa"/>
            <w:vAlign w:val="top"/>
          </w:tcPr>
          <w:p w14:paraId="6861A396">
            <w:pPr>
              <w:rPr>
                <w:rFonts w:ascii="Arial"/>
                <w:sz w:val="21"/>
              </w:rPr>
            </w:pPr>
          </w:p>
        </w:tc>
        <w:tc>
          <w:tcPr>
            <w:tcW w:w="2228" w:type="dxa"/>
            <w:vAlign w:val="top"/>
          </w:tcPr>
          <w:p w14:paraId="67BCA67D">
            <w:pPr>
              <w:rPr>
                <w:rFonts w:ascii="Arial"/>
                <w:sz w:val="21"/>
              </w:rPr>
            </w:pPr>
          </w:p>
        </w:tc>
        <w:tc>
          <w:tcPr>
            <w:tcW w:w="1896" w:type="dxa"/>
            <w:tcBorders>
              <w:right w:val="single" w:color="000000" w:sz="6" w:space="0"/>
            </w:tcBorders>
            <w:vAlign w:val="top"/>
          </w:tcPr>
          <w:p w14:paraId="5483A5E8">
            <w:pPr>
              <w:rPr>
                <w:rFonts w:ascii="Arial"/>
                <w:sz w:val="21"/>
              </w:rPr>
            </w:pPr>
          </w:p>
        </w:tc>
      </w:tr>
      <w:tr w14:paraId="2B07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6A0E5E19">
            <w:pPr>
              <w:rPr>
                <w:rFonts w:ascii="Arial"/>
                <w:sz w:val="21"/>
              </w:rPr>
            </w:pPr>
          </w:p>
        </w:tc>
        <w:tc>
          <w:tcPr>
            <w:tcW w:w="3758" w:type="dxa"/>
            <w:vAlign w:val="top"/>
          </w:tcPr>
          <w:p w14:paraId="0DD0FB7D">
            <w:pPr>
              <w:rPr>
                <w:rFonts w:ascii="Arial"/>
                <w:sz w:val="21"/>
              </w:rPr>
            </w:pPr>
          </w:p>
        </w:tc>
        <w:tc>
          <w:tcPr>
            <w:tcW w:w="2228" w:type="dxa"/>
            <w:vAlign w:val="top"/>
          </w:tcPr>
          <w:p w14:paraId="088E7D19">
            <w:pPr>
              <w:rPr>
                <w:rFonts w:ascii="Arial"/>
                <w:sz w:val="21"/>
              </w:rPr>
            </w:pPr>
          </w:p>
        </w:tc>
        <w:tc>
          <w:tcPr>
            <w:tcW w:w="1896" w:type="dxa"/>
            <w:tcBorders>
              <w:right w:val="single" w:color="000000" w:sz="6" w:space="0"/>
            </w:tcBorders>
            <w:vAlign w:val="top"/>
          </w:tcPr>
          <w:p w14:paraId="30511110">
            <w:pPr>
              <w:rPr>
                <w:rFonts w:ascii="Arial"/>
                <w:sz w:val="21"/>
              </w:rPr>
            </w:pPr>
          </w:p>
        </w:tc>
      </w:tr>
      <w:tr w14:paraId="7C2B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6EA98851">
            <w:pPr>
              <w:rPr>
                <w:rFonts w:ascii="Arial"/>
                <w:sz w:val="21"/>
              </w:rPr>
            </w:pPr>
          </w:p>
        </w:tc>
        <w:tc>
          <w:tcPr>
            <w:tcW w:w="3758" w:type="dxa"/>
            <w:vAlign w:val="top"/>
          </w:tcPr>
          <w:p w14:paraId="72478B4E">
            <w:pPr>
              <w:rPr>
                <w:rFonts w:ascii="Arial"/>
                <w:sz w:val="21"/>
              </w:rPr>
            </w:pPr>
          </w:p>
        </w:tc>
        <w:tc>
          <w:tcPr>
            <w:tcW w:w="2228" w:type="dxa"/>
            <w:vAlign w:val="top"/>
          </w:tcPr>
          <w:p w14:paraId="33B1B233">
            <w:pPr>
              <w:rPr>
                <w:rFonts w:ascii="Arial"/>
                <w:sz w:val="21"/>
              </w:rPr>
            </w:pPr>
          </w:p>
        </w:tc>
        <w:tc>
          <w:tcPr>
            <w:tcW w:w="1896" w:type="dxa"/>
            <w:tcBorders>
              <w:right w:val="single" w:color="000000" w:sz="6" w:space="0"/>
            </w:tcBorders>
            <w:vAlign w:val="top"/>
          </w:tcPr>
          <w:p w14:paraId="697AF2A1">
            <w:pPr>
              <w:rPr>
                <w:rFonts w:ascii="Arial"/>
                <w:sz w:val="21"/>
              </w:rPr>
            </w:pPr>
          </w:p>
        </w:tc>
      </w:tr>
      <w:tr w14:paraId="432B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4862312F">
            <w:pPr>
              <w:rPr>
                <w:rFonts w:ascii="Arial"/>
                <w:sz w:val="21"/>
              </w:rPr>
            </w:pPr>
          </w:p>
        </w:tc>
        <w:tc>
          <w:tcPr>
            <w:tcW w:w="3758" w:type="dxa"/>
            <w:vAlign w:val="top"/>
          </w:tcPr>
          <w:p w14:paraId="0B3494C9">
            <w:pPr>
              <w:rPr>
                <w:rFonts w:ascii="Arial"/>
                <w:sz w:val="21"/>
              </w:rPr>
            </w:pPr>
          </w:p>
        </w:tc>
        <w:tc>
          <w:tcPr>
            <w:tcW w:w="2228" w:type="dxa"/>
            <w:vAlign w:val="top"/>
          </w:tcPr>
          <w:p w14:paraId="4C51A346">
            <w:pPr>
              <w:rPr>
                <w:rFonts w:ascii="Arial"/>
                <w:sz w:val="21"/>
              </w:rPr>
            </w:pPr>
          </w:p>
        </w:tc>
        <w:tc>
          <w:tcPr>
            <w:tcW w:w="1896" w:type="dxa"/>
            <w:tcBorders>
              <w:right w:val="single" w:color="000000" w:sz="6" w:space="0"/>
            </w:tcBorders>
            <w:vAlign w:val="top"/>
          </w:tcPr>
          <w:p w14:paraId="252101EE">
            <w:pPr>
              <w:rPr>
                <w:rFonts w:ascii="Arial"/>
                <w:sz w:val="21"/>
              </w:rPr>
            </w:pPr>
          </w:p>
        </w:tc>
      </w:tr>
      <w:tr w14:paraId="6404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7F349CBD">
            <w:pPr>
              <w:rPr>
                <w:rFonts w:ascii="Arial"/>
                <w:sz w:val="21"/>
              </w:rPr>
            </w:pPr>
          </w:p>
        </w:tc>
        <w:tc>
          <w:tcPr>
            <w:tcW w:w="3758" w:type="dxa"/>
            <w:vAlign w:val="top"/>
          </w:tcPr>
          <w:p w14:paraId="499F44C1">
            <w:pPr>
              <w:rPr>
                <w:rFonts w:ascii="Arial"/>
                <w:sz w:val="21"/>
              </w:rPr>
            </w:pPr>
          </w:p>
        </w:tc>
        <w:tc>
          <w:tcPr>
            <w:tcW w:w="2228" w:type="dxa"/>
            <w:vAlign w:val="top"/>
          </w:tcPr>
          <w:p w14:paraId="4BE213C9">
            <w:pPr>
              <w:rPr>
                <w:rFonts w:ascii="Arial"/>
                <w:sz w:val="21"/>
              </w:rPr>
            </w:pPr>
          </w:p>
        </w:tc>
        <w:tc>
          <w:tcPr>
            <w:tcW w:w="1896" w:type="dxa"/>
            <w:tcBorders>
              <w:right w:val="single" w:color="000000" w:sz="6" w:space="0"/>
            </w:tcBorders>
            <w:vAlign w:val="top"/>
          </w:tcPr>
          <w:p w14:paraId="044CF0D1">
            <w:pPr>
              <w:rPr>
                <w:rFonts w:ascii="Arial"/>
                <w:sz w:val="21"/>
              </w:rPr>
            </w:pPr>
          </w:p>
        </w:tc>
      </w:tr>
      <w:tr w14:paraId="03D7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31" w:type="dxa"/>
            <w:tcBorders>
              <w:left w:val="single" w:color="000000" w:sz="6" w:space="0"/>
            </w:tcBorders>
            <w:vAlign w:val="top"/>
          </w:tcPr>
          <w:p w14:paraId="4EB50430">
            <w:pPr>
              <w:rPr>
                <w:rFonts w:ascii="Arial"/>
                <w:sz w:val="21"/>
              </w:rPr>
            </w:pPr>
          </w:p>
        </w:tc>
        <w:tc>
          <w:tcPr>
            <w:tcW w:w="3758" w:type="dxa"/>
            <w:vAlign w:val="top"/>
          </w:tcPr>
          <w:p w14:paraId="4EBA30D0">
            <w:pPr>
              <w:rPr>
                <w:rFonts w:ascii="Arial"/>
                <w:sz w:val="21"/>
              </w:rPr>
            </w:pPr>
          </w:p>
        </w:tc>
        <w:tc>
          <w:tcPr>
            <w:tcW w:w="2228" w:type="dxa"/>
            <w:vAlign w:val="top"/>
          </w:tcPr>
          <w:p w14:paraId="122305A3">
            <w:pPr>
              <w:rPr>
                <w:rFonts w:ascii="Arial"/>
                <w:sz w:val="21"/>
              </w:rPr>
            </w:pPr>
          </w:p>
        </w:tc>
        <w:tc>
          <w:tcPr>
            <w:tcW w:w="1896" w:type="dxa"/>
            <w:tcBorders>
              <w:right w:val="single" w:color="000000" w:sz="6" w:space="0"/>
            </w:tcBorders>
            <w:vAlign w:val="top"/>
          </w:tcPr>
          <w:p w14:paraId="1C2ECB85">
            <w:pPr>
              <w:rPr>
                <w:rFonts w:ascii="Arial"/>
                <w:sz w:val="21"/>
              </w:rPr>
            </w:pPr>
          </w:p>
        </w:tc>
      </w:tr>
      <w:tr w14:paraId="5283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67A1793F">
            <w:pPr>
              <w:rPr>
                <w:rFonts w:ascii="Arial"/>
                <w:sz w:val="21"/>
              </w:rPr>
            </w:pPr>
          </w:p>
        </w:tc>
        <w:tc>
          <w:tcPr>
            <w:tcW w:w="3758" w:type="dxa"/>
            <w:vAlign w:val="top"/>
          </w:tcPr>
          <w:p w14:paraId="01431512">
            <w:pPr>
              <w:rPr>
                <w:rFonts w:ascii="Arial"/>
                <w:sz w:val="21"/>
              </w:rPr>
            </w:pPr>
          </w:p>
        </w:tc>
        <w:tc>
          <w:tcPr>
            <w:tcW w:w="2228" w:type="dxa"/>
            <w:vAlign w:val="top"/>
          </w:tcPr>
          <w:p w14:paraId="30FD07B8">
            <w:pPr>
              <w:rPr>
                <w:rFonts w:ascii="Arial"/>
                <w:sz w:val="21"/>
              </w:rPr>
            </w:pPr>
          </w:p>
        </w:tc>
        <w:tc>
          <w:tcPr>
            <w:tcW w:w="1896" w:type="dxa"/>
            <w:tcBorders>
              <w:right w:val="single" w:color="000000" w:sz="6" w:space="0"/>
            </w:tcBorders>
            <w:vAlign w:val="top"/>
          </w:tcPr>
          <w:p w14:paraId="7DA71E78">
            <w:pPr>
              <w:rPr>
                <w:rFonts w:ascii="Arial"/>
                <w:sz w:val="21"/>
              </w:rPr>
            </w:pPr>
          </w:p>
        </w:tc>
      </w:tr>
      <w:tr w14:paraId="6E2A6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7D595516">
            <w:pPr>
              <w:rPr>
                <w:rFonts w:ascii="Arial"/>
                <w:sz w:val="21"/>
              </w:rPr>
            </w:pPr>
          </w:p>
        </w:tc>
        <w:tc>
          <w:tcPr>
            <w:tcW w:w="3758" w:type="dxa"/>
            <w:vAlign w:val="top"/>
          </w:tcPr>
          <w:p w14:paraId="60E5DE58">
            <w:pPr>
              <w:rPr>
                <w:rFonts w:ascii="Arial"/>
                <w:sz w:val="21"/>
              </w:rPr>
            </w:pPr>
          </w:p>
        </w:tc>
        <w:tc>
          <w:tcPr>
            <w:tcW w:w="2228" w:type="dxa"/>
            <w:vAlign w:val="top"/>
          </w:tcPr>
          <w:p w14:paraId="59578145">
            <w:pPr>
              <w:rPr>
                <w:rFonts w:ascii="Arial"/>
                <w:sz w:val="21"/>
              </w:rPr>
            </w:pPr>
          </w:p>
        </w:tc>
        <w:tc>
          <w:tcPr>
            <w:tcW w:w="1896" w:type="dxa"/>
            <w:tcBorders>
              <w:right w:val="single" w:color="000000" w:sz="6" w:space="0"/>
            </w:tcBorders>
            <w:vAlign w:val="top"/>
          </w:tcPr>
          <w:p w14:paraId="325E3DA8">
            <w:pPr>
              <w:rPr>
                <w:rFonts w:ascii="Arial"/>
                <w:sz w:val="21"/>
              </w:rPr>
            </w:pPr>
          </w:p>
        </w:tc>
      </w:tr>
      <w:tr w14:paraId="41D3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782ADF47">
            <w:pPr>
              <w:rPr>
                <w:rFonts w:ascii="Arial"/>
                <w:sz w:val="21"/>
              </w:rPr>
            </w:pPr>
          </w:p>
        </w:tc>
        <w:tc>
          <w:tcPr>
            <w:tcW w:w="3758" w:type="dxa"/>
            <w:vAlign w:val="top"/>
          </w:tcPr>
          <w:p w14:paraId="669D00FB">
            <w:pPr>
              <w:rPr>
                <w:rFonts w:ascii="Arial"/>
                <w:sz w:val="21"/>
              </w:rPr>
            </w:pPr>
          </w:p>
        </w:tc>
        <w:tc>
          <w:tcPr>
            <w:tcW w:w="2228" w:type="dxa"/>
            <w:vAlign w:val="top"/>
          </w:tcPr>
          <w:p w14:paraId="51A8533A">
            <w:pPr>
              <w:rPr>
                <w:rFonts w:ascii="Arial"/>
                <w:sz w:val="21"/>
              </w:rPr>
            </w:pPr>
          </w:p>
        </w:tc>
        <w:tc>
          <w:tcPr>
            <w:tcW w:w="1896" w:type="dxa"/>
            <w:tcBorders>
              <w:right w:val="single" w:color="000000" w:sz="6" w:space="0"/>
            </w:tcBorders>
            <w:vAlign w:val="top"/>
          </w:tcPr>
          <w:p w14:paraId="63AACE48">
            <w:pPr>
              <w:rPr>
                <w:rFonts w:ascii="Arial"/>
                <w:sz w:val="21"/>
              </w:rPr>
            </w:pPr>
          </w:p>
        </w:tc>
      </w:tr>
      <w:tr w14:paraId="163BD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5DBA3940">
            <w:pPr>
              <w:rPr>
                <w:rFonts w:ascii="Arial"/>
                <w:sz w:val="21"/>
              </w:rPr>
            </w:pPr>
          </w:p>
        </w:tc>
        <w:tc>
          <w:tcPr>
            <w:tcW w:w="3758" w:type="dxa"/>
            <w:vAlign w:val="top"/>
          </w:tcPr>
          <w:p w14:paraId="5BE14413">
            <w:pPr>
              <w:rPr>
                <w:rFonts w:ascii="Arial"/>
                <w:sz w:val="21"/>
              </w:rPr>
            </w:pPr>
          </w:p>
        </w:tc>
        <w:tc>
          <w:tcPr>
            <w:tcW w:w="2228" w:type="dxa"/>
            <w:vAlign w:val="top"/>
          </w:tcPr>
          <w:p w14:paraId="5875DCFA">
            <w:pPr>
              <w:rPr>
                <w:rFonts w:ascii="Arial"/>
                <w:sz w:val="21"/>
              </w:rPr>
            </w:pPr>
          </w:p>
        </w:tc>
        <w:tc>
          <w:tcPr>
            <w:tcW w:w="1896" w:type="dxa"/>
            <w:tcBorders>
              <w:right w:val="single" w:color="000000" w:sz="6" w:space="0"/>
            </w:tcBorders>
            <w:vAlign w:val="top"/>
          </w:tcPr>
          <w:p w14:paraId="56566C22">
            <w:pPr>
              <w:rPr>
                <w:rFonts w:ascii="Arial"/>
                <w:sz w:val="21"/>
              </w:rPr>
            </w:pPr>
          </w:p>
        </w:tc>
      </w:tr>
      <w:tr w14:paraId="2E86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411D9128">
            <w:pPr>
              <w:rPr>
                <w:rFonts w:ascii="Arial"/>
                <w:sz w:val="21"/>
              </w:rPr>
            </w:pPr>
          </w:p>
        </w:tc>
        <w:tc>
          <w:tcPr>
            <w:tcW w:w="3758" w:type="dxa"/>
            <w:vAlign w:val="top"/>
          </w:tcPr>
          <w:p w14:paraId="0651E571">
            <w:pPr>
              <w:rPr>
                <w:rFonts w:ascii="Arial"/>
                <w:sz w:val="21"/>
              </w:rPr>
            </w:pPr>
          </w:p>
        </w:tc>
        <w:tc>
          <w:tcPr>
            <w:tcW w:w="2228" w:type="dxa"/>
            <w:vAlign w:val="top"/>
          </w:tcPr>
          <w:p w14:paraId="3E6EB44C">
            <w:pPr>
              <w:rPr>
                <w:rFonts w:ascii="Arial"/>
                <w:sz w:val="21"/>
              </w:rPr>
            </w:pPr>
          </w:p>
        </w:tc>
        <w:tc>
          <w:tcPr>
            <w:tcW w:w="1896" w:type="dxa"/>
            <w:tcBorders>
              <w:right w:val="single" w:color="000000" w:sz="6" w:space="0"/>
            </w:tcBorders>
            <w:vAlign w:val="top"/>
          </w:tcPr>
          <w:p w14:paraId="53B3F2AB">
            <w:pPr>
              <w:rPr>
                <w:rFonts w:ascii="Arial"/>
                <w:sz w:val="21"/>
              </w:rPr>
            </w:pPr>
          </w:p>
        </w:tc>
      </w:tr>
      <w:tr w14:paraId="2D96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231" w:type="dxa"/>
            <w:tcBorders>
              <w:left w:val="single" w:color="000000" w:sz="6" w:space="0"/>
            </w:tcBorders>
            <w:vAlign w:val="top"/>
          </w:tcPr>
          <w:p w14:paraId="4F1F6DC9">
            <w:pPr>
              <w:rPr>
                <w:rFonts w:ascii="Arial"/>
                <w:sz w:val="21"/>
              </w:rPr>
            </w:pPr>
          </w:p>
        </w:tc>
        <w:tc>
          <w:tcPr>
            <w:tcW w:w="3758" w:type="dxa"/>
            <w:vAlign w:val="top"/>
          </w:tcPr>
          <w:p w14:paraId="497B786A">
            <w:pPr>
              <w:rPr>
                <w:rFonts w:ascii="Arial"/>
                <w:sz w:val="21"/>
              </w:rPr>
            </w:pPr>
          </w:p>
        </w:tc>
        <w:tc>
          <w:tcPr>
            <w:tcW w:w="2228" w:type="dxa"/>
            <w:vAlign w:val="top"/>
          </w:tcPr>
          <w:p w14:paraId="35543435">
            <w:pPr>
              <w:rPr>
                <w:rFonts w:ascii="Arial"/>
                <w:sz w:val="21"/>
              </w:rPr>
            </w:pPr>
          </w:p>
        </w:tc>
        <w:tc>
          <w:tcPr>
            <w:tcW w:w="1896" w:type="dxa"/>
            <w:tcBorders>
              <w:right w:val="single" w:color="000000" w:sz="6" w:space="0"/>
            </w:tcBorders>
            <w:vAlign w:val="top"/>
          </w:tcPr>
          <w:p w14:paraId="2BD70C03">
            <w:pPr>
              <w:rPr>
                <w:rFonts w:ascii="Arial"/>
                <w:sz w:val="21"/>
              </w:rPr>
            </w:pPr>
          </w:p>
        </w:tc>
      </w:tr>
      <w:tr w14:paraId="18560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63EB060F">
            <w:pPr>
              <w:rPr>
                <w:rFonts w:ascii="Arial"/>
                <w:sz w:val="21"/>
              </w:rPr>
            </w:pPr>
          </w:p>
        </w:tc>
        <w:tc>
          <w:tcPr>
            <w:tcW w:w="3758" w:type="dxa"/>
            <w:vAlign w:val="top"/>
          </w:tcPr>
          <w:p w14:paraId="5E07BA57">
            <w:pPr>
              <w:rPr>
                <w:rFonts w:ascii="Arial"/>
                <w:sz w:val="21"/>
              </w:rPr>
            </w:pPr>
          </w:p>
        </w:tc>
        <w:tc>
          <w:tcPr>
            <w:tcW w:w="2228" w:type="dxa"/>
            <w:vAlign w:val="top"/>
          </w:tcPr>
          <w:p w14:paraId="7143D979">
            <w:pPr>
              <w:rPr>
                <w:rFonts w:ascii="Arial"/>
                <w:sz w:val="21"/>
              </w:rPr>
            </w:pPr>
          </w:p>
        </w:tc>
        <w:tc>
          <w:tcPr>
            <w:tcW w:w="1896" w:type="dxa"/>
            <w:tcBorders>
              <w:right w:val="single" w:color="000000" w:sz="6" w:space="0"/>
            </w:tcBorders>
            <w:vAlign w:val="top"/>
          </w:tcPr>
          <w:p w14:paraId="5BA90E38">
            <w:pPr>
              <w:rPr>
                <w:rFonts w:ascii="Arial"/>
                <w:sz w:val="21"/>
              </w:rPr>
            </w:pPr>
          </w:p>
        </w:tc>
      </w:tr>
      <w:tr w14:paraId="72852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5CBF75AF">
            <w:pPr>
              <w:rPr>
                <w:rFonts w:ascii="Arial"/>
                <w:sz w:val="21"/>
              </w:rPr>
            </w:pPr>
          </w:p>
        </w:tc>
        <w:tc>
          <w:tcPr>
            <w:tcW w:w="3758" w:type="dxa"/>
            <w:vAlign w:val="top"/>
          </w:tcPr>
          <w:p w14:paraId="009DF348">
            <w:pPr>
              <w:rPr>
                <w:rFonts w:ascii="Arial"/>
                <w:sz w:val="21"/>
              </w:rPr>
            </w:pPr>
          </w:p>
        </w:tc>
        <w:tc>
          <w:tcPr>
            <w:tcW w:w="2228" w:type="dxa"/>
            <w:vAlign w:val="top"/>
          </w:tcPr>
          <w:p w14:paraId="6CEC7269">
            <w:pPr>
              <w:rPr>
                <w:rFonts w:ascii="Arial"/>
                <w:sz w:val="21"/>
              </w:rPr>
            </w:pPr>
          </w:p>
        </w:tc>
        <w:tc>
          <w:tcPr>
            <w:tcW w:w="1896" w:type="dxa"/>
            <w:tcBorders>
              <w:right w:val="single" w:color="000000" w:sz="6" w:space="0"/>
            </w:tcBorders>
            <w:vAlign w:val="top"/>
          </w:tcPr>
          <w:p w14:paraId="44B4B263">
            <w:pPr>
              <w:rPr>
                <w:rFonts w:ascii="Arial"/>
                <w:sz w:val="21"/>
              </w:rPr>
            </w:pPr>
          </w:p>
        </w:tc>
      </w:tr>
      <w:tr w14:paraId="3E9E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3C79E13C">
            <w:pPr>
              <w:rPr>
                <w:rFonts w:ascii="Arial"/>
                <w:sz w:val="21"/>
              </w:rPr>
            </w:pPr>
          </w:p>
        </w:tc>
        <w:tc>
          <w:tcPr>
            <w:tcW w:w="3758" w:type="dxa"/>
            <w:vAlign w:val="top"/>
          </w:tcPr>
          <w:p w14:paraId="231578E1">
            <w:pPr>
              <w:rPr>
                <w:rFonts w:ascii="Arial"/>
                <w:sz w:val="21"/>
              </w:rPr>
            </w:pPr>
          </w:p>
        </w:tc>
        <w:tc>
          <w:tcPr>
            <w:tcW w:w="2228" w:type="dxa"/>
            <w:vAlign w:val="top"/>
          </w:tcPr>
          <w:p w14:paraId="226F3C95">
            <w:pPr>
              <w:rPr>
                <w:rFonts w:ascii="Arial"/>
                <w:sz w:val="21"/>
              </w:rPr>
            </w:pPr>
          </w:p>
        </w:tc>
        <w:tc>
          <w:tcPr>
            <w:tcW w:w="1896" w:type="dxa"/>
            <w:tcBorders>
              <w:right w:val="single" w:color="000000" w:sz="6" w:space="0"/>
            </w:tcBorders>
            <w:vAlign w:val="top"/>
          </w:tcPr>
          <w:p w14:paraId="3E7F5936">
            <w:pPr>
              <w:rPr>
                <w:rFonts w:ascii="Arial"/>
                <w:sz w:val="21"/>
              </w:rPr>
            </w:pPr>
          </w:p>
        </w:tc>
      </w:tr>
      <w:tr w14:paraId="13FE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164CDB96">
            <w:pPr>
              <w:rPr>
                <w:rFonts w:ascii="Arial"/>
                <w:sz w:val="21"/>
              </w:rPr>
            </w:pPr>
          </w:p>
        </w:tc>
        <w:tc>
          <w:tcPr>
            <w:tcW w:w="3758" w:type="dxa"/>
            <w:vAlign w:val="top"/>
          </w:tcPr>
          <w:p w14:paraId="07D7F418">
            <w:pPr>
              <w:rPr>
                <w:rFonts w:ascii="Arial"/>
                <w:sz w:val="21"/>
              </w:rPr>
            </w:pPr>
          </w:p>
        </w:tc>
        <w:tc>
          <w:tcPr>
            <w:tcW w:w="2228" w:type="dxa"/>
            <w:vAlign w:val="top"/>
          </w:tcPr>
          <w:p w14:paraId="1054958A">
            <w:pPr>
              <w:rPr>
                <w:rFonts w:ascii="Arial"/>
                <w:sz w:val="21"/>
              </w:rPr>
            </w:pPr>
          </w:p>
        </w:tc>
        <w:tc>
          <w:tcPr>
            <w:tcW w:w="1896" w:type="dxa"/>
            <w:tcBorders>
              <w:right w:val="single" w:color="000000" w:sz="6" w:space="0"/>
            </w:tcBorders>
            <w:vAlign w:val="top"/>
          </w:tcPr>
          <w:p w14:paraId="7B03454F">
            <w:pPr>
              <w:rPr>
                <w:rFonts w:ascii="Arial"/>
                <w:sz w:val="21"/>
              </w:rPr>
            </w:pPr>
          </w:p>
        </w:tc>
      </w:tr>
      <w:tr w14:paraId="0BBA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34785015">
            <w:pPr>
              <w:rPr>
                <w:rFonts w:ascii="Arial"/>
                <w:sz w:val="21"/>
              </w:rPr>
            </w:pPr>
          </w:p>
        </w:tc>
        <w:tc>
          <w:tcPr>
            <w:tcW w:w="3758" w:type="dxa"/>
            <w:vAlign w:val="top"/>
          </w:tcPr>
          <w:p w14:paraId="7B7E2610">
            <w:pPr>
              <w:rPr>
                <w:rFonts w:ascii="Arial"/>
                <w:sz w:val="21"/>
              </w:rPr>
            </w:pPr>
          </w:p>
        </w:tc>
        <w:tc>
          <w:tcPr>
            <w:tcW w:w="2228" w:type="dxa"/>
            <w:vAlign w:val="top"/>
          </w:tcPr>
          <w:p w14:paraId="70A17816">
            <w:pPr>
              <w:rPr>
                <w:rFonts w:ascii="Arial"/>
                <w:sz w:val="21"/>
              </w:rPr>
            </w:pPr>
          </w:p>
        </w:tc>
        <w:tc>
          <w:tcPr>
            <w:tcW w:w="1896" w:type="dxa"/>
            <w:tcBorders>
              <w:right w:val="single" w:color="000000" w:sz="6" w:space="0"/>
            </w:tcBorders>
            <w:vAlign w:val="top"/>
          </w:tcPr>
          <w:p w14:paraId="74C85DE3">
            <w:pPr>
              <w:rPr>
                <w:rFonts w:ascii="Arial"/>
                <w:sz w:val="21"/>
              </w:rPr>
            </w:pPr>
          </w:p>
        </w:tc>
      </w:tr>
      <w:tr w14:paraId="06FC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31" w:type="dxa"/>
            <w:tcBorders>
              <w:left w:val="single" w:color="000000" w:sz="6" w:space="0"/>
            </w:tcBorders>
            <w:vAlign w:val="top"/>
          </w:tcPr>
          <w:p w14:paraId="5AC97044">
            <w:pPr>
              <w:rPr>
                <w:rFonts w:ascii="Arial"/>
                <w:sz w:val="21"/>
              </w:rPr>
            </w:pPr>
          </w:p>
        </w:tc>
        <w:tc>
          <w:tcPr>
            <w:tcW w:w="3758" w:type="dxa"/>
            <w:vAlign w:val="top"/>
          </w:tcPr>
          <w:p w14:paraId="0F1E6680">
            <w:pPr>
              <w:rPr>
                <w:rFonts w:ascii="Arial"/>
                <w:sz w:val="21"/>
              </w:rPr>
            </w:pPr>
          </w:p>
        </w:tc>
        <w:tc>
          <w:tcPr>
            <w:tcW w:w="2228" w:type="dxa"/>
            <w:vAlign w:val="top"/>
          </w:tcPr>
          <w:p w14:paraId="4C05A0D8">
            <w:pPr>
              <w:rPr>
                <w:rFonts w:ascii="Arial"/>
                <w:sz w:val="21"/>
              </w:rPr>
            </w:pPr>
          </w:p>
        </w:tc>
        <w:tc>
          <w:tcPr>
            <w:tcW w:w="1896" w:type="dxa"/>
            <w:tcBorders>
              <w:right w:val="single" w:color="000000" w:sz="6" w:space="0"/>
            </w:tcBorders>
            <w:vAlign w:val="top"/>
          </w:tcPr>
          <w:p w14:paraId="003E533F">
            <w:pPr>
              <w:rPr>
                <w:rFonts w:ascii="Arial"/>
                <w:sz w:val="21"/>
              </w:rPr>
            </w:pPr>
          </w:p>
        </w:tc>
      </w:tr>
      <w:tr w14:paraId="7108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231" w:type="dxa"/>
            <w:tcBorders>
              <w:left w:val="single" w:color="000000" w:sz="6" w:space="0"/>
            </w:tcBorders>
            <w:vAlign w:val="top"/>
          </w:tcPr>
          <w:p w14:paraId="0757D050">
            <w:pPr>
              <w:rPr>
                <w:rFonts w:ascii="Arial"/>
                <w:sz w:val="21"/>
              </w:rPr>
            </w:pPr>
          </w:p>
        </w:tc>
        <w:tc>
          <w:tcPr>
            <w:tcW w:w="3758" w:type="dxa"/>
            <w:vAlign w:val="top"/>
          </w:tcPr>
          <w:p w14:paraId="5B205E00">
            <w:pPr>
              <w:rPr>
                <w:rFonts w:ascii="Arial"/>
                <w:sz w:val="21"/>
              </w:rPr>
            </w:pPr>
          </w:p>
        </w:tc>
        <w:tc>
          <w:tcPr>
            <w:tcW w:w="2228" w:type="dxa"/>
            <w:vAlign w:val="top"/>
          </w:tcPr>
          <w:p w14:paraId="7A25DB36">
            <w:pPr>
              <w:rPr>
                <w:rFonts w:ascii="Arial"/>
                <w:sz w:val="21"/>
              </w:rPr>
            </w:pPr>
          </w:p>
        </w:tc>
        <w:tc>
          <w:tcPr>
            <w:tcW w:w="1896" w:type="dxa"/>
            <w:tcBorders>
              <w:right w:val="single" w:color="000000" w:sz="6" w:space="0"/>
            </w:tcBorders>
            <w:vAlign w:val="top"/>
          </w:tcPr>
          <w:p w14:paraId="02B49785">
            <w:pPr>
              <w:rPr>
                <w:rFonts w:ascii="Arial"/>
                <w:sz w:val="21"/>
              </w:rPr>
            </w:pPr>
          </w:p>
        </w:tc>
      </w:tr>
      <w:tr w14:paraId="55FA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989" w:type="dxa"/>
            <w:gridSpan w:val="2"/>
            <w:tcBorders>
              <w:left w:val="single" w:color="000000" w:sz="6" w:space="0"/>
              <w:bottom w:val="single" w:color="000000" w:sz="6" w:space="0"/>
            </w:tcBorders>
            <w:vAlign w:val="top"/>
          </w:tcPr>
          <w:p w14:paraId="3359702F">
            <w:pPr>
              <w:pStyle w:val="11"/>
              <w:spacing w:before="91" w:line="230" w:lineRule="auto"/>
              <w:ind w:left="2295"/>
              <w:rPr>
                <w:sz w:val="19"/>
                <w:szCs w:val="19"/>
              </w:rPr>
            </w:pPr>
            <w:r>
              <w:rPr>
                <w:spacing w:val="4"/>
                <w:sz w:val="19"/>
                <w:szCs w:val="19"/>
              </w:rPr>
              <w:t>合计</w:t>
            </w:r>
          </w:p>
        </w:tc>
        <w:tc>
          <w:tcPr>
            <w:tcW w:w="2228" w:type="dxa"/>
            <w:tcBorders>
              <w:bottom w:val="single" w:color="000000" w:sz="6" w:space="0"/>
            </w:tcBorders>
            <w:vAlign w:val="top"/>
          </w:tcPr>
          <w:p w14:paraId="0D4B7FC6">
            <w:pPr>
              <w:rPr>
                <w:rFonts w:ascii="Arial"/>
                <w:sz w:val="21"/>
              </w:rPr>
            </w:pPr>
          </w:p>
        </w:tc>
        <w:tc>
          <w:tcPr>
            <w:tcW w:w="1896" w:type="dxa"/>
            <w:tcBorders>
              <w:bottom w:val="single" w:color="000000" w:sz="6" w:space="0"/>
              <w:right w:val="single" w:color="000000" w:sz="6" w:space="0"/>
            </w:tcBorders>
            <w:vAlign w:val="top"/>
          </w:tcPr>
          <w:p w14:paraId="66CE98D4">
            <w:pPr>
              <w:rPr>
                <w:rFonts w:ascii="Arial"/>
                <w:sz w:val="21"/>
              </w:rPr>
            </w:pPr>
          </w:p>
        </w:tc>
      </w:tr>
    </w:tbl>
    <w:p w14:paraId="56E4B4FB">
      <w:pPr>
        <w:spacing w:before="85" w:line="220" w:lineRule="auto"/>
        <w:ind w:left="6147"/>
        <w:rPr>
          <w:rFonts w:ascii="宋体" w:hAnsi="宋体" w:eastAsia="宋体" w:cs="宋体"/>
          <w:sz w:val="18"/>
          <w:szCs w:val="18"/>
        </w:rPr>
      </w:pPr>
      <w:r>
        <w:rPr>
          <w:rFonts w:ascii="宋体" w:hAnsi="宋体" w:eastAsia="宋体" w:cs="宋体"/>
          <w:spacing w:val="-2"/>
          <w:sz w:val="18"/>
          <w:szCs w:val="18"/>
        </w:rPr>
        <w:t>法定代表人</w:t>
      </w:r>
    </w:p>
    <w:p w14:paraId="7362EF85">
      <w:pPr>
        <w:spacing w:before="139" w:line="213" w:lineRule="auto"/>
        <w:ind w:left="6070"/>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4"/>
          <w:sz w:val="18"/>
          <w:szCs w:val="18"/>
        </w:rPr>
        <w:t>）：</w:t>
      </w:r>
      <w:r>
        <w:rPr>
          <w:rFonts w:ascii="宋体" w:hAnsi="宋体" w:eastAsia="宋体" w:cs="宋体"/>
          <w:spacing w:val="-2"/>
          <w:sz w:val="18"/>
          <w:szCs w:val="18"/>
        </w:rPr>
        <w:t>______（签字）</w:t>
      </w:r>
    </w:p>
    <w:p w14:paraId="12ED8D8E">
      <w:pPr>
        <w:spacing w:line="213" w:lineRule="auto"/>
        <w:rPr>
          <w:rFonts w:ascii="宋体" w:hAnsi="宋体" w:eastAsia="宋体" w:cs="宋体"/>
          <w:sz w:val="18"/>
          <w:szCs w:val="18"/>
        </w:rPr>
        <w:sectPr>
          <w:footerReference r:id="rId160" w:type="default"/>
          <w:pgSz w:w="11905" w:h="16843"/>
          <w:pgMar w:top="969" w:right="1355" w:bottom="1026" w:left="1480" w:header="0" w:footer="754" w:gutter="0"/>
          <w:cols w:space="0" w:num="1"/>
          <w:rtlGutter w:val="0"/>
          <w:docGrid w:linePitch="0" w:charSpace="0"/>
        </w:sectPr>
      </w:pPr>
    </w:p>
    <w:p w14:paraId="1ACDC768">
      <w:pPr>
        <w:pStyle w:val="5"/>
        <w:spacing w:line="265" w:lineRule="auto"/>
      </w:pPr>
    </w:p>
    <w:p w14:paraId="0AF965DC">
      <w:pPr>
        <w:pStyle w:val="5"/>
        <w:spacing w:line="265" w:lineRule="auto"/>
      </w:pPr>
    </w:p>
    <w:p w14:paraId="00ACD373">
      <w:pPr>
        <w:pStyle w:val="5"/>
        <w:spacing w:line="266" w:lineRule="auto"/>
      </w:pPr>
    </w:p>
    <w:p w14:paraId="2AC1E973">
      <w:pPr>
        <w:pStyle w:val="5"/>
        <w:spacing w:line="266" w:lineRule="auto"/>
      </w:pPr>
    </w:p>
    <w:p w14:paraId="24CC6F89">
      <w:pPr>
        <w:pStyle w:val="5"/>
        <w:spacing w:line="266" w:lineRule="auto"/>
      </w:pPr>
    </w:p>
    <w:p w14:paraId="114FAFDD">
      <w:pPr>
        <w:spacing w:before="78" w:line="232" w:lineRule="auto"/>
        <w:ind w:left="19"/>
        <w:outlineLvl w:val="2"/>
        <w:rPr>
          <w:rFonts w:ascii="黑体" w:hAnsi="黑体" w:eastAsia="黑体" w:cs="黑体"/>
          <w:sz w:val="24"/>
          <w:szCs w:val="24"/>
        </w:rPr>
      </w:pPr>
      <w:bookmarkStart w:id="1267" w:name="bookmark385"/>
      <w:bookmarkEnd w:id="1267"/>
      <w:r>
        <w:rPr>
          <w:rFonts w:ascii="Times New Roman" w:hAnsi="Times New Roman" w:eastAsia="Times New Roman" w:cs="Times New Roman"/>
          <w:spacing w:val="-2"/>
          <w:sz w:val="24"/>
          <w:szCs w:val="24"/>
        </w:rPr>
        <w:t xml:space="preserve">3.11 </w:t>
      </w:r>
      <w:r>
        <w:rPr>
          <w:rFonts w:ascii="黑体" w:hAnsi="黑体" w:eastAsia="黑体" w:cs="黑体"/>
          <w:spacing w:val="-2"/>
          <w:sz w:val="24"/>
          <w:szCs w:val="24"/>
        </w:rPr>
        <w:t>零星工作项目计价表</w:t>
      </w:r>
    </w:p>
    <w:p w14:paraId="12EF5B55">
      <w:pPr>
        <w:spacing w:before="293" w:line="218" w:lineRule="auto"/>
        <w:ind w:left="2813"/>
        <w:rPr>
          <w:rFonts w:ascii="宋体" w:hAnsi="宋体" w:eastAsia="宋体" w:cs="宋体"/>
          <w:sz w:val="40"/>
          <w:szCs w:val="40"/>
        </w:rPr>
      </w:pPr>
      <w:bookmarkStart w:id="1268" w:name="bookmark619"/>
      <w:bookmarkEnd w:id="1268"/>
      <w:r>
        <w:rPr>
          <w:rFonts w:ascii="宋体" w:hAnsi="宋体" w:eastAsia="宋体" w:cs="宋体"/>
          <w:b/>
          <w:bCs/>
          <w:spacing w:val="-5"/>
          <w:sz w:val="40"/>
          <w:szCs w:val="40"/>
        </w:rPr>
        <w:t>零星工作项目计价表</w:t>
      </w:r>
    </w:p>
    <w:p w14:paraId="4A300024">
      <w:pPr>
        <w:spacing w:before="42"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78C3CE13">
      <w:pPr>
        <w:spacing w:before="234" w:line="220" w:lineRule="auto"/>
        <w:jc w:val="right"/>
        <w:rPr>
          <w:rFonts w:ascii="宋体" w:hAnsi="宋体" w:eastAsia="宋体" w:cs="宋体"/>
          <w:sz w:val="18"/>
          <w:szCs w:val="18"/>
        </w:rPr>
      </w:pPr>
      <w:r>
        <w:rPr>
          <w:rFonts w:ascii="宋体" w:hAnsi="宋体" w:eastAsia="宋体" w:cs="宋体"/>
          <w:spacing w:val="-3"/>
          <w:sz w:val="18"/>
          <w:szCs w:val="18"/>
        </w:rPr>
        <w:t xml:space="preserve">工程名称：                                                        </w:t>
      </w:r>
      <w:r>
        <w:rPr>
          <w:rFonts w:ascii="宋体" w:hAnsi="宋体" w:eastAsia="宋体" w:cs="宋体"/>
          <w:spacing w:val="-4"/>
          <w:sz w:val="18"/>
          <w:szCs w:val="18"/>
        </w:rPr>
        <w:t xml:space="preserve">                  第  1  页、共</w:t>
      </w:r>
      <w:r>
        <w:rPr>
          <w:rFonts w:ascii="宋体" w:hAnsi="宋体" w:eastAsia="宋体" w:cs="宋体"/>
          <w:spacing w:val="9"/>
          <w:sz w:val="18"/>
          <w:szCs w:val="18"/>
        </w:rPr>
        <w:t xml:space="preserve">  </w:t>
      </w:r>
      <w:r>
        <w:rPr>
          <w:rFonts w:ascii="宋体" w:hAnsi="宋体" w:eastAsia="宋体" w:cs="宋体"/>
          <w:spacing w:val="-4"/>
          <w:sz w:val="18"/>
          <w:szCs w:val="18"/>
        </w:rPr>
        <w:t>1</w:t>
      </w:r>
      <w:r>
        <w:rPr>
          <w:rFonts w:ascii="宋体" w:hAnsi="宋体" w:eastAsia="宋体" w:cs="宋体"/>
          <w:spacing w:val="6"/>
          <w:sz w:val="18"/>
          <w:szCs w:val="18"/>
        </w:rPr>
        <w:t xml:space="preserve">  </w:t>
      </w:r>
      <w:r>
        <w:rPr>
          <w:rFonts w:ascii="宋体" w:hAnsi="宋体" w:eastAsia="宋体" w:cs="宋体"/>
          <w:spacing w:val="-4"/>
          <w:sz w:val="18"/>
          <w:szCs w:val="18"/>
        </w:rPr>
        <w:t>页</w:t>
      </w:r>
    </w:p>
    <w:p w14:paraId="59BF3C5B">
      <w:pPr>
        <w:spacing w:line="211" w:lineRule="exact"/>
      </w:pPr>
    </w:p>
    <w:tbl>
      <w:tblPr>
        <w:tblStyle w:val="10"/>
        <w:tblW w:w="919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3329"/>
        <w:gridCol w:w="1699"/>
        <w:gridCol w:w="1076"/>
        <w:gridCol w:w="1186"/>
        <w:gridCol w:w="963"/>
      </w:tblGrid>
      <w:tr w14:paraId="0F2B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39" w:type="dxa"/>
            <w:tcBorders>
              <w:top w:val="single" w:color="000000" w:sz="6" w:space="0"/>
              <w:left w:val="single" w:color="000000" w:sz="6" w:space="0"/>
            </w:tcBorders>
            <w:vAlign w:val="top"/>
          </w:tcPr>
          <w:p w14:paraId="1B92D25D">
            <w:pPr>
              <w:pStyle w:val="11"/>
              <w:spacing w:before="75" w:line="221" w:lineRule="auto"/>
              <w:ind w:left="286"/>
              <w:rPr>
                <w:sz w:val="18"/>
                <w:szCs w:val="18"/>
              </w:rPr>
            </w:pPr>
            <w:r>
              <w:rPr>
                <w:spacing w:val="-2"/>
                <w:sz w:val="18"/>
                <w:szCs w:val="18"/>
              </w:rPr>
              <w:t>序号</w:t>
            </w:r>
          </w:p>
        </w:tc>
        <w:tc>
          <w:tcPr>
            <w:tcW w:w="3329" w:type="dxa"/>
            <w:tcBorders>
              <w:top w:val="single" w:color="000000" w:sz="6" w:space="0"/>
            </w:tcBorders>
            <w:vAlign w:val="top"/>
          </w:tcPr>
          <w:p w14:paraId="1896867A">
            <w:pPr>
              <w:pStyle w:val="11"/>
              <w:spacing w:before="74" w:line="222" w:lineRule="auto"/>
              <w:ind w:left="1487"/>
              <w:rPr>
                <w:sz w:val="18"/>
                <w:szCs w:val="18"/>
              </w:rPr>
            </w:pPr>
            <w:r>
              <w:rPr>
                <w:spacing w:val="-3"/>
                <w:sz w:val="18"/>
                <w:szCs w:val="18"/>
              </w:rPr>
              <w:t>名称</w:t>
            </w:r>
          </w:p>
        </w:tc>
        <w:tc>
          <w:tcPr>
            <w:tcW w:w="1699" w:type="dxa"/>
            <w:tcBorders>
              <w:top w:val="single" w:color="000000" w:sz="6" w:space="0"/>
            </w:tcBorders>
            <w:vAlign w:val="top"/>
          </w:tcPr>
          <w:p w14:paraId="610A6687">
            <w:pPr>
              <w:pStyle w:val="11"/>
              <w:spacing w:before="74" w:line="220" w:lineRule="auto"/>
              <w:ind w:left="501"/>
              <w:rPr>
                <w:sz w:val="18"/>
                <w:szCs w:val="18"/>
              </w:rPr>
            </w:pPr>
            <w:r>
              <w:rPr>
                <w:spacing w:val="-3"/>
                <w:sz w:val="18"/>
                <w:szCs w:val="18"/>
              </w:rPr>
              <w:t>型号规格</w:t>
            </w:r>
          </w:p>
        </w:tc>
        <w:tc>
          <w:tcPr>
            <w:tcW w:w="1076" w:type="dxa"/>
            <w:tcBorders>
              <w:top w:val="single" w:color="000000" w:sz="6" w:space="0"/>
            </w:tcBorders>
            <w:vAlign w:val="top"/>
          </w:tcPr>
          <w:p w14:paraId="2BFBC0A1">
            <w:pPr>
              <w:pStyle w:val="11"/>
              <w:spacing w:before="75" w:line="220" w:lineRule="auto"/>
              <w:ind w:left="184"/>
              <w:rPr>
                <w:sz w:val="18"/>
                <w:szCs w:val="18"/>
              </w:rPr>
            </w:pPr>
            <w:r>
              <w:rPr>
                <w:spacing w:val="-2"/>
                <w:sz w:val="18"/>
                <w:szCs w:val="18"/>
              </w:rPr>
              <w:t>计量单位</w:t>
            </w:r>
          </w:p>
        </w:tc>
        <w:tc>
          <w:tcPr>
            <w:tcW w:w="1186" w:type="dxa"/>
            <w:tcBorders>
              <w:top w:val="single" w:color="000000" w:sz="6" w:space="0"/>
            </w:tcBorders>
            <w:vAlign w:val="top"/>
          </w:tcPr>
          <w:p w14:paraId="2A2F61CF">
            <w:pPr>
              <w:pStyle w:val="11"/>
              <w:spacing w:before="75" w:line="218" w:lineRule="auto"/>
              <w:ind w:left="156"/>
              <w:rPr>
                <w:sz w:val="18"/>
                <w:szCs w:val="18"/>
              </w:rPr>
            </w:pPr>
            <w:r>
              <w:rPr>
                <w:spacing w:val="-2"/>
                <w:sz w:val="18"/>
                <w:szCs w:val="18"/>
              </w:rPr>
              <w:t>单价（元）</w:t>
            </w:r>
          </w:p>
        </w:tc>
        <w:tc>
          <w:tcPr>
            <w:tcW w:w="963" w:type="dxa"/>
            <w:tcBorders>
              <w:top w:val="single" w:color="000000" w:sz="6" w:space="0"/>
              <w:right w:val="single" w:color="000000" w:sz="6" w:space="0"/>
            </w:tcBorders>
            <w:vAlign w:val="top"/>
          </w:tcPr>
          <w:p w14:paraId="28D44F99">
            <w:pPr>
              <w:pStyle w:val="11"/>
              <w:spacing w:before="75" w:line="221" w:lineRule="auto"/>
              <w:ind w:left="313"/>
              <w:rPr>
                <w:sz w:val="18"/>
                <w:szCs w:val="18"/>
              </w:rPr>
            </w:pPr>
            <w:r>
              <w:rPr>
                <w:spacing w:val="-3"/>
                <w:sz w:val="18"/>
                <w:szCs w:val="18"/>
              </w:rPr>
              <w:t>备注</w:t>
            </w:r>
          </w:p>
        </w:tc>
      </w:tr>
      <w:tr w14:paraId="147D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39" w:type="dxa"/>
            <w:tcBorders>
              <w:left w:val="single" w:color="000000" w:sz="6" w:space="0"/>
            </w:tcBorders>
            <w:vAlign w:val="top"/>
          </w:tcPr>
          <w:p w14:paraId="1B2B88F8">
            <w:pPr>
              <w:pStyle w:val="11"/>
              <w:spacing w:before="51" w:line="234" w:lineRule="auto"/>
              <w:ind w:left="434"/>
              <w:rPr>
                <w:sz w:val="18"/>
                <w:szCs w:val="18"/>
              </w:rPr>
            </w:pPr>
            <w:r>
              <w:rPr>
                <w:sz w:val="18"/>
                <w:szCs w:val="18"/>
              </w:rPr>
              <w:t>1</w:t>
            </w:r>
          </w:p>
        </w:tc>
        <w:tc>
          <w:tcPr>
            <w:tcW w:w="3329" w:type="dxa"/>
            <w:vAlign w:val="top"/>
          </w:tcPr>
          <w:p w14:paraId="08D0D7D2">
            <w:pPr>
              <w:pStyle w:val="11"/>
              <w:spacing w:before="52" w:line="222" w:lineRule="auto"/>
              <w:ind w:left="108"/>
              <w:rPr>
                <w:sz w:val="18"/>
                <w:szCs w:val="18"/>
              </w:rPr>
            </w:pPr>
            <w:r>
              <w:rPr>
                <w:spacing w:val="-3"/>
                <w:sz w:val="18"/>
                <w:szCs w:val="18"/>
              </w:rPr>
              <w:t>人工</w:t>
            </w:r>
          </w:p>
        </w:tc>
        <w:tc>
          <w:tcPr>
            <w:tcW w:w="1699" w:type="dxa"/>
            <w:vAlign w:val="top"/>
          </w:tcPr>
          <w:p w14:paraId="2EA0985B">
            <w:pPr>
              <w:rPr>
                <w:rFonts w:ascii="Arial"/>
                <w:sz w:val="21"/>
              </w:rPr>
            </w:pPr>
          </w:p>
        </w:tc>
        <w:tc>
          <w:tcPr>
            <w:tcW w:w="1076" w:type="dxa"/>
            <w:vAlign w:val="top"/>
          </w:tcPr>
          <w:p w14:paraId="63C8A74D">
            <w:pPr>
              <w:rPr>
                <w:rFonts w:ascii="Arial"/>
                <w:sz w:val="21"/>
              </w:rPr>
            </w:pPr>
          </w:p>
        </w:tc>
        <w:tc>
          <w:tcPr>
            <w:tcW w:w="1186" w:type="dxa"/>
            <w:vAlign w:val="top"/>
          </w:tcPr>
          <w:p w14:paraId="5D5AF08D">
            <w:pPr>
              <w:rPr>
                <w:rFonts w:ascii="Arial"/>
                <w:sz w:val="21"/>
              </w:rPr>
            </w:pPr>
          </w:p>
        </w:tc>
        <w:tc>
          <w:tcPr>
            <w:tcW w:w="963" w:type="dxa"/>
            <w:tcBorders>
              <w:right w:val="single" w:color="000000" w:sz="6" w:space="0"/>
            </w:tcBorders>
            <w:vAlign w:val="top"/>
          </w:tcPr>
          <w:p w14:paraId="1F302806">
            <w:pPr>
              <w:rPr>
                <w:rFonts w:ascii="Arial"/>
                <w:sz w:val="21"/>
              </w:rPr>
            </w:pPr>
          </w:p>
        </w:tc>
      </w:tr>
      <w:tr w14:paraId="7D75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777B0FEC">
            <w:pPr>
              <w:rPr>
                <w:rFonts w:ascii="Arial"/>
                <w:sz w:val="21"/>
              </w:rPr>
            </w:pPr>
          </w:p>
        </w:tc>
        <w:tc>
          <w:tcPr>
            <w:tcW w:w="3329" w:type="dxa"/>
            <w:vAlign w:val="top"/>
          </w:tcPr>
          <w:p w14:paraId="195D0385">
            <w:pPr>
              <w:rPr>
                <w:rFonts w:ascii="Arial"/>
                <w:sz w:val="21"/>
              </w:rPr>
            </w:pPr>
          </w:p>
        </w:tc>
        <w:tc>
          <w:tcPr>
            <w:tcW w:w="1699" w:type="dxa"/>
            <w:vAlign w:val="top"/>
          </w:tcPr>
          <w:p w14:paraId="7EA10972">
            <w:pPr>
              <w:rPr>
                <w:rFonts w:ascii="Arial"/>
                <w:sz w:val="21"/>
              </w:rPr>
            </w:pPr>
          </w:p>
        </w:tc>
        <w:tc>
          <w:tcPr>
            <w:tcW w:w="1076" w:type="dxa"/>
            <w:vAlign w:val="top"/>
          </w:tcPr>
          <w:p w14:paraId="3A8D0076">
            <w:pPr>
              <w:rPr>
                <w:rFonts w:ascii="Arial"/>
                <w:sz w:val="21"/>
              </w:rPr>
            </w:pPr>
          </w:p>
        </w:tc>
        <w:tc>
          <w:tcPr>
            <w:tcW w:w="1186" w:type="dxa"/>
            <w:vAlign w:val="top"/>
          </w:tcPr>
          <w:p w14:paraId="770B2040">
            <w:pPr>
              <w:rPr>
                <w:rFonts w:ascii="Arial"/>
                <w:sz w:val="21"/>
              </w:rPr>
            </w:pPr>
          </w:p>
        </w:tc>
        <w:tc>
          <w:tcPr>
            <w:tcW w:w="963" w:type="dxa"/>
            <w:tcBorders>
              <w:right w:val="single" w:color="000000" w:sz="6" w:space="0"/>
            </w:tcBorders>
            <w:vAlign w:val="top"/>
          </w:tcPr>
          <w:p w14:paraId="19054CD3">
            <w:pPr>
              <w:rPr>
                <w:rFonts w:ascii="Arial"/>
                <w:sz w:val="21"/>
              </w:rPr>
            </w:pPr>
          </w:p>
        </w:tc>
      </w:tr>
      <w:tr w14:paraId="49244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39" w:type="dxa"/>
            <w:tcBorders>
              <w:left w:val="single" w:color="000000" w:sz="6" w:space="0"/>
            </w:tcBorders>
            <w:vAlign w:val="top"/>
          </w:tcPr>
          <w:p w14:paraId="2AE12637">
            <w:pPr>
              <w:pStyle w:val="11"/>
              <w:spacing w:before="52" w:line="233" w:lineRule="auto"/>
              <w:ind w:left="423"/>
              <w:rPr>
                <w:sz w:val="18"/>
                <w:szCs w:val="18"/>
              </w:rPr>
            </w:pPr>
            <w:r>
              <w:rPr>
                <w:sz w:val="18"/>
                <w:szCs w:val="18"/>
              </w:rPr>
              <w:t>2</w:t>
            </w:r>
          </w:p>
        </w:tc>
        <w:tc>
          <w:tcPr>
            <w:tcW w:w="3329" w:type="dxa"/>
            <w:vAlign w:val="top"/>
          </w:tcPr>
          <w:p w14:paraId="1E11E9B7">
            <w:pPr>
              <w:pStyle w:val="11"/>
              <w:spacing w:before="52" w:line="219" w:lineRule="auto"/>
              <w:ind w:left="106"/>
              <w:rPr>
                <w:sz w:val="18"/>
                <w:szCs w:val="18"/>
              </w:rPr>
            </w:pPr>
            <w:r>
              <w:rPr>
                <w:spacing w:val="-2"/>
                <w:sz w:val="18"/>
                <w:szCs w:val="18"/>
              </w:rPr>
              <w:t>材料</w:t>
            </w:r>
          </w:p>
        </w:tc>
        <w:tc>
          <w:tcPr>
            <w:tcW w:w="1699" w:type="dxa"/>
            <w:vAlign w:val="top"/>
          </w:tcPr>
          <w:p w14:paraId="2D5DC9CD">
            <w:pPr>
              <w:rPr>
                <w:rFonts w:ascii="Arial"/>
                <w:sz w:val="21"/>
              </w:rPr>
            </w:pPr>
          </w:p>
        </w:tc>
        <w:tc>
          <w:tcPr>
            <w:tcW w:w="1076" w:type="dxa"/>
            <w:vAlign w:val="top"/>
          </w:tcPr>
          <w:p w14:paraId="0D9810AA">
            <w:pPr>
              <w:rPr>
                <w:rFonts w:ascii="Arial"/>
                <w:sz w:val="21"/>
              </w:rPr>
            </w:pPr>
          </w:p>
        </w:tc>
        <w:tc>
          <w:tcPr>
            <w:tcW w:w="1186" w:type="dxa"/>
            <w:vAlign w:val="top"/>
          </w:tcPr>
          <w:p w14:paraId="1214933B">
            <w:pPr>
              <w:rPr>
                <w:rFonts w:ascii="Arial"/>
                <w:sz w:val="21"/>
              </w:rPr>
            </w:pPr>
          </w:p>
        </w:tc>
        <w:tc>
          <w:tcPr>
            <w:tcW w:w="963" w:type="dxa"/>
            <w:tcBorders>
              <w:right w:val="single" w:color="000000" w:sz="6" w:space="0"/>
            </w:tcBorders>
            <w:vAlign w:val="top"/>
          </w:tcPr>
          <w:p w14:paraId="16610B0D">
            <w:pPr>
              <w:rPr>
                <w:rFonts w:ascii="Arial"/>
                <w:sz w:val="21"/>
              </w:rPr>
            </w:pPr>
          </w:p>
        </w:tc>
      </w:tr>
      <w:tr w14:paraId="63A7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3017CABD">
            <w:pPr>
              <w:rPr>
                <w:rFonts w:ascii="Arial"/>
                <w:sz w:val="21"/>
              </w:rPr>
            </w:pPr>
          </w:p>
        </w:tc>
        <w:tc>
          <w:tcPr>
            <w:tcW w:w="3329" w:type="dxa"/>
            <w:vAlign w:val="top"/>
          </w:tcPr>
          <w:p w14:paraId="0A40CE3E">
            <w:pPr>
              <w:rPr>
                <w:rFonts w:ascii="Arial"/>
                <w:sz w:val="21"/>
              </w:rPr>
            </w:pPr>
          </w:p>
        </w:tc>
        <w:tc>
          <w:tcPr>
            <w:tcW w:w="1699" w:type="dxa"/>
            <w:vAlign w:val="top"/>
          </w:tcPr>
          <w:p w14:paraId="3A6A25A2">
            <w:pPr>
              <w:rPr>
                <w:rFonts w:ascii="Arial"/>
                <w:sz w:val="21"/>
              </w:rPr>
            </w:pPr>
          </w:p>
        </w:tc>
        <w:tc>
          <w:tcPr>
            <w:tcW w:w="1076" w:type="dxa"/>
            <w:vAlign w:val="top"/>
          </w:tcPr>
          <w:p w14:paraId="4EF1583D">
            <w:pPr>
              <w:rPr>
                <w:rFonts w:ascii="Arial"/>
                <w:sz w:val="21"/>
              </w:rPr>
            </w:pPr>
          </w:p>
        </w:tc>
        <w:tc>
          <w:tcPr>
            <w:tcW w:w="1186" w:type="dxa"/>
            <w:vAlign w:val="top"/>
          </w:tcPr>
          <w:p w14:paraId="32493361">
            <w:pPr>
              <w:rPr>
                <w:rFonts w:ascii="Arial"/>
                <w:sz w:val="21"/>
              </w:rPr>
            </w:pPr>
          </w:p>
        </w:tc>
        <w:tc>
          <w:tcPr>
            <w:tcW w:w="963" w:type="dxa"/>
            <w:tcBorders>
              <w:right w:val="single" w:color="000000" w:sz="6" w:space="0"/>
            </w:tcBorders>
            <w:vAlign w:val="top"/>
          </w:tcPr>
          <w:p w14:paraId="03707C83">
            <w:pPr>
              <w:rPr>
                <w:rFonts w:ascii="Arial"/>
                <w:sz w:val="21"/>
              </w:rPr>
            </w:pPr>
          </w:p>
        </w:tc>
      </w:tr>
      <w:tr w14:paraId="670A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39" w:type="dxa"/>
            <w:tcBorders>
              <w:left w:val="single" w:color="000000" w:sz="6" w:space="0"/>
            </w:tcBorders>
            <w:vAlign w:val="top"/>
          </w:tcPr>
          <w:p w14:paraId="00FA7A05">
            <w:pPr>
              <w:pStyle w:val="11"/>
              <w:spacing w:before="52" w:line="233" w:lineRule="auto"/>
              <w:ind w:left="425"/>
              <w:rPr>
                <w:sz w:val="18"/>
                <w:szCs w:val="18"/>
              </w:rPr>
            </w:pPr>
            <w:r>
              <w:rPr>
                <w:sz w:val="18"/>
                <w:szCs w:val="18"/>
              </w:rPr>
              <w:t>3</w:t>
            </w:r>
          </w:p>
        </w:tc>
        <w:tc>
          <w:tcPr>
            <w:tcW w:w="3329" w:type="dxa"/>
            <w:vAlign w:val="top"/>
          </w:tcPr>
          <w:p w14:paraId="68A6CA17">
            <w:pPr>
              <w:pStyle w:val="11"/>
              <w:spacing w:before="52" w:line="219" w:lineRule="auto"/>
              <w:ind w:left="106"/>
              <w:rPr>
                <w:sz w:val="18"/>
                <w:szCs w:val="18"/>
              </w:rPr>
            </w:pPr>
            <w:r>
              <w:rPr>
                <w:spacing w:val="-2"/>
                <w:sz w:val="18"/>
                <w:szCs w:val="18"/>
              </w:rPr>
              <w:t>机械</w:t>
            </w:r>
          </w:p>
        </w:tc>
        <w:tc>
          <w:tcPr>
            <w:tcW w:w="1699" w:type="dxa"/>
            <w:vAlign w:val="top"/>
          </w:tcPr>
          <w:p w14:paraId="45D72B4A">
            <w:pPr>
              <w:rPr>
                <w:rFonts w:ascii="Arial"/>
                <w:sz w:val="21"/>
              </w:rPr>
            </w:pPr>
          </w:p>
        </w:tc>
        <w:tc>
          <w:tcPr>
            <w:tcW w:w="1076" w:type="dxa"/>
            <w:vAlign w:val="top"/>
          </w:tcPr>
          <w:p w14:paraId="0FA62032">
            <w:pPr>
              <w:rPr>
                <w:rFonts w:ascii="Arial"/>
                <w:sz w:val="21"/>
              </w:rPr>
            </w:pPr>
          </w:p>
        </w:tc>
        <w:tc>
          <w:tcPr>
            <w:tcW w:w="1186" w:type="dxa"/>
            <w:vAlign w:val="top"/>
          </w:tcPr>
          <w:p w14:paraId="0C817296">
            <w:pPr>
              <w:rPr>
                <w:rFonts w:ascii="Arial"/>
                <w:sz w:val="21"/>
              </w:rPr>
            </w:pPr>
          </w:p>
        </w:tc>
        <w:tc>
          <w:tcPr>
            <w:tcW w:w="963" w:type="dxa"/>
            <w:tcBorders>
              <w:right w:val="single" w:color="000000" w:sz="6" w:space="0"/>
            </w:tcBorders>
            <w:vAlign w:val="top"/>
          </w:tcPr>
          <w:p w14:paraId="19D82E2F">
            <w:pPr>
              <w:rPr>
                <w:rFonts w:ascii="Arial"/>
                <w:sz w:val="21"/>
              </w:rPr>
            </w:pPr>
          </w:p>
        </w:tc>
      </w:tr>
      <w:tr w14:paraId="48AA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0C1A8F06">
            <w:pPr>
              <w:rPr>
                <w:rFonts w:ascii="Arial"/>
                <w:sz w:val="21"/>
              </w:rPr>
            </w:pPr>
          </w:p>
        </w:tc>
        <w:tc>
          <w:tcPr>
            <w:tcW w:w="3329" w:type="dxa"/>
            <w:vAlign w:val="top"/>
          </w:tcPr>
          <w:p w14:paraId="4834712B">
            <w:pPr>
              <w:rPr>
                <w:rFonts w:ascii="Arial"/>
                <w:sz w:val="21"/>
              </w:rPr>
            </w:pPr>
          </w:p>
        </w:tc>
        <w:tc>
          <w:tcPr>
            <w:tcW w:w="1699" w:type="dxa"/>
            <w:vAlign w:val="top"/>
          </w:tcPr>
          <w:p w14:paraId="1358B9E3">
            <w:pPr>
              <w:rPr>
                <w:rFonts w:ascii="Arial"/>
                <w:sz w:val="21"/>
              </w:rPr>
            </w:pPr>
          </w:p>
        </w:tc>
        <w:tc>
          <w:tcPr>
            <w:tcW w:w="1076" w:type="dxa"/>
            <w:vAlign w:val="top"/>
          </w:tcPr>
          <w:p w14:paraId="3F4B4A6D">
            <w:pPr>
              <w:rPr>
                <w:rFonts w:ascii="Arial"/>
                <w:sz w:val="21"/>
              </w:rPr>
            </w:pPr>
          </w:p>
        </w:tc>
        <w:tc>
          <w:tcPr>
            <w:tcW w:w="1186" w:type="dxa"/>
            <w:vAlign w:val="top"/>
          </w:tcPr>
          <w:p w14:paraId="4AC11B93">
            <w:pPr>
              <w:rPr>
                <w:rFonts w:ascii="Arial"/>
                <w:sz w:val="21"/>
              </w:rPr>
            </w:pPr>
          </w:p>
        </w:tc>
        <w:tc>
          <w:tcPr>
            <w:tcW w:w="963" w:type="dxa"/>
            <w:tcBorders>
              <w:right w:val="single" w:color="000000" w:sz="6" w:space="0"/>
            </w:tcBorders>
            <w:vAlign w:val="top"/>
          </w:tcPr>
          <w:p w14:paraId="01E78437">
            <w:pPr>
              <w:rPr>
                <w:rFonts w:ascii="Arial"/>
                <w:sz w:val="21"/>
              </w:rPr>
            </w:pPr>
          </w:p>
        </w:tc>
      </w:tr>
      <w:tr w14:paraId="5E03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5C32A840">
            <w:pPr>
              <w:rPr>
                <w:rFonts w:ascii="Arial"/>
                <w:sz w:val="21"/>
              </w:rPr>
            </w:pPr>
          </w:p>
        </w:tc>
        <w:tc>
          <w:tcPr>
            <w:tcW w:w="3329" w:type="dxa"/>
            <w:vAlign w:val="top"/>
          </w:tcPr>
          <w:p w14:paraId="3AD1944C">
            <w:pPr>
              <w:rPr>
                <w:rFonts w:ascii="Arial"/>
                <w:sz w:val="21"/>
              </w:rPr>
            </w:pPr>
          </w:p>
        </w:tc>
        <w:tc>
          <w:tcPr>
            <w:tcW w:w="1699" w:type="dxa"/>
            <w:vAlign w:val="top"/>
          </w:tcPr>
          <w:p w14:paraId="788E81CA">
            <w:pPr>
              <w:rPr>
                <w:rFonts w:ascii="Arial"/>
                <w:sz w:val="21"/>
              </w:rPr>
            </w:pPr>
          </w:p>
        </w:tc>
        <w:tc>
          <w:tcPr>
            <w:tcW w:w="1076" w:type="dxa"/>
            <w:vAlign w:val="top"/>
          </w:tcPr>
          <w:p w14:paraId="0CCDB434">
            <w:pPr>
              <w:rPr>
                <w:rFonts w:ascii="Arial"/>
                <w:sz w:val="21"/>
              </w:rPr>
            </w:pPr>
          </w:p>
        </w:tc>
        <w:tc>
          <w:tcPr>
            <w:tcW w:w="1186" w:type="dxa"/>
            <w:vAlign w:val="top"/>
          </w:tcPr>
          <w:p w14:paraId="198CD52F">
            <w:pPr>
              <w:rPr>
                <w:rFonts w:ascii="Arial"/>
                <w:sz w:val="21"/>
              </w:rPr>
            </w:pPr>
          </w:p>
        </w:tc>
        <w:tc>
          <w:tcPr>
            <w:tcW w:w="963" w:type="dxa"/>
            <w:tcBorders>
              <w:right w:val="single" w:color="000000" w:sz="6" w:space="0"/>
            </w:tcBorders>
            <w:vAlign w:val="top"/>
          </w:tcPr>
          <w:p w14:paraId="604A8B67">
            <w:pPr>
              <w:rPr>
                <w:rFonts w:ascii="Arial"/>
                <w:sz w:val="21"/>
              </w:rPr>
            </w:pPr>
          </w:p>
        </w:tc>
      </w:tr>
      <w:tr w14:paraId="305A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7718587D">
            <w:pPr>
              <w:rPr>
                <w:rFonts w:ascii="Arial"/>
                <w:sz w:val="21"/>
              </w:rPr>
            </w:pPr>
          </w:p>
        </w:tc>
        <w:tc>
          <w:tcPr>
            <w:tcW w:w="3329" w:type="dxa"/>
            <w:vAlign w:val="top"/>
          </w:tcPr>
          <w:p w14:paraId="57E1082F">
            <w:pPr>
              <w:rPr>
                <w:rFonts w:ascii="Arial"/>
                <w:sz w:val="21"/>
              </w:rPr>
            </w:pPr>
          </w:p>
        </w:tc>
        <w:tc>
          <w:tcPr>
            <w:tcW w:w="1699" w:type="dxa"/>
            <w:vAlign w:val="top"/>
          </w:tcPr>
          <w:p w14:paraId="0981385B">
            <w:pPr>
              <w:rPr>
                <w:rFonts w:ascii="Arial"/>
                <w:sz w:val="21"/>
              </w:rPr>
            </w:pPr>
          </w:p>
        </w:tc>
        <w:tc>
          <w:tcPr>
            <w:tcW w:w="1076" w:type="dxa"/>
            <w:vAlign w:val="top"/>
          </w:tcPr>
          <w:p w14:paraId="60C6CBFB">
            <w:pPr>
              <w:rPr>
                <w:rFonts w:ascii="Arial"/>
                <w:sz w:val="21"/>
              </w:rPr>
            </w:pPr>
          </w:p>
        </w:tc>
        <w:tc>
          <w:tcPr>
            <w:tcW w:w="1186" w:type="dxa"/>
            <w:vAlign w:val="top"/>
          </w:tcPr>
          <w:p w14:paraId="139CC8F8">
            <w:pPr>
              <w:rPr>
                <w:rFonts w:ascii="Arial"/>
                <w:sz w:val="21"/>
              </w:rPr>
            </w:pPr>
          </w:p>
        </w:tc>
        <w:tc>
          <w:tcPr>
            <w:tcW w:w="963" w:type="dxa"/>
            <w:tcBorders>
              <w:right w:val="single" w:color="000000" w:sz="6" w:space="0"/>
            </w:tcBorders>
            <w:vAlign w:val="top"/>
          </w:tcPr>
          <w:p w14:paraId="517EA160">
            <w:pPr>
              <w:rPr>
                <w:rFonts w:ascii="Arial"/>
                <w:sz w:val="21"/>
              </w:rPr>
            </w:pPr>
          </w:p>
        </w:tc>
      </w:tr>
      <w:tr w14:paraId="5E33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087BB6E5">
            <w:pPr>
              <w:rPr>
                <w:rFonts w:ascii="Arial"/>
                <w:sz w:val="21"/>
              </w:rPr>
            </w:pPr>
          </w:p>
        </w:tc>
        <w:tc>
          <w:tcPr>
            <w:tcW w:w="3329" w:type="dxa"/>
            <w:vAlign w:val="top"/>
          </w:tcPr>
          <w:p w14:paraId="20EB9A06">
            <w:pPr>
              <w:rPr>
                <w:rFonts w:ascii="Arial"/>
                <w:sz w:val="21"/>
              </w:rPr>
            </w:pPr>
          </w:p>
        </w:tc>
        <w:tc>
          <w:tcPr>
            <w:tcW w:w="1699" w:type="dxa"/>
            <w:vAlign w:val="top"/>
          </w:tcPr>
          <w:p w14:paraId="4B0E6DAA">
            <w:pPr>
              <w:rPr>
                <w:rFonts w:ascii="Arial"/>
                <w:sz w:val="21"/>
              </w:rPr>
            </w:pPr>
          </w:p>
        </w:tc>
        <w:tc>
          <w:tcPr>
            <w:tcW w:w="1076" w:type="dxa"/>
            <w:vAlign w:val="top"/>
          </w:tcPr>
          <w:p w14:paraId="679D4E5A">
            <w:pPr>
              <w:rPr>
                <w:rFonts w:ascii="Arial"/>
                <w:sz w:val="21"/>
              </w:rPr>
            </w:pPr>
          </w:p>
        </w:tc>
        <w:tc>
          <w:tcPr>
            <w:tcW w:w="1186" w:type="dxa"/>
            <w:vAlign w:val="top"/>
          </w:tcPr>
          <w:p w14:paraId="69D8487E">
            <w:pPr>
              <w:rPr>
                <w:rFonts w:ascii="Arial"/>
                <w:sz w:val="21"/>
              </w:rPr>
            </w:pPr>
          </w:p>
        </w:tc>
        <w:tc>
          <w:tcPr>
            <w:tcW w:w="963" w:type="dxa"/>
            <w:tcBorders>
              <w:right w:val="single" w:color="000000" w:sz="6" w:space="0"/>
            </w:tcBorders>
            <w:vAlign w:val="top"/>
          </w:tcPr>
          <w:p w14:paraId="7A1AE9EE">
            <w:pPr>
              <w:rPr>
                <w:rFonts w:ascii="Arial"/>
                <w:sz w:val="21"/>
              </w:rPr>
            </w:pPr>
          </w:p>
        </w:tc>
      </w:tr>
      <w:tr w14:paraId="783A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098AED3D">
            <w:pPr>
              <w:rPr>
                <w:rFonts w:ascii="Arial"/>
                <w:sz w:val="21"/>
              </w:rPr>
            </w:pPr>
          </w:p>
        </w:tc>
        <w:tc>
          <w:tcPr>
            <w:tcW w:w="3329" w:type="dxa"/>
            <w:vAlign w:val="top"/>
          </w:tcPr>
          <w:p w14:paraId="2BE74FEE">
            <w:pPr>
              <w:rPr>
                <w:rFonts w:ascii="Arial"/>
                <w:sz w:val="21"/>
              </w:rPr>
            </w:pPr>
          </w:p>
        </w:tc>
        <w:tc>
          <w:tcPr>
            <w:tcW w:w="1699" w:type="dxa"/>
            <w:vAlign w:val="top"/>
          </w:tcPr>
          <w:p w14:paraId="1F8074B8">
            <w:pPr>
              <w:rPr>
                <w:rFonts w:ascii="Arial"/>
                <w:sz w:val="21"/>
              </w:rPr>
            </w:pPr>
          </w:p>
        </w:tc>
        <w:tc>
          <w:tcPr>
            <w:tcW w:w="1076" w:type="dxa"/>
            <w:vAlign w:val="top"/>
          </w:tcPr>
          <w:p w14:paraId="0C303184">
            <w:pPr>
              <w:rPr>
                <w:rFonts w:ascii="Arial"/>
                <w:sz w:val="21"/>
              </w:rPr>
            </w:pPr>
          </w:p>
        </w:tc>
        <w:tc>
          <w:tcPr>
            <w:tcW w:w="1186" w:type="dxa"/>
            <w:vAlign w:val="top"/>
          </w:tcPr>
          <w:p w14:paraId="3690F15C">
            <w:pPr>
              <w:rPr>
                <w:rFonts w:ascii="Arial"/>
                <w:sz w:val="21"/>
              </w:rPr>
            </w:pPr>
          </w:p>
        </w:tc>
        <w:tc>
          <w:tcPr>
            <w:tcW w:w="963" w:type="dxa"/>
            <w:tcBorders>
              <w:right w:val="single" w:color="000000" w:sz="6" w:space="0"/>
            </w:tcBorders>
            <w:vAlign w:val="top"/>
          </w:tcPr>
          <w:p w14:paraId="696AE113">
            <w:pPr>
              <w:rPr>
                <w:rFonts w:ascii="Arial"/>
                <w:sz w:val="21"/>
              </w:rPr>
            </w:pPr>
          </w:p>
        </w:tc>
      </w:tr>
      <w:tr w14:paraId="4B3B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1B2BEA1D">
            <w:pPr>
              <w:rPr>
                <w:rFonts w:ascii="Arial"/>
                <w:sz w:val="21"/>
              </w:rPr>
            </w:pPr>
          </w:p>
        </w:tc>
        <w:tc>
          <w:tcPr>
            <w:tcW w:w="3329" w:type="dxa"/>
            <w:vAlign w:val="top"/>
          </w:tcPr>
          <w:p w14:paraId="04EB26E4">
            <w:pPr>
              <w:rPr>
                <w:rFonts w:ascii="Arial"/>
                <w:sz w:val="21"/>
              </w:rPr>
            </w:pPr>
          </w:p>
        </w:tc>
        <w:tc>
          <w:tcPr>
            <w:tcW w:w="1699" w:type="dxa"/>
            <w:vAlign w:val="top"/>
          </w:tcPr>
          <w:p w14:paraId="5DDD7C17">
            <w:pPr>
              <w:rPr>
                <w:rFonts w:ascii="Arial"/>
                <w:sz w:val="21"/>
              </w:rPr>
            </w:pPr>
          </w:p>
        </w:tc>
        <w:tc>
          <w:tcPr>
            <w:tcW w:w="1076" w:type="dxa"/>
            <w:vAlign w:val="top"/>
          </w:tcPr>
          <w:p w14:paraId="67E09354">
            <w:pPr>
              <w:rPr>
                <w:rFonts w:ascii="Arial"/>
                <w:sz w:val="21"/>
              </w:rPr>
            </w:pPr>
          </w:p>
        </w:tc>
        <w:tc>
          <w:tcPr>
            <w:tcW w:w="1186" w:type="dxa"/>
            <w:vAlign w:val="top"/>
          </w:tcPr>
          <w:p w14:paraId="084E9036">
            <w:pPr>
              <w:rPr>
                <w:rFonts w:ascii="Arial"/>
                <w:sz w:val="21"/>
              </w:rPr>
            </w:pPr>
          </w:p>
        </w:tc>
        <w:tc>
          <w:tcPr>
            <w:tcW w:w="963" w:type="dxa"/>
            <w:tcBorders>
              <w:right w:val="single" w:color="000000" w:sz="6" w:space="0"/>
            </w:tcBorders>
            <w:vAlign w:val="top"/>
          </w:tcPr>
          <w:p w14:paraId="444A1613">
            <w:pPr>
              <w:rPr>
                <w:rFonts w:ascii="Arial"/>
                <w:sz w:val="21"/>
              </w:rPr>
            </w:pPr>
          </w:p>
        </w:tc>
      </w:tr>
      <w:tr w14:paraId="4449E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153FDB81">
            <w:pPr>
              <w:rPr>
                <w:rFonts w:ascii="Arial"/>
                <w:sz w:val="21"/>
              </w:rPr>
            </w:pPr>
          </w:p>
        </w:tc>
        <w:tc>
          <w:tcPr>
            <w:tcW w:w="3329" w:type="dxa"/>
            <w:vAlign w:val="top"/>
          </w:tcPr>
          <w:p w14:paraId="50C6DD9D">
            <w:pPr>
              <w:rPr>
                <w:rFonts w:ascii="Arial"/>
                <w:sz w:val="21"/>
              </w:rPr>
            </w:pPr>
          </w:p>
        </w:tc>
        <w:tc>
          <w:tcPr>
            <w:tcW w:w="1699" w:type="dxa"/>
            <w:vAlign w:val="top"/>
          </w:tcPr>
          <w:p w14:paraId="012B36DE">
            <w:pPr>
              <w:rPr>
                <w:rFonts w:ascii="Arial"/>
                <w:sz w:val="21"/>
              </w:rPr>
            </w:pPr>
          </w:p>
        </w:tc>
        <w:tc>
          <w:tcPr>
            <w:tcW w:w="1076" w:type="dxa"/>
            <w:vAlign w:val="top"/>
          </w:tcPr>
          <w:p w14:paraId="7C0CDAAA">
            <w:pPr>
              <w:rPr>
                <w:rFonts w:ascii="Arial"/>
                <w:sz w:val="21"/>
              </w:rPr>
            </w:pPr>
          </w:p>
        </w:tc>
        <w:tc>
          <w:tcPr>
            <w:tcW w:w="1186" w:type="dxa"/>
            <w:vAlign w:val="top"/>
          </w:tcPr>
          <w:p w14:paraId="3D569F6B">
            <w:pPr>
              <w:rPr>
                <w:rFonts w:ascii="Arial"/>
                <w:sz w:val="21"/>
              </w:rPr>
            </w:pPr>
          </w:p>
        </w:tc>
        <w:tc>
          <w:tcPr>
            <w:tcW w:w="963" w:type="dxa"/>
            <w:tcBorders>
              <w:right w:val="single" w:color="000000" w:sz="6" w:space="0"/>
            </w:tcBorders>
            <w:vAlign w:val="top"/>
          </w:tcPr>
          <w:p w14:paraId="1AB682BF">
            <w:pPr>
              <w:rPr>
                <w:rFonts w:ascii="Arial"/>
                <w:sz w:val="21"/>
              </w:rPr>
            </w:pPr>
          </w:p>
        </w:tc>
      </w:tr>
      <w:tr w14:paraId="3B30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4E412D9A">
            <w:pPr>
              <w:rPr>
                <w:rFonts w:ascii="Arial"/>
                <w:sz w:val="21"/>
              </w:rPr>
            </w:pPr>
          </w:p>
        </w:tc>
        <w:tc>
          <w:tcPr>
            <w:tcW w:w="3329" w:type="dxa"/>
            <w:vAlign w:val="top"/>
          </w:tcPr>
          <w:p w14:paraId="09832E81">
            <w:pPr>
              <w:rPr>
                <w:rFonts w:ascii="Arial"/>
                <w:sz w:val="21"/>
              </w:rPr>
            </w:pPr>
          </w:p>
        </w:tc>
        <w:tc>
          <w:tcPr>
            <w:tcW w:w="1699" w:type="dxa"/>
            <w:vAlign w:val="top"/>
          </w:tcPr>
          <w:p w14:paraId="2B3FEC61">
            <w:pPr>
              <w:rPr>
                <w:rFonts w:ascii="Arial"/>
                <w:sz w:val="21"/>
              </w:rPr>
            </w:pPr>
          </w:p>
        </w:tc>
        <w:tc>
          <w:tcPr>
            <w:tcW w:w="1076" w:type="dxa"/>
            <w:vAlign w:val="top"/>
          </w:tcPr>
          <w:p w14:paraId="26FD5039">
            <w:pPr>
              <w:rPr>
                <w:rFonts w:ascii="Arial"/>
                <w:sz w:val="21"/>
              </w:rPr>
            </w:pPr>
          </w:p>
        </w:tc>
        <w:tc>
          <w:tcPr>
            <w:tcW w:w="1186" w:type="dxa"/>
            <w:vAlign w:val="top"/>
          </w:tcPr>
          <w:p w14:paraId="7FAAC3FE">
            <w:pPr>
              <w:rPr>
                <w:rFonts w:ascii="Arial"/>
                <w:sz w:val="21"/>
              </w:rPr>
            </w:pPr>
          </w:p>
        </w:tc>
        <w:tc>
          <w:tcPr>
            <w:tcW w:w="963" w:type="dxa"/>
            <w:tcBorders>
              <w:right w:val="single" w:color="000000" w:sz="6" w:space="0"/>
            </w:tcBorders>
            <w:vAlign w:val="top"/>
          </w:tcPr>
          <w:p w14:paraId="7A794D6F">
            <w:pPr>
              <w:rPr>
                <w:rFonts w:ascii="Arial"/>
                <w:sz w:val="21"/>
              </w:rPr>
            </w:pPr>
          </w:p>
        </w:tc>
      </w:tr>
      <w:tr w14:paraId="507F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1C334BB7">
            <w:pPr>
              <w:rPr>
                <w:rFonts w:ascii="Arial"/>
                <w:sz w:val="21"/>
              </w:rPr>
            </w:pPr>
          </w:p>
        </w:tc>
        <w:tc>
          <w:tcPr>
            <w:tcW w:w="3329" w:type="dxa"/>
            <w:vAlign w:val="top"/>
          </w:tcPr>
          <w:p w14:paraId="1BEAFD15">
            <w:pPr>
              <w:rPr>
                <w:rFonts w:ascii="Arial"/>
                <w:sz w:val="21"/>
              </w:rPr>
            </w:pPr>
          </w:p>
        </w:tc>
        <w:tc>
          <w:tcPr>
            <w:tcW w:w="1699" w:type="dxa"/>
            <w:vAlign w:val="top"/>
          </w:tcPr>
          <w:p w14:paraId="033390AC">
            <w:pPr>
              <w:rPr>
                <w:rFonts w:ascii="Arial"/>
                <w:sz w:val="21"/>
              </w:rPr>
            </w:pPr>
          </w:p>
        </w:tc>
        <w:tc>
          <w:tcPr>
            <w:tcW w:w="1076" w:type="dxa"/>
            <w:vAlign w:val="top"/>
          </w:tcPr>
          <w:p w14:paraId="506DEA14">
            <w:pPr>
              <w:rPr>
                <w:rFonts w:ascii="Arial"/>
                <w:sz w:val="21"/>
              </w:rPr>
            </w:pPr>
          </w:p>
        </w:tc>
        <w:tc>
          <w:tcPr>
            <w:tcW w:w="1186" w:type="dxa"/>
            <w:vAlign w:val="top"/>
          </w:tcPr>
          <w:p w14:paraId="4621E76B">
            <w:pPr>
              <w:rPr>
                <w:rFonts w:ascii="Arial"/>
                <w:sz w:val="21"/>
              </w:rPr>
            </w:pPr>
          </w:p>
        </w:tc>
        <w:tc>
          <w:tcPr>
            <w:tcW w:w="963" w:type="dxa"/>
            <w:tcBorders>
              <w:right w:val="single" w:color="000000" w:sz="6" w:space="0"/>
            </w:tcBorders>
            <w:vAlign w:val="top"/>
          </w:tcPr>
          <w:p w14:paraId="5FE41286">
            <w:pPr>
              <w:rPr>
                <w:rFonts w:ascii="Arial"/>
                <w:sz w:val="21"/>
              </w:rPr>
            </w:pPr>
          </w:p>
        </w:tc>
      </w:tr>
      <w:tr w14:paraId="0E71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1F361A88">
            <w:pPr>
              <w:rPr>
                <w:rFonts w:ascii="Arial"/>
                <w:sz w:val="21"/>
              </w:rPr>
            </w:pPr>
          </w:p>
        </w:tc>
        <w:tc>
          <w:tcPr>
            <w:tcW w:w="3329" w:type="dxa"/>
            <w:vAlign w:val="top"/>
          </w:tcPr>
          <w:p w14:paraId="419AD214">
            <w:pPr>
              <w:rPr>
                <w:rFonts w:ascii="Arial"/>
                <w:sz w:val="21"/>
              </w:rPr>
            </w:pPr>
          </w:p>
        </w:tc>
        <w:tc>
          <w:tcPr>
            <w:tcW w:w="1699" w:type="dxa"/>
            <w:vAlign w:val="top"/>
          </w:tcPr>
          <w:p w14:paraId="59BA9061">
            <w:pPr>
              <w:rPr>
                <w:rFonts w:ascii="Arial"/>
                <w:sz w:val="21"/>
              </w:rPr>
            </w:pPr>
          </w:p>
        </w:tc>
        <w:tc>
          <w:tcPr>
            <w:tcW w:w="1076" w:type="dxa"/>
            <w:vAlign w:val="top"/>
          </w:tcPr>
          <w:p w14:paraId="4DD3B35A">
            <w:pPr>
              <w:rPr>
                <w:rFonts w:ascii="Arial"/>
                <w:sz w:val="21"/>
              </w:rPr>
            </w:pPr>
          </w:p>
        </w:tc>
        <w:tc>
          <w:tcPr>
            <w:tcW w:w="1186" w:type="dxa"/>
            <w:vAlign w:val="top"/>
          </w:tcPr>
          <w:p w14:paraId="45069E8F">
            <w:pPr>
              <w:rPr>
                <w:rFonts w:ascii="Arial"/>
                <w:sz w:val="21"/>
              </w:rPr>
            </w:pPr>
          </w:p>
        </w:tc>
        <w:tc>
          <w:tcPr>
            <w:tcW w:w="963" w:type="dxa"/>
            <w:tcBorders>
              <w:right w:val="single" w:color="000000" w:sz="6" w:space="0"/>
            </w:tcBorders>
            <w:vAlign w:val="top"/>
          </w:tcPr>
          <w:p w14:paraId="1EA18368">
            <w:pPr>
              <w:rPr>
                <w:rFonts w:ascii="Arial"/>
                <w:sz w:val="21"/>
              </w:rPr>
            </w:pPr>
          </w:p>
        </w:tc>
      </w:tr>
      <w:tr w14:paraId="1CDA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534C5F22">
            <w:pPr>
              <w:rPr>
                <w:rFonts w:ascii="Arial"/>
                <w:sz w:val="21"/>
              </w:rPr>
            </w:pPr>
          </w:p>
        </w:tc>
        <w:tc>
          <w:tcPr>
            <w:tcW w:w="3329" w:type="dxa"/>
            <w:vAlign w:val="top"/>
          </w:tcPr>
          <w:p w14:paraId="394CF9C7">
            <w:pPr>
              <w:rPr>
                <w:rFonts w:ascii="Arial"/>
                <w:sz w:val="21"/>
              </w:rPr>
            </w:pPr>
          </w:p>
        </w:tc>
        <w:tc>
          <w:tcPr>
            <w:tcW w:w="1699" w:type="dxa"/>
            <w:vAlign w:val="top"/>
          </w:tcPr>
          <w:p w14:paraId="250C4708">
            <w:pPr>
              <w:rPr>
                <w:rFonts w:ascii="Arial"/>
                <w:sz w:val="21"/>
              </w:rPr>
            </w:pPr>
          </w:p>
        </w:tc>
        <w:tc>
          <w:tcPr>
            <w:tcW w:w="1076" w:type="dxa"/>
            <w:vAlign w:val="top"/>
          </w:tcPr>
          <w:p w14:paraId="6E3113DD">
            <w:pPr>
              <w:rPr>
                <w:rFonts w:ascii="Arial"/>
                <w:sz w:val="21"/>
              </w:rPr>
            </w:pPr>
          </w:p>
        </w:tc>
        <w:tc>
          <w:tcPr>
            <w:tcW w:w="1186" w:type="dxa"/>
            <w:vAlign w:val="top"/>
          </w:tcPr>
          <w:p w14:paraId="3339CBDD">
            <w:pPr>
              <w:rPr>
                <w:rFonts w:ascii="Arial"/>
                <w:sz w:val="21"/>
              </w:rPr>
            </w:pPr>
          </w:p>
        </w:tc>
        <w:tc>
          <w:tcPr>
            <w:tcW w:w="963" w:type="dxa"/>
            <w:tcBorders>
              <w:right w:val="single" w:color="000000" w:sz="6" w:space="0"/>
            </w:tcBorders>
            <w:vAlign w:val="top"/>
          </w:tcPr>
          <w:p w14:paraId="218C4401">
            <w:pPr>
              <w:rPr>
                <w:rFonts w:ascii="Arial"/>
                <w:sz w:val="21"/>
              </w:rPr>
            </w:pPr>
          </w:p>
        </w:tc>
      </w:tr>
      <w:tr w14:paraId="210C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397F5130">
            <w:pPr>
              <w:rPr>
                <w:rFonts w:ascii="Arial"/>
                <w:sz w:val="21"/>
              </w:rPr>
            </w:pPr>
          </w:p>
        </w:tc>
        <w:tc>
          <w:tcPr>
            <w:tcW w:w="3329" w:type="dxa"/>
            <w:vAlign w:val="top"/>
          </w:tcPr>
          <w:p w14:paraId="62FE6BB0">
            <w:pPr>
              <w:rPr>
                <w:rFonts w:ascii="Arial"/>
                <w:sz w:val="21"/>
              </w:rPr>
            </w:pPr>
          </w:p>
        </w:tc>
        <w:tc>
          <w:tcPr>
            <w:tcW w:w="1699" w:type="dxa"/>
            <w:vAlign w:val="top"/>
          </w:tcPr>
          <w:p w14:paraId="456EDDF3">
            <w:pPr>
              <w:rPr>
                <w:rFonts w:ascii="Arial"/>
                <w:sz w:val="21"/>
              </w:rPr>
            </w:pPr>
          </w:p>
        </w:tc>
        <w:tc>
          <w:tcPr>
            <w:tcW w:w="1076" w:type="dxa"/>
            <w:vAlign w:val="top"/>
          </w:tcPr>
          <w:p w14:paraId="12C1DA0C">
            <w:pPr>
              <w:rPr>
                <w:rFonts w:ascii="Arial"/>
                <w:sz w:val="21"/>
              </w:rPr>
            </w:pPr>
          </w:p>
        </w:tc>
        <w:tc>
          <w:tcPr>
            <w:tcW w:w="1186" w:type="dxa"/>
            <w:vAlign w:val="top"/>
          </w:tcPr>
          <w:p w14:paraId="52CB29AA">
            <w:pPr>
              <w:rPr>
                <w:rFonts w:ascii="Arial"/>
                <w:sz w:val="21"/>
              </w:rPr>
            </w:pPr>
          </w:p>
        </w:tc>
        <w:tc>
          <w:tcPr>
            <w:tcW w:w="963" w:type="dxa"/>
            <w:tcBorders>
              <w:right w:val="single" w:color="000000" w:sz="6" w:space="0"/>
            </w:tcBorders>
            <w:vAlign w:val="top"/>
          </w:tcPr>
          <w:p w14:paraId="259EBBF8">
            <w:pPr>
              <w:rPr>
                <w:rFonts w:ascii="Arial"/>
                <w:sz w:val="21"/>
              </w:rPr>
            </w:pPr>
          </w:p>
        </w:tc>
      </w:tr>
      <w:tr w14:paraId="1A52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11D058F1">
            <w:pPr>
              <w:rPr>
                <w:rFonts w:ascii="Arial"/>
                <w:sz w:val="21"/>
              </w:rPr>
            </w:pPr>
          </w:p>
        </w:tc>
        <w:tc>
          <w:tcPr>
            <w:tcW w:w="3329" w:type="dxa"/>
            <w:vAlign w:val="top"/>
          </w:tcPr>
          <w:p w14:paraId="0A01B63C">
            <w:pPr>
              <w:rPr>
                <w:rFonts w:ascii="Arial"/>
                <w:sz w:val="21"/>
              </w:rPr>
            </w:pPr>
          </w:p>
        </w:tc>
        <w:tc>
          <w:tcPr>
            <w:tcW w:w="1699" w:type="dxa"/>
            <w:vAlign w:val="top"/>
          </w:tcPr>
          <w:p w14:paraId="55FDAD1B">
            <w:pPr>
              <w:rPr>
                <w:rFonts w:ascii="Arial"/>
                <w:sz w:val="21"/>
              </w:rPr>
            </w:pPr>
          </w:p>
        </w:tc>
        <w:tc>
          <w:tcPr>
            <w:tcW w:w="1076" w:type="dxa"/>
            <w:vAlign w:val="top"/>
          </w:tcPr>
          <w:p w14:paraId="49B43694">
            <w:pPr>
              <w:rPr>
                <w:rFonts w:ascii="Arial"/>
                <w:sz w:val="21"/>
              </w:rPr>
            </w:pPr>
          </w:p>
        </w:tc>
        <w:tc>
          <w:tcPr>
            <w:tcW w:w="1186" w:type="dxa"/>
            <w:vAlign w:val="top"/>
          </w:tcPr>
          <w:p w14:paraId="3369641D">
            <w:pPr>
              <w:rPr>
                <w:rFonts w:ascii="Arial"/>
                <w:sz w:val="21"/>
              </w:rPr>
            </w:pPr>
          </w:p>
        </w:tc>
        <w:tc>
          <w:tcPr>
            <w:tcW w:w="963" w:type="dxa"/>
            <w:tcBorders>
              <w:right w:val="single" w:color="000000" w:sz="6" w:space="0"/>
            </w:tcBorders>
            <w:vAlign w:val="top"/>
          </w:tcPr>
          <w:p w14:paraId="2DE7FC0C">
            <w:pPr>
              <w:rPr>
                <w:rFonts w:ascii="Arial"/>
                <w:sz w:val="21"/>
              </w:rPr>
            </w:pPr>
          </w:p>
        </w:tc>
      </w:tr>
      <w:tr w14:paraId="33DA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6C457FF5">
            <w:pPr>
              <w:rPr>
                <w:rFonts w:ascii="Arial"/>
                <w:sz w:val="21"/>
              </w:rPr>
            </w:pPr>
          </w:p>
        </w:tc>
        <w:tc>
          <w:tcPr>
            <w:tcW w:w="3329" w:type="dxa"/>
            <w:vAlign w:val="top"/>
          </w:tcPr>
          <w:p w14:paraId="3A710FCB">
            <w:pPr>
              <w:rPr>
                <w:rFonts w:ascii="Arial"/>
                <w:sz w:val="21"/>
              </w:rPr>
            </w:pPr>
          </w:p>
        </w:tc>
        <w:tc>
          <w:tcPr>
            <w:tcW w:w="1699" w:type="dxa"/>
            <w:vAlign w:val="top"/>
          </w:tcPr>
          <w:p w14:paraId="4502F28F">
            <w:pPr>
              <w:rPr>
                <w:rFonts w:ascii="Arial"/>
                <w:sz w:val="21"/>
              </w:rPr>
            </w:pPr>
          </w:p>
        </w:tc>
        <w:tc>
          <w:tcPr>
            <w:tcW w:w="1076" w:type="dxa"/>
            <w:vAlign w:val="top"/>
          </w:tcPr>
          <w:p w14:paraId="761BA665">
            <w:pPr>
              <w:rPr>
                <w:rFonts w:ascii="Arial"/>
                <w:sz w:val="21"/>
              </w:rPr>
            </w:pPr>
          </w:p>
        </w:tc>
        <w:tc>
          <w:tcPr>
            <w:tcW w:w="1186" w:type="dxa"/>
            <w:vAlign w:val="top"/>
          </w:tcPr>
          <w:p w14:paraId="62047DE0">
            <w:pPr>
              <w:rPr>
                <w:rFonts w:ascii="Arial"/>
                <w:sz w:val="21"/>
              </w:rPr>
            </w:pPr>
          </w:p>
        </w:tc>
        <w:tc>
          <w:tcPr>
            <w:tcW w:w="963" w:type="dxa"/>
            <w:tcBorders>
              <w:right w:val="single" w:color="000000" w:sz="6" w:space="0"/>
            </w:tcBorders>
            <w:vAlign w:val="top"/>
          </w:tcPr>
          <w:p w14:paraId="2409E007">
            <w:pPr>
              <w:rPr>
                <w:rFonts w:ascii="Arial"/>
                <w:sz w:val="21"/>
              </w:rPr>
            </w:pPr>
          </w:p>
        </w:tc>
      </w:tr>
      <w:tr w14:paraId="67D8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bottom w:val="single" w:color="000000" w:sz="4" w:space="0"/>
            </w:tcBorders>
            <w:vAlign w:val="top"/>
          </w:tcPr>
          <w:p w14:paraId="69635E23">
            <w:pPr>
              <w:rPr>
                <w:rFonts w:ascii="Arial"/>
                <w:sz w:val="21"/>
              </w:rPr>
            </w:pPr>
          </w:p>
        </w:tc>
        <w:tc>
          <w:tcPr>
            <w:tcW w:w="3329" w:type="dxa"/>
            <w:tcBorders>
              <w:bottom w:val="single" w:color="000000" w:sz="4" w:space="0"/>
            </w:tcBorders>
            <w:vAlign w:val="top"/>
          </w:tcPr>
          <w:p w14:paraId="0D39D876">
            <w:pPr>
              <w:rPr>
                <w:rFonts w:ascii="Arial"/>
                <w:sz w:val="21"/>
              </w:rPr>
            </w:pPr>
          </w:p>
        </w:tc>
        <w:tc>
          <w:tcPr>
            <w:tcW w:w="1699" w:type="dxa"/>
            <w:tcBorders>
              <w:bottom w:val="single" w:color="000000" w:sz="4" w:space="0"/>
            </w:tcBorders>
            <w:vAlign w:val="top"/>
          </w:tcPr>
          <w:p w14:paraId="0F3EDA43">
            <w:pPr>
              <w:rPr>
                <w:rFonts w:ascii="Arial"/>
                <w:sz w:val="21"/>
              </w:rPr>
            </w:pPr>
          </w:p>
        </w:tc>
        <w:tc>
          <w:tcPr>
            <w:tcW w:w="1076" w:type="dxa"/>
            <w:tcBorders>
              <w:bottom w:val="single" w:color="000000" w:sz="4" w:space="0"/>
            </w:tcBorders>
            <w:vAlign w:val="top"/>
          </w:tcPr>
          <w:p w14:paraId="0E974808">
            <w:pPr>
              <w:rPr>
                <w:rFonts w:ascii="Arial"/>
                <w:sz w:val="21"/>
              </w:rPr>
            </w:pPr>
          </w:p>
        </w:tc>
        <w:tc>
          <w:tcPr>
            <w:tcW w:w="1186" w:type="dxa"/>
            <w:tcBorders>
              <w:bottom w:val="single" w:color="000000" w:sz="4" w:space="0"/>
            </w:tcBorders>
            <w:vAlign w:val="top"/>
          </w:tcPr>
          <w:p w14:paraId="1F7A25C8">
            <w:pPr>
              <w:rPr>
                <w:rFonts w:ascii="Arial"/>
                <w:sz w:val="21"/>
              </w:rPr>
            </w:pPr>
          </w:p>
        </w:tc>
        <w:tc>
          <w:tcPr>
            <w:tcW w:w="963" w:type="dxa"/>
            <w:tcBorders>
              <w:bottom w:val="single" w:color="000000" w:sz="4" w:space="0"/>
              <w:right w:val="single" w:color="000000" w:sz="6" w:space="0"/>
            </w:tcBorders>
            <w:vAlign w:val="top"/>
          </w:tcPr>
          <w:p w14:paraId="095D79E2">
            <w:pPr>
              <w:rPr>
                <w:rFonts w:ascii="Arial"/>
                <w:sz w:val="21"/>
              </w:rPr>
            </w:pPr>
          </w:p>
        </w:tc>
      </w:tr>
      <w:tr w14:paraId="020B9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39" w:type="dxa"/>
            <w:tcBorders>
              <w:top w:val="single" w:color="000000" w:sz="4" w:space="0"/>
              <w:left w:val="single" w:color="000000" w:sz="6" w:space="0"/>
            </w:tcBorders>
            <w:vAlign w:val="top"/>
          </w:tcPr>
          <w:p w14:paraId="3A905459">
            <w:pPr>
              <w:rPr>
                <w:rFonts w:ascii="Arial"/>
                <w:sz w:val="21"/>
              </w:rPr>
            </w:pPr>
          </w:p>
        </w:tc>
        <w:tc>
          <w:tcPr>
            <w:tcW w:w="3329" w:type="dxa"/>
            <w:tcBorders>
              <w:top w:val="single" w:color="000000" w:sz="4" w:space="0"/>
            </w:tcBorders>
            <w:vAlign w:val="top"/>
          </w:tcPr>
          <w:p w14:paraId="6480ACF2">
            <w:pPr>
              <w:rPr>
                <w:rFonts w:ascii="Arial"/>
                <w:sz w:val="21"/>
              </w:rPr>
            </w:pPr>
          </w:p>
        </w:tc>
        <w:tc>
          <w:tcPr>
            <w:tcW w:w="1699" w:type="dxa"/>
            <w:tcBorders>
              <w:top w:val="single" w:color="000000" w:sz="4" w:space="0"/>
            </w:tcBorders>
            <w:vAlign w:val="top"/>
          </w:tcPr>
          <w:p w14:paraId="627C7B36">
            <w:pPr>
              <w:rPr>
                <w:rFonts w:ascii="Arial"/>
                <w:sz w:val="21"/>
              </w:rPr>
            </w:pPr>
          </w:p>
        </w:tc>
        <w:tc>
          <w:tcPr>
            <w:tcW w:w="1076" w:type="dxa"/>
            <w:tcBorders>
              <w:top w:val="single" w:color="000000" w:sz="4" w:space="0"/>
            </w:tcBorders>
            <w:vAlign w:val="top"/>
          </w:tcPr>
          <w:p w14:paraId="6430C3B9">
            <w:pPr>
              <w:rPr>
                <w:rFonts w:ascii="Arial"/>
                <w:sz w:val="21"/>
              </w:rPr>
            </w:pPr>
          </w:p>
        </w:tc>
        <w:tc>
          <w:tcPr>
            <w:tcW w:w="1186" w:type="dxa"/>
            <w:tcBorders>
              <w:top w:val="single" w:color="000000" w:sz="4" w:space="0"/>
            </w:tcBorders>
            <w:vAlign w:val="top"/>
          </w:tcPr>
          <w:p w14:paraId="1274BE70">
            <w:pPr>
              <w:rPr>
                <w:rFonts w:ascii="Arial"/>
                <w:sz w:val="21"/>
              </w:rPr>
            </w:pPr>
          </w:p>
        </w:tc>
        <w:tc>
          <w:tcPr>
            <w:tcW w:w="963" w:type="dxa"/>
            <w:tcBorders>
              <w:top w:val="single" w:color="000000" w:sz="4" w:space="0"/>
              <w:right w:val="single" w:color="000000" w:sz="6" w:space="0"/>
            </w:tcBorders>
            <w:vAlign w:val="top"/>
          </w:tcPr>
          <w:p w14:paraId="2B55D09D">
            <w:pPr>
              <w:rPr>
                <w:rFonts w:ascii="Arial"/>
                <w:sz w:val="21"/>
              </w:rPr>
            </w:pPr>
          </w:p>
        </w:tc>
      </w:tr>
      <w:tr w14:paraId="1296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565F791B">
            <w:pPr>
              <w:rPr>
                <w:rFonts w:ascii="Arial"/>
                <w:sz w:val="21"/>
              </w:rPr>
            </w:pPr>
          </w:p>
        </w:tc>
        <w:tc>
          <w:tcPr>
            <w:tcW w:w="3329" w:type="dxa"/>
            <w:vAlign w:val="top"/>
          </w:tcPr>
          <w:p w14:paraId="53CE99FB">
            <w:pPr>
              <w:rPr>
                <w:rFonts w:ascii="Arial"/>
                <w:sz w:val="21"/>
              </w:rPr>
            </w:pPr>
          </w:p>
        </w:tc>
        <w:tc>
          <w:tcPr>
            <w:tcW w:w="1699" w:type="dxa"/>
            <w:vAlign w:val="top"/>
          </w:tcPr>
          <w:p w14:paraId="22F598D1">
            <w:pPr>
              <w:rPr>
                <w:rFonts w:ascii="Arial"/>
                <w:sz w:val="21"/>
              </w:rPr>
            </w:pPr>
          </w:p>
        </w:tc>
        <w:tc>
          <w:tcPr>
            <w:tcW w:w="1076" w:type="dxa"/>
            <w:vAlign w:val="top"/>
          </w:tcPr>
          <w:p w14:paraId="2351146A">
            <w:pPr>
              <w:rPr>
                <w:rFonts w:ascii="Arial"/>
                <w:sz w:val="21"/>
              </w:rPr>
            </w:pPr>
          </w:p>
        </w:tc>
        <w:tc>
          <w:tcPr>
            <w:tcW w:w="1186" w:type="dxa"/>
            <w:vAlign w:val="top"/>
          </w:tcPr>
          <w:p w14:paraId="2FA0A89E">
            <w:pPr>
              <w:rPr>
                <w:rFonts w:ascii="Arial"/>
                <w:sz w:val="21"/>
              </w:rPr>
            </w:pPr>
          </w:p>
        </w:tc>
        <w:tc>
          <w:tcPr>
            <w:tcW w:w="963" w:type="dxa"/>
            <w:tcBorders>
              <w:right w:val="single" w:color="000000" w:sz="6" w:space="0"/>
            </w:tcBorders>
            <w:vAlign w:val="top"/>
          </w:tcPr>
          <w:p w14:paraId="7EE31E51">
            <w:pPr>
              <w:rPr>
                <w:rFonts w:ascii="Arial"/>
                <w:sz w:val="21"/>
              </w:rPr>
            </w:pPr>
          </w:p>
        </w:tc>
      </w:tr>
      <w:tr w14:paraId="313F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581AECA1">
            <w:pPr>
              <w:rPr>
                <w:rFonts w:ascii="Arial"/>
                <w:sz w:val="21"/>
              </w:rPr>
            </w:pPr>
          </w:p>
        </w:tc>
        <w:tc>
          <w:tcPr>
            <w:tcW w:w="3329" w:type="dxa"/>
            <w:vAlign w:val="top"/>
          </w:tcPr>
          <w:p w14:paraId="6B4D3699">
            <w:pPr>
              <w:rPr>
                <w:rFonts w:ascii="Arial"/>
                <w:sz w:val="21"/>
              </w:rPr>
            </w:pPr>
          </w:p>
        </w:tc>
        <w:tc>
          <w:tcPr>
            <w:tcW w:w="1699" w:type="dxa"/>
            <w:vAlign w:val="top"/>
          </w:tcPr>
          <w:p w14:paraId="5875A3E9">
            <w:pPr>
              <w:rPr>
                <w:rFonts w:ascii="Arial"/>
                <w:sz w:val="21"/>
              </w:rPr>
            </w:pPr>
          </w:p>
        </w:tc>
        <w:tc>
          <w:tcPr>
            <w:tcW w:w="1076" w:type="dxa"/>
            <w:vAlign w:val="top"/>
          </w:tcPr>
          <w:p w14:paraId="7EE2BEA0">
            <w:pPr>
              <w:rPr>
                <w:rFonts w:ascii="Arial"/>
                <w:sz w:val="21"/>
              </w:rPr>
            </w:pPr>
          </w:p>
        </w:tc>
        <w:tc>
          <w:tcPr>
            <w:tcW w:w="1186" w:type="dxa"/>
            <w:vAlign w:val="top"/>
          </w:tcPr>
          <w:p w14:paraId="0A3FC4BE">
            <w:pPr>
              <w:rPr>
                <w:rFonts w:ascii="Arial"/>
                <w:sz w:val="21"/>
              </w:rPr>
            </w:pPr>
          </w:p>
        </w:tc>
        <w:tc>
          <w:tcPr>
            <w:tcW w:w="963" w:type="dxa"/>
            <w:tcBorders>
              <w:right w:val="single" w:color="000000" w:sz="6" w:space="0"/>
            </w:tcBorders>
            <w:vAlign w:val="top"/>
          </w:tcPr>
          <w:p w14:paraId="7376A9BA">
            <w:pPr>
              <w:rPr>
                <w:rFonts w:ascii="Arial"/>
                <w:sz w:val="21"/>
              </w:rPr>
            </w:pPr>
          </w:p>
        </w:tc>
      </w:tr>
      <w:tr w14:paraId="2B0FC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602932EB">
            <w:pPr>
              <w:rPr>
                <w:rFonts w:ascii="Arial"/>
                <w:sz w:val="21"/>
              </w:rPr>
            </w:pPr>
          </w:p>
        </w:tc>
        <w:tc>
          <w:tcPr>
            <w:tcW w:w="3329" w:type="dxa"/>
            <w:vAlign w:val="top"/>
          </w:tcPr>
          <w:p w14:paraId="624BE20E">
            <w:pPr>
              <w:rPr>
                <w:rFonts w:ascii="Arial"/>
                <w:sz w:val="21"/>
              </w:rPr>
            </w:pPr>
          </w:p>
        </w:tc>
        <w:tc>
          <w:tcPr>
            <w:tcW w:w="1699" w:type="dxa"/>
            <w:vAlign w:val="top"/>
          </w:tcPr>
          <w:p w14:paraId="69232E71">
            <w:pPr>
              <w:rPr>
                <w:rFonts w:ascii="Arial"/>
                <w:sz w:val="21"/>
              </w:rPr>
            </w:pPr>
          </w:p>
        </w:tc>
        <w:tc>
          <w:tcPr>
            <w:tcW w:w="1076" w:type="dxa"/>
            <w:vAlign w:val="top"/>
          </w:tcPr>
          <w:p w14:paraId="1B235F67">
            <w:pPr>
              <w:rPr>
                <w:rFonts w:ascii="Arial"/>
                <w:sz w:val="21"/>
              </w:rPr>
            </w:pPr>
          </w:p>
        </w:tc>
        <w:tc>
          <w:tcPr>
            <w:tcW w:w="1186" w:type="dxa"/>
            <w:vAlign w:val="top"/>
          </w:tcPr>
          <w:p w14:paraId="7F2057B5">
            <w:pPr>
              <w:rPr>
                <w:rFonts w:ascii="Arial"/>
                <w:sz w:val="21"/>
              </w:rPr>
            </w:pPr>
          </w:p>
        </w:tc>
        <w:tc>
          <w:tcPr>
            <w:tcW w:w="963" w:type="dxa"/>
            <w:tcBorders>
              <w:right w:val="single" w:color="000000" w:sz="6" w:space="0"/>
            </w:tcBorders>
            <w:vAlign w:val="top"/>
          </w:tcPr>
          <w:p w14:paraId="560B3144">
            <w:pPr>
              <w:rPr>
                <w:rFonts w:ascii="Arial"/>
                <w:sz w:val="21"/>
              </w:rPr>
            </w:pPr>
          </w:p>
        </w:tc>
      </w:tr>
      <w:tr w14:paraId="5BBA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56C08F6D">
            <w:pPr>
              <w:rPr>
                <w:rFonts w:ascii="Arial"/>
                <w:sz w:val="21"/>
              </w:rPr>
            </w:pPr>
          </w:p>
        </w:tc>
        <w:tc>
          <w:tcPr>
            <w:tcW w:w="3329" w:type="dxa"/>
            <w:vAlign w:val="top"/>
          </w:tcPr>
          <w:p w14:paraId="6023EB25">
            <w:pPr>
              <w:rPr>
                <w:rFonts w:ascii="Arial"/>
                <w:sz w:val="21"/>
              </w:rPr>
            </w:pPr>
          </w:p>
        </w:tc>
        <w:tc>
          <w:tcPr>
            <w:tcW w:w="1699" w:type="dxa"/>
            <w:vAlign w:val="top"/>
          </w:tcPr>
          <w:p w14:paraId="16440A6E">
            <w:pPr>
              <w:rPr>
                <w:rFonts w:ascii="Arial"/>
                <w:sz w:val="21"/>
              </w:rPr>
            </w:pPr>
          </w:p>
        </w:tc>
        <w:tc>
          <w:tcPr>
            <w:tcW w:w="1076" w:type="dxa"/>
            <w:vAlign w:val="top"/>
          </w:tcPr>
          <w:p w14:paraId="16763535">
            <w:pPr>
              <w:rPr>
                <w:rFonts w:ascii="Arial"/>
                <w:sz w:val="21"/>
              </w:rPr>
            </w:pPr>
          </w:p>
        </w:tc>
        <w:tc>
          <w:tcPr>
            <w:tcW w:w="1186" w:type="dxa"/>
            <w:vAlign w:val="top"/>
          </w:tcPr>
          <w:p w14:paraId="1ACFD0F3">
            <w:pPr>
              <w:rPr>
                <w:rFonts w:ascii="Arial"/>
                <w:sz w:val="21"/>
              </w:rPr>
            </w:pPr>
          </w:p>
        </w:tc>
        <w:tc>
          <w:tcPr>
            <w:tcW w:w="963" w:type="dxa"/>
            <w:tcBorders>
              <w:right w:val="single" w:color="000000" w:sz="6" w:space="0"/>
            </w:tcBorders>
            <w:vAlign w:val="top"/>
          </w:tcPr>
          <w:p w14:paraId="1946EB3D">
            <w:pPr>
              <w:rPr>
                <w:rFonts w:ascii="Arial"/>
                <w:sz w:val="21"/>
              </w:rPr>
            </w:pPr>
          </w:p>
        </w:tc>
      </w:tr>
      <w:tr w14:paraId="40841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39" w:type="dxa"/>
            <w:tcBorders>
              <w:left w:val="single" w:color="000000" w:sz="6" w:space="0"/>
            </w:tcBorders>
            <w:vAlign w:val="top"/>
          </w:tcPr>
          <w:p w14:paraId="22E51BB3">
            <w:pPr>
              <w:rPr>
                <w:rFonts w:ascii="Arial"/>
                <w:sz w:val="21"/>
              </w:rPr>
            </w:pPr>
          </w:p>
        </w:tc>
        <w:tc>
          <w:tcPr>
            <w:tcW w:w="3329" w:type="dxa"/>
            <w:vAlign w:val="top"/>
          </w:tcPr>
          <w:p w14:paraId="4304E4F1">
            <w:pPr>
              <w:rPr>
                <w:rFonts w:ascii="Arial"/>
                <w:sz w:val="21"/>
              </w:rPr>
            </w:pPr>
          </w:p>
        </w:tc>
        <w:tc>
          <w:tcPr>
            <w:tcW w:w="1699" w:type="dxa"/>
            <w:vAlign w:val="top"/>
          </w:tcPr>
          <w:p w14:paraId="3D6A2619">
            <w:pPr>
              <w:rPr>
                <w:rFonts w:ascii="Arial"/>
                <w:sz w:val="21"/>
              </w:rPr>
            </w:pPr>
          </w:p>
        </w:tc>
        <w:tc>
          <w:tcPr>
            <w:tcW w:w="1076" w:type="dxa"/>
            <w:vAlign w:val="top"/>
          </w:tcPr>
          <w:p w14:paraId="2EA88F22">
            <w:pPr>
              <w:rPr>
                <w:rFonts w:ascii="Arial"/>
                <w:sz w:val="21"/>
              </w:rPr>
            </w:pPr>
          </w:p>
        </w:tc>
        <w:tc>
          <w:tcPr>
            <w:tcW w:w="1186" w:type="dxa"/>
            <w:vAlign w:val="top"/>
          </w:tcPr>
          <w:p w14:paraId="0A6C233F">
            <w:pPr>
              <w:rPr>
                <w:rFonts w:ascii="Arial"/>
                <w:sz w:val="21"/>
              </w:rPr>
            </w:pPr>
          </w:p>
        </w:tc>
        <w:tc>
          <w:tcPr>
            <w:tcW w:w="963" w:type="dxa"/>
            <w:tcBorders>
              <w:right w:val="single" w:color="000000" w:sz="6" w:space="0"/>
            </w:tcBorders>
            <w:vAlign w:val="top"/>
          </w:tcPr>
          <w:p w14:paraId="59C6F3B1">
            <w:pPr>
              <w:rPr>
                <w:rFonts w:ascii="Arial"/>
                <w:sz w:val="21"/>
              </w:rPr>
            </w:pPr>
          </w:p>
        </w:tc>
      </w:tr>
      <w:tr w14:paraId="369B3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39" w:type="dxa"/>
            <w:tcBorders>
              <w:left w:val="single" w:color="000000" w:sz="6" w:space="0"/>
            </w:tcBorders>
            <w:vAlign w:val="top"/>
          </w:tcPr>
          <w:p w14:paraId="78662654">
            <w:pPr>
              <w:rPr>
                <w:rFonts w:ascii="Arial"/>
                <w:sz w:val="21"/>
              </w:rPr>
            </w:pPr>
          </w:p>
        </w:tc>
        <w:tc>
          <w:tcPr>
            <w:tcW w:w="3329" w:type="dxa"/>
            <w:vAlign w:val="top"/>
          </w:tcPr>
          <w:p w14:paraId="49FE74E2">
            <w:pPr>
              <w:rPr>
                <w:rFonts w:ascii="Arial"/>
                <w:sz w:val="21"/>
              </w:rPr>
            </w:pPr>
          </w:p>
        </w:tc>
        <w:tc>
          <w:tcPr>
            <w:tcW w:w="1699" w:type="dxa"/>
            <w:vAlign w:val="top"/>
          </w:tcPr>
          <w:p w14:paraId="7833EBE6">
            <w:pPr>
              <w:rPr>
                <w:rFonts w:ascii="Arial"/>
                <w:sz w:val="21"/>
              </w:rPr>
            </w:pPr>
          </w:p>
        </w:tc>
        <w:tc>
          <w:tcPr>
            <w:tcW w:w="1076" w:type="dxa"/>
            <w:vAlign w:val="top"/>
          </w:tcPr>
          <w:p w14:paraId="25002E4B">
            <w:pPr>
              <w:rPr>
                <w:rFonts w:ascii="Arial"/>
                <w:sz w:val="21"/>
              </w:rPr>
            </w:pPr>
          </w:p>
        </w:tc>
        <w:tc>
          <w:tcPr>
            <w:tcW w:w="1186" w:type="dxa"/>
            <w:vAlign w:val="top"/>
          </w:tcPr>
          <w:p w14:paraId="57BEA5DE">
            <w:pPr>
              <w:rPr>
                <w:rFonts w:ascii="Arial"/>
                <w:sz w:val="21"/>
              </w:rPr>
            </w:pPr>
          </w:p>
        </w:tc>
        <w:tc>
          <w:tcPr>
            <w:tcW w:w="963" w:type="dxa"/>
            <w:tcBorders>
              <w:right w:val="single" w:color="000000" w:sz="6" w:space="0"/>
            </w:tcBorders>
            <w:vAlign w:val="top"/>
          </w:tcPr>
          <w:p w14:paraId="76E858E4">
            <w:pPr>
              <w:rPr>
                <w:rFonts w:ascii="Arial"/>
                <w:sz w:val="21"/>
              </w:rPr>
            </w:pPr>
          </w:p>
        </w:tc>
      </w:tr>
      <w:tr w14:paraId="7D9A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39" w:type="dxa"/>
            <w:tcBorders>
              <w:left w:val="single" w:color="000000" w:sz="6" w:space="0"/>
              <w:bottom w:val="single" w:color="000000" w:sz="6" w:space="0"/>
            </w:tcBorders>
            <w:vAlign w:val="top"/>
          </w:tcPr>
          <w:p w14:paraId="32609589">
            <w:pPr>
              <w:rPr>
                <w:rFonts w:ascii="Arial"/>
                <w:sz w:val="21"/>
              </w:rPr>
            </w:pPr>
          </w:p>
        </w:tc>
        <w:tc>
          <w:tcPr>
            <w:tcW w:w="3329" w:type="dxa"/>
            <w:tcBorders>
              <w:bottom w:val="single" w:color="000000" w:sz="6" w:space="0"/>
            </w:tcBorders>
            <w:vAlign w:val="top"/>
          </w:tcPr>
          <w:p w14:paraId="08841A4B">
            <w:pPr>
              <w:rPr>
                <w:rFonts w:ascii="Arial"/>
                <w:sz w:val="21"/>
              </w:rPr>
            </w:pPr>
          </w:p>
        </w:tc>
        <w:tc>
          <w:tcPr>
            <w:tcW w:w="1699" w:type="dxa"/>
            <w:tcBorders>
              <w:bottom w:val="single" w:color="000000" w:sz="6" w:space="0"/>
            </w:tcBorders>
            <w:vAlign w:val="top"/>
          </w:tcPr>
          <w:p w14:paraId="542AA6C7">
            <w:pPr>
              <w:rPr>
                <w:rFonts w:ascii="Arial"/>
                <w:sz w:val="21"/>
              </w:rPr>
            </w:pPr>
          </w:p>
        </w:tc>
        <w:tc>
          <w:tcPr>
            <w:tcW w:w="1076" w:type="dxa"/>
            <w:tcBorders>
              <w:bottom w:val="single" w:color="000000" w:sz="6" w:space="0"/>
            </w:tcBorders>
            <w:vAlign w:val="top"/>
          </w:tcPr>
          <w:p w14:paraId="3E4D606E">
            <w:pPr>
              <w:rPr>
                <w:rFonts w:ascii="Arial"/>
                <w:sz w:val="21"/>
              </w:rPr>
            </w:pPr>
          </w:p>
        </w:tc>
        <w:tc>
          <w:tcPr>
            <w:tcW w:w="1186" w:type="dxa"/>
            <w:tcBorders>
              <w:bottom w:val="single" w:color="000000" w:sz="6" w:space="0"/>
            </w:tcBorders>
            <w:vAlign w:val="top"/>
          </w:tcPr>
          <w:p w14:paraId="3677371C">
            <w:pPr>
              <w:rPr>
                <w:rFonts w:ascii="Arial"/>
                <w:sz w:val="21"/>
              </w:rPr>
            </w:pPr>
          </w:p>
        </w:tc>
        <w:tc>
          <w:tcPr>
            <w:tcW w:w="963" w:type="dxa"/>
            <w:tcBorders>
              <w:bottom w:val="single" w:color="000000" w:sz="6" w:space="0"/>
              <w:right w:val="single" w:color="000000" w:sz="6" w:space="0"/>
            </w:tcBorders>
            <w:vAlign w:val="top"/>
          </w:tcPr>
          <w:p w14:paraId="46B37C52">
            <w:pPr>
              <w:rPr>
                <w:rFonts w:ascii="Arial"/>
                <w:sz w:val="21"/>
              </w:rPr>
            </w:pPr>
          </w:p>
        </w:tc>
      </w:tr>
    </w:tbl>
    <w:p w14:paraId="56FB6227">
      <w:pPr>
        <w:spacing w:before="92" w:line="220" w:lineRule="auto"/>
        <w:ind w:left="6349"/>
        <w:rPr>
          <w:rFonts w:ascii="宋体" w:hAnsi="宋体" w:eastAsia="宋体" w:cs="宋体"/>
          <w:sz w:val="18"/>
          <w:szCs w:val="18"/>
        </w:rPr>
      </w:pPr>
      <w:r>
        <w:rPr>
          <w:rFonts w:ascii="宋体" w:hAnsi="宋体" w:eastAsia="宋体" w:cs="宋体"/>
          <w:spacing w:val="-2"/>
          <w:sz w:val="18"/>
          <w:szCs w:val="18"/>
        </w:rPr>
        <w:t>法定代表人</w:t>
      </w:r>
    </w:p>
    <w:p w14:paraId="24D1CB45">
      <w:pPr>
        <w:spacing w:before="86" w:line="241" w:lineRule="auto"/>
        <w:ind w:left="6167" w:right="367"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7"/>
          <w:sz w:val="18"/>
          <w:szCs w:val="18"/>
        </w:rPr>
        <w:t>）</w:t>
      </w:r>
      <w:r>
        <w:rPr>
          <w:rFonts w:ascii="宋体" w:hAnsi="宋体" w:eastAsia="宋体" w:cs="宋体"/>
          <w:spacing w:val="25"/>
          <w:w w:val="101"/>
          <w:sz w:val="18"/>
          <w:szCs w:val="18"/>
        </w:rPr>
        <w:t xml:space="preserve"> </w:t>
      </w:r>
      <w:r>
        <w:rPr>
          <w:rFonts w:ascii="宋体" w:hAnsi="宋体" w:eastAsia="宋体" w:cs="宋体"/>
          <w:spacing w:val="-7"/>
          <w:sz w:val="18"/>
          <w:szCs w:val="18"/>
        </w:rPr>
        <w:t>：</w:t>
      </w:r>
      <w:r>
        <w:rPr>
          <w:rFonts w:ascii="宋体" w:hAnsi="宋体" w:eastAsia="宋体" w:cs="宋体"/>
          <w:spacing w:val="-2"/>
          <w:sz w:val="18"/>
          <w:szCs w:val="18"/>
        </w:rPr>
        <w:t>_______（签</w:t>
      </w:r>
      <w:r>
        <w:rPr>
          <w:rFonts w:ascii="宋体" w:hAnsi="宋体" w:eastAsia="宋体" w:cs="宋体"/>
          <w:spacing w:val="-5"/>
          <w:sz w:val="18"/>
          <w:szCs w:val="18"/>
        </w:rPr>
        <w:t>字）</w:t>
      </w:r>
    </w:p>
    <w:p w14:paraId="60CCC093">
      <w:pPr>
        <w:spacing w:line="241" w:lineRule="auto"/>
        <w:rPr>
          <w:rFonts w:ascii="宋体" w:hAnsi="宋体" w:eastAsia="宋体" w:cs="宋体"/>
          <w:sz w:val="18"/>
          <w:szCs w:val="18"/>
        </w:rPr>
        <w:sectPr>
          <w:footerReference r:id="rId161" w:type="default"/>
          <w:pgSz w:w="11905" w:h="16843"/>
          <w:pgMar w:top="969" w:right="1355" w:bottom="1026" w:left="1480" w:header="0" w:footer="754" w:gutter="0"/>
          <w:cols w:space="0" w:num="1"/>
          <w:rtlGutter w:val="0"/>
          <w:docGrid w:linePitch="0" w:charSpace="0"/>
        </w:sectPr>
      </w:pPr>
    </w:p>
    <w:p w14:paraId="0EF5DC5C">
      <w:pPr>
        <w:pStyle w:val="5"/>
        <w:spacing w:line="265" w:lineRule="auto"/>
      </w:pPr>
    </w:p>
    <w:p w14:paraId="2718F8D8">
      <w:pPr>
        <w:pStyle w:val="5"/>
        <w:spacing w:line="265" w:lineRule="auto"/>
      </w:pPr>
    </w:p>
    <w:p w14:paraId="03E0AABC">
      <w:pPr>
        <w:pStyle w:val="5"/>
        <w:spacing w:line="266" w:lineRule="auto"/>
      </w:pPr>
    </w:p>
    <w:p w14:paraId="3AC0C1FE">
      <w:pPr>
        <w:pStyle w:val="5"/>
        <w:spacing w:line="266" w:lineRule="auto"/>
      </w:pPr>
    </w:p>
    <w:p w14:paraId="4D2D350F">
      <w:pPr>
        <w:pStyle w:val="5"/>
        <w:spacing w:line="266" w:lineRule="auto"/>
      </w:pPr>
    </w:p>
    <w:p w14:paraId="69E12273">
      <w:pPr>
        <w:spacing w:before="78" w:line="233" w:lineRule="auto"/>
        <w:ind w:left="19"/>
        <w:outlineLvl w:val="2"/>
        <w:rPr>
          <w:rFonts w:ascii="黑体" w:hAnsi="黑体" w:eastAsia="黑体" w:cs="黑体"/>
          <w:sz w:val="24"/>
          <w:szCs w:val="24"/>
        </w:rPr>
      </w:pPr>
      <w:bookmarkStart w:id="1269" w:name="bookmark386"/>
      <w:bookmarkEnd w:id="1269"/>
      <w:r>
        <w:rPr>
          <w:rFonts w:ascii="Times New Roman" w:hAnsi="Times New Roman" w:eastAsia="Times New Roman" w:cs="Times New Roman"/>
          <w:spacing w:val="-1"/>
          <w:sz w:val="24"/>
          <w:szCs w:val="24"/>
        </w:rPr>
        <w:t xml:space="preserve">3.12 </w:t>
      </w:r>
      <w:r>
        <w:rPr>
          <w:rFonts w:ascii="黑体" w:hAnsi="黑体" w:eastAsia="黑体" w:cs="黑体"/>
          <w:spacing w:val="-1"/>
          <w:sz w:val="24"/>
          <w:szCs w:val="24"/>
        </w:rPr>
        <w:t>材料和设备暂估价表</w:t>
      </w:r>
    </w:p>
    <w:p w14:paraId="624A1C9B">
      <w:pPr>
        <w:spacing w:before="42" w:line="218" w:lineRule="auto"/>
        <w:ind w:left="2682"/>
        <w:rPr>
          <w:rFonts w:ascii="宋体" w:hAnsi="宋体" w:eastAsia="宋体" w:cs="宋体"/>
          <w:sz w:val="40"/>
          <w:szCs w:val="40"/>
        </w:rPr>
      </w:pPr>
      <w:bookmarkStart w:id="1270" w:name="bookmark620"/>
      <w:bookmarkEnd w:id="1270"/>
      <w:r>
        <w:rPr>
          <w:rFonts w:ascii="宋体" w:hAnsi="宋体" w:eastAsia="宋体" w:cs="宋体"/>
          <w:b/>
          <w:bCs/>
          <w:spacing w:val="-5"/>
          <w:sz w:val="40"/>
          <w:szCs w:val="40"/>
        </w:rPr>
        <w:t>材料和设备暂估价表</w:t>
      </w:r>
    </w:p>
    <w:p w14:paraId="5F24018E">
      <w:pPr>
        <w:spacing w:before="19"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211AA6E5">
      <w:pPr>
        <w:spacing w:before="24" w:line="222" w:lineRule="auto"/>
        <w:ind w:left="127"/>
        <w:rPr>
          <w:rFonts w:ascii="宋体" w:hAnsi="宋体" w:eastAsia="宋体" w:cs="宋体"/>
          <w:sz w:val="19"/>
          <w:szCs w:val="19"/>
        </w:rPr>
      </w:pPr>
      <w:r>
        <w:rPr>
          <w:rFonts w:ascii="宋体" w:hAnsi="宋体" w:eastAsia="宋体" w:cs="宋体"/>
          <w:sz w:val="19"/>
          <w:szCs w:val="19"/>
        </w:rPr>
        <w:t>工程名称：项目 1                                                           第</w:t>
      </w:r>
      <w:r>
        <w:rPr>
          <w:rFonts w:ascii="宋体" w:hAnsi="宋体" w:eastAsia="宋体" w:cs="宋体"/>
          <w:spacing w:val="34"/>
          <w:sz w:val="19"/>
          <w:szCs w:val="19"/>
        </w:rPr>
        <w:t xml:space="preserve"> </w:t>
      </w:r>
      <w:r>
        <w:rPr>
          <w:rFonts w:ascii="宋体" w:hAnsi="宋体" w:eastAsia="宋体" w:cs="宋体"/>
          <w:sz w:val="19"/>
          <w:szCs w:val="19"/>
        </w:rPr>
        <w:t>1 页、共</w:t>
      </w:r>
      <w:r>
        <w:rPr>
          <w:rFonts w:ascii="宋体" w:hAnsi="宋体" w:eastAsia="宋体" w:cs="宋体"/>
          <w:spacing w:val="29"/>
          <w:sz w:val="19"/>
          <w:szCs w:val="19"/>
        </w:rPr>
        <w:t xml:space="preserve"> </w:t>
      </w:r>
      <w:r>
        <w:rPr>
          <w:rFonts w:ascii="宋体" w:hAnsi="宋体" w:eastAsia="宋体" w:cs="宋体"/>
          <w:sz w:val="19"/>
          <w:szCs w:val="19"/>
        </w:rPr>
        <w:t>1 页</w:t>
      </w:r>
    </w:p>
    <w:tbl>
      <w:tblPr>
        <w:tblStyle w:val="10"/>
        <w:tblW w:w="893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929"/>
        <w:gridCol w:w="1340"/>
        <w:gridCol w:w="1356"/>
        <w:gridCol w:w="1043"/>
        <w:gridCol w:w="604"/>
        <w:gridCol w:w="1158"/>
        <w:gridCol w:w="819"/>
        <w:gridCol w:w="704"/>
      </w:tblGrid>
      <w:tr w14:paraId="1651A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80" w:type="dxa"/>
            <w:tcBorders>
              <w:top w:val="single" w:color="000000" w:sz="6" w:space="0"/>
              <w:left w:val="single" w:color="000000" w:sz="6" w:space="0"/>
            </w:tcBorders>
            <w:vAlign w:val="top"/>
          </w:tcPr>
          <w:p w14:paraId="708AC0CD">
            <w:pPr>
              <w:pStyle w:val="11"/>
              <w:spacing w:before="164" w:line="230" w:lineRule="auto"/>
              <w:ind w:left="287"/>
              <w:rPr>
                <w:sz w:val="19"/>
                <w:szCs w:val="19"/>
              </w:rPr>
            </w:pPr>
            <w:r>
              <w:rPr>
                <w:spacing w:val="5"/>
                <w:sz w:val="19"/>
                <w:szCs w:val="19"/>
              </w:rPr>
              <w:t>序号</w:t>
            </w:r>
          </w:p>
        </w:tc>
        <w:tc>
          <w:tcPr>
            <w:tcW w:w="929" w:type="dxa"/>
            <w:tcBorders>
              <w:top w:val="single" w:color="000000" w:sz="6" w:space="0"/>
            </w:tcBorders>
            <w:vAlign w:val="top"/>
          </w:tcPr>
          <w:p w14:paraId="1574CD50">
            <w:pPr>
              <w:pStyle w:val="11"/>
              <w:spacing w:before="164" w:line="228" w:lineRule="auto"/>
              <w:ind w:left="267"/>
              <w:rPr>
                <w:sz w:val="19"/>
                <w:szCs w:val="19"/>
              </w:rPr>
            </w:pPr>
            <w:r>
              <w:rPr>
                <w:spacing w:val="4"/>
                <w:sz w:val="19"/>
                <w:szCs w:val="19"/>
              </w:rPr>
              <w:t>编码</w:t>
            </w:r>
          </w:p>
        </w:tc>
        <w:tc>
          <w:tcPr>
            <w:tcW w:w="1340" w:type="dxa"/>
            <w:tcBorders>
              <w:top w:val="single" w:color="000000" w:sz="6" w:space="0"/>
            </w:tcBorders>
            <w:vAlign w:val="top"/>
          </w:tcPr>
          <w:p w14:paraId="2D4DBF55">
            <w:pPr>
              <w:pStyle w:val="11"/>
              <w:spacing w:before="34" w:line="228" w:lineRule="auto"/>
              <w:ind w:left="270"/>
              <w:rPr>
                <w:sz w:val="19"/>
                <w:szCs w:val="19"/>
              </w:rPr>
            </w:pPr>
            <w:r>
              <w:rPr>
                <w:spacing w:val="7"/>
                <w:sz w:val="19"/>
                <w:szCs w:val="19"/>
              </w:rPr>
              <w:t>材料（设</w:t>
            </w:r>
          </w:p>
          <w:p w14:paraId="616E9216">
            <w:pPr>
              <w:pStyle w:val="11"/>
              <w:spacing w:before="24" w:line="217" w:lineRule="auto"/>
              <w:ind w:left="272"/>
              <w:rPr>
                <w:sz w:val="19"/>
                <w:szCs w:val="19"/>
              </w:rPr>
            </w:pPr>
            <w:r>
              <w:rPr>
                <w:spacing w:val="6"/>
                <w:sz w:val="19"/>
                <w:szCs w:val="19"/>
              </w:rPr>
              <w:t>备）名称</w:t>
            </w:r>
          </w:p>
        </w:tc>
        <w:tc>
          <w:tcPr>
            <w:tcW w:w="1356" w:type="dxa"/>
            <w:tcBorders>
              <w:top w:val="single" w:color="000000" w:sz="6" w:space="0"/>
            </w:tcBorders>
            <w:vAlign w:val="top"/>
          </w:tcPr>
          <w:p w14:paraId="1EE7711F">
            <w:pPr>
              <w:pStyle w:val="11"/>
              <w:spacing w:before="164" w:line="228" w:lineRule="auto"/>
              <w:ind w:left="282"/>
              <w:rPr>
                <w:sz w:val="19"/>
                <w:szCs w:val="19"/>
              </w:rPr>
            </w:pPr>
            <w:r>
              <w:rPr>
                <w:spacing w:val="7"/>
                <w:sz w:val="19"/>
                <w:szCs w:val="19"/>
              </w:rPr>
              <w:t>规格型号</w:t>
            </w:r>
          </w:p>
        </w:tc>
        <w:tc>
          <w:tcPr>
            <w:tcW w:w="1043" w:type="dxa"/>
            <w:tcBorders>
              <w:top w:val="single" w:color="000000" w:sz="6" w:space="0"/>
            </w:tcBorders>
            <w:vAlign w:val="top"/>
          </w:tcPr>
          <w:p w14:paraId="43628E75">
            <w:pPr>
              <w:pStyle w:val="11"/>
              <w:spacing w:before="164" w:line="229" w:lineRule="auto"/>
              <w:ind w:left="128"/>
              <w:rPr>
                <w:sz w:val="19"/>
                <w:szCs w:val="19"/>
              </w:rPr>
            </w:pPr>
            <w:r>
              <w:rPr>
                <w:spacing w:val="7"/>
                <w:sz w:val="19"/>
                <w:szCs w:val="19"/>
              </w:rPr>
              <w:t>计量单位</w:t>
            </w:r>
          </w:p>
        </w:tc>
        <w:tc>
          <w:tcPr>
            <w:tcW w:w="604" w:type="dxa"/>
            <w:tcBorders>
              <w:top w:val="single" w:color="000000" w:sz="6" w:space="0"/>
            </w:tcBorders>
            <w:textDirection w:val="tbRlV"/>
            <w:vAlign w:val="top"/>
          </w:tcPr>
          <w:p w14:paraId="4A4F1C3E">
            <w:pPr>
              <w:pStyle w:val="11"/>
              <w:spacing w:before="198" w:line="216" w:lineRule="auto"/>
              <w:ind w:left="34"/>
              <w:rPr>
                <w:sz w:val="19"/>
                <w:szCs w:val="19"/>
              </w:rPr>
            </w:pPr>
            <w:r>
              <w:rPr>
                <w:spacing w:val="9"/>
                <w:sz w:val="19"/>
                <w:szCs w:val="19"/>
              </w:rPr>
              <w:t>数</w:t>
            </w:r>
            <w:r>
              <w:rPr>
                <w:spacing w:val="-35"/>
                <w:sz w:val="19"/>
                <w:szCs w:val="19"/>
              </w:rPr>
              <w:t xml:space="preserve"> </w:t>
            </w:r>
            <w:r>
              <w:rPr>
                <w:spacing w:val="9"/>
                <w:sz w:val="19"/>
                <w:szCs w:val="19"/>
              </w:rPr>
              <w:t>量</w:t>
            </w:r>
          </w:p>
        </w:tc>
        <w:tc>
          <w:tcPr>
            <w:tcW w:w="1158" w:type="dxa"/>
            <w:tcBorders>
              <w:top w:val="single" w:color="000000" w:sz="6" w:space="0"/>
            </w:tcBorders>
            <w:vAlign w:val="top"/>
          </w:tcPr>
          <w:p w14:paraId="2B6B6EED">
            <w:pPr>
              <w:pStyle w:val="11"/>
              <w:spacing w:before="35" w:line="234" w:lineRule="auto"/>
              <w:ind w:left="298" w:right="173" w:hanging="102"/>
              <w:rPr>
                <w:sz w:val="19"/>
                <w:szCs w:val="19"/>
              </w:rPr>
            </w:pPr>
            <w:r>
              <w:rPr>
                <w:spacing w:val="5"/>
                <w:sz w:val="19"/>
                <w:szCs w:val="19"/>
              </w:rPr>
              <w:t>暂估单价</w:t>
            </w:r>
            <w:r>
              <w:rPr>
                <w:spacing w:val="-2"/>
                <w:sz w:val="19"/>
                <w:szCs w:val="19"/>
              </w:rPr>
              <w:t>（元）</w:t>
            </w:r>
          </w:p>
        </w:tc>
        <w:tc>
          <w:tcPr>
            <w:tcW w:w="819" w:type="dxa"/>
            <w:tcBorders>
              <w:top w:val="single" w:color="000000" w:sz="6" w:space="0"/>
            </w:tcBorders>
            <w:vAlign w:val="top"/>
          </w:tcPr>
          <w:p w14:paraId="48B88301">
            <w:pPr>
              <w:pStyle w:val="11"/>
              <w:spacing w:before="35" w:line="234" w:lineRule="auto"/>
              <w:ind w:left="130" w:right="121" w:firstLine="91"/>
              <w:rPr>
                <w:sz w:val="19"/>
                <w:szCs w:val="19"/>
              </w:rPr>
            </w:pPr>
            <w:r>
              <w:rPr>
                <w:spacing w:val="4"/>
                <w:sz w:val="19"/>
                <w:szCs w:val="19"/>
              </w:rPr>
              <w:t>合价</w:t>
            </w:r>
            <w:r>
              <w:rPr>
                <w:spacing w:val="-3"/>
                <w:sz w:val="19"/>
                <w:szCs w:val="19"/>
              </w:rPr>
              <w:t>（元）</w:t>
            </w:r>
          </w:p>
        </w:tc>
        <w:tc>
          <w:tcPr>
            <w:tcW w:w="704" w:type="dxa"/>
            <w:tcBorders>
              <w:top w:val="single" w:color="000000" w:sz="6" w:space="0"/>
              <w:right w:val="single" w:color="000000" w:sz="6" w:space="0"/>
            </w:tcBorders>
            <w:vAlign w:val="top"/>
          </w:tcPr>
          <w:p w14:paraId="4C600A4D">
            <w:pPr>
              <w:pStyle w:val="11"/>
              <w:spacing w:before="164" w:line="230" w:lineRule="auto"/>
              <w:ind w:left="163"/>
              <w:rPr>
                <w:sz w:val="19"/>
                <w:szCs w:val="19"/>
              </w:rPr>
            </w:pPr>
            <w:r>
              <w:rPr>
                <w:spacing w:val="4"/>
                <w:sz w:val="19"/>
                <w:szCs w:val="19"/>
              </w:rPr>
              <w:t>备注</w:t>
            </w:r>
          </w:p>
        </w:tc>
      </w:tr>
      <w:tr w14:paraId="5820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2528A23B">
            <w:pPr>
              <w:rPr>
                <w:rFonts w:ascii="Arial"/>
                <w:sz w:val="21"/>
              </w:rPr>
            </w:pPr>
          </w:p>
        </w:tc>
        <w:tc>
          <w:tcPr>
            <w:tcW w:w="929" w:type="dxa"/>
            <w:vAlign w:val="top"/>
          </w:tcPr>
          <w:p w14:paraId="7C8D229E">
            <w:pPr>
              <w:rPr>
                <w:rFonts w:ascii="Arial"/>
                <w:sz w:val="21"/>
              </w:rPr>
            </w:pPr>
          </w:p>
        </w:tc>
        <w:tc>
          <w:tcPr>
            <w:tcW w:w="1340" w:type="dxa"/>
            <w:vAlign w:val="top"/>
          </w:tcPr>
          <w:p w14:paraId="556975B9">
            <w:pPr>
              <w:rPr>
                <w:rFonts w:ascii="Arial"/>
                <w:sz w:val="21"/>
              </w:rPr>
            </w:pPr>
          </w:p>
        </w:tc>
        <w:tc>
          <w:tcPr>
            <w:tcW w:w="1356" w:type="dxa"/>
            <w:vAlign w:val="top"/>
          </w:tcPr>
          <w:p w14:paraId="169B6FFA">
            <w:pPr>
              <w:rPr>
                <w:rFonts w:ascii="Arial"/>
                <w:sz w:val="21"/>
              </w:rPr>
            </w:pPr>
          </w:p>
        </w:tc>
        <w:tc>
          <w:tcPr>
            <w:tcW w:w="1043" w:type="dxa"/>
            <w:vAlign w:val="top"/>
          </w:tcPr>
          <w:p w14:paraId="74C7BBB6">
            <w:pPr>
              <w:rPr>
                <w:rFonts w:ascii="Arial"/>
                <w:sz w:val="21"/>
              </w:rPr>
            </w:pPr>
          </w:p>
        </w:tc>
        <w:tc>
          <w:tcPr>
            <w:tcW w:w="604" w:type="dxa"/>
            <w:vAlign w:val="top"/>
          </w:tcPr>
          <w:p w14:paraId="371ED7E0">
            <w:pPr>
              <w:rPr>
                <w:rFonts w:ascii="Arial"/>
                <w:sz w:val="21"/>
              </w:rPr>
            </w:pPr>
          </w:p>
        </w:tc>
        <w:tc>
          <w:tcPr>
            <w:tcW w:w="1158" w:type="dxa"/>
            <w:vAlign w:val="top"/>
          </w:tcPr>
          <w:p w14:paraId="1B44513E">
            <w:pPr>
              <w:rPr>
                <w:rFonts w:ascii="Arial"/>
                <w:sz w:val="21"/>
              </w:rPr>
            </w:pPr>
          </w:p>
        </w:tc>
        <w:tc>
          <w:tcPr>
            <w:tcW w:w="819" w:type="dxa"/>
            <w:vAlign w:val="top"/>
          </w:tcPr>
          <w:p w14:paraId="4C37EDB1">
            <w:pPr>
              <w:rPr>
                <w:rFonts w:ascii="Arial"/>
                <w:sz w:val="21"/>
              </w:rPr>
            </w:pPr>
          </w:p>
        </w:tc>
        <w:tc>
          <w:tcPr>
            <w:tcW w:w="704" w:type="dxa"/>
            <w:tcBorders>
              <w:right w:val="single" w:color="000000" w:sz="6" w:space="0"/>
            </w:tcBorders>
            <w:vAlign w:val="top"/>
          </w:tcPr>
          <w:p w14:paraId="48C583A2">
            <w:pPr>
              <w:rPr>
                <w:rFonts w:ascii="Arial"/>
                <w:sz w:val="21"/>
              </w:rPr>
            </w:pPr>
          </w:p>
        </w:tc>
      </w:tr>
      <w:tr w14:paraId="2654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1320D43C">
            <w:pPr>
              <w:rPr>
                <w:rFonts w:ascii="Arial"/>
                <w:sz w:val="21"/>
              </w:rPr>
            </w:pPr>
          </w:p>
        </w:tc>
        <w:tc>
          <w:tcPr>
            <w:tcW w:w="929" w:type="dxa"/>
            <w:vAlign w:val="top"/>
          </w:tcPr>
          <w:p w14:paraId="53CBDD6B">
            <w:pPr>
              <w:rPr>
                <w:rFonts w:ascii="Arial"/>
                <w:sz w:val="21"/>
              </w:rPr>
            </w:pPr>
          </w:p>
        </w:tc>
        <w:tc>
          <w:tcPr>
            <w:tcW w:w="1340" w:type="dxa"/>
            <w:vAlign w:val="top"/>
          </w:tcPr>
          <w:p w14:paraId="30822B5F">
            <w:pPr>
              <w:rPr>
                <w:rFonts w:ascii="Arial"/>
                <w:sz w:val="21"/>
              </w:rPr>
            </w:pPr>
          </w:p>
        </w:tc>
        <w:tc>
          <w:tcPr>
            <w:tcW w:w="1356" w:type="dxa"/>
            <w:vAlign w:val="top"/>
          </w:tcPr>
          <w:p w14:paraId="3D0B2684">
            <w:pPr>
              <w:rPr>
                <w:rFonts w:ascii="Arial"/>
                <w:sz w:val="21"/>
              </w:rPr>
            </w:pPr>
          </w:p>
        </w:tc>
        <w:tc>
          <w:tcPr>
            <w:tcW w:w="1043" w:type="dxa"/>
            <w:vAlign w:val="top"/>
          </w:tcPr>
          <w:p w14:paraId="256B586D">
            <w:pPr>
              <w:rPr>
                <w:rFonts w:ascii="Arial"/>
                <w:sz w:val="21"/>
              </w:rPr>
            </w:pPr>
          </w:p>
        </w:tc>
        <w:tc>
          <w:tcPr>
            <w:tcW w:w="604" w:type="dxa"/>
            <w:vAlign w:val="top"/>
          </w:tcPr>
          <w:p w14:paraId="273293C8">
            <w:pPr>
              <w:rPr>
                <w:rFonts w:ascii="Arial"/>
                <w:sz w:val="21"/>
              </w:rPr>
            </w:pPr>
          </w:p>
        </w:tc>
        <w:tc>
          <w:tcPr>
            <w:tcW w:w="1158" w:type="dxa"/>
            <w:vAlign w:val="top"/>
          </w:tcPr>
          <w:p w14:paraId="575FA2D8">
            <w:pPr>
              <w:rPr>
                <w:rFonts w:ascii="Arial"/>
                <w:sz w:val="21"/>
              </w:rPr>
            </w:pPr>
          </w:p>
        </w:tc>
        <w:tc>
          <w:tcPr>
            <w:tcW w:w="819" w:type="dxa"/>
            <w:vAlign w:val="top"/>
          </w:tcPr>
          <w:p w14:paraId="1F0CE3E5">
            <w:pPr>
              <w:rPr>
                <w:rFonts w:ascii="Arial"/>
                <w:sz w:val="21"/>
              </w:rPr>
            </w:pPr>
          </w:p>
        </w:tc>
        <w:tc>
          <w:tcPr>
            <w:tcW w:w="704" w:type="dxa"/>
            <w:tcBorders>
              <w:right w:val="single" w:color="000000" w:sz="6" w:space="0"/>
            </w:tcBorders>
            <w:vAlign w:val="top"/>
          </w:tcPr>
          <w:p w14:paraId="7212A435">
            <w:pPr>
              <w:rPr>
                <w:rFonts w:ascii="Arial"/>
                <w:sz w:val="21"/>
              </w:rPr>
            </w:pPr>
          </w:p>
        </w:tc>
      </w:tr>
      <w:tr w14:paraId="4769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10097ADA">
            <w:pPr>
              <w:rPr>
                <w:rFonts w:ascii="Arial"/>
                <w:sz w:val="21"/>
              </w:rPr>
            </w:pPr>
          </w:p>
        </w:tc>
        <w:tc>
          <w:tcPr>
            <w:tcW w:w="929" w:type="dxa"/>
            <w:vAlign w:val="top"/>
          </w:tcPr>
          <w:p w14:paraId="44ADE405">
            <w:pPr>
              <w:rPr>
                <w:rFonts w:ascii="Arial"/>
                <w:sz w:val="21"/>
              </w:rPr>
            </w:pPr>
          </w:p>
        </w:tc>
        <w:tc>
          <w:tcPr>
            <w:tcW w:w="1340" w:type="dxa"/>
            <w:vAlign w:val="top"/>
          </w:tcPr>
          <w:p w14:paraId="46EB3DDB">
            <w:pPr>
              <w:rPr>
                <w:rFonts w:ascii="Arial"/>
                <w:sz w:val="21"/>
              </w:rPr>
            </w:pPr>
          </w:p>
        </w:tc>
        <w:tc>
          <w:tcPr>
            <w:tcW w:w="1356" w:type="dxa"/>
            <w:vAlign w:val="top"/>
          </w:tcPr>
          <w:p w14:paraId="16FAC13E">
            <w:pPr>
              <w:rPr>
                <w:rFonts w:ascii="Arial"/>
                <w:sz w:val="21"/>
              </w:rPr>
            </w:pPr>
          </w:p>
        </w:tc>
        <w:tc>
          <w:tcPr>
            <w:tcW w:w="1043" w:type="dxa"/>
            <w:vAlign w:val="top"/>
          </w:tcPr>
          <w:p w14:paraId="55553439">
            <w:pPr>
              <w:rPr>
                <w:rFonts w:ascii="Arial"/>
                <w:sz w:val="21"/>
              </w:rPr>
            </w:pPr>
          </w:p>
        </w:tc>
        <w:tc>
          <w:tcPr>
            <w:tcW w:w="604" w:type="dxa"/>
            <w:vAlign w:val="top"/>
          </w:tcPr>
          <w:p w14:paraId="528A52B0">
            <w:pPr>
              <w:rPr>
                <w:rFonts w:ascii="Arial"/>
                <w:sz w:val="21"/>
              </w:rPr>
            </w:pPr>
          </w:p>
        </w:tc>
        <w:tc>
          <w:tcPr>
            <w:tcW w:w="1158" w:type="dxa"/>
            <w:vAlign w:val="top"/>
          </w:tcPr>
          <w:p w14:paraId="11CE99BA">
            <w:pPr>
              <w:rPr>
                <w:rFonts w:ascii="Arial"/>
                <w:sz w:val="21"/>
              </w:rPr>
            </w:pPr>
          </w:p>
        </w:tc>
        <w:tc>
          <w:tcPr>
            <w:tcW w:w="819" w:type="dxa"/>
            <w:vAlign w:val="top"/>
          </w:tcPr>
          <w:p w14:paraId="453F5988">
            <w:pPr>
              <w:rPr>
                <w:rFonts w:ascii="Arial"/>
                <w:sz w:val="21"/>
              </w:rPr>
            </w:pPr>
          </w:p>
        </w:tc>
        <w:tc>
          <w:tcPr>
            <w:tcW w:w="704" w:type="dxa"/>
            <w:tcBorders>
              <w:right w:val="single" w:color="000000" w:sz="6" w:space="0"/>
            </w:tcBorders>
            <w:vAlign w:val="top"/>
          </w:tcPr>
          <w:p w14:paraId="3EBE0944">
            <w:pPr>
              <w:rPr>
                <w:rFonts w:ascii="Arial"/>
                <w:sz w:val="21"/>
              </w:rPr>
            </w:pPr>
          </w:p>
        </w:tc>
      </w:tr>
      <w:tr w14:paraId="38099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3329013E">
            <w:pPr>
              <w:rPr>
                <w:rFonts w:ascii="Arial"/>
                <w:sz w:val="21"/>
              </w:rPr>
            </w:pPr>
          </w:p>
        </w:tc>
        <w:tc>
          <w:tcPr>
            <w:tcW w:w="929" w:type="dxa"/>
            <w:vAlign w:val="top"/>
          </w:tcPr>
          <w:p w14:paraId="1A7147A6">
            <w:pPr>
              <w:rPr>
                <w:rFonts w:ascii="Arial"/>
                <w:sz w:val="21"/>
              </w:rPr>
            </w:pPr>
          </w:p>
        </w:tc>
        <w:tc>
          <w:tcPr>
            <w:tcW w:w="1340" w:type="dxa"/>
            <w:vAlign w:val="top"/>
          </w:tcPr>
          <w:p w14:paraId="2FCFB2EA">
            <w:pPr>
              <w:rPr>
                <w:rFonts w:ascii="Arial"/>
                <w:sz w:val="21"/>
              </w:rPr>
            </w:pPr>
          </w:p>
        </w:tc>
        <w:tc>
          <w:tcPr>
            <w:tcW w:w="1356" w:type="dxa"/>
            <w:vAlign w:val="top"/>
          </w:tcPr>
          <w:p w14:paraId="7E0053E9">
            <w:pPr>
              <w:rPr>
                <w:rFonts w:ascii="Arial"/>
                <w:sz w:val="21"/>
              </w:rPr>
            </w:pPr>
          </w:p>
        </w:tc>
        <w:tc>
          <w:tcPr>
            <w:tcW w:w="1043" w:type="dxa"/>
            <w:vAlign w:val="top"/>
          </w:tcPr>
          <w:p w14:paraId="3DC59598">
            <w:pPr>
              <w:rPr>
                <w:rFonts w:ascii="Arial"/>
                <w:sz w:val="21"/>
              </w:rPr>
            </w:pPr>
          </w:p>
        </w:tc>
        <w:tc>
          <w:tcPr>
            <w:tcW w:w="604" w:type="dxa"/>
            <w:vAlign w:val="top"/>
          </w:tcPr>
          <w:p w14:paraId="24AFED7A">
            <w:pPr>
              <w:rPr>
                <w:rFonts w:ascii="Arial"/>
                <w:sz w:val="21"/>
              </w:rPr>
            </w:pPr>
          </w:p>
        </w:tc>
        <w:tc>
          <w:tcPr>
            <w:tcW w:w="1158" w:type="dxa"/>
            <w:vAlign w:val="top"/>
          </w:tcPr>
          <w:p w14:paraId="4052BD44">
            <w:pPr>
              <w:rPr>
                <w:rFonts w:ascii="Arial"/>
                <w:sz w:val="21"/>
              </w:rPr>
            </w:pPr>
          </w:p>
        </w:tc>
        <w:tc>
          <w:tcPr>
            <w:tcW w:w="819" w:type="dxa"/>
            <w:vAlign w:val="top"/>
          </w:tcPr>
          <w:p w14:paraId="3A192C0A">
            <w:pPr>
              <w:rPr>
                <w:rFonts w:ascii="Arial"/>
                <w:sz w:val="21"/>
              </w:rPr>
            </w:pPr>
          </w:p>
        </w:tc>
        <w:tc>
          <w:tcPr>
            <w:tcW w:w="704" w:type="dxa"/>
            <w:tcBorders>
              <w:right w:val="single" w:color="000000" w:sz="6" w:space="0"/>
            </w:tcBorders>
            <w:vAlign w:val="top"/>
          </w:tcPr>
          <w:p w14:paraId="03A4BED1">
            <w:pPr>
              <w:rPr>
                <w:rFonts w:ascii="Arial"/>
                <w:sz w:val="21"/>
              </w:rPr>
            </w:pPr>
          </w:p>
        </w:tc>
      </w:tr>
      <w:tr w14:paraId="18CF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1BF9080E">
            <w:pPr>
              <w:rPr>
                <w:rFonts w:ascii="Arial"/>
                <w:sz w:val="21"/>
              </w:rPr>
            </w:pPr>
          </w:p>
        </w:tc>
        <w:tc>
          <w:tcPr>
            <w:tcW w:w="929" w:type="dxa"/>
            <w:vAlign w:val="top"/>
          </w:tcPr>
          <w:p w14:paraId="0B0746A1">
            <w:pPr>
              <w:rPr>
                <w:rFonts w:ascii="Arial"/>
                <w:sz w:val="21"/>
              </w:rPr>
            </w:pPr>
          </w:p>
        </w:tc>
        <w:tc>
          <w:tcPr>
            <w:tcW w:w="1340" w:type="dxa"/>
            <w:vAlign w:val="top"/>
          </w:tcPr>
          <w:p w14:paraId="2EFC94EF">
            <w:pPr>
              <w:rPr>
                <w:rFonts w:ascii="Arial"/>
                <w:sz w:val="21"/>
              </w:rPr>
            </w:pPr>
          </w:p>
        </w:tc>
        <w:tc>
          <w:tcPr>
            <w:tcW w:w="1356" w:type="dxa"/>
            <w:vAlign w:val="top"/>
          </w:tcPr>
          <w:p w14:paraId="6018D7E9">
            <w:pPr>
              <w:rPr>
                <w:rFonts w:ascii="Arial"/>
                <w:sz w:val="21"/>
              </w:rPr>
            </w:pPr>
          </w:p>
        </w:tc>
        <w:tc>
          <w:tcPr>
            <w:tcW w:w="1043" w:type="dxa"/>
            <w:vAlign w:val="top"/>
          </w:tcPr>
          <w:p w14:paraId="08B9E9E4">
            <w:pPr>
              <w:rPr>
                <w:rFonts w:ascii="Arial"/>
                <w:sz w:val="21"/>
              </w:rPr>
            </w:pPr>
          </w:p>
        </w:tc>
        <w:tc>
          <w:tcPr>
            <w:tcW w:w="604" w:type="dxa"/>
            <w:vAlign w:val="top"/>
          </w:tcPr>
          <w:p w14:paraId="50102F2F">
            <w:pPr>
              <w:rPr>
                <w:rFonts w:ascii="Arial"/>
                <w:sz w:val="21"/>
              </w:rPr>
            </w:pPr>
          </w:p>
        </w:tc>
        <w:tc>
          <w:tcPr>
            <w:tcW w:w="1158" w:type="dxa"/>
            <w:vAlign w:val="top"/>
          </w:tcPr>
          <w:p w14:paraId="52C9A72B">
            <w:pPr>
              <w:rPr>
                <w:rFonts w:ascii="Arial"/>
                <w:sz w:val="21"/>
              </w:rPr>
            </w:pPr>
          </w:p>
        </w:tc>
        <w:tc>
          <w:tcPr>
            <w:tcW w:w="819" w:type="dxa"/>
            <w:vAlign w:val="top"/>
          </w:tcPr>
          <w:p w14:paraId="2ED6C5DB">
            <w:pPr>
              <w:rPr>
                <w:rFonts w:ascii="Arial"/>
                <w:sz w:val="21"/>
              </w:rPr>
            </w:pPr>
          </w:p>
        </w:tc>
        <w:tc>
          <w:tcPr>
            <w:tcW w:w="704" w:type="dxa"/>
            <w:tcBorders>
              <w:right w:val="single" w:color="000000" w:sz="6" w:space="0"/>
            </w:tcBorders>
            <w:vAlign w:val="top"/>
          </w:tcPr>
          <w:p w14:paraId="6ADEEDB6">
            <w:pPr>
              <w:rPr>
                <w:rFonts w:ascii="Arial"/>
                <w:sz w:val="21"/>
              </w:rPr>
            </w:pPr>
          </w:p>
        </w:tc>
      </w:tr>
      <w:tr w14:paraId="30EC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15E5A290">
            <w:pPr>
              <w:rPr>
                <w:rFonts w:ascii="Arial"/>
                <w:sz w:val="21"/>
              </w:rPr>
            </w:pPr>
          </w:p>
        </w:tc>
        <w:tc>
          <w:tcPr>
            <w:tcW w:w="929" w:type="dxa"/>
            <w:vAlign w:val="top"/>
          </w:tcPr>
          <w:p w14:paraId="17839B0A">
            <w:pPr>
              <w:rPr>
                <w:rFonts w:ascii="Arial"/>
                <w:sz w:val="21"/>
              </w:rPr>
            </w:pPr>
          </w:p>
        </w:tc>
        <w:tc>
          <w:tcPr>
            <w:tcW w:w="1340" w:type="dxa"/>
            <w:vAlign w:val="top"/>
          </w:tcPr>
          <w:p w14:paraId="466AC007">
            <w:pPr>
              <w:rPr>
                <w:rFonts w:ascii="Arial"/>
                <w:sz w:val="21"/>
              </w:rPr>
            </w:pPr>
          </w:p>
        </w:tc>
        <w:tc>
          <w:tcPr>
            <w:tcW w:w="1356" w:type="dxa"/>
            <w:vAlign w:val="top"/>
          </w:tcPr>
          <w:p w14:paraId="6E3E63B8">
            <w:pPr>
              <w:rPr>
                <w:rFonts w:ascii="Arial"/>
                <w:sz w:val="21"/>
              </w:rPr>
            </w:pPr>
          </w:p>
        </w:tc>
        <w:tc>
          <w:tcPr>
            <w:tcW w:w="1043" w:type="dxa"/>
            <w:vAlign w:val="top"/>
          </w:tcPr>
          <w:p w14:paraId="52C5455C">
            <w:pPr>
              <w:rPr>
                <w:rFonts w:ascii="Arial"/>
                <w:sz w:val="21"/>
              </w:rPr>
            </w:pPr>
          </w:p>
        </w:tc>
        <w:tc>
          <w:tcPr>
            <w:tcW w:w="604" w:type="dxa"/>
            <w:vAlign w:val="top"/>
          </w:tcPr>
          <w:p w14:paraId="0FBDF666">
            <w:pPr>
              <w:rPr>
                <w:rFonts w:ascii="Arial"/>
                <w:sz w:val="21"/>
              </w:rPr>
            </w:pPr>
          </w:p>
        </w:tc>
        <w:tc>
          <w:tcPr>
            <w:tcW w:w="1158" w:type="dxa"/>
            <w:vAlign w:val="top"/>
          </w:tcPr>
          <w:p w14:paraId="6E1571EE">
            <w:pPr>
              <w:rPr>
                <w:rFonts w:ascii="Arial"/>
                <w:sz w:val="21"/>
              </w:rPr>
            </w:pPr>
          </w:p>
        </w:tc>
        <w:tc>
          <w:tcPr>
            <w:tcW w:w="819" w:type="dxa"/>
            <w:vAlign w:val="top"/>
          </w:tcPr>
          <w:p w14:paraId="7CB746CF">
            <w:pPr>
              <w:rPr>
                <w:rFonts w:ascii="Arial"/>
                <w:sz w:val="21"/>
              </w:rPr>
            </w:pPr>
          </w:p>
        </w:tc>
        <w:tc>
          <w:tcPr>
            <w:tcW w:w="704" w:type="dxa"/>
            <w:tcBorders>
              <w:right w:val="single" w:color="000000" w:sz="6" w:space="0"/>
            </w:tcBorders>
            <w:vAlign w:val="top"/>
          </w:tcPr>
          <w:p w14:paraId="0365265F">
            <w:pPr>
              <w:rPr>
                <w:rFonts w:ascii="Arial"/>
                <w:sz w:val="21"/>
              </w:rPr>
            </w:pPr>
          </w:p>
        </w:tc>
      </w:tr>
      <w:tr w14:paraId="70D1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56874857">
            <w:pPr>
              <w:rPr>
                <w:rFonts w:ascii="Arial"/>
                <w:sz w:val="21"/>
              </w:rPr>
            </w:pPr>
          </w:p>
        </w:tc>
        <w:tc>
          <w:tcPr>
            <w:tcW w:w="929" w:type="dxa"/>
            <w:vAlign w:val="top"/>
          </w:tcPr>
          <w:p w14:paraId="56C6332B">
            <w:pPr>
              <w:rPr>
                <w:rFonts w:ascii="Arial"/>
                <w:sz w:val="21"/>
              </w:rPr>
            </w:pPr>
          </w:p>
        </w:tc>
        <w:tc>
          <w:tcPr>
            <w:tcW w:w="1340" w:type="dxa"/>
            <w:vAlign w:val="top"/>
          </w:tcPr>
          <w:p w14:paraId="53BE31B1">
            <w:pPr>
              <w:rPr>
                <w:rFonts w:ascii="Arial"/>
                <w:sz w:val="21"/>
              </w:rPr>
            </w:pPr>
          </w:p>
        </w:tc>
        <w:tc>
          <w:tcPr>
            <w:tcW w:w="1356" w:type="dxa"/>
            <w:vAlign w:val="top"/>
          </w:tcPr>
          <w:p w14:paraId="38E96D19">
            <w:pPr>
              <w:rPr>
                <w:rFonts w:ascii="Arial"/>
                <w:sz w:val="21"/>
              </w:rPr>
            </w:pPr>
          </w:p>
        </w:tc>
        <w:tc>
          <w:tcPr>
            <w:tcW w:w="1043" w:type="dxa"/>
            <w:vAlign w:val="top"/>
          </w:tcPr>
          <w:p w14:paraId="4AFD82BB">
            <w:pPr>
              <w:rPr>
                <w:rFonts w:ascii="Arial"/>
                <w:sz w:val="21"/>
              </w:rPr>
            </w:pPr>
          </w:p>
        </w:tc>
        <w:tc>
          <w:tcPr>
            <w:tcW w:w="604" w:type="dxa"/>
            <w:vAlign w:val="top"/>
          </w:tcPr>
          <w:p w14:paraId="7A0D7662">
            <w:pPr>
              <w:rPr>
                <w:rFonts w:ascii="Arial"/>
                <w:sz w:val="21"/>
              </w:rPr>
            </w:pPr>
          </w:p>
        </w:tc>
        <w:tc>
          <w:tcPr>
            <w:tcW w:w="1158" w:type="dxa"/>
            <w:vAlign w:val="top"/>
          </w:tcPr>
          <w:p w14:paraId="41D8613F">
            <w:pPr>
              <w:rPr>
                <w:rFonts w:ascii="Arial"/>
                <w:sz w:val="21"/>
              </w:rPr>
            </w:pPr>
          </w:p>
        </w:tc>
        <w:tc>
          <w:tcPr>
            <w:tcW w:w="819" w:type="dxa"/>
            <w:vAlign w:val="top"/>
          </w:tcPr>
          <w:p w14:paraId="6A70A485">
            <w:pPr>
              <w:rPr>
                <w:rFonts w:ascii="Arial"/>
                <w:sz w:val="21"/>
              </w:rPr>
            </w:pPr>
          </w:p>
        </w:tc>
        <w:tc>
          <w:tcPr>
            <w:tcW w:w="704" w:type="dxa"/>
            <w:tcBorders>
              <w:right w:val="single" w:color="000000" w:sz="6" w:space="0"/>
            </w:tcBorders>
            <w:vAlign w:val="top"/>
          </w:tcPr>
          <w:p w14:paraId="548D29EE">
            <w:pPr>
              <w:rPr>
                <w:rFonts w:ascii="Arial"/>
                <w:sz w:val="21"/>
              </w:rPr>
            </w:pPr>
          </w:p>
        </w:tc>
      </w:tr>
      <w:tr w14:paraId="61C34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5DC50DDB">
            <w:pPr>
              <w:rPr>
                <w:rFonts w:ascii="Arial"/>
                <w:sz w:val="21"/>
              </w:rPr>
            </w:pPr>
          </w:p>
        </w:tc>
        <w:tc>
          <w:tcPr>
            <w:tcW w:w="929" w:type="dxa"/>
            <w:vAlign w:val="top"/>
          </w:tcPr>
          <w:p w14:paraId="2C3E7C65">
            <w:pPr>
              <w:rPr>
                <w:rFonts w:ascii="Arial"/>
                <w:sz w:val="21"/>
              </w:rPr>
            </w:pPr>
          </w:p>
        </w:tc>
        <w:tc>
          <w:tcPr>
            <w:tcW w:w="1340" w:type="dxa"/>
            <w:vAlign w:val="top"/>
          </w:tcPr>
          <w:p w14:paraId="0DF184E6">
            <w:pPr>
              <w:rPr>
                <w:rFonts w:ascii="Arial"/>
                <w:sz w:val="21"/>
              </w:rPr>
            </w:pPr>
          </w:p>
        </w:tc>
        <w:tc>
          <w:tcPr>
            <w:tcW w:w="1356" w:type="dxa"/>
            <w:vAlign w:val="top"/>
          </w:tcPr>
          <w:p w14:paraId="0979A5C5">
            <w:pPr>
              <w:rPr>
                <w:rFonts w:ascii="Arial"/>
                <w:sz w:val="21"/>
              </w:rPr>
            </w:pPr>
          </w:p>
        </w:tc>
        <w:tc>
          <w:tcPr>
            <w:tcW w:w="1043" w:type="dxa"/>
            <w:vAlign w:val="top"/>
          </w:tcPr>
          <w:p w14:paraId="6FF70160">
            <w:pPr>
              <w:rPr>
                <w:rFonts w:ascii="Arial"/>
                <w:sz w:val="21"/>
              </w:rPr>
            </w:pPr>
          </w:p>
        </w:tc>
        <w:tc>
          <w:tcPr>
            <w:tcW w:w="604" w:type="dxa"/>
            <w:vAlign w:val="top"/>
          </w:tcPr>
          <w:p w14:paraId="37AED3E6">
            <w:pPr>
              <w:rPr>
                <w:rFonts w:ascii="Arial"/>
                <w:sz w:val="21"/>
              </w:rPr>
            </w:pPr>
          </w:p>
        </w:tc>
        <w:tc>
          <w:tcPr>
            <w:tcW w:w="1158" w:type="dxa"/>
            <w:vAlign w:val="top"/>
          </w:tcPr>
          <w:p w14:paraId="119A5D46">
            <w:pPr>
              <w:rPr>
                <w:rFonts w:ascii="Arial"/>
                <w:sz w:val="21"/>
              </w:rPr>
            </w:pPr>
          </w:p>
        </w:tc>
        <w:tc>
          <w:tcPr>
            <w:tcW w:w="819" w:type="dxa"/>
            <w:vAlign w:val="top"/>
          </w:tcPr>
          <w:p w14:paraId="7F5594EF">
            <w:pPr>
              <w:rPr>
                <w:rFonts w:ascii="Arial"/>
                <w:sz w:val="21"/>
              </w:rPr>
            </w:pPr>
          </w:p>
        </w:tc>
        <w:tc>
          <w:tcPr>
            <w:tcW w:w="704" w:type="dxa"/>
            <w:tcBorders>
              <w:right w:val="single" w:color="000000" w:sz="6" w:space="0"/>
            </w:tcBorders>
            <w:vAlign w:val="top"/>
          </w:tcPr>
          <w:p w14:paraId="46ED1ABF">
            <w:pPr>
              <w:rPr>
                <w:rFonts w:ascii="Arial"/>
                <w:sz w:val="21"/>
              </w:rPr>
            </w:pPr>
          </w:p>
        </w:tc>
      </w:tr>
      <w:tr w14:paraId="75BC6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1BCC117B">
            <w:pPr>
              <w:rPr>
                <w:rFonts w:ascii="Arial"/>
                <w:sz w:val="21"/>
              </w:rPr>
            </w:pPr>
          </w:p>
        </w:tc>
        <w:tc>
          <w:tcPr>
            <w:tcW w:w="929" w:type="dxa"/>
            <w:vAlign w:val="top"/>
          </w:tcPr>
          <w:p w14:paraId="4C76F73B">
            <w:pPr>
              <w:rPr>
                <w:rFonts w:ascii="Arial"/>
                <w:sz w:val="21"/>
              </w:rPr>
            </w:pPr>
          </w:p>
        </w:tc>
        <w:tc>
          <w:tcPr>
            <w:tcW w:w="1340" w:type="dxa"/>
            <w:vAlign w:val="top"/>
          </w:tcPr>
          <w:p w14:paraId="66A44B7C">
            <w:pPr>
              <w:rPr>
                <w:rFonts w:ascii="Arial"/>
                <w:sz w:val="21"/>
              </w:rPr>
            </w:pPr>
          </w:p>
        </w:tc>
        <w:tc>
          <w:tcPr>
            <w:tcW w:w="1356" w:type="dxa"/>
            <w:vAlign w:val="top"/>
          </w:tcPr>
          <w:p w14:paraId="5A0DC525">
            <w:pPr>
              <w:rPr>
                <w:rFonts w:ascii="Arial"/>
                <w:sz w:val="21"/>
              </w:rPr>
            </w:pPr>
          </w:p>
        </w:tc>
        <w:tc>
          <w:tcPr>
            <w:tcW w:w="1043" w:type="dxa"/>
            <w:vAlign w:val="top"/>
          </w:tcPr>
          <w:p w14:paraId="036F47D7">
            <w:pPr>
              <w:rPr>
                <w:rFonts w:ascii="Arial"/>
                <w:sz w:val="21"/>
              </w:rPr>
            </w:pPr>
          </w:p>
        </w:tc>
        <w:tc>
          <w:tcPr>
            <w:tcW w:w="604" w:type="dxa"/>
            <w:vAlign w:val="top"/>
          </w:tcPr>
          <w:p w14:paraId="611B0B42">
            <w:pPr>
              <w:rPr>
                <w:rFonts w:ascii="Arial"/>
                <w:sz w:val="21"/>
              </w:rPr>
            </w:pPr>
          </w:p>
        </w:tc>
        <w:tc>
          <w:tcPr>
            <w:tcW w:w="1158" w:type="dxa"/>
            <w:vAlign w:val="top"/>
          </w:tcPr>
          <w:p w14:paraId="514D8773">
            <w:pPr>
              <w:rPr>
                <w:rFonts w:ascii="Arial"/>
                <w:sz w:val="21"/>
              </w:rPr>
            </w:pPr>
          </w:p>
        </w:tc>
        <w:tc>
          <w:tcPr>
            <w:tcW w:w="819" w:type="dxa"/>
            <w:vAlign w:val="top"/>
          </w:tcPr>
          <w:p w14:paraId="6E83F12F">
            <w:pPr>
              <w:rPr>
                <w:rFonts w:ascii="Arial"/>
                <w:sz w:val="21"/>
              </w:rPr>
            </w:pPr>
          </w:p>
        </w:tc>
        <w:tc>
          <w:tcPr>
            <w:tcW w:w="704" w:type="dxa"/>
            <w:tcBorders>
              <w:right w:val="single" w:color="000000" w:sz="6" w:space="0"/>
            </w:tcBorders>
            <w:vAlign w:val="top"/>
          </w:tcPr>
          <w:p w14:paraId="29BA3906">
            <w:pPr>
              <w:rPr>
                <w:rFonts w:ascii="Arial"/>
                <w:sz w:val="21"/>
              </w:rPr>
            </w:pPr>
          </w:p>
        </w:tc>
      </w:tr>
      <w:tr w14:paraId="54E4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2B6FEF60">
            <w:pPr>
              <w:rPr>
                <w:rFonts w:ascii="Arial"/>
                <w:sz w:val="21"/>
              </w:rPr>
            </w:pPr>
          </w:p>
        </w:tc>
        <w:tc>
          <w:tcPr>
            <w:tcW w:w="929" w:type="dxa"/>
            <w:vAlign w:val="top"/>
          </w:tcPr>
          <w:p w14:paraId="548A427A">
            <w:pPr>
              <w:rPr>
                <w:rFonts w:ascii="Arial"/>
                <w:sz w:val="21"/>
              </w:rPr>
            </w:pPr>
          </w:p>
        </w:tc>
        <w:tc>
          <w:tcPr>
            <w:tcW w:w="1340" w:type="dxa"/>
            <w:vAlign w:val="top"/>
          </w:tcPr>
          <w:p w14:paraId="007860EB">
            <w:pPr>
              <w:rPr>
                <w:rFonts w:ascii="Arial"/>
                <w:sz w:val="21"/>
              </w:rPr>
            </w:pPr>
          </w:p>
        </w:tc>
        <w:tc>
          <w:tcPr>
            <w:tcW w:w="1356" w:type="dxa"/>
            <w:vAlign w:val="top"/>
          </w:tcPr>
          <w:p w14:paraId="153D0276">
            <w:pPr>
              <w:rPr>
                <w:rFonts w:ascii="Arial"/>
                <w:sz w:val="21"/>
              </w:rPr>
            </w:pPr>
          </w:p>
        </w:tc>
        <w:tc>
          <w:tcPr>
            <w:tcW w:w="1043" w:type="dxa"/>
            <w:vAlign w:val="top"/>
          </w:tcPr>
          <w:p w14:paraId="170870F7">
            <w:pPr>
              <w:rPr>
                <w:rFonts w:ascii="Arial"/>
                <w:sz w:val="21"/>
              </w:rPr>
            </w:pPr>
          </w:p>
        </w:tc>
        <w:tc>
          <w:tcPr>
            <w:tcW w:w="604" w:type="dxa"/>
            <w:vAlign w:val="top"/>
          </w:tcPr>
          <w:p w14:paraId="30BA2609">
            <w:pPr>
              <w:rPr>
                <w:rFonts w:ascii="Arial"/>
                <w:sz w:val="21"/>
              </w:rPr>
            </w:pPr>
          </w:p>
        </w:tc>
        <w:tc>
          <w:tcPr>
            <w:tcW w:w="1158" w:type="dxa"/>
            <w:vAlign w:val="top"/>
          </w:tcPr>
          <w:p w14:paraId="0E41BFEC">
            <w:pPr>
              <w:rPr>
                <w:rFonts w:ascii="Arial"/>
                <w:sz w:val="21"/>
              </w:rPr>
            </w:pPr>
          </w:p>
        </w:tc>
        <w:tc>
          <w:tcPr>
            <w:tcW w:w="819" w:type="dxa"/>
            <w:vAlign w:val="top"/>
          </w:tcPr>
          <w:p w14:paraId="3323B2AE">
            <w:pPr>
              <w:rPr>
                <w:rFonts w:ascii="Arial"/>
                <w:sz w:val="21"/>
              </w:rPr>
            </w:pPr>
          </w:p>
        </w:tc>
        <w:tc>
          <w:tcPr>
            <w:tcW w:w="704" w:type="dxa"/>
            <w:tcBorders>
              <w:right w:val="single" w:color="000000" w:sz="6" w:space="0"/>
            </w:tcBorders>
            <w:vAlign w:val="top"/>
          </w:tcPr>
          <w:p w14:paraId="42C61CFA">
            <w:pPr>
              <w:rPr>
                <w:rFonts w:ascii="Arial"/>
                <w:sz w:val="21"/>
              </w:rPr>
            </w:pPr>
          </w:p>
        </w:tc>
      </w:tr>
      <w:tr w14:paraId="752C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5148BEFB">
            <w:pPr>
              <w:rPr>
                <w:rFonts w:ascii="Arial"/>
                <w:sz w:val="21"/>
              </w:rPr>
            </w:pPr>
          </w:p>
        </w:tc>
        <w:tc>
          <w:tcPr>
            <w:tcW w:w="929" w:type="dxa"/>
            <w:vAlign w:val="top"/>
          </w:tcPr>
          <w:p w14:paraId="1F89EA6B">
            <w:pPr>
              <w:rPr>
                <w:rFonts w:ascii="Arial"/>
                <w:sz w:val="21"/>
              </w:rPr>
            </w:pPr>
          </w:p>
        </w:tc>
        <w:tc>
          <w:tcPr>
            <w:tcW w:w="1340" w:type="dxa"/>
            <w:vAlign w:val="top"/>
          </w:tcPr>
          <w:p w14:paraId="7000C8EE">
            <w:pPr>
              <w:rPr>
                <w:rFonts w:ascii="Arial"/>
                <w:sz w:val="21"/>
              </w:rPr>
            </w:pPr>
          </w:p>
        </w:tc>
        <w:tc>
          <w:tcPr>
            <w:tcW w:w="1356" w:type="dxa"/>
            <w:vAlign w:val="top"/>
          </w:tcPr>
          <w:p w14:paraId="688B7D76">
            <w:pPr>
              <w:rPr>
                <w:rFonts w:ascii="Arial"/>
                <w:sz w:val="21"/>
              </w:rPr>
            </w:pPr>
          </w:p>
        </w:tc>
        <w:tc>
          <w:tcPr>
            <w:tcW w:w="1043" w:type="dxa"/>
            <w:vAlign w:val="top"/>
          </w:tcPr>
          <w:p w14:paraId="59890C87">
            <w:pPr>
              <w:rPr>
                <w:rFonts w:ascii="Arial"/>
                <w:sz w:val="21"/>
              </w:rPr>
            </w:pPr>
          </w:p>
        </w:tc>
        <w:tc>
          <w:tcPr>
            <w:tcW w:w="604" w:type="dxa"/>
            <w:vAlign w:val="top"/>
          </w:tcPr>
          <w:p w14:paraId="52589B79">
            <w:pPr>
              <w:rPr>
                <w:rFonts w:ascii="Arial"/>
                <w:sz w:val="21"/>
              </w:rPr>
            </w:pPr>
          </w:p>
        </w:tc>
        <w:tc>
          <w:tcPr>
            <w:tcW w:w="1158" w:type="dxa"/>
            <w:vAlign w:val="top"/>
          </w:tcPr>
          <w:p w14:paraId="08E2FF7B">
            <w:pPr>
              <w:rPr>
                <w:rFonts w:ascii="Arial"/>
                <w:sz w:val="21"/>
              </w:rPr>
            </w:pPr>
          </w:p>
        </w:tc>
        <w:tc>
          <w:tcPr>
            <w:tcW w:w="819" w:type="dxa"/>
            <w:vAlign w:val="top"/>
          </w:tcPr>
          <w:p w14:paraId="3FD0A94B">
            <w:pPr>
              <w:rPr>
                <w:rFonts w:ascii="Arial"/>
                <w:sz w:val="21"/>
              </w:rPr>
            </w:pPr>
          </w:p>
        </w:tc>
        <w:tc>
          <w:tcPr>
            <w:tcW w:w="704" w:type="dxa"/>
            <w:tcBorders>
              <w:right w:val="single" w:color="000000" w:sz="6" w:space="0"/>
            </w:tcBorders>
            <w:vAlign w:val="top"/>
          </w:tcPr>
          <w:p w14:paraId="161F05AA">
            <w:pPr>
              <w:rPr>
                <w:rFonts w:ascii="Arial"/>
                <w:sz w:val="21"/>
              </w:rPr>
            </w:pPr>
          </w:p>
        </w:tc>
      </w:tr>
      <w:tr w14:paraId="3029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0B47618F">
            <w:pPr>
              <w:rPr>
                <w:rFonts w:ascii="Arial"/>
                <w:sz w:val="21"/>
              </w:rPr>
            </w:pPr>
          </w:p>
        </w:tc>
        <w:tc>
          <w:tcPr>
            <w:tcW w:w="929" w:type="dxa"/>
            <w:vAlign w:val="top"/>
          </w:tcPr>
          <w:p w14:paraId="21632E66">
            <w:pPr>
              <w:rPr>
                <w:rFonts w:ascii="Arial"/>
                <w:sz w:val="21"/>
              </w:rPr>
            </w:pPr>
          </w:p>
        </w:tc>
        <w:tc>
          <w:tcPr>
            <w:tcW w:w="1340" w:type="dxa"/>
            <w:vAlign w:val="top"/>
          </w:tcPr>
          <w:p w14:paraId="66E0C8FC">
            <w:pPr>
              <w:rPr>
                <w:rFonts w:ascii="Arial"/>
                <w:sz w:val="21"/>
              </w:rPr>
            </w:pPr>
          </w:p>
        </w:tc>
        <w:tc>
          <w:tcPr>
            <w:tcW w:w="1356" w:type="dxa"/>
            <w:vAlign w:val="top"/>
          </w:tcPr>
          <w:p w14:paraId="2D85677D">
            <w:pPr>
              <w:rPr>
                <w:rFonts w:ascii="Arial"/>
                <w:sz w:val="21"/>
              </w:rPr>
            </w:pPr>
          </w:p>
        </w:tc>
        <w:tc>
          <w:tcPr>
            <w:tcW w:w="1043" w:type="dxa"/>
            <w:vAlign w:val="top"/>
          </w:tcPr>
          <w:p w14:paraId="28482A0B">
            <w:pPr>
              <w:rPr>
                <w:rFonts w:ascii="Arial"/>
                <w:sz w:val="21"/>
              </w:rPr>
            </w:pPr>
          </w:p>
        </w:tc>
        <w:tc>
          <w:tcPr>
            <w:tcW w:w="604" w:type="dxa"/>
            <w:vAlign w:val="top"/>
          </w:tcPr>
          <w:p w14:paraId="39431513">
            <w:pPr>
              <w:rPr>
                <w:rFonts w:ascii="Arial"/>
                <w:sz w:val="21"/>
              </w:rPr>
            </w:pPr>
          </w:p>
        </w:tc>
        <w:tc>
          <w:tcPr>
            <w:tcW w:w="1158" w:type="dxa"/>
            <w:vAlign w:val="top"/>
          </w:tcPr>
          <w:p w14:paraId="5B179D94">
            <w:pPr>
              <w:rPr>
                <w:rFonts w:ascii="Arial"/>
                <w:sz w:val="21"/>
              </w:rPr>
            </w:pPr>
          </w:p>
        </w:tc>
        <w:tc>
          <w:tcPr>
            <w:tcW w:w="819" w:type="dxa"/>
            <w:vAlign w:val="top"/>
          </w:tcPr>
          <w:p w14:paraId="24475624">
            <w:pPr>
              <w:rPr>
                <w:rFonts w:ascii="Arial"/>
                <w:sz w:val="21"/>
              </w:rPr>
            </w:pPr>
          </w:p>
        </w:tc>
        <w:tc>
          <w:tcPr>
            <w:tcW w:w="704" w:type="dxa"/>
            <w:tcBorders>
              <w:right w:val="single" w:color="000000" w:sz="6" w:space="0"/>
            </w:tcBorders>
            <w:vAlign w:val="top"/>
          </w:tcPr>
          <w:p w14:paraId="2FA2075A">
            <w:pPr>
              <w:rPr>
                <w:rFonts w:ascii="Arial"/>
                <w:sz w:val="21"/>
              </w:rPr>
            </w:pPr>
          </w:p>
        </w:tc>
      </w:tr>
      <w:tr w14:paraId="18EA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051D0604">
            <w:pPr>
              <w:rPr>
                <w:rFonts w:ascii="Arial"/>
                <w:sz w:val="21"/>
              </w:rPr>
            </w:pPr>
          </w:p>
        </w:tc>
        <w:tc>
          <w:tcPr>
            <w:tcW w:w="929" w:type="dxa"/>
            <w:vAlign w:val="top"/>
          </w:tcPr>
          <w:p w14:paraId="7D95E7A3">
            <w:pPr>
              <w:rPr>
                <w:rFonts w:ascii="Arial"/>
                <w:sz w:val="21"/>
              </w:rPr>
            </w:pPr>
          </w:p>
        </w:tc>
        <w:tc>
          <w:tcPr>
            <w:tcW w:w="1340" w:type="dxa"/>
            <w:vAlign w:val="top"/>
          </w:tcPr>
          <w:p w14:paraId="49FE1D48">
            <w:pPr>
              <w:rPr>
                <w:rFonts w:ascii="Arial"/>
                <w:sz w:val="21"/>
              </w:rPr>
            </w:pPr>
          </w:p>
        </w:tc>
        <w:tc>
          <w:tcPr>
            <w:tcW w:w="1356" w:type="dxa"/>
            <w:vAlign w:val="top"/>
          </w:tcPr>
          <w:p w14:paraId="7A66C73A">
            <w:pPr>
              <w:rPr>
                <w:rFonts w:ascii="Arial"/>
                <w:sz w:val="21"/>
              </w:rPr>
            </w:pPr>
          </w:p>
        </w:tc>
        <w:tc>
          <w:tcPr>
            <w:tcW w:w="1043" w:type="dxa"/>
            <w:vAlign w:val="top"/>
          </w:tcPr>
          <w:p w14:paraId="3469F96B">
            <w:pPr>
              <w:rPr>
                <w:rFonts w:ascii="Arial"/>
                <w:sz w:val="21"/>
              </w:rPr>
            </w:pPr>
          </w:p>
        </w:tc>
        <w:tc>
          <w:tcPr>
            <w:tcW w:w="604" w:type="dxa"/>
            <w:vAlign w:val="top"/>
          </w:tcPr>
          <w:p w14:paraId="3DF07DFE">
            <w:pPr>
              <w:rPr>
                <w:rFonts w:ascii="Arial"/>
                <w:sz w:val="21"/>
              </w:rPr>
            </w:pPr>
          </w:p>
        </w:tc>
        <w:tc>
          <w:tcPr>
            <w:tcW w:w="1158" w:type="dxa"/>
            <w:vAlign w:val="top"/>
          </w:tcPr>
          <w:p w14:paraId="540F8835">
            <w:pPr>
              <w:rPr>
                <w:rFonts w:ascii="Arial"/>
                <w:sz w:val="21"/>
              </w:rPr>
            </w:pPr>
          </w:p>
        </w:tc>
        <w:tc>
          <w:tcPr>
            <w:tcW w:w="819" w:type="dxa"/>
            <w:vAlign w:val="top"/>
          </w:tcPr>
          <w:p w14:paraId="21A74789">
            <w:pPr>
              <w:rPr>
                <w:rFonts w:ascii="Arial"/>
                <w:sz w:val="21"/>
              </w:rPr>
            </w:pPr>
          </w:p>
        </w:tc>
        <w:tc>
          <w:tcPr>
            <w:tcW w:w="704" w:type="dxa"/>
            <w:tcBorders>
              <w:right w:val="single" w:color="000000" w:sz="6" w:space="0"/>
            </w:tcBorders>
            <w:vAlign w:val="top"/>
          </w:tcPr>
          <w:p w14:paraId="6B8B1B26">
            <w:pPr>
              <w:rPr>
                <w:rFonts w:ascii="Arial"/>
                <w:sz w:val="21"/>
              </w:rPr>
            </w:pPr>
          </w:p>
        </w:tc>
      </w:tr>
      <w:tr w14:paraId="24F3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1065B6A8">
            <w:pPr>
              <w:rPr>
                <w:rFonts w:ascii="Arial"/>
                <w:sz w:val="21"/>
              </w:rPr>
            </w:pPr>
          </w:p>
        </w:tc>
        <w:tc>
          <w:tcPr>
            <w:tcW w:w="929" w:type="dxa"/>
            <w:vAlign w:val="top"/>
          </w:tcPr>
          <w:p w14:paraId="669B1407">
            <w:pPr>
              <w:rPr>
                <w:rFonts w:ascii="Arial"/>
                <w:sz w:val="21"/>
              </w:rPr>
            </w:pPr>
          </w:p>
        </w:tc>
        <w:tc>
          <w:tcPr>
            <w:tcW w:w="1340" w:type="dxa"/>
            <w:vAlign w:val="top"/>
          </w:tcPr>
          <w:p w14:paraId="44200B6C">
            <w:pPr>
              <w:rPr>
                <w:rFonts w:ascii="Arial"/>
                <w:sz w:val="21"/>
              </w:rPr>
            </w:pPr>
          </w:p>
        </w:tc>
        <w:tc>
          <w:tcPr>
            <w:tcW w:w="1356" w:type="dxa"/>
            <w:vAlign w:val="top"/>
          </w:tcPr>
          <w:p w14:paraId="213798BD">
            <w:pPr>
              <w:rPr>
                <w:rFonts w:ascii="Arial"/>
                <w:sz w:val="21"/>
              </w:rPr>
            </w:pPr>
          </w:p>
        </w:tc>
        <w:tc>
          <w:tcPr>
            <w:tcW w:w="1043" w:type="dxa"/>
            <w:vAlign w:val="top"/>
          </w:tcPr>
          <w:p w14:paraId="4F786A71">
            <w:pPr>
              <w:rPr>
                <w:rFonts w:ascii="Arial"/>
                <w:sz w:val="21"/>
              </w:rPr>
            </w:pPr>
          </w:p>
        </w:tc>
        <w:tc>
          <w:tcPr>
            <w:tcW w:w="604" w:type="dxa"/>
            <w:vAlign w:val="top"/>
          </w:tcPr>
          <w:p w14:paraId="451FCBE3">
            <w:pPr>
              <w:rPr>
                <w:rFonts w:ascii="Arial"/>
                <w:sz w:val="21"/>
              </w:rPr>
            </w:pPr>
          </w:p>
        </w:tc>
        <w:tc>
          <w:tcPr>
            <w:tcW w:w="1158" w:type="dxa"/>
            <w:vAlign w:val="top"/>
          </w:tcPr>
          <w:p w14:paraId="34DAAC25">
            <w:pPr>
              <w:rPr>
                <w:rFonts w:ascii="Arial"/>
                <w:sz w:val="21"/>
              </w:rPr>
            </w:pPr>
          </w:p>
        </w:tc>
        <w:tc>
          <w:tcPr>
            <w:tcW w:w="819" w:type="dxa"/>
            <w:vAlign w:val="top"/>
          </w:tcPr>
          <w:p w14:paraId="7F46DB13">
            <w:pPr>
              <w:rPr>
                <w:rFonts w:ascii="Arial"/>
                <w:sz w:val="21"/>
              </w:rPr>
            </w:pPr>
          </w:p>
        </w:tc>
        <w:tc>
          <w:tcPr>
            <w:tcW w:w="704" w:type="dxa"/>
            <w:tcBorders>
              <w:right w:val="single" w:color="000000" w:sz="6" w:space="0"/>
            </w:tcBorders>
            <w:vAlign w:val="top"/>
          </w:tcPr>
          <w:p w14:paraId="3C8AEFBD">
            <w:pPr>
              <w:rPr>
                <w:rFonts w:ascii="Arial"/>
                <w:sz w:val="21"/>
              </w:rPr>
            </w:pPr>
          </w:p>
        </w:tc>
      </w:tr>
      <w:tr w14:paraId="7882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04A9497B">
            <w:pPr>
              <w:rPr>
                <w:rFonts w:ascii="Arial"/>
                <w:sz w:val="21"/>
              </w:rPr>
            </w:pPr>
          </w:p>
        </w:tc>
        <w:tc>
          <w:tcPr>
            <w:tcW w:w="929" w:type="dxa"/>
            <w:vAlign w:val="top"/>
          </w:tcPr>
          <w:p w14:paraId="095D30CE">
            <w:pPr>
              <w:rPr>
                <w:rFonts w:ascii="Arial"/>
                <w:sz w:val="21"/>
              </w:rPr>
            </w:pPr>
          </w:p>
        </w:tc>
        <w:tc>
          <w:tcPr>
            <w:tcW w:w="1340" w:type="dxa"/>
            <w:vAlign w:val="top"/>
          </w:tcPr>
          <w:p w14:paraId="29364BE9">
            <w:pPr>
              <w:rPr>
                <w:rFonts w:ascii="Arial"/>
                <w:sz w:val="21"/>
              </w:rPr>
            </w:pPr>
          </w:p>
        </w:tc>
        <w:tc>
          <w:tcPr>
            <w:tcW w:w="1356" w:type="dxa"/>
            <w:vAlign w:val="top"/>
          </w:tcPr>
          <w:p w14:paraId="2420C928">
            <w:pPr>
              <w:rPr>
                <w:rFonts w:ascii="Arial"/>
                <w:sz w:val="21"/>
              </w:rPr>
            </w:pPr>
          </w:p>
        </w:tc>
        <w:tc>
          <w:tcPr>
            <w:tcW w:w="1043" w:type="dxa"/>
            <w:vAlign w:val="top"/>
          </w:tcPr>
          <w:p w14:paraId="55968FEF">
            <w:pPr>
              <w:rPr>
                <w:rFonts w:ascii="Arial"/>
                <w:sz w:val="21"/>
              </w:rPr>
            </w:pPr>
          </w:p>
        </w:tc>
        <w:tc>
          <w:tcPr>
            <w:tcW w:w="604" w:type="dxa"/>
            <w:vAlign w:val="top"/>
          </w:tcPr>
          <w:p w14:paraId="7532709E">
            <w:pPr>
              <w:rPr>
                <w:rFonts w:ascii="Arial"/>
                <w:sz w:val="21"/>
              </w:rPr>
            </w:pPr>
          </w:p>
        </w:tc>
        <w:tc>
          <w:tcPr>
            <w:tcW w:w="1158" w:type="dxa"/>
            <w:vAlign w:val="top"/>
          </w:tcPr>
          <w:p w14:paraId="4C446EC6">
            <w:pPr>
              <w:rPr>
                <w:rFonts w:ascii="Arial"/>
                <w:sz w:val="21"/>
              </w:rPr>
            </w:pPr>
          </w:p>
        </w:tc>
        <w:tc>
          <w:tcPr>
            <w:tcW w:w="819" w:type="dxa"/>
            <w:vAlign w:val="top"/>
          </w:tcPr>
          <w:p w14:paraId="7426C842">
            <w:pPr>
              <w:rPr>
                <w:rFonts w:ascii="Arial"/>
                <w:sz w:val="21"/>
              </w:rPr>
            </w:pPr>
          </w:p>
        </w:tc>
        <w:tc>
          <w:tcPr>
            <w:tcW w:w="704" w:type="dxa"/>
            <w:tcBorders>
              <w:right w:val="single" w:color="000000" w:sz="6" w:space="0"/>
            </w:tcBorders>
            <w:vAlign w:val="top"/>
          </w:tcPr>
          <w:p w14:paraId="7A217470">
            <w:pPr>
              <w:rPr>
                <w:rFonts w:ascii="Arial"/>
                <w:sz w:val="21"/>
              </w:rPr>
            </w:pPr>
          </w:p>
        </w:tc>
      </w:tr>
      <w:tr w14:paraId="2208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3A49BAA2">
            <w:pPr>
              <w:rPr>
                <w:rFonts w:ascii="Arial"/>
                <w:sz w:val="21"/>
              </w:rPr>
            </w:pPr>
          </w:p>
        </w:tc>
        <w:tc>
          <w:tcPr>
            <w:tcW w:w="929" w:type="dxa"/>
            <w:vAlign w:val="top"/>
          </w:tcPr>
          <w:p w14:paraId="191B5B59">
            <w:pPr>
              <w:rPr>
                <w:rFonts w:ascii="Arial"/>
                <w:sz w:val="21"/>
              </w:rPr>
            </w:pPr>
          </w:p>
        </w:tc>
        <w:tc>
          <w:tcPr>
            <w:tcW w:w="1340" w:type="dxa"/>
            <w:vAlign w:val="top"/>
          </w:tcPr>
          <w:p w14:paraId="5BA52625">
            <w:pPr>
              <w:rPr>
                <w:rFonts w:ascii="Arial"/>
                <w:sz w:val="21"/>
              </w:rPr>
            </w:pPr>
          </w:p>
        </w:tc>
        <w:tc>
          <w:tcPr>
            <w:tcW w:w="1356" w:type="dxa"/>
            <w:vAlign w:val="top"/>
          </w:tcPr>
          <w:p w14:paraId="17FB65ED">
            <w:pPr>
              <w:rPr>
                <w:rFonts w:ascii="Arial"/>
                <w:sz w:val="21"/>
              </w:rPr>
            </w:pPr>
          </w:p>
        </w:tc>
        <w:tc>
          <w:tcPr>
            <w:tcW w:w="1043" w:type="dxa"/>
            <w:vAlign w:val="top"/>
          </w:tcPr>
          <w:p w14:paraId="6295163E">
            <w:pPr>
              <w:rPr>
                <w:rFonts w:ascii="Arial"/>
                <w:sz w:val="21"/>
              </w:rPr>
            </w:pPr>
          </w:p>
        </w:tc>
        <w:tc>
          <w:tcPr>
            <w:tcW w:w="604" w:type="dxa"/>
            <w:vAlign w:val="top"/>
          </w:tcPr>
          <w:p w14:paraId="7B4C161F">
            <w:pPr>
              <w:rPr>
                <w:rFonts w:ascii="Arial"/>
                <w:sz w:val="21"/>
              </w:rPr>
            </w:pPr>
          </w:p>
        </w:tc>
        <w:tc>
          <w:tcPr>
            <w:tcW w:w="1158" w:type="dxa"/>
            <w:vAlign w:val="top"/>
          </w:tcPr>
          <w:p w14:paraId="59AAE0EF">
            <w:pPr>
              <w:rPr>
                <w:rFonts w:ascii="Arial"/>
                <w:sz w:val="21"/>
              </w:rPr>
            </w:pPr>
          </w:p>
        </w:tc>
        <w:tc>
          <w:tcPr>
            <w:tcW w:w="819" w:type="dxa"/>
            <w:vAlign w:val="top"/>
          </w:tcPr>
          <w:p w14:paraId="69F7A9C5">
            <w:pPr>
              <w:rPr>
                <w:rFonts w:ascii="Arial"/>
                <w:sz w:val="21"/>
              </w:rPr>
            </w:pPr>
          </w:p>
        </w:tc>
        <w:tc>
          <w:tcPr>
            <w:tcW w:w="704" w:type="dxa"/>
            <w:tcBorders>
              <w:right w:val="single" w:color="000000" w:sz="6" w:space="0"/>
            </w:tcBorders>
            <w:vAlign w:val="top"/>
          </w:tcPr>
          <w:p w14:paraId="01649365">
            <w:pPr>
              <w:rPr>
                <w:rFonts w:ascii="Arial"/>
                <w:sz w:val="21"/>
              </w:rPr>
            </w:pPr>
          </w:p>
        </w:tc>
      </w:tr>
      <w:tr w14:paraId="7D19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6D4D28E5">
            <w:pPr>
              <w:rPr>
                <w:rFonts w:ascii="Arial"/>
                <w:sz w:val="21"/>
              </w:rPr>
            </w:pPr>
          </w:p>
        </w:tc>
        <w:tc>
          <w:tcPr>
            <w:tcW w:w="929" w:type="dxa"/>
            <w:vAlign w:val="top"/>
          </w:tcPr>
          <w:p w14:paraId="02C69439">
            <w:pPr>
              <w:rPr>
                <w:rFonts w:ascii="Arial"/>
                <w:sz w:val="21"/>
              </w:rPr>
            </w:pPr>
          </w:p>
        </w:tc>
        <w:tc>
          <w:tcPr>
            <w:tcW w:w="1340" w:type="dxa"/>
            <w:vAlign w:val="top"/>
          </w:tcPr>
          <w:p w14:paraId="5F0E3E60">
            <w:pPr>
              <w:rPr>
                <w:rFonts w:ascii="Arial"/>
                <w:sz w:val="21"/>
              </w:rPr>
            </w:pPr>
          </w:p>
        </w:tc>
        <w:tc>
          <w:tcPr>
            <w:tcW w:w="1356" w:type="dxa"/>
            <w:vAlign w:val="top"/>
          </w:tcPr>
          <w:p w14:paraId="76353A72">
            <w:pPr>
              <w:rPr>
                <w:rFonts w:ascii="Arial"/>
                <w:sz w:val="21"/>
              </w:rPr>
            </w:pPr>
          </w:p>
        </w:tc>
        <w:tc>
          <w:tcPr>
            <w:tcW w:w="1043" w:type="dxa"/>
            <w:vAlign w:val="top"/>
          </w:tcPr>
          <w:p w14:paraId="3BCBA736">
            <w:pPr>
              <w:rPr>
                <w:rFonts w:ascii="Arial"/>
                <w:sz w:val="21"/>
              </w:rPr>
            </w:pPr>
          </w:p>
        </w:tc>
        <w:tc>
          <w:tcPr>
            <w:tcW w:w="604" w:type="dxa"/>
            <w:vAlign w:val="top"/>
          </w:tcPr>
          <w:p w14:paraId="11406476">
            <w:pPr>
              <w:rPr>
                <w:rFonts w:ascii="Arial"/>
                <w:sz w:val="21"/>
              </w:rPr>
            </w:pPr>
          </w:p>
        </w:tc>
        <w:tc>
          <w:tcPr>
            <w:tcW w:w="1158" w:type="dxa"/>
            <w:vAlign w:val="top"/>
          </w:tcPr>
          <w:p w14:paraId="5BF4B486">
            <w:pPr>
              <w:rPr>
                <w:rFonts w:ascii="Arial"/>
                <w:sz w:val="21"/>
              </w:rPr>
            </w:pPr>
          </w:p>
        </w:tc>
        <w:tc>
          <w:tcPr>
            <w:tcW w:w="819" w:type="dxa"/>
            <w:vAlign w:val="top"/>
          </w:tcPr>
          <w:p w14:paraId="144650A7">
            <w:pPr>
              <w:rPr>
                <w:rFonts w:ascii="Arial"/>
                <w:sz w:val="21"/>
              </w:rPr>
            </w:pPr>
          </w:p>
        </w:tc>
        <w:tc>
          <w:tcPr>
            <w:tcW w:w="704" w:type="dxa"/>
            <w:tcBorders>
              <w:right w:val="single" w:color="000000" w:sz="6" w:space="0"/>
            </w:tcBorders>
            <w:vAlign w:val="top"/>
          </w:tcPr>
          <w:p w14:paraId="3C33BCAA">
            <w:pPr>
              <w:rPr>
                <w:rFonts w:ascii="Arial"/>
                <w:sz w:val="21"/>
              </w:rPr>
            </w:pPr>
          </w:p>
        </w:tc>
      </w:tr>
      <w:tr w14:paraId="3C38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7A78B75D">
            <w:pPr>
              <w:rPr>
                <w:rFonts w:ascii="Arial"/>
                <w:sz w:val="21"/>
              </w:rPr>
            </w:pPr>
          </w:p>
        </w:tc>
        <w:tc>
          <w:tcPr>
            <w:tcW w:w="929" w:type="dxa"/>
            <w:vAlign w:val="top"/>
          </w:tcPr>
          <w:p w14:paraId="4B8A1D57">
            <w:pPr>
              <w:rPr>
                <w:rFonts w:ascii="Arial"/>
                <w:sz w:val="21"/>
              </w:rPr>
            </w:pPr>
          </w:p>
        </w:tc>
        <w:tc>
          <w:tcPr>
            <w:tcW w:w="1340" w:type="dxa"/>
            <w:vAlign w:val="top"/>
          </w:tcPr>
          <w:p w14:paraId="7814F65A">
            <w:pPr>
              <w:rPr>
                <w:rFonts w:ascii="Arial"/>
                <w:sz w:val="21"/>
              </w:rPr>
            </w:pPr>
          </w:p>
        </w:tc>
        <w:tc>
          <w:tcPr>
            <w:tcW w:w="1356" w:type="dxa"/>
            <w:vAlign w:val="top"/>
          </w:tcPr>
          <w:p w14:paraId="634F46CE">
            <w:pPr>
              <w:rPr>
                <w:rFonts w:ascii="Arial"/>
                <w:sz w:val="21"/>
              </w:rPr>
            </w:pPr>
          </w:p>
        </w:tc>
        <w:tc>
          <w:tcPr>
            <w:tcW w:w="1043" w:type="dxa"/>
            <w:vAlign w:val="top"/>
          </w:tcPr>
          <w:p w14:paraId="0AEC72D7">
            <w:pPr>
              <w:rPr>
                <w:rFonts w:ascii="Arial"/>
                <w:sz w:val="21"/>
              </w:rPr>
            </w:pPr>
          </w:p>
        </w:tc>
        <w:tc>
          <w:tcPr>
            <w:tcW w:w="604" w:type="dxa"/>
            <w:vAlign w:val="top"/>
          </w:tcPr>
          <w:p w14:paraId="5A18D23D">
            <w:pPr>
              <w:rPr>
                <w:rFonts w:ascii="Arial"/>
                <w:sz w:val="21"/>
              </w:rPr>
            </w:pPr>
          </w:p>
        </w:tc>
        <w:tc>
          <w:tcPr>
            <w:tcW w:w="1158" w:type="dxa"/>
            <w:vAlign w:val="top"/>
          </w:tcPr>
          <w:p w14:paraId="378A4D11">
            <w:pPr>
              <w:rPr>
                <w:rFonts w:ascii="Arial"/>
                <w:sz w:val="21"/>
              </w:rPr>
            </w:pPr>
          </w:p>
        </w:tc>
        <w:tc>
          <w:tcPr>
            <w:tcW w:w="819" w:type="dxa"/>
            <w:vAlign w:val="top"/>
          </w:tcPr>
          <w:p w14:paraId="7BABC14D">
            <w:pPr>
              <w:rPr>
                <w:rFonts w:ascii="Arial"/>
                <w:sz w:val="21"/>
              </w:rPr>
            </w:pPr>
          </w:p>
        </w:tc>
        <w:tc>
          <w:tcPr>
            <w:tcW w:w="704" w:type="dxa"/>
            <w:tcBorders>
              <w:right w:val="single" w:color="000000" w:sz="6" w:space="0"/>
            </w:tcBorders>
            <w:vAlign w:val="top"/>
          </w:tcPr>
          <w:p w14:paraId="3296D293">
            <w:pPr>
              <w:rPr>
                <w:rFonts w:ascii="Arial"/>
                <w:sz w:val="21"/>
              </w:rPr>
            </w:pPr>
          </w:p>
        </w:tc>
      </w:tr>
      <w:tr w14:paraId="7895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0DF5B5FF">
            <w:pPr>
              <w:rPr>
                <w:rFonts w:ascii="Arial"/>
                <w:sz w:val="21"/>
              </w:rPr>
            </w:pPr>
          </w:p>
        </w:tc>
        <w:tc>
          <w:tcPr>
            <w:tcW w:w="929" w:type="dxa"/>
            <w:vAlign w:val="top"/>
          </w:tcPr>
          <w:p w14:paraId="52403B9E">
            <w:pPr>
              <w:rPr>
                <w:rFonts w:ascii="Arial"/>
                <w:sz w:val="21"/>
              </w:rPr>
            </w:pPr>
          </w:p>
        </w:tc>
        <w:tc>
          <w:tcPr>
            <w:tcW w:w="1340" w:type="dxa"/>
            <w:vAlign w:val="top"/>
          </w:tcPr>
          <w:p w14:paraId="2FBAC9D0">
            <w:pPr>
              <w:rPr>
                <w:rFonts w:ascii="Arial"/>
                <w:sz w:val="21"/>
              </w:rPr>
            </w:pPr>
          </w:p>
        </w:tc>
        <w:tc>
          <w:tcPr>
            <w:tcW w:w="1356" w:type="dxa"/>
            <w:vAlign w:val="top"/>
          </w:tcPr>
          <w:p w14:paraId="39F1B5BE">
            <w:pPr>
              <w:rPr>
                <w:rFonts w:ascii="Arial"/>
                <w:sz w:val="21"/>
              </w:rPr>
            </w:pPr>
          </w:p>
        </w:tc>
        <w:tc>
          <w:tcPr>
            <w:tcW w:w="1043" w:type="dxa"/>
            <w:vAlign w:val="top"/>
          </w:tcPr>
          <w:p w14:paraId="28FD770F">
            <w:pPr>
              <w:rPr>
                <w:rFonts w:ascii="Arial"/>
                <w:sz w:val="21"/>
              </w:rPr>
            </w:pPr>
          </w:p>
        </w:tc>
        <w:tc>
          <w:tcPr>
            <w:tcW w:w="604" w:type="dxa"/>
            <w:vAlign w:val="top"/>
          </w:tcPr>
          <w:p w14:paraId="569AB8EB">
            <w:pPr>
              <w:rPr>
                <w:rFonts w:ascii="Arial"/>
                <w:sz w:val="21"/>
              </w:rPr>
            </w:pPr>
          </w:p>
        </w:tc>
        <w:tc>
          <w:tcPr>
            <w:tcW w:w="1158" w:type="dxa"/>
            <w:vAlign w:val="top"/>
          </w:tcPr>
          <w:p w14:paraId="28C33071">
            <w:pPr>
              <w:rPr>
                <w:rFonts w:ascii="Arial"/>
                <w:sz w:val="21"/>
              </w:rPr>
            </w:pPr>
          </w:p>
        </w:tc>
        <w:tc>
          <w:tcPr>
            <w:tcW w:w="819" w:type="dxa"/>
            <w:vAlign w:val="top"/>
          </w:tcPr>
          <w:p w14:paraId="30FF822C">
            <w:pPr>
              <w:rPr>
                <w:rFonts w:ascii="Arial"/>
                <w:sz w:val="21"/>
              </w:rPr>
            </w:pPr>
          </w:p>
        </w:tc>
        <w:tc>
          <w:tcPr>
            <w:tcW w:w="704" w:type="dxa"/>
            <w:tcBorders>
              <w:right w:val="single" w:color="000000" w:sz="6" w:space="0"/>
            </w:tcBorders>
            <w:vAlign w:val="top"/>
          </w:tcPr>
          <w:p w14:paraId="16D7FCE0">
            <w:pPr>
              <w:rPr>
                <w:rFonts w:ascii="Arial"/>
                <w:sz w:val="21"/>
              </w:rPr>
            </w:pPr>
          </w:p>
        </w:tc>
      </w:tr>
      <w:tr w14:paraId="64E9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054ECB3B">
            <w:pPr>
              <w:rPr>
                <w:rFonts w:ascii="Arial"/>
                <w:sz w:val="21"/>
              </w:rPr>
            </w:pPr>
          </w:p>
        </w:tc>
        <w:tc>
          <w:tcPr>
            <w:tcW w:w="929" w:type="dxa"/>
            <w:vAlign w:val="top"/>
          </w:tcPr>
          <w:p w14:paraId="075C03E4">
            <w:pPr>
              <w:rPr>
                <w:rFonts w:ascii="Arial"/>
                <w:sz w:val="21"/>
              </w:rPr>
            </w:pPr>
          </w:p>
        </w:tc>
        <w:tc>
          <w:tcPr>
            <w:tcW w:w="1340" w:type="dxa"/>
            <w:vAlign w:val="top"/>
          </w:tcPr>
          <w:p w14:paraId="7DDD0BE8">
            <w:pPr>
              <w:rPr>
                <w:rFonts w:ascii="Arial"/>
                <w:sz w:val="21"/>
              </w:rPr>
            </w:pPr>
          </w:p>
        </w:tc>
        <w:tc>
          <w:tcPr>
            <w:tcW w:w="1356" w:type="dxa"/>
            <w:vAlign w:val="top"/>
          </w:tcPr>
          <w:p w14:paraId="5783069B">
            <w:pPr>
              <w:rPr>
                <w:rFonts w:ascii="Arial"/>
                <w:sz w:val="21"/>
              </w:rPr>
            </w:pPr>
          </w:p>
        </w:tc>
        <w:tc>
          <w:tcPr>
            <w:tcW w:w="1043" w:type="dxa"/>
            <w:vAlign w:val="top"/>
          </w:tcPr>
          <w:p w14:paraId="7E1EDD7D">
            <w:pPr>
              <w:rPr>
                <w:rFonts w:ascii="Arial"/>
                <w:sz w:val="21"/>
              </w:rPr>
            </w:pPr>
          </w:p>
        </w:tc>
        <w:tc>
          <w:tcPr>
            <w:tcW w:w="604" w:type="dxa"/>
            <w:vAlign w:val="top"/>
          </w:tcPr>
          <w:p w14:paraId="6405C38E">
            <w:pPr>
              <w:rPr>
                <w:rFonts w:ascii="Arial"/>
                <w:sz w:val="21"/>
              </w:rPr>
            </w:pPr>
          </w:p>
        </w:tc>
        <w:tc>
          <w:tcPr>
            <w:tcW w:w="1158" w:type="dxa"/>
            <w:vAlign w:val="top"/>
          </w:tcPr>
          <w:p w14:paraId="245185C7">
            <w:pPr>
              <w:rPr>
                <w:rFonts w:ascii="Arial"/>
                <w:sz w:val="21"/>
              </w:rPr>
            </w:pPr>
          </w:p>
        </w:tc>
        <w:tc>
          <w:tcPr>
            <w:tcW w:w="819" w:type="dxa"/>
            <w:vAlign w:val="top"/>
          </w:tcPr>
          <w:p w14:paraId="199C566F">
            <w:pPr>
              <w:rPr>
                <w:rFonts w:ascii="Arial"/>
                <w:sz w:val="21"/>
              </w:rPr>
            </w:pPr>
          </w:p>
        </w:tc>
        <w:tc>
          <w:tcPr>
            <w:tcW w:w="704" w:type="dxa"/>
            <w:tcBorders>
              <w:right w:val="single" w:color="000000" w:sz="6" w:space="0"/>
            </w:tcBorders>
            <w:vAlign w:val="top"/>
          </w:tcPr>
          <w:p w14:paraId="2CFF9FC8">
            <w:pPr>
              <w:rPr>
                <w:rFonts w:ascii="Arial"/>
                <w:sz w:val="21"/>
              </w:rPr>
            </w:pPr>
          </w:p>
        </w:tc>
      </w:tr>
      <w:tr w14:paraId="6307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2657DD2B">
            <w:pPr>
              <w:rPr>
                <w:rFonts w:ascii="Arial"/>
                <w:sz w:val="21"/>
              </w:rPr>
            </w:pPr>
          </w:p>
        </w:tc>
        <w:tc>
          <w:tcPr>
            <w:tcW w:w="929" w:type="dxa"/>
            <w:vAlign w:val="top"/>
          </w:tcPr>
          <w:p w14:paraId="72AC2DB0">
            <w:pPr>
              <w:rPr>
                <w:rFonts w:ascii="Arial"/>
                <w:sz w:val="21"/>
              </w:rPr>
            </w:pPr>
          </w:p>
        </w:tc>
        <w:tc>
          <w:tcPr>
            <w:tcW w:w="1340" w:type="dxa"/>
            <w:vAlign w:val="top"/>
          </w:tcPr>
          <w:p w14:paraId="23F0083C">
            <w:pPr>
              <w:rPr>
                <w:rFonts w:ascii="Arial"/>
                <w:sz w:val="21"/>
              </w:rPr>
            </w:pPr>
          </w:p>
        </w:tc>
        <w:tc>
          <w:tcPr>
            <w:tcW w:w="1356" w:type="dxa"/>
            <w:vAlign w:val="top"/>
          </w:tcPr>
          <w:p w14:paraId="43A76478">
            <w:pPr>
              <w:rPr>
                <w:rFonts w:ascii="Arial"/>
                <w:sz w:val="21"/>
              </w:rPr>
            </w:pPr>
          </w:p>
        </w:tc>
        <w:tc>
          <w:tcPr>
            <w:tcW w:w="1043" w:type="dxa"/>
            <w:vAlign w:val="top"/>
          </w:tcPr>
          <w:p w14:paraId="79CEB8FE">
            <w:pPr>
              <w:rPr>
                <w:rFonts w:ascii="Arial"/>
                <w:sz w:val="21"/>
              </w:rPr>
            </w:pPr>
          </w:p>
        </w:tc>
        <w:tc>
          <w:tcPr>
            <w:tcW w:w="604" w:type="dxa"/>
            <w:vAlign w:val="top"/>
          </w:tcPr>
          <w:p w14:paraId="70C2105F">
            <w:pPr>
              <w:rPr>
                <w:rFonts w:ascii="Arial"/>
                <w:sz w:val="21"/>
              </w:rPr>
            </w:pPr>
          </w:p>
        </w:tc>
        <w:tc>
          <w:tcPr>
            <w:tcW w:w="1158" w:type="dxa"/>
            <w:vAlign w:val="top"/>
          </w:tcPr>
          <w:p w14:paraId="39C4556D">
            <w:pPr>
              <w:rPr>
                <w:rFonts w:ascii="Arial"/>
                <w:sz w:val="21"/>
              </w:rPr>
            </w:pPr>
          </w:p>
        </w:tc>
        <w:tc>
          <w:tcPr>
            <w:tcW w:w="819" w:type="dxa"/>
            <w:vAlign w:val="top"/>
          </w:tcPr>
          <w:p w14:paraId="0BDC6800">
            <w:pPr>
              <w:rPr>
                <w:rFonts w:ascii="Arial"/>
                <w:sz w:val="21"/>
              </w:rPr>
            </w:pPr>
          </w:p>
        </w:tc>
        <w:tc>
          <w:tcPr>
            <w:tcW w:w="704" w:type="dxa"/>
            <w:tcBorders>
              <w:right w:val="single" w:color="000000" w:sz="6" w:space="0"/>
            </w:tcBorders>
            <w:vAlign w:val="top"/>
          </w:tcPr>
          <w:p w14:paraId="787DDAB1">
            <w:pPr>
              <w:rPr>
                <w:rFonts w:ascii="Arial"/>
                <w:sz w:val="21"/>
              </w:rPr>
            </w:pPr>
          </w:p>
        </w:tc>
      </w:tr>
      <w:tr w14:paraId="20C3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4711CB43">
            <w:pPr>
              <w:rPr>
                <w:rFonts w:ascii="Arial"/>
                <w:sz w:val="21"/>
              </w:rPr>
            </w:pPr>
          </w:p>
        </w:tc>
        <w:tc>
          <w:tcPr>
            <w:tcW w:w="929" w:type="dxa"/>
            <w:vAlign w:val="top"/>
          </w:tcPr>
          <w:p w14:paraId="16A1CA79">
            <w:pPr>
              <w:rPr>
                <w:rFonts w:ascii="Arial"/>
                <w:sz w:val="21"/>
              </w:rPr>
            </w:pPr>
          </w:p>
        </w:tc>
        <w:tc>
          <w:tcPr>
            <w:tcW w:w="1340" w:type="dxa"/>
            <w:vAlign w:val="top"/>
          </w:tcPr>
          <w:p w14:paraId="3F5B9898">
            <w:pPr>
              <w:rPr>
                <w:rFonts w:ascii="Arial"/>
                <w:sz w:val="21"/>
              </w:rPr>
            </w:pPr>
          </w:p>
        </w:tc>
        <w:tc>
          <w:tcPr>
            <w:tcW w:w="1356" w:type="dxa"/>
            <w:vAlign w:val="top"/>
          </w:tcPr>
          <w:p w14:paraId="6659C0D3">
            <w:pPr>
              <w:rPr>
                <w:rFonts w:ascii="Arial"/>
                <w:sz w:val="21"/>
              </w:rPr>
            </w:pPr>
          </w:p>
        </w:tc>
        <w:tc>
          <w:tcPr>
            <w:tcW w:w="1043" w:type="dxa"/>
            <w:vAlign w:val="top"/>
          </w:tcPr>
          <w:p w14:paraId="715D55D0">
            <w:pPr>
              <w:rPr>
                <w:rFonts w:ascii="Arial"/>
                <w:sz w:val="21"/>
              </w:rPr>
            </w:pPr>
          </w:p>
        </w:tc>
        <w:tc>
          <w:tcPr>
            <w:tcW w:w="604" w:type="dxa"/>
            <w:vAlign w:val="top"/>
          </w:tcPr>
          <w:p w14:paraId="4682788E">
            <w:pPr>
              <w:rPr>
                <w:rFonts w:ascii="Arial"/>
                <w:sz w:val="21"/>
              </w:rPr>
            </w:pPr>
          </w:p>
        </w:tc>
        <w:tc>
          <w:tcPr>
            <w:tcW w:w="1158" w:type="dxa"/>
            <w:vAlign w:val="top"/>
          </w:tcPr>
          <w:p w14:paraId="0157A637">
            <w:pPr>
              <w:rPr>
                <w:rFonts w:ascii="Arial"/>
                <w:sz w:val="21"/>
              </w:rPr>
            </w:pPr>
          </w:p>
        </w:tc>
        <w:tc>
          <w:tcPr>
            <w:tcW w:w="819" w:type="dxa"/>
            <w:vAlign w:val="top"/>
          </w:tcPr>
          <w:p w14:paraId="7F8BCBAD">
            <w:pPr>
              <w:rPr>
                <w:rFonts w:ascii="Arial"/>
                <w:sz w:val="21"/>
              </w:rPr>
            </w:pPr>
          </w:p>
        </w:tc>
        <w:tc>
          <w:tcPr>
            <w:tcW w:w="704" w:type="dxa"/>
            <w:tcBorders>
              <w:right w:val="single" w:color="000000" w:sz="6" w:space="0"/>
            </w:tcBorders>
            <w:vAlign w:val="top"/>
          </w:tcPr>
          <w:p w14:paraId="40FDFBD4">
            <w:pPr>
              <w:rPr>
                <w:rFonts w:ascii="Arial"/>
                <w:sz w:val="21"/>
              </w:rPr>
            </w:pPr>
          </w:p>
        </w:tc>
      </w:tr>
      <w:tr w14:paraId="65D8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6BD0A33A">
            <w:pPr>
              <w:rPr>
                <w:rFonts w:ascii="Arial"/>
                <w:sz w:val="21"/>
              </w:rPr>
            </w:pPr>
          </w:p>
        </w:tc>
        <w:tc>
          <w:tcPr>
            <w:tcW w:w="929" w:type="dxa"/>
            <w:vAlign w:val="top"/>
          </w:tcPr>
          <w:p w14:paraId="4FB5D369">
            <w:pPr>
              <w:rPr>
                <w:rFonts w:ascii="Arial"/>
                <w:sz w:val="21"/>
              </w:rPr>
            </w:pPr>
          </w:p>
        </w:tc>
        <w:tc>
          <w:tcPr>
            <w:tcW w:w="1340" w:type="dxa"/>
            <w:vAlign w:val="top"/>
          </w:tcPr>
          <w:p w14:paraId="433352D9">
            <w:pPr>
              <w:rPr>
                <w:rFonts w:ascii="Arial"/>
                <w:sz w:val="21"/>
              </w:rPr>
            </w:pPr>
          </w:p>
        </w:tc>
        <w:tc>
          <w:tcPr>
            <w:tcW w:w="1356" w:type="dxa"/>
            <w:vAlign w:val="top"/>
          </w:tcPr>
          <w:p w14:paraId="1C125673">
            <w:pPr>
              <w:rPr>
                <w:rFonts w:ascii="Arial"/>
                <w:sz w:val="21"/>
              </w:rPr>
            </w:pPr>
          </w:p>
        </w:tc>
        <w:tc>
          <w:tcPr>
            <w:tcW w:w="1043" w:type="dxa"/>
            <w:vAlign w:val="top"/>
          </w:tcPr>
          <w:p w14:paraId="63E926A3">
            <w:pPr>
              <w:rPr>
                <w:rFonts w:ascii="Arial"/>
                <w:sz w:val="21"/>
              </w:rPr>
            </w:pPr>
          </w:p>
        </w:tc>
        <w:tc>
          <w:tcPr>
            <w:tcW w:w="604" w:type="dxa"/>
            <w:vAlign w:val="top"/>
          </w:tcPr>
          <w:p w14:paraId="4953E7B2">
            <w:pPr>
              <w:rPr>
                <w:rFonts w:ascii="Arial"/>
                <w:sz w:val="21"/>
              </w:rPr>
            </w:pPr>
          </w:p>
        </w:tc>
        <w:tc>
          <w:tcPr>
            <w:tcW w:w="1158" w:type="dxa"/>
            <w:vAlign w:val="top"/>
          </w:tcPr>
          <w:p w14:paraId="506202A7">
            <w:pPr>
              <w:rPr>
                <w:rFonts w:ascii="Arial"/>
                <w:sz w:val="21"/>
              </w:rPr>
            </w:pPr>
          </w:p>
        </w:tc>
        <w:tc>
          <w:tcPr>
            <w:tcW w:w="819" w:type="dxa"/>
            <w:vAlign w:val="top"/>
          </w:tcPr>
          <w:p w14:paraId="4F2EEC08">
            <w:pPr>
              <w:rPr>
                <w:rFonts w:ascii="Arial"/>
                <w:sz w:val="21"/>
              </w:rPr>
            </w:pPr>
          </w:p>
        </w:tc>
        <w:tc>
          <w:tcPr>
            <w:tcW w:w="704" w:type="dxa"/>
            <w:tcBorders>
              <w:right w:val="single" w:color="000000" w:sz="6" w:space="0"/>
            </w:tcBorders>
            <w:vAlign w:val="top"/>
          </w:tcPr>
          <w:p w14:paraId="3F78F70B">
            <w:pPr>
              <w:rPr>
                <w:rFonts w:ascii="Arial"/>
                <w:sz w:val="21"/>
              </w:rPr>
            </w:pPr>
          </w:p>
        </w:tc>
      </w:tr>
      <w:tr w14:paraId="7204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4C76E387">
            <w:pPr>
              <w:rPr>
                <w:rFonts w:ascii="Arial"/>
                <w:sz w:val="21"/>
              </w:rPr>
            </w:pPr>
          </w:p>
        </w:tc>
        <w:tc>
          <w:tcPr>
            <w:tcW w:w="929" w:type="dxa"/>
            <w:vAlign w:val="top"/>
          </w:tcPr>
          <w:p w14:paraId="4EEBA694">
            <w:pPr>
              <w:rPr>
                <w:rFonts w:ascii="Arial"/>
                <w:sz w:val="21"/>
              </w:rPr>
            </w:pPr>
          </w:p>
        </w:tc>
        <w:tc>
          <w:tcPr>
            <w:tcW w:w="1340" w:type="dxa"/>
            <w:vAlign w:val="top"/>
          </w:tcPr>
          <w:p w14:paraId="020C7203">
            <w:pPr>
              <w:rPr>
                <w:rFonts w:ascii="Arial"/>
                <w:sz w:val="21"/>
              </w:rPr>
            </w:pPr>
          </w:p>
        </w:tc>
        <w:tc>
          <w:tcPr>
            <w:tcW w:w="1356" w:type="dxa"/>
            <w:vAlign w:val="top"/>
          </w:tcPr>
          <w:p w14:paraId="6849718C">
            <w:pPr>
              <w:rPr>
                <w:rFonts w:ascii="Arial"/>
                <w:sz w:val="21"/>
              </w:rPr>
            </w:pPr>
          </w:p>
        </w:tc>
        <w:tc>
          <w:tcPr>
            <w:tcW w:w="1043" w:type="dxa"/>
            <w:vAlign w:val="top"/>
          </w:tcPr>
          <w:p w14:paraId="147880B6">
            <w:pPr>
              <w:rPr>
                <w:rFonts w:ascii="Arial"/>
                <w:sz w:val="21"/>
              </w:rPr>
            </w:pPr>
          </w:p>
        </w:tc>
        <w:tc>
          <w:tcPr>
            <w:tcW w:w="604" w:type="dxa"/>
            <w:vAlign w:val="top"/>
          </w:tcPr>
          <w:p w14:paraId="40103A82">
            <w:pPr>
              <w:rPr>
                <w:rFonts w:ascii="Arial"/>
                <w:sz w:val="21"/>
              </w:rPr>
            </w:pPr>
          </w:p>
        </w:tc>
        <w:tc>
          <w:tcPr>
            <w:tcW w:w="1158" w:type="dxa"/>
            <w:vAlign w:val="top"/>
          </w:tcPr>
          <w:p w14:paraId="3F1BACCD">
            <w:pPr>
              <w:rPr>
                <w:rFonts w:ascii="Arial"/>
                <w:sz w:val="21"/>
              </w:rPr>
            </w:pPr>
          </w:p>
        </w:tc>
        <w:tc>
          <w:tcPr>
            <w:tcW w:w="819" w:type="dxa"/>
            <w:vAlign w:val="top"/>
          </w:tcPr>
          <w:p w14:paraId="2E14D218">
            <w:pPr>
              <w:rPr>
                <w:rFonts w:ascii="Arial"/>
                <w:sz w:val="21"/>
              </w:rPr>
            </w:pPr>
          </w:p>
        </w:tc>
        <w:tc>
          <w:tcPr>
            <w:tcW w:w="704" w:type="dxa"/>
            <w:tcBorders>
              <w:right w:val="single" w:color="000000" w:sz="6" w:space="0"/>
            </w:tcBorders>
            <w:vAlign w:val="top"/>
          </w:tcPr>
          <w:p w14:paraId="32BA5B60">
            <w:pPr>
              <w:rPr>
                <w:rFonts w:ascii="Arial"/>
                <w:sz w:val="21"/>
              </w:rPr>
            </w:pPr>
          </w:p>
        </w:tc>
      </w:tr>
      <w:tr w14:paraId="6AA2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160E2E30">
            <w:pPr>
              <w:rPr>
                <w:rFonts w:ascii="Arial"/>
                <w:sz w:val="21"/>
              </w:rPr>
            </w:pPr>
          </w:p>
        </w:tc>
        <w:tc>
          <w:tcPr>
            <w:tcW w:w="929" w:type="dxa"/>
            <w:vAlign w:val="top"/>
          </w:tcPr>
          <w:p w14:paraId="2740587F">
            <w:pPr>
              <w:rPr>
                <w:rFonts w:ascii="Arial"/>
                <w:sz w:val="21"/>
              </w:rPr>
            </w:pPr>
          </w:p>
        </w:tc>
        <w:tc>
          <w:tcPr>
            <w:tcW w:w="1340" w:type="dxa"/>
            <w:vAlign w:val="top"/>
          </w:tcPr>
          <w:p w14:paraId="6201B91C">
            <w:pPr>
              <w:rPr>
                <w:rFonts w:ascii="Arial"/>
                <w:sz w:val="21"/>
              </w:rPr>
            </w:pPr>
          </w:p>
        </w:tc>
        <w:tc>
          <w:tcPr>
            <w:tcW w:w="1356" w:type="dxa"/>
            <w:vAlign w:val="top"/>
          </w:tcPr>
          <w:p w14:paraId="6A7D3D27">
            <w:pPr>
              <w:rPr>
                <w:rFonts w:ascii="Arial"/>
                <w:sz w:val="21"/>
              </w:rPr>
            </w:pPr>
          </w:p>
        </w:tc>
        <w:tc>
          <w:tcPr>
            <w:tcW w:w="1043" w:type="dxa"/>
            <w:vAlign w:val="top"/>
          </w:tcPr>
          <w:p w14:paraId="16222660">
            <w:pPr>
              <w:rPr>
                <w:rFonts w:ascii="Arial"/>
                <w:sz w:val="21"/>
              </w:rPr>
            </w:pPr>
          </w:p>
        </w:tc>
        <w:tc>
          <w:tcPr>
            <w:tcW w:w="604" w:type="dxa"/>
            <w:vAlign w:val="top"/>
          </w:tcPr>
          <w:p w14:paraId="16DBE58E">
            <w:pPr>
              <w:rPr>
                <w:rFonts w:ascii="Arial"/>
                <w:sz w:val="21"/>
              </w:rPr>
            </w:pPr>
          </w:p>
        </w:tc>
        <w:tc>
          <w:tcPr>
            <w:tcW w:w="1158" w:type="dxa"/>
            <w:vAlign w:val="top"/>
          </w:tcPr>
          <w:p w14:paraId="75FCA2B5">
            <w:pPr>
              <w:rPr>
                <w:rFonts w:ascii="Arial"/>
                <w:sz w:val="21"/>
              </w:rPr>
            </w:pPr>
          </w:p>
        </w:tc>
        <w:tc>
          <w:tcPr>
            <w:tcW w:w="819" w:type="dxa"/>
            <w:vAlign w:val="top"/>
          </w:tcPr>
          <w:p w14:paraId="0B3E7A57">
            <w:pPr>
              <w:rPr>
                <w:rFonts w:ascii="Arial"/>
                <w:sz w:val="21"/>
              </w:rPr>
            </w:pPr>
          </w:p>
        </w:tc>
        <w:tc>
          <w:tcPr>
            <w:tcW w:w="704" w:type="dxa"/>
            <w:tcBorders>
              <w:right w:val="single" w:color="000000" w:sz="6" w:space="0"/>
            </w:tcBorders>
            <w:vAlign w:val="top"/>
          </w:tcPr>
          <w:p w14:paraId="69CAC0C9">
            <w:pPr>
              <w:rPr>
                <w:rFonts w:ascii="Arial"/>
                <w:sz w:val="21"/>
              </w:rPr>
            </w:pPr>
          </w:p>
        </w:tc>
      </w:tr>
      <w:tr w14:paraId="16610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4F9A5206">
            <w:pPr>
              <w:rPr>
                <w:rFonts w:ascii="Arial"/>
                <w:sz w:val="21"/>
              </w:rPr>
            </w:pPr>
          </w:p>
        </w:tc>
        <w:tc>
          <w:tcPr>
            <w:tcW w:w="929" w:type="dxa"/>
            <w:vAlign w:val="top"/>
          </w:tcPr>
          <w:p w14:paraId="55392377">
            <w:pPr>
              <w:rPr>
                <w:rFonts w:ascii="Arial"/>
                <w:sz w:val="21"/>
              </w:rPr>
            </w:pPr>
          </w:p>
        </w:tc>
        <w:tc>
          <w:tcPr>
            <w:tcW w:w="1340" w:type="dxa"/>
            <w:vAlign w:val="top"/>
          </w:tcPr>
          <w:p w14:paraId="42C4DDA6">
            <w:pPr>
              <w:rPr>
                <w:rFonts w:ascii="Arial"/>
                <w:sz w:val="21"/>
              </w:rPr>
            </w:pPr>
          </w:p>
        </w:tc>
        <w:tc>
          <w:tcPr>
            <w:tcW w:w="1356" w:type="dxa"/>
            <w:vAlign w:val="top"/>
          </w:tcPr>
          <w:p w14:paraId="438ABA2C">
            <w:pPr>
              <w:rPr>
                <w:rFonts w:ascii="Arial"/>
                <w:sz w:val="21"/>
              </w:rPr>
            </w:pPr>
          </w:p>
        </w:tc>
        <w:tc>
          <w:tcPr>
            <w:tcW w:w="1043" w:type="dxa"/>
            <w:vAlign w:val="top"/>
          </w:tcPr>
          <w:p w14:paraId="30E94485">
            <w:pPr>
              <w:rPr>
                <w:rFonts w:ascii="Arial"/>
                <w:sz w:val="21"/>
              </w:rPr>
            </w:pPr>
          </w:p>
        </w:tc>
        <w:tc>
          <w:tcPr>
            <w:tcW w:w="604" w:type="dxa"/>
            <w:vAlign w:val="top"/>
          </w:tcPr>
          <w:p w14:paraId="4EB6CB3A">
            <w:pPr>
              <w:rPr>
                <w:rFonts w:ascii="Arial"/>
                <w:sz w:val="21"/>
              </w:rPr>
            </w:pPr>
          </w:p>
        </w:tc>
        <w:tc>
          <w:tcPr>
            <w:tcW w:w="1158" w:type="dxa"/>
            <w:vAlign w:val="top"/>
          </w:tcPr>
          <w:p w14:paraId="413CC4A1">
            <w:pPr>
              <w:rPr>
                <w:rFonts w:ascii="Arial"/>
                <w:sz w:val="21"/>
              </w:rPr>
            </w:pPr>
          </w:p>
        </w:tc>
        <w:tc>
          <w:tcPr>
            <w:tcW w:w="819" w:type="dxa"/>
            <w:vAlign w:val="top"/>
          </w:tcPr>
          <w:p w14:paraId="1C6F5975">
            <w:pPr>
              <w:rPr>
                <w:rFonts w:ascii="Arial"/>
                <w:sz w:val="21"/>
              </w:rPr>
            </w:pPr>
          </w:p>
        </w:tc>
        <w:tc>
          <w:tcPr>
            <w:tcW w:w="704" w:type="dxa"/>
            <w:tcBorders>
              <w:right w:val="single" w:color="000000" w:sz="6" w:space="0"/>
            </w:tcBorders>
            <w:vAlign w:val="top"/>
          </w:tcPr>
          <w:p w14:paraId="2CE64614">
            <w:pPr>
              <w:rPr>
                <w:rFonts w:ascii="Arial"/>
                <w:sz w:val="21"/>
              </w:rPr>
            </w:pPr>
          </w:p>
        </w:tc>
      </w:tr>
      <w:tr w14:paraId="42C9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80" w:type="dxa"/>
            <w:tcBorders>
              <w:left w:val="single" w:color="000000" w:sz="6" w:space="0"/>
            </w:tcBorders>
            <w:vAlign w:val="top"/>
          </w:tcPr>
          <w:p w14:paraId="71771E13">
            <w:pPr>
              <w:rPr>
                <w:rFonts w:ascii="Arial"/>
                <w:sz w:val="21"/>
              </w:rPr>
            </w:pPr>
          </w:p>
        </w:tc>
        <w:tc>
          <w:tcPr>
            <w:tcW w:w="929" w:type="dxa"/>
            <w:vAlign w:val="top"/>
          </w:tcPr>
          <w:p w14:paraId="399C7FF2">
            <w:pPr>
              <w:rPr>
                <w:rFonts w:ascii="Arial"/>
                <w:sz w:val="21"/>
              </w:rPr>
            </w:pPr>
          </w:p>
        </w:tc>
        <w:tc>
          <w:tcPr>
            <w:tcW w:w="1340" w:type="dxa"/>
            <w:vAlign w:val="top"/>
          </w:tcPr>
          <w:p w14:paraId="13E693D1">
            <w:pPr>
              <w:rPr>
                <w:rFonts w:ascii="Arial"/>
                <w:sz w:val="21"/>
              </w:rPr>
            </w:pPr>
          </w:p>
        </w:tc>
        <w:tc>
          <w:tcPr>
            <w:tcW w:w="1356" w:type="dxa"/>
            <w:vAlign w:val="top"/>
          </w:tcPr>
          <w:p w14:paraId="41B3FA5A">
            <w:pPr>
              <w:rPr>
                <w:rFonts w:ascii="Arial"/>
                <w:sz w:val="21"/>
              </w:rPr>
            </w:pPr>
          </w:p>
        </w:tc>
        <w:tc>
          <w:tcPr>
            <w:tcW w:w="1043" w:type="dxa"/>
            <w:vAlign w:val="top"/>
          </w:tcPr>
          <w:p w14:paraId="671DE09A">
            <w:pPr>
              <w:rPr>
                <w:rFonts w:ascii="Arial"/>
                <w:sz w:val="21"/>
              </w:rPr>
            </w:pPr>
          </w:p>
        </w:tc>
        <w:tc>
          <w:tcPr>
            <w:tcW w:w="604" w:type="dxa"/>
            <w:vAlign w:val="top"/>
          </w:tcPr>
          <w:p w14:paraId="307F10FB">
            <w:pPr>
              <w:rPr>
                <w:rFonts w:ascii="Arial"/>
                <w:sz w:val="21"/>
              </w:rPr>
            </w:pPr>
          </w:p>
        </w:tc>
        <w:tc>
          <w:tcPr>
            <w:tcW w:w="1158" w:type="dxa"/>
            <w:vAlign w:val="top"/>
          </w:tcPr>
          <w:p w14:paraId="016F8199">
            <w:pPr>
              <w:rPr>
                <w:rFonts w:ascii="Arial"/>
                <w:sz w:val="21"/>
              </w:rPr>
            </w:pPr>
          </w:p>
        </w:tc>
        <w:tc>
          <w:tcPr>
            <w:tcW w:w="819" w:type="dxa"/>
            <w:vAlign w:val="top"/>
          </w:tcPr>
          <w:p w14:paraId="4BE0A5B8">
            <w:pPr>
              <w:rPr>
                <w:rFonts w:ascii="Arial"/>
                <w:sz w:val="21"/>
              </w:rPr>
            </w:pPr>
          </w:p>
        </w:tc>
        <w:tc>
          <w:tcPr>
            <w:tcW w:w="704" w:type="dxa"/>
            <w:tcBorders>
              <w:right w:val="single" w:color="000000" w:sz="6" w:space="0"/>
            </w:tcBorders>
            <w:vAlign w:val="top"/>
          </w:tcPr>
          <w:p w14:paraId="1CA766A0">
            <w:pPr>
              <w:rPr>
                <w:rFonts w:ascii="Arial"/>
                <w:sz w:val="21"/>
              </w:rPr>
            </w:pPr>
          </w:p>
        </w:tc>
      </w:tr>
      <w:tr w14:paraId="5E65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4C7F1BC8">
            <w:pPr>
              <w:rPr>
                <w:rFonts w:ascii="Arial"/>
                <w:sz w:val="21"/>
              </w:rPr>
            </w:pPr>
          </w:p>
        </w:tc>
        <w:tc>
          <w:tcPr>
            <w:tcW w:w="929" w:type="dxa"/>
            <w:vAlign w:val="top"/>
          </w:tcPr>
          <w:p w14:paraId="41A690F3">
            <w:pPr>
              <w:rPr>
                <w:rFonts w:ascii="Arial"/>
                <w:sz w:val="21"/>
              </w:rPr>
            </w:pPr>
          </w:p>
        </w:tc>
        <w:tc>
          <w:tcPr>
            <w:tcW w:w="1340" w:type="dxa"/>
            <w:vAlign w:val="top"/>
          </w:tcPr>
          <w:p w14:paraId="663763D0">
            <w:pPr>
              <w:rPr>
                <w:rFonts w:ascii="Arial"/>
                <w:sz w:val="21"/>
              </w:rPr>
            </w:pPr>
          </w:p>
        </w:tc>
        <w:tc>
          <w:tcPr>
            <w:tcW w:w="1356" w:type="dxa"/>
            <w:vAlign w:val="top"/>
          </w:tcPr>
          <w:p w14:paraId="71C2448A">
            <w:pPr>
              <w:rPr>
                <w:rFonts w:ascii="Arial"/>
                <w:sz w:val="21"/>
              </w:rPr>
            </w:pPr>
          </w:p>
        </w:tc>
        <w:tc>
          <w:tcPr>
            <w:tcW w:w="1043" w:type="dxa"/>
            <w:vAlign w:val="top"/>
          </w:tcPr>
          <w:p w14:paraId="47D11A7B">
            <w:pPr>
              <w:rPr>
                <w:rFonts w:ascii="Arial"/>
                <w:sz w:val="21"/>
              </w:rPr>
            </w:pPr>
          </w:p>
        </w:tc>
        <w:tc>
          <w:tcPr>
            <w:tcW w:w="604" w:type="dxa"/>
            <w:vAlign w:val="top"/>
          </w:tcPr>
          <w:p w14:paraId="3E19108A">
            <w:pPr>
              <w:rPr>
                <w:rFonts w:ascii="Arial"/>
                <w:sz w:val="21"/>
              </w:rPr>
            </w:pPr>
          </w:p>
        </w:tc>
        <w:tc>
          <w:tcPr>
            <w:tcW w:w="1158" w:type="dxa"/>
            <w:vAlign w:val="top"/>
          </w:tcPr>
          <w:p w14:paraId="64111A47">
            <w:pPr>
              <w:rPr>
                <w:rFonts w:ascii="Arial"/>
                <w:sz w:val="21"/>
              </w:rPr>
            </w:pPr>
          </w:p>
        </w:tc>
        <w:tc>
          <w:tcPr>
            <w:tcW w:w="819" w:type="dxa"/>
            <w:vAlign w:val="top"/>
          </w:tcPr>
          <w:p w14:paraId="3366CA67">
            <w:pPr>
              <w:rPr>
                <w:rFonts w:ascii="Arial"/>
                <w:sz w:val="21"/>
              </w:rPr>
            </w:pPr>
          </w:p>
        </w:tc>
        <w:tc>
          <w:tcPr>
            <w:tcW w:w="704" w:type="dxa"/>
            <w:tcBorders>
              <w:right w:val="single" w:color="000000" w:sz="6" w:space="0"/>
            </w:tcBorders>
            <w:vAlign w:val="top"/>
          </w:tcPr>
          <w:p w14:paraId="74BC7355">
            <w:pPr>
              <w:rPr>
                <w:rFonts w:ascii="Arial"/>
                <w:sz w:val="21"/>
              </w:rPr>
            </w:pPr>
          </w:p>
        </w:tc>
      </w:tr>
      <w:tr w14:paraId="3AF0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80" w:type="dxa"/>
            <w:tcBorders>
              <w:left w:val="single" w:color="000000" w:sz="6" w:space="0"/>
            </w:tcBorders>
            <w:vAlign w:val="top"/>
          </w:tcPr>
          <w:p w14:paraId="7958B55E">
            <w:pPr>
              <w:rPr>
                <w:rFonts w:ascii="Arial"/>
                <w:sz w:val="21"/>
              </w:rPr>
            </w:pPr>
          </w:p>
        </w:tc>
        <w:tc>
          <w:tcPr>
            <w:tcW w:w="929" w:type="dxa"/>
            <w:vAlign w:val="top"/>
          </w:tcPr>
          <w:p w14:paraId="0EE81B11">
            <w:pPr>
              <w:rPr>
                <w:rFonts w:ascii="Arial"/>
                <w:sz w:val="21"/>
              </w:rPr>
            </w:pPr>
          </w:p>
        </w:tc>
        <w:tc>
          <w:tcPr>
            <w:tcW w:w="1340" w:type="dxa"/>
            <w:vAlign w:val="top"/>
          </w:tcPr>
          <w:p w14:paraId="62AE64A4">
            <w:pPr>
              <w:rPr>
                <w:rFonts w:ascii="Arial"/>
                <w:sz w:val="21"/>
              </w:rPr>
            </w:pPr>
          </w:p>
        </w:tc>
        <w:tc>
          <w:tcPr>
            <w:tcW w:w="1356" w:type="dxa"/>
            <w:vAlign w:val="top"/>
          </w:tcPr>
          <w:p w14:paraId="2E3A7973">
            <w:pPr>
              <w:rPr>
                <w:rFonts w:ascii="Arial"/>
                <w:sz w:val="21"/>
              </w:rPr>
            </w:pPr>
          </w:p>
        </w:tc>
        <w:tc>
          <w:tcPr>
            <w:tcW w:w="1043" w:type="dxa"/>
            <w:vAlign w:val="top"/>
          </w:tcPr>
          <w:p w14:paraId="08E501B7">
            <w:pPr>
              <w:rPr>
                <w:rFonts w:ascii="Arial"/>
                <w:sz w:val="21"/>
              </w:rPr>
            </w:pPr>
          </w:p>
        </w:tc>
        <w:tc>
          <w:tcPr>
            <w:tcW w:w="604" w:type="dxa"/>
            <w:vAlign w:val="top"/>
          </w:tcPr>
          <w:p w14:paraId="778EEFEF">
            <w:pPr>
              <w:rPr>
                <w:rFonts w:ascii="Arial"/>
                <w:sz w:val="21"/>
              </w:rPr>
            </w:pPr>
          </w:p>
        </w:tc>
        <w:tc>
          <w:tcPr>
            <w:tcW w:w="1158" w:type="dxa"/>
            <w:vAlign w:val="top"/>
          </w:tcPr>
          <w:p w14:paraId="2C3FBE8C">
            <w:pPr>
              <w:rPr>
                <w:rFonts w:ascii="Arial"/>
                <w:sz w:val="21"/>
              </w:rPr>
            </w:pPr>
          </w:p>
        </w:tc>
        <w:tc>
          <w:tcPr>
            <w:tcW w:w="819" w:type="dxa"/>
            <w:vAlign w:val="top"/>
          </w:tcPr>
          <w:p w14:paraId="5F5E8600">
            <w:pPr>
              <w:rPr>
                <w:rFonts w:ascii="Arial"/>
                <w:sz w:val="21"/>
              </w:rPr>
            </w:pPr>
          </w:p>
        </w:tc>
        <w:tc>
          <w:tcPr>
            <w:tcW w:w="704" w:type="dxa"/>
            <w:tcBorders>
              <w:right w:val="single" w:color="000000" w:sz="6" w:space="0"/>
            </w:tcBorders>
            <w:vAlign w:val="top"/>
          </w:tcPr>
          <w:p w14:paraId="7CE5A0E3">
            <w:pPr>
              <w:rPr>
                <w:rFonts w:ascii="Arial"/>
                <w:sz w:val="21"/>
              </w:rPr>
            </w:pPr>
          </w:p>
        </w:tc>
      </w:tr>
      <w:tr w14:paraId="64AE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410" w:type="dxa"/>
            <w:gridSpan w:val="7"/>
            <w:tcBorders>
              <w:left w:val="single" w:color="000000" w:sz="6" w:space="0"/>
              <w:bottom w:val="single" w:color="000000" w:sz="6" w:space="0"/>
            </w:tcBorders>
            <w:vAlign w:val="top"/>
          </w:tcPr>
          <w:p w14:paraId="68751727">
            <w:pPr>
              <w:pStyle w:val="11"/>
              <w:spacing w:before="73" w:line="230" w:lineRule="auto"/>
              <w:ind w:left="3507"/>
              <w:rPr>
                <w:sz w:val="19"/>
                <w:szCs w:val="19"/>
              </w:rPr>
            </w:pPr>
            <w:r>
              <w:rPr>
                <w:spacing w:val="4"/>
                <w:sz w:val="19"/>
                <w:szCs w:val="19"/>
              </w:rPr>
              <w:t>合计</w:t>
            </w:r>
          </w:p>
        </w:tc>
        <w:tc>
          <w:tcPr>
            <w:tcW w:w="819" w:type="dxa"/>
            <w:tcBorders>
              <w:bottom w:val="single" w:color="000000" w:sz="6" w:space="0"/>
            </w:tcBorders>
            <w:vAlign w:val="top"/>
          </w:tcPr>
          <w:p w14:paraId="055A500B">
            <w:pPr>
              <w:rPr>
                <w:rFonts w:ascii="Arial"/>
                <w:sz w:val="21"/>
              </w:rPr>
            </w:pPr>
          </w:p>
        </w:tc>
        <w:tc>
          <w:tcPr>
            <w:tcW w:w="704" w:type="dxa"/>
            <w:tcBorders>
              <w:bottom w:val="single" w:color="000000" w:sz="6" w:space="0"/>
              <w:right w:val="single" w:color="000000" w:sz="6" w:space="0"/>
            </w:tcBorders>
            <w:vAlign w:val="top"/>
          </w:tcPr>
          <w:p w14:paraId="0DC22BAF">
            <w:pPr>
              <w:rPr>
                <w:rFonts w:ascii="Arial"/>
                <w:sz w:val="21"/>
              </w:rPr>
            </w:pPr>
          </w:p>
        </w:tc>
      </w:tr>
    </w:tbl>
    <w:p w14:paraId="5D7C15B9">
      <w:pPr>
        <w:spacing w:before="27" w:line="218" w:lineRule="auto"/>
        <w:ind w:left="124"/>
        <w:rPr>
          <w:rFonts w:ascii="宋体" w:hAnsi="宋体" w:eastAsia="宋体" w:cs="宋体"/>
          <w:sz w:val="18"/>
          <w:szCs w:val="18"/>
        </w:rPr>
      </w:pPr>
      <w:r>
        <w:rPr>
          <w:rFonts w:ascii="宋体" w:hAnsi="宋体" w:eastAsia="宋体" w:cs="宋体"/>
          <w:sz w:val="18"/>
          <w:szCs w:val="18"/>
        </w:rPr>
        <w:t>注：投标人应将上述材料、工程设备估单价计入工程量清单综合单价报价中。      法定代表人</w:t>
      </w:r>
    </w:p>
    <w:p w14:paraId="42744072">
      <w:pPr>
        <w:spacing w:before="20" w:line="220" w:lineRule="auto"/>
        <w:ind w:left="6876"/>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z w:val="18"/>
          <w:szCs w:val="18"/>
        </w:rPr>
        <w:t>）</w:t>
      </w:r>
      <w:r>
        <w:rPr>
          <w:rFonts w:ascii="宋体" w:hAnsi="宋体" w:eastAsia="宋体" w:cs="宋体"/>
          <w:spacing w:val="2"/>
          <w:sz w:val="18"/>
          <w:szCs w:val="18"/>
        </w:rPr>
        <w:t xml:space="preserve"> </w:t>
      </w:r>
      <w:r>
        <w:rPr>
          <w:rFonts w:ascii="宋体" w:hAnsi="宋体" w:eastAsia="宋体" w:cs="宋体"/>
          <w:sz w:val="18"/>
          <w:szCs w:val="18"/>
        </w:rPr>
        <w:t>：</w:t>
      </w:r>
    </w:p>
    <w:p w14:paraId="1912C0E5">
      <w:pPr>
        <w:spacing w:before="19" w:line="213" w:lineRule="auto"/>
        <w:ind w:left="6864"/>
        <w:rPr>
          <w:rFonts w:ascii="宋体" w:hAnsi="宋体" w:eastAsia="宋体" w:cs="宋体"/>
          <w:sz w:val="18"/>
          <w:szCs w:val="18"/>
        </w:rPr>
      </w:pPr>
      <w:r>
        <w:rPr>
          <w:rFonts w:ascii="宋体" w:hAnsi="宋体" w:eastAsia="宋体" w:cs="宋体"/>
          <w:spacing w:val="-1"/>
          <w:sz w:val="18"/>
          <w:szCs w:val="18"/>
        </w:rPr>
        <w:t>___________（签字）</w:t>
      </w:r>
    </w:p>
    <w:p w14:paraId="155C3418">
      <w:pPr>
        <w:spacing w:line="213" w:lineRule="auto"/>
        <w:rPr>
          <w:rFonts w:ascii="宋体" w:hAnsi="宋体" w:eastAsia="宋体" w:cs="宋体"/>
          <w:sz w:val="18"/>
          <w:szCs w:val="18"/>
        </w:rPr>
        <w:sectPr>
          <w:footerReference r:id="rId162" w:type="default"/>
          <w:pgSz w:w="11905" w:h="16843"/>
          <w:pgMar w:top="969" w:right="1355" w:bottom="1026" w:left="1480" w:header="0" w:footer="754" w:gutter="0"/>
          <w:cols w:space="0" w:num="1"/>
          <w:rtlGutter w:val="0"/>
          <w:docGrid w:linePitch="0" w:charSpace="0"/>
        </w:sectPr>
      </w:pPr>
    </w:p>
    <w:p w14:paraId="346DE243">
      <w:pPr>
        <w:pStyle w:val="5"/>
        <w:spacing w:line="243" w:lineRule="auto"/>
      </w:pPr>
    </w:p>
    <w:p w14:paraId="5851B30F">
      <w:pPr>
        <w:pStyle w:val="5"/>
        <w:spacing w:line="244" w:lineRule="auto"/>
      </w:pPr>
    </w:p>
    <w:p w14:paraId="4AA83047">
      <w:pPr>
        <w:pStyle w:val="5"/>
        <w:spacing w:line="244" w:lineRule="auto"/>
      </w:pPr>
    </w:p>
    <w:p w14:paraId="43DE3FDF">
      <w:pPr>
        <w:pStyle w:val="5"/>
        <w:spacing w:line="244" w:lineRule="auto"/>
      </w:pPr>
    </w:p>
    <w:p w14:paraId="351EB195">
      <w:pPr>
        <w:spacing w:before="78" w:line="233" w:lineRule="auto"/>
        <w:ind w:left="151"/>
        <w:outlineLvl w:val="2"/>
        <w:rPr>
          <w:rFonts w:ascii="黑体" w:hAnsi="黑体" w:eastAsia="黑体" w:cs="黑体"/>
          <w:sz w:val="24"/>
          <w:szCs w:val="24"/>
        </w:rPr>
      </w:pPr>
      <w:bookmarkStart w:id="1271" w:name="bookmark387"/>
      <w:bookmarkEnd w:id="1271"/>
      <w:r>
        <w:rPr>
          <w:rFonts w:ascii="Times New Roman" w:hAnsi="Times New Roman" w:eastAsia="Times New Roman" w:cs="Times New Roman"/>
          <w:spacing w:val="-1"/>
          <w:sz w:val="24"/>
          <w:szCs w:val="24"/>
        </w:rPr>
        <w:t xml:space="preserve">3.13 </w:t>
      </w:r>
      <w:r>
        <w:rPr>
          <w:rFonts w:ascii="黑体" w:hAnsi="黑体" w:eastAsia="黑体" w:cs="黑体"/>
          <w:spacing w:val="-1"/>
          <w:sz w:val="24"/>
          <w:szCs w:val="24"/>
        </w:rPr>
        <w:t>工程单价汇总表</w:t>
      </w:r>
    </w:p>
    <w:p w14:paraId="1C5EB770">
      <w:pPr>
        <w:spacing w:before="126" w:line="218" w:lineRule="auto"/>
        <w:ind w:left="5531"/>
        <w:rPr>
          <w:rFonts w:ascii="宋体" w:hAnsi="宋体" w:eastAsia="宋体" w:cs="宋体"/>
          <w:sz w:val="40"/>
          <w:szCs w:val="40"/>
        </w:rPr>
      </w:pPr>
      <w:bookmarkStart w:id="1272" w:name="bookmark621"/>
      <w:bookmarkEnd w:id="1272"/>
      <w:r>
        <w:rPr>
          <w:rFonts w:ascii="宋体" w:hAnsi="宋体" w:eastAsia="宋体" w:cs="宋体"/>
          <w:b/>
          <w:bCs/>
          <w:spacing w:val="-6"/>
          <w:sz w:val="40"/>
          <w:szCs w:val="40"/>
        </w:rPr>
        <w:t>工程单价汇总表</w:t>
      </w:r>
    </w:p>
    <w:p w14:paraId="3FD94C21">
      <w:pPr>
        <w:spacing w:before="188"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2064F83B">
      <w:pPr>
        <w:spacing w:before="297" w:line="220" w:lineRule="auto"/>
        <w:ind w:left="127"/>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w:t>
      </w:r>
      <w:r>
        <w:rPr>
          <w:rFonts w:ascii="宋体" w:hAnsi="宋体" w:eastAsia="宋体" w:cs="宋体"/>
          <w:spacing w:val="22"/>
          <w:sz w:val="18"/>
          <w:szCs w:val="18"/>
        </w:rPr>
        <w:t xml:space="preserve"> </w:t>
      </w:r>
      <w:r>
        <w:rPr>
          <w:rFonts w:ascii="宋体" w:hAnsi="宋体" w:eastAsia="宋体" w:cs="宋体"/>
          <w:spacing w:val="-3"/>
          <w:sz w:val="18"/>
          <w:szCs w:val="18"/>
        </w:rPr>
        <w:t>1 页、共</w:t>
      </w:r>
      <w:r>
        <w:rPr>
          <w:rFonts w:ascii="宋体" w:hAnsi="宋体" w:eastAsia="宋体" w:cs="宋体"/>
          <w:spacing w:val="19"/>
          <w:sz w:val="18"/>
          <w:szCs w:val="18"/>
        </w:rPr>
        <w:t xml:space="preserve"> </w:t>
      </w:r>
      <w:r>
        <w:rPr>
          <w:rFonts w:ascii="宋体" w:hAnsi="宋体" w:eastAsia="宋体" w:cs="宋体"/>
          <w:spacing w:val="-3"/>
          <w:sz w:val="18"/>
          <w:szCs w:val="18"/>
        </w:rPr>
        <w:t>1 页</w:t>
      </w:r>
    </w:p>
    <w:p w14:paraId="0DEA1676">
      <w:pPr>
        <w:spacing w:line="176" w:lineRule="exact"/>
      </w:pPr>
    </w:p>
    <w:tbl>
      <w:tblPr>
        <w:tblStyle w:val="10"/>
        <w:tblW w:w="1382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259"/>
        <w:gridCol w:w="1504"/>
        <w:gridCol w:w="678"/>
        <w:gridCol w:w="909"/>
        <w:gridCol w:w="813"/>
        <w:gridCol w:w="892"/>
        <w:gridCol w:w="894"/>
        <w:gridCol w:w="892"/>
        <w:gridCol w:w="907"/>
        <w:gridCol w:w="815"/>
        <w:gridCol w:w="988"/>
        <w:gridCol w:w="767"/>
        <w:gridCol w:w="815"/>
        <w:gridCol w:w="1019"/>
      </w:tblGrid>
      <w:tr w14:paraId="3CEB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69" w:type="dxa"/>
            <w:vMerge w:val="restart"/>
            <w:tcBorders>
              <w:top w:val="single" w:color="000000" w:sz="6" w:space="0"/>
              <w:left w:val="single" w:color="000000" w:sz="4" w:space="0"/>
              <w:bottom w:val="nil"/>
            </w:tcBorders>
            <w:vAlign w:val="top"/>
          </w:tcPr>
          <w:p w14:paraId="2F4DB930">
            <w:pPr>
              <w:spacing w:line="462" w:lineRule="auto"/>
              <w:rPr>
                <w:rFonts w:ascii="Arial"/>
                <w:sz w:val="21"/>
              </w:rPr>
            </w:pPr>
          </w:p>
          <w:p w14:paraId="3D658A40">
            <w:pPr>
              <w:pStyle w:val="11"/>
              <w:spacing w:before="59" w:line="221" w:lineRule="auto"/>
              <w:ind w:left="152"/>
              <w:rPr>
                <w:sz w:val="18"/>
                <w:szCs w:val="18"/>
              </w:rPr>
            </w:pPr>
            <w:r>
              <w:rPr>
                <w:spacing w:val="-2"/>
                <w:sz w:val="18"/>
                <w:szCs w:val="18"/>
              </w:rPr>
              <w:t>序号</w:t>
            </w:r>
          </w:p>
        </w:tc>
        <w:tc>
          <w:tcPr>
            <w:tcW w:w="1259" w:type="dxa"/>
            <w:vMerge w:val="restart"/>
            <w:tcBorders>
              <w:top w:val="single" w:color="000000" w:sz="6" w:space="0"/>
              <w:bottom w:val="nil"/>
            </w:tcBorders>
            <w:vAlign w:val="top"/>
          </w:tcPr>
          <w:p w14:paraId="2FC6AB23">
            <w:pPr>
              <w:spacing w:line="462" w:lineRule="auto"/>
              <w:rPr>
                <w:rFonts w:ascii="Arial"/>
                <w:sz w:val="21"/>
              </w:rPr>
            </w:pPr>
          </w:p>
          <w:p w14:paraId="5DE15965">
            <w:pPr>
              <w:pStyle w:val="11"/>
              <w:spacing w:before="58" w:line="220" w:lineRule="auto"/>
              <w:ind w:left="267"/>
              <w:rPr>
                <w:sz w:val="18"/>
                <w:szCs w:val="18"/>
              </w:rPr>
            </w:pPr>
            <w:r>
              <w:rPr>
                <w:spacing w:val="-2"/>
                <w:sz w:val="18"/>
                <w:szCs w:val="18"/>
              </w:rPr>
              <w:t>项目编码</w:t>
            </w:r>
          </w:p>
        </w:tc>
        <w:tc>
          <w:tcPr>
            <w:tcW w:w="1504" w:type="dxa"/>
            <w:vMerge w:val="restart"/>
            <w:tcBorders>
              <w:top w:val="single" w:color="000000" w:sz="6" w:space="0"/>
              <w:bottom w:val="nil"/>
            </w:tcBorders>
            <w:vAlign w:val="top"/>
          </w:tcPr>
          <w:p w14:paraId="19F5E5D1">
            <w:pPr>
              <w:spacing w:line="462" w:lineRule="auto"/>
              <w:rPr>
                <w:rFonts w:ascii="Arial"/>
                <w:sz w:val="21"/>
              </w:rPr>
            </w:pPr>
          </w:p>
          <w:p w14:paraId="707CE419">
            <w:pPr>
              <w:pStyle w:val="11"/>
              <w:spacing w:before="59" w:line="220" w:lineRule="auto"/>
              <w:ind w:left="393"/>
              <w:rPr>
                <w:sz w:val="18"/>
                <w:szCs w:val="18"/>
              </w:rPr>
            </w:pPr>
            <w:r>
              <w:rPr>
                <w:spacing w:val="-2"/>
                <w:sz w:val="18"/>
                <w:szCs w:val="18"/>
              </w:rPr>
              <w:t>项目名称</w:t>
            </w:r>
          </w:p>
        </w:tc>
        <w:tc>
          <w:tcPr>
            <w:tcW w:w="678" w:type="dxa"/>
            <w:vMerge w:val="restart"/>
            <w:tcBorders>
              <w:top w:val="single" w:color="000000" w:sz="6" w:space="0"/>
              <w:bottom w:val="nil"/>
            </w:tcBorders>
            <w:vAlign w:val="top"/>
          </w:tcPr>
          <w:p w14:paraId="607C3B7E">
            <w:pPr>
              <w:spacing w:line="346" w:lineRule="auto"/>
              <w:rPr>
                <w:rFonts w:ascii="Arial"/>
                <w:sz w:val="21"/>
              </w:rPr>
            </w:pPr>
          </w:p>
          <w:p w14:paraId="35362E45">
            <w:pPr>
              <w:pStyle w:val="11"/>
              <w:spacing w:before="58" w:line="241" w:lineRule="auto"/>
              <w:ind w:left="159" w:right="161" w:hanging="1"/>
              <w:rPr>
                <w:sz w:val="18"/>
                <w:szCs w:val="18"/>
              </w:rPr>
            </w:pPr>
            <w:r>
              <w:rPr>
                <w:spacing w:val="-4"/>
                <w:sz w:val="18"/>
                <w:szCs w:val="18"/>
              </w:rPr>
              <w:t>计量</w:t>
            </w:r>
            <w:r>
              <w:rPr>
                <w:spacing w:val="-5"/>
                <w:sz w:val="18"/>
                <w:szCs w:val="18"/>
              </w:rPr>
              <w:t>单位</w:t>
            </w:r>
          </w:p>
        </w:tc>
        <w:tc>
          <w:tcPr>
            <w:tcW w:w="3508" w:type="dxa"/>
            <w:gridSpan w:val="4"/>
            <w:tcBorders>
              <w:top w:val="single" w:color="000000" w:sz="6" w:space="0"/>
            </w:tcBorders>
            <w:vAlign w:val="top"/>
          </w:tcPr>
          <w:p w14:paraId="15EF2184">
            <w:pPr>
              <w:pStyle w:val="11"/>
              <w:spacing w:before="214" w:line="219" w:lineRule="auto"/>
              <w:ind w:left="1304"/>
              <w:rPr>
                <w:sz w:val="18"/>
                <w:szCs w:val="18"/>
              </w:rPr>
            </w:pPr>
            <w:r>
              <w:rPr>
                <w:spacing w:val="-2"/>
                <w:sz w:val="18"/>
                <w:szCs w:val="18"/>
              </w:rPr>
              <w:t>基本直接费</w:t>
            </w:r>
          </w:p>
        </w:tc>
        <w:tc>
          <w:tcPr>
            <w:tcW w:w="892" w:type="dxa"/>
            <w:vMerge w:val="restart"/>
            <w:tcBorders>
              <w:top w:val="single" w:color="000000" w:sz="6" w:space="0"/>
              <w:bottom w:val="nil"/>
            </w:tcBorders>
            <w:vAlign w:val="top"/>
          </w:tcPr>
          <w:p w14:paraId="0D951B98">
            <w:pPr>
              <w:spacing w:line="462" w:lineRule="auto"/>
              <w:rPr>
                <w:rFonts w:ascii="Arial"/>
                <w:sz w:val="21"/>
              </w:rPr>
            </w:pPr>
          </w:p>
          <w:p w14:paraId="723502DF">
            <w:pPr>
              <w:pStyle w:val="11"/>
              <w:spacing w:before="59" w:line="220" w:lineRule="auto"/>
              <w:ind w:left="180"/>
              <w:rPr>
                <w:sz w:val="18"/>
                <w:szCs w:val="18"/>
              </w:rPr>
            </w:pPr>
            <w:r>
              <w:rPr>
                <w:spacing w:val="-2"/>
                <w:sz w:val="18"/>
                <w:szCs w:val="18"/>
              </w:rPr>
              <w:t>措施费</w:t>
            </w:r>
          </w:p>
        </w:tc>
        <w:tc>
          <w:tcPr>
            <w:tcW w:w="907" w:type="dxa"/>
            <w:vMerge w:val="restart"/>
            <w:tcBorders>
              <w:top w:val="single" w:color="000000" w:sz="6" w:space="0"/>
              <w:bottom w:val="nil"/>
            </w:tcBorders>
            <w:vAlign w:val="top"/>
          </w:tcPr>
          <w:p w14:paraId="6FEF1FBA">
            <w:pPr>
              <w:spacing w:line="462" w:lineRule="auto"/>
              <w:rPr>
                <w:rFonts w:ascii="Arial"/>
                <w:sz w:val="21"/>
              </w:rPr>
            </w:pPr>
          </w:p>
          <w:p w14:paraId="2F74F960">
            <w:pPr>
              <w:pStyle w:val="11"/>
              <w:spacing w:before="59" w:line="220" w:lineRule="auto"/>
              <w:ind w:left="202"/>
              <w:rPr>
                <w:sz w:val="18"/>
                <w:szCs w:val="18"/>
              </w:rPr>
            </w:pPr>
            <w:r>
              <w:rPr>
                <w:spacing w:val="-5"/>
                <w:sz w:val="18"/>
                <w:szCs w:val="18"/>
              </w:rPr>
              <w:t>间接费</w:t>
            </w:r>
          </w:p>
        </w:tc>
        <w:tc>
          <w:tcPr>
            <w:tcW w:w="815" w:type="dxa"/>
            <w:vMerge w:val="restart"/>
            <w:tcBorders>
              <w:top w:val="single" w:color="000000" w:sz="6" w:space="0"/>
              <w:bottom w:val="nil"/>
            </w:tcBorders>
            <w:vAlign w:val="top"/>
          </w:tcPr>
          <w:p w14:paraId="0F656A49">
            <w:pPr>
              <w:spacing w:line="346" w:lineRule="auto"/>
              <w:rPr>
                <w:rFonts w:ascii="Arial"/>
                <w:sz w:val="21"/>
              </w:rPr>
            </w:pPr>
          </w:p>
          <w:p w14:paraId="1E0771FA">
            <w:pPr>
              <w:pStyle w:val="11"/>
              <w:spacing w:before="58" w:line="241" w:lineRule="auto"/>
              <w:ind w:left="324" w:right="133" w:hanging="178"/>
              <w:rPr>
                <w:sz w:val="18"/>
                <w:szCs w:val="18"/>
              </w:rPr>
            </w:pPr>
            <w:r>
              <w:rPr>
                <w:spacing w:val="-4"/>
                <w:sz w:val="18"/>
                <w:szCs w:val="18"/>
              </w:rPr>
              <w:t>企业利</w:t>
            </w:r>
            <w:r>
              <w:rPr>
                <w:sz w:val="18"/>
                <w:szCs w:val="18"/>
              </w:rPr>
              <w:t>润</w:t>
            </w:r>
          </w:p>
        </w:tc>
        <w:tc>
          <w:tcPr>
            <w:tcW w:w="988" w:type="dxa"/>
            <w:vMerge w:val="restart"/>
            <w:tcBorders>
              <w:top w:val="single" w:color="000000" w:sz="6" w:space="0"/>
              <w:bottom w:val="nil"/>
            </w:tcBorders>
            <w:vAlign w:val="top"/>
          </w:tcPr>
          <w:p w14:paraId="21258D4D">
            <w:pPr>
              <w:pStyle w:val="11"/>
              <w:spacing w:before="288" w:line="218" w:lineRule="auto"/>
              <w:ind w:left="233"/>
              <w:rPr>
                <w:sz w:val="18"/>
                <w:szCs w:val="18"/>
              </w:rPr>
            </w:pPr>
            <w:r>
              <w:rPr>
                <w:spacing w:val="-3"/>
                <w:sz w:val="18"/>
                <w:szCs w:val="18"/>
              </w:rPr>
              <w:t>未计价</w:t>
            </w:r>
          </w:p>
          <w:p w14:paraId="0BFF8205">
            <w:pPr>
              <w:pStyle w:val="11"/>
              <w:spacing w:before="22" w:line="219" w:lineRule="auto"/>
              <w:ind w:left="142"/>
              <w:rPr>
                <w:sz w:val="18"/>
                <w:szCs w:val="18"/>
              </w:rPr>
            </w:pPr>
            <w:r>
              <w:rPr>
                <w:spacing w:val="-2"/>
                <w:sz w:val="18"/>
                <w:szCs w:val="18"/>
              </w:rPr>
              <w:t>装置性材</w:t>
            </w:r>
          </w:p>
          <w:p w14:paraId="1B2EDC4D">
            <w:pPr>
              <w:pStyle w:val="11"/>
              <w:spacing w:before="19" w:line="220" w:lineRule="auto"/>
              <w:ind w:left="322"/>
              <w:rPr>
                <w:sz w:val="18"/>
                <w:szCs w:val="18"/>
              </w:rPr>
            </w:pPr>
            <w:r>
              <w:rPr>
                <w:spacing w:val="-2"/>
                <w:sz w:val="18"/>
                <w:szCs w:val="18"/>
              </w:rPr>
              <w:t>料费</w:t>
            </w:r>
          </w:p>
        </w:tc>
        <w:tc>
          <w:tcPr>
            <w:tcW w:w="767" w:type="dxa"/>
            <w:vMerge w:val="restart"/>
            <w:tcBorders>
              <w:top w:val="single" w:color="000000" w:sz="6" w:space="0"/>
              <w:bottom w:val="nil"/>
            </w:tcBorders>
            <w:vAlign w:val="top"/>
          </w:tcPr>
          <w:p w14:paraId="2AD2E1F1">
            <w:pPr>
              <w:spacing w:line="462" w:lineRule="auto"/>
              <w:rPr>
                <w:rFonts w:ascii="Arial"/>
                <w:sz w:val="21"/>
              </w:rPr>
            </w:pPr>
          </w:p>
          <w:p w14:paraId="123A35D9">
            <w:pPr>
              <w:pStyle w:val="11"/>
              <w:spacing w:before="59" w:line="218" w:lineRule="auto"/>
              <w:ind w:left="210"/>
              <w:rPr>
                <w:sz w:val="18"/>
                <w:szCs w:val="18"/>
              </w:rPr>
            </w:pPr>
            <w:r>
              <w:rPr>
                <w:spacing w:val="-2"/>
                <w:sz w:val="18"/>
                <w:szCs w:val="18"/>
              </w:rPr>
              <w:t>价差</w:t>
            </w:r>
          </w:p>
        </w:tc>
        <w:tc>
          <w:tcPr>
            <w:tcW w:w="815" w:type="dxa"/>
            <w:vMerge w:val="restart"/>
            <w:tcBorders>
              <w:top w:val="single" w:color="000000" w:sz="6" w:space="0"/>
              <w:bottom w:val="nil"/>
            </w:tcBorders>
            <w:vAlign w:val="top"/>
          </w:tcPr>
          <w:p w14:paraId="285CF5A3">
            <w:pPr>
              <w:spacing w:line="462" w:lineRule="auto"/>
              <w:rPr>
                <w:rFonts w:ascii="Arial"/>
                <w:sz w:val="21"/>
              </w:rPr>
            </w:pPr>
          </w:p>
          <w:p w14:paraId="711283AE">
            <w:pPr>
              <w:pStyle w:val="11"/>
              <w:spacing w:before="59" w:line="220" w:lineRule="auto"/>
              <w:ind w:left="236"/>
              <w:rPr>
                <w:sz w:val="18"/>
                <w:szCs w:val="18"/>
              </w:rPr>
            </w:pPr>
            <w:r>
              <w:rPr>
                <w:spacing w:val="-2"/>
                <w:sz w:val="18"/>
                <w:szCs w:val="18"/>
              </w:rPr>
              <w:t>税金</w:t>
            </w:r>
          </w:p>
        </w:tc>
        <w:tc>
          <w:tcPr>
            <w:tcW w:w="1019" w:type="dxa"/>
            <w:vMerge w:val="restart"/>
            <w:tcBorders>
              <w:top w:val="single" w:color="000000" w:sz="6" w:space="0"/>
              <w:bottom w:val="nil"/>
            </w:tcBorders>
            <w:vAlign w:val="top"/>
          </w:tcPr>
          <w:p w14:paraId="36247BE7">
            <w:pPr>
              <w:spacing w:line="462" w:lineRule="auto"/>
              <w:rPr>
                <w:rFonts w:ascii="Arial"/>
                <w:sz w:val="21"/>
              </w:rPr>
            </w:pPr>
          </w:p>
          <w:p w14:paraId="6798DA85">
            <w:pPr>
              <w:pStyle w:val="11"/>
              <w:spacing w:before="59" w:line="221" w:lineRule="auto"/>
              <w:ind w:left="333"/>
              <w:rPr>
                <w:sz w:val="18"/>
                <w:szCs w:val="18"/>
              </w:rPr>
            </w:pPr>
            <w:r>
              <w:rPr>
                <w:spacing w:val="-2"/>
                <w:sz w:val="18"/>
                <w:szCs w:val="18"/>
              </w:rPr>
              <w:t>合计</w:t>
            </w:r>
          </w:p>
        </w:tc>
      </w:tr>
      <w:tr w14:paraId="53F85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69" w:type="dxa"/>
            <w:vMerge w:val="continue"/>
            <w:tcBorders>
              <w:top w:val="nil"/>
              <w:left w:val="single" w:color="000000" w:sz="4" w:space="0"/>
            </w:tcBorders>
            <w:vAlign w:val="top"/>
          </w:tcPr>
          <w:p w14:paraId="76E06C87">
            <w:pPr>
              <w:rPr>
                <w:rFonts w:ascii="Arial"/>
                <w:sz w:val="21"/>
              </w:rPr>
            </w:pPr>
          </w:p>
        </w:tc>
        <w:tc>
          <w:tcPr>
            <w:tcW w:w="1259" w:type="dxa"/>
            <w:vMerge w:val="continue"/>
            <w:tcBorders>
              <w:top w:val="nil"/>
            </w:tcBorders>
            <w:vAlign w:val="top"/>
          </w:tcPr>
          <w:p w14:paraId="18B2AEEC">
            <w:pPr>
              <w:rPr>
                <w:rFonts w:ascii="Arial"/>
                <w:sz w:val="21"/>
              </w:rPr>
            </w:pPr>
          </w:p>
        </w:tc>
        <w:tc>
          <w:tcPr>
            <w:tcW w:w="1504" w:type="dxa"/>
            <w:vMerge w:val="continue"/>
            <w:tcBorders>
              <w:top w:val="nil"/>
            </w:tcBorders>
            <w:vAlign w:val="top"/>
          </w:tcPr>
          <w:p w14:paraId="26296E4E">
            <w:pPr>
              <w:rPr>
                <w:rFonts w:ascii="Arial"/>
                <w:sz w:val="21"/>
              </w:rPr>
            </w:pPr>
          </w:p>
        </w:tc>
        <w:tc>
          <w:tcPr>
            <w:tcW w:w="678" w:type="dxa"/>
            <w:vMerge w:val="continue"/>
            <w:tcBorders>
              <w:top w:val="nil"/>
            </w:tcBorders>
            <w:vAlign w:val="top"/>
          </w:tcPr>
          <w:p w14:paraId="7C2226FA">
            <w:pPr>
              <w:rPr>
                <w:rFonts w:ascii="Arial"/>
                <w:sz w:val="21"/>
              </w:rPr>
            </w:pPr>
          </w:p>
        </w:tc>
        <w:tc>
          <w:tcPr>
            <w:tcW w:w="909" w:type="dxa"/>
            <w:vAlign w:val="top"/>
          </w:tcPr>
          <w:p w14:paraId="49B2ED5C">
            <w:pPr>
              <w:pStyle w:val="11"/>
              <w:spacing w:before="221" w:line="220" w:lineRule="auto"/>
              <w:ind w:left="185"/>
              <w:rPr>
                <w:sz w:val="18"/>
                <w:szCs w:val="18"/>
              </w:rPr>
            </w:pPr>
            <w:r>
              <w:rPr>
                <w:spacing w:val="-2"/>
                <w:sz w:val="18"/>
                <w:szCs w:val="18"/>
              </w:rPr>
              <w:t>人工费</w:t>
            </w:r>
          </w:p>
        </w:tc>
        <w:tc>
          <w:tcPr>
            <w:tcW w:w="813" w:type="dxa"/>
            <w:vAlign w:val="top"/>
          </w:tcPr>
          <w:p w14:paraId="567C0AD4">
            <w:pPr>
              <w:pStyle w:val="11"/>
              <w:spacing w:before="221" w:line="219" w:lineRule="auto"/>
              <w:ind w:left="139"/>
              <w:rPr>
                <w:sz w:val="18"/>
                <w:szCs w:val="18"/>
              </w:rPr>
            </w:pPr>
            <w:r>
              <w:rPr>
                <w:spacing w:val="-2"/>
                <w:sz w:val="18"/>
                <w:szCs w:val="18"/>
              </w:rPr>
              <w:t>材料费</w:t>
            </w:r>
          </w:p>
        </w:tc>
        <w:tc>
          <w:tcPr>
            <w:tcW w:w="892" w:type="dxa"/>
            <w:vAlign w:val="top"/>
          </w:tcPr>
          <w:p w14:paraId="4279AE13">
            <w:pPr>
              <w:pStyle w:val="11"/>
              <w:spacing w:before="221" w:line="219" w:lineRule="auto"/>
              <w:ind w:left="177"/>
              <w:rPr>
                <w:sz w:val="18"/>
                <w:szCs w:val="18"/>
              </w:rPr>
            </w:pPr>
            <w:r>
              <w:rPr>
                <w:spacing w:val="-2"/>
                <w:sz w:val="18"/>
                <w:szCs w:val="18"/>
              </w:rPr>
              <w:t>机械费</w:t>
            </w:r>
          </w:p>
        </w:tc>
        <w:tc>
          <w:tcPr>
            <w:tcW w:w="894" w:type="dxa"/>
            <w:vAlign w:val="top"/>
          </w:tcPr>
          <w:p w14:paraId="0A549254">
            <w:pPr>
              <w:pStyle w:val="11"/>
              <w:spacing w:before="221" w:line="220" w:lineRule="auto"/>
              <w:ind w:left="179"/>
              <w:rPr>
                <w:sz w:val="18"/>
                <w:szCs w:val="18"/>
              </w:rPr>
            </w:pPr>
            <w:r>
              <w:rPr>
                <w:spacing w:val="-2"/>
                <w:sz w:val="18"/>
                <w:szCs w:val="18"/>
              </w:rPr>
              <w:t>其他费</w:t>
            </w:r>
          </w:p>
        </w:tc>
        <w:tc>
          <w:tcPr>
            <w:tcW w:w="892" w:type="dxa"/>
            <w:vMerge w:val="continue"/>
            <w:tcBorders>
              <w:top w:val="nil"/>
            </w:tcBorders>
            <w:vAlign w:val="top"/>
          </w:tcPr>
          <w:p w14:paraId="7C36DC2C">
            <w:pPr>
              <w:rPr>
                <w:rFonts w:ascii="Arial"/>
                <w:sz w:val="21"/>
              </w:rPr>
            </w:pPr>
          </w:p>
        </w:tc>
        <w:tc>
          <w:tcPr>
            <w:tcW w:w="907" w:type="dxa"/>
            <w:vMerge w:val="continue"/>
            <w:tcBorders>
              <w:top w:val="nil"/>
            </w:tcBorders>
            <w:vAlign w:val="top"/>
          </w:tcPr>
          <w:p w14:paraId="528A95C5">
            <w:pPr>
              <w:rPr>
                <w:rFonts w:ascii="Arial"/>
                <w:sz w:val="21"/>
              </w:rPr>
            </w:pPr>
          </w:p>
        </w:tc>
        <w:tc>
          <w:tcPr>
            <w:tcW w:w="815" w:type="dxa"/>
            <w:vMerge w:val="continue"/>
            <w:tcBorders>
              <w:top w:val="nil"/>
            </w:tcBorders>
            <w:vAlign w:val="top"/>
          </w:tcPr>
          <w:p w14:paraId="4678995F">
            <w:pPr>
              <w:rPr>
                <w:rFonts w:ascii="Arial"/>
                <w:sz w:val="21"/>
              </w:rPr>
            </w:pPr>
          </w:p>
        </w:tc>
        <w:tc>
          <w:tcPr>
            <w:tcW w:w="988" w:type="dxa"/>
            <w:vMerge w:val="continue"/>
            <w:tcBorders>
              <w:top w:val="nil"/>
            </w:tcBorders>
            <w:vAlign w:val="top"/>
          </w:tcPr>
          <w:p w14:paraId="79E595BE">
            <w:pPr>
              <w:rPr>
                <w:rFonts w:ascii="Arial"/>
                <w:sz w:val="21"/>
              </w:rPr>
            </w:pPr>
          </w:p>
        </w:tc>
        <w:tc>
          <w:tcPr>
            <w:tcW w:w="767" w:type="dxa"/>
            <w:vMerge w:val="continue"/>
            <w:tcBorders>
              <w:top w:val="nil"/>
            </w:tcBorders>
            <w:vAlign w:val="top"/>
          </w:tcPr>
          <w:p w14:paraId="60235550">
            <w:pPr>
              <w:rPr>
                <w:rFonts w:ascii="Arial"/>
                <w:sz w:val="21"/>
              </w:rPr>
            </w:pPr>
          </w:p>
        </w:tc>
        <w:tc>
          <w:tcPr>
            <w:tcW w:w="815" w:type="dxa"/>
            <w:vMerge w:val="continue"/>
            <w:tcBorders>
              <w:top w:val="nil"/>
            </w:tcBorders>
            <w:vAlign w:val="top"/>
          </w:tcPr>
          <w:p w14:paraId="6F2F929D">
            <w:pPr>
              <w:rPr>
                <w:rFonts w:ascii="Arial"/>
                <w:sz w:val="21"/>
              </w:rPr>
            </w:pPr>
          </w:p>
        </w:tc>
        <w:tc>
          <w:tcPr>
            <w:tcW w:w="1019" w:type="dxa"/>
            <w:vMerge w:val="continue"/>
            <w:tcBorders>
              <w:top w:val="nil"/>
            </w:tcBorders>
            <w:vAlign w:val="top"/>
          </w:tcPr>
          <w:p w14:paraId="09BC84DF">
            <w:pPr>
              <w:rPr>
                <w:rFonts w:ascii="Arial"/>
                <w:sz w:val="21"/>
              </w:rPr>
            </w:pPr>
          </w:p>
        </w:tc>
      </w:tr>
      <w:tr w14:paraId="3AF3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69" w:type="dxa"/>
            <w:tcBorders>
              <w:left w:val="single" w:color="000000" w:sz="6" w:space="0"/>
            </w:tcBorders>
            <w:vAlign w:val="top"/>
          </w:tcPr>
          <w:p w14:paraId="013AF840">
            <w:pPr>
              <w:pStyle w:val="11"/>
              <w:spacing w:before="123" w:line="241" w:lineRule="auto"/>
              <w:ind w:left="298"/>
              <w:rPr>
                <w:sz w:val="18"/>
                <w:szCs w:val="18"/>
              </w:rPr>
            </w:pPr>
            <w:r>
              <w:rPr>
                <w:sz w:val="18"/>
                <w:szCs w:val="18"/>
              </w:rPr>
              <w:t>1</w:t>
            </w:r>
          </w:p>
        </w:tc>
        <w:tc>
          <w:tcPr>
            <w:tcW w:w="1259" w:type="dxa"/>
            <w:vAlign w:val="top"/>
          </w:tcPr>
          <w:p w14:paraId="653E8598">
            <w:pPr>
              <w:rPr>
                <w:rFonts w:ascii="Arial"/>
                <w:sz w:val="21"/>
              </w:rPr>
            </w:pPr>
          </w:p>
        </w:tc>
        <w:tc>
          <w:tcPr>
            <w:tcW w:w="1504" w:type="dxa"/>
            <w:vAlign w:val="top"/>
          </w:tcPr>
          <w:p w14:paraId="3C0C0720">
            <w:pPr>
              <w:rPr>
                <w:rFonts w:ascii="Arial"/>
                <w:sz w:val="21"/>
              </w:rPr>
            </w:pPr>
          </w:p>
        </w:tc>
        <w:tc>
          <w:tcPr>
            <w:tcW w:w="678" w:type="dxa"/>
            <w:vAlign w:val="top"/>
          </w:tcPr>
          <w:p w14:paraId="43F0142A">
            <w:pPr>
              <w:rPr>
                <w:rFonts w:ascii="Arial"/>
                <w:sz w:val="21"/>
              </w:rPr>
            </w:pPr>
          </w:p>
        </w:tc>
        <w:tc>
          <w:tcPr>
            <w:tcW w:w="909" w:type="dxa"/>
            <w:vAlign w:val="top"/>
          </w:tcPr>
          <w:p w14:paraId="5F5DF2FE">
            <w:pPr>
              <w:rPr>
                <w:rFonts w:ascii="Arial"/>
                <w:sz w:val="21"/>
              </w:rPr>
            </w:pPr>
          </w:p>
        </w:tc>
        <w:tc>
          <w:tcPr>
            <w:tcW w:w="813" w:type="dxa"/>
            <w:vAlign w:val="top"/>
          </w:tcPr>
          <w:p w14:paraId="106A73B4">
            <w:pPr>
              <w:rPr>
                <w:rFonts w:ascii="Arial"/>
                <w:sz w:val="21"/>
              </w:rPr>
            </w:pPr>
          </w:p>
        </w:tc>
        <w:tc>
          <w:tcPr>
            <w:tcW w:w="892" w:type="dxa"/>
            <w:vAlign w:val="top"/>
          </w:tcPr>
          <w:p w14:paraId="38FA1BD9">
            <w:pPr>
              <w:rPr>
                <w:rFonts w:ascii="Arial"/>
                <w:sz w:val="21"/>
              </w:rPr>
            </w:pPr>
          </w:p>
        </w:tc>
        <w:tc>
          <w:tcPr>
            <w:tcW w:w="894" w:type="dxa"/>
            <w:vAlign w:val="top"/>
          </w:tcPr>
          <w:p w14:paraId="44C9BCAE">
            <w:pPr>
              <w:rPr>
                <w:rFonts w:ascii="Arial"/>
                <w:sz w:val="21"/>
              </w:rPr>
            </w:pPr>
          </w:p>
        </w:tc>
        <w:tc>
          <w:tcPr>
            <w:tcW w:w="892" w:type="dxa"/>
            <w:vAlign w:val="top"/>
          </w:tcPr>
          <w:p w14:paraId="42FC8D77">
            <w:pPr>
              <w:rPr>
                <w:rFonts w:ascii="Arial"/>
                <w:sz w:val="21"/>
              </w:rPr>
            </w:pPr>
          </w:p>
        </w:tc>
        <w:tc>
          <w:tcPr>
            <w:tcW w:w="907" w:type="dxa"/>
            <w:vAlign w:val="top"/>
          </w:tcPr>
          <w:p w14:paraId="383D89A9">
            <w:pPr>
              <w:rPr>
                <w:rFonts w:ascii="Arial"/>
                <w:sz w:val="21"/>
              </w:rPr>
            </w:pPr>
          </w:p>
        </w:tc>
        <w:tc>
          <w:tcPr>
            <w:tcW w:w="815" w:type="dxa"/>
            <w:vAlign w:val="top"/>
          </w:tcPr>
          <w:p w14:paraId="57DFB250">
            <w:pPr>
              <w:rPr>
                <w:rFonts w:ascii="Arial"/>
                <w:sz w:val="21"/>
              </w:rPr>
            </w:pPr>
          </w:p>
        </w:tc>
        <w:tc>
          <w:tcPr>
            <w:tcW w:w="988" w:type="dxa"/>
            <w:vAlign w:val="top"/>
          </w:tcPr>
          <w:p w14:paraId="4AC07F7A">
            <w:pPr>
              <w:rPr>
                <w:rFonts w:ascii="Arial"/>
                <w:sz w:val="21"/>
              </w:rPr>
            </w:pPr>
          </w:p>
        </w:tc>
        <w:tc>
          <w:tcPr>
            <w:tcW w:w="767" w:type="dxa"/>
            <w:vAlign w:val="top"/>
          </w:tcPr>
          <w:p w14:paraId="06A9B794">
            <w:pPr>
              <w:rPr>
                <w:rFonts w:ascii="Arial"/>
                <w:sz w:val="21"/>
              </w:rPr>
            </w:pPr>
          </w:p>
        </w:tc>
        <w:tc>
          <w:tcPr>
            <w:tcW w:w="815" w:type="dxa"/>
            <w:vAlign w:val="top"/>
          </w:tcPr>
          <w:p w14:paraId="415D6749">
            <w:pPr>
              <w:rPr>
                <w:rFonts w:ascii="Arial"/>
                <w:sz w:val="21"/>
              </w:rPr>
            </w:pPr>
          </w:p>
        </w:tc>
        <w:tc>
          <w:tcPr>
            <w:tcW w:w="1019" w:type="dxa"/>
            <w:tcBorders>
              <w:right w:val="single" w:color="000000" w:sz="6" w:space="0"/>
            </w:tcBorders>
            <w:vAlign w:val="top"/>
          </w:tcPr>
          <w:p w14:paraId="1FB13632">
            <w:pPr>
              <w:rPr>
                <w:rFonts w:ascii="Arial"/>
                <w:sz w:val="21"/>
              </w:rPr>
            </w:pPr>
          </w:p>
        </w:tc>
      </w:tr>
      <w:tr w14:paraId="37658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69" w:type="dxa"/>
            <w:tcBorders>
              <w:left w:val="single" w:color="000000" w:sz="6" w:space="0"/>
            </w:tcBorders>
            <w:vAlign w:val="top"/>
          </w:tcPr>
          <w:p w14:paraId="0B52F0EE">
            <w:pPr>
              <w:pStyle w:val="11"/>
              <w:spacing w:before="125" w:line="241" w:lineRule="auto"/>
              <w:ind w:left="287"/>
              <w:rPr>
                <w:sz w:val="18"/>
                <w:szCs w:val="18"/>
              </w:rPr>
            </w:pPr>
            <w:r>
              <w:rPr>
                <w:sz w:val="18"/>
                <w:szCs w:val="18"/>
              </w:rPr>
              <w:t>2</w:t>
            </w:r>
          </w:p>
        </w:tc>
        <w:tc>
          <w:tcPr>
            <w:tcW w:w="1259" w:type="dxa"/>
            <w:vAlign w:val="top"/>
          </w:tcPr>
          <w:p w14:paraId="782244CE">
            <w:pPr>
              <w:rPr>
                <w:rFonts w:ascii="Arial"/>
                <w:sz w:val="21"/>
              </w:rPr>
            </w:pPr>
          </w:p>
        </w:tc>
        <w:tc>
          <w:tcPr>
            <w:tcW w:w="1504" w:type="dxa"/>
            <w:vAlign w:val="top"/>
          </w:tcPr>
          <w:p w14:paraId="3CB0886C">
            <w:pPr>
              <w:rPr>
                <w:rFonts w:ascii="Arial"/>
                <w:sz w:val="21"/>
              </w:rPr>
            </w:pPr>
          </w:p>
        </w:tc>
        <w:tc>
          <w:tcPr>
            <w:tcW w:w="678" w:type="dxa"/>
            <w:vAlign w:val="top"/>
          </w:tcPr>
          <w:p w14:paraId="042668D4">
            <w:pPr>
              <w:rPr>
                <w:rFonts w:ascii="Arial"/>
                <w:sz w:val="21"/>
              </w:rPr>
            </w:pPr>
          </w:p>
        </w:tc>
        <w:tc>
          <w:tcPr>
            <w:tcW w:w="909" w:type="dxa"/>
            <w:vAlign w:val="top"/>
          </w:tcPr>
          <w:p w14:paraId="652A611C">
            <w:pPr>
              <w:rPr>
                <w:rFonts w:ascii="Arial"/>
                <w:sz w:val="21"/>
              </w:rPr>
            </w:pPr>
          </w:p>
        </w:tc>
        <w:tc>
          <w:tcPr>
            <w:tcW w:w="813" w:type="dxa"/>
            <w:vAlign w:val="top"/>
          </w:tcPr>
          <w:p w14:paraId="7DC8046E">
            <w:pPr>
              <w:rPr>
                <w:rFonts w:ascii="Arial"/>
                <w:sz w:val="21"/>
              </w:rPr>
            </w:pPr>
          </w:p>
        </w:tc>
        <w:tc>
          <w:tcPr>
            <w:tcW w:w="892" w:type="dxa"/>
            <w:vAlign w:val="top"/>
          </w:tcPr>
          <w:p w14:paraId="4BE3A23A">
            <w:pPr>
              <w:rPr>
                <w:rFonts w:ascii="Arial"/>
                <w:sz w:val="21"/>
              </w:rPr>
            </w:pPr>
          </w:p>
        </w:tc>
        <w:tc>
          <w:tcPr>
            <w:tcW w:w="894" w:type="dxa"/>
            <w:vAlign w:val="top"/>
          </w:tcPr>
          <w:p w14:paraId="5B8F2A73">
            <w:pPr>
              <w:rPr>
                <w:rFonts w:ascii="Arial"/>
                <w:sz w:val="21"/>
              </w:rPr>
            </w:pPr>
          </w:p>
        </w:tc>
        <w:tc>
          <w:tcPr>
            <w:tcW w:w="892" w:type="dxa"/>
            <w:vAlign w:val="top"/>
          </w:tcPr>
          <w:p w14:paraId="041894F0">
            <w:pPr>
              <w:rPr>
                <w:rFonts w:ascii="Arial"/>
                <w:sz w:val="21"/>
              </w:rPr>
            </w:pPr>
          </w:p>
        </w:tc>
        <w:tc>
          <w:tcPr>
            <w:tcW w:w="907" w:type="dxa"/>
            <w:vAlign w:val="top"/>
          </w:tcPr>
          <w:p w14:paraId="4FBE1F98">
            <w:pPr>
              <w:rPr>
                <w:rFonts w:ascii="Arial"/>
                <w:sz w:val="21"/>
              </w:rPr>
            </w:pPr>
          </w:p>
        </w:tc>
        <w:tc>
          <w:tcPr>
            <w:tcW w:w="815" w:type="dxa"/>
            <w:vAlign w:val="top"/>
          </w:tcPr>
          <w:p w14:paraId="44797569">
            <w:pPr>
              <w:rPr>
                <w:rFonts w:ascii="Arial"/>
                <w:sz w:val="21"/>
              </w:rPr>
            </w:pPr>
          </w:p>
        </w:tc>
        <w:tc>
          <w:tcPr>
            <w:tcW w:w="988" w:type="dxa"/>
            <w:vAlign w:val="top"/>
          </w:tcPr>
          <w:p w14:paraId="67045266">
            <w:pPr>
              <w:rPr>
                <w:rFonts w:ascii="Arial"/>
                <w:sz w:val="21"/>
              </w:rPr>
            </w:pPr>
          </w:p>
        </w:tc>
        <w:tc>
          <w:tcPr>
            <w:tcW w:w="767" w:type="dxa"/>
            <w:vAlign w:val="top"/>
          </w:tcPr>
          <w:p w14:paraId="6B4DB50C">
            <w:pPr>
              <w:rPr>
                <w:rFonts w:ascii="Arial"/>
                <w:sz w:val="21"/>
              </w:rPr>
            </w:pPr>
          </w:p>
        </w:tc>
        <w:tc>
          <w:tcPr>
            <w:tcW w:w="815" w:type="dxa"/>
            <w:vAlign w:val="top"/>
          </w:tcPr>
          <w:p w14:paraId="5CEC5C91">
            <w:pPr>
              <w:rPr>
                <w:rFonts w:ascii="Arial"/>
                <w:sz w:val="21"/>
              </w:rPr>
            </w:pPr>
          </w:p>
        </w:tc>
        <w:tc>
          <w:tcPr>
            <w:tcW w:w="1019" w:type="dxa"/>
            <w:tcBorders>
              <w:right w:val="single" w:color="000000" w:sz="6" w:space="0"/>
            </w:tcBorders>
            <w:vAlign w:val="top"/>
          </w:tcPr>
          <w:p w14:paraId="1C8EFAC4">
            <w:pPr>
              <w:rPr>
                <w:rFonts w:ascii="Arial"/>
                <w:sz w:val="21"/>
              </w:rPr>
            </w:pPr>
          </w:p>
        </w:tc>
      </w:tr>
      <w:tr w14:paraId="62B3E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69" w:type="dxa"/>
            <w:tcBorders>
              <w:left w:val="single" w:color="000000" w:sz="6" w:space="0"/>
            </w:tcBorders>
            <w:vAlign w:val="top"/>
          </w:tcPr>
          <w:p w14:paraId="2EE7A00F">
            <w:pPr>
              <w:rPr>
                <w:rFonts w:ascii="Arial"/>
                <w:sz w:val="21"/>
              </w:rPr>
            </w:pPr>
          </w:p>
        </w:tc>
        <w:tc>
          <w:tcPr>
            <w:tcW w:w="1259" w:type="dxa"/>
            <w:vAlign w:val="top"/>
          </w:tcPr>
          <w:p w14:paraId="53621B85">
            <w:pPr>
              <w:rPr>
                <w:rFonts w:ascii="Arial"/>
                <w:sz w:val="21"/>
              </w:rPr>
            </w:pPr>
          </w:p>
        </w:tc>
        <w:tc>
          <w:tcPr>
            <w:tcW w:w="1504" w:type="dxa"/>
            <w:vAlign w:val="top"/>
          </w:tcPr>
          <w:p w14:paraId="4D5B271F">
            <w:pPr>
              <w:rPr>
                <w:rFonts w:ascii="Arial"/>
                <w:sz w:val="21"/>
              </w:rPr>
            </w:pPr>
          </w:p>
        </w:tc>
        <w:tc>
          <w:tcPr>
            <w:tcW w:w="678" w:type="dxa"/>
            <w:vAlign w:val="top"/>
          </w:tcPr>
          <w:p w14:paraId="00DD83C3">
            <w:pPr>
              <w:rPr>
                <w:rFonts w:ascii="Arial"/>
                <w:sz w:val="21"/>
              </w:rPr>
            </w:pPr>
          </w:p>
        </w:tc>
        <w:tc>
          <w:tcPr>
            <w:tcW w:w="909" w:type="dxa"/>
            <w:vAlign w:val="top"/>
          </w:tcPr>
          <w:p w14:paraId="1974C8F6">
            <w:pPr>
              <w:rPr>
                <w:rFonts w:ascii="Arial"/>
                <w:sz w:val="21"/>
              </w:rPr>
            </w:pPr>
          </w:p>
        </w:tc>
        <w:tc>
          <w:tcPr>
            <w:tcW w:w="813" w:type="dxa"/>
            <w:vAlign w:val="top"/>
          </w:tcPr>
          <w:p w14:paraId="7F3F595D">
            <w:pPr>
              <w:rPr>
                <w:rFonts w:ascii="Arial"/>
                <w:sz w:val="21"/>
              </w:rPr>
            </w:pPr>
          </w:p>
        </w:tc>
        <w:tc>
          <w:tcPr>
            <w:tcW w:w="892" w:type="dxa"/>
            <w:vAlign w:val="top"/>
          </w:tcPr>
          <w:p w14:paraId="798046AF">
            <w:pPr>
              <w:rPr>
                <w:rFonts w:ascii="Arial"/>
                <w:sz w:val="21"/>
              </w:rPr>
            </w:pPr>
          </w:p>
        </w:tc>
        <w:tc>
          <w:tcPr>
            <w:tcW w:w="894" w:type="dxa"/>
            <w:vAlign w:val="top"/>
          </w:tcPr>
          <w:p w14:paraId="3FE1D1B6">
            <w:pPr>
              <w:rPr>
                <w:rFonts w:ascii="Arial"/>
                <w:sz w:val="21"/>
              </w:rPr>
            </w:pPr>
          </w:p>
        </w:tc>
        <w:tc>
          <w:tcPr>
            <w:tcW w:w="892" w:type="dxa"/>
            <w:vAlign w:val="top"/>
          </w:tcPr>
          <w:p w14:paraId="64EDA9F2">
            <w:pPr>
              <w:rPr>
                <w:rFonts w:ascii="Arial"/>
                <w:sz w:val="21"/>
              </w:rPr>
            </w:pPr>
          </w:p>
        </w:tc>
        <w:tc>
          <w:tcPr>
            <w:tcW w:w="907" w:type="dxa"/>
            <w:vAlign w:val="top"/>
          </w:tcPr>
          <w:p w14:paraId="78E5021B">
            <w:pPr>
              <w:rPr>
                <w:rFonts w:ascii="Arial"/>
                <w:sz w:val="21"/>
              </w:rPr>
            </w:pPr>
          </w:p>
        </w:tc>
        <w:tc>
          <w:tcPr>
            <w:tcW w:w="815" w:type="dxa"/>
            <w:vAlign w:val="top"/>
          </w:tcPr>
          <w:p w14:paraId="262964CE">
            <w:pPr>
              <w:rPr>
                <w:rFonts w:ascii="Arial"/>
                <w:sz w:val="21"/>
              </w:rPr>
            </w:pPr>
          </w:p>
        </w:tc>
        <w:tc>
          <w:tcPr>
            <w:tcW w:w="988" w:type="dxa"/>
            <w:vAlign w:val="top"/>
          </w:tcPr>
          <w:p w14:paraId="30148E2B">
            <w:pPr>
              <w:rPr>
                <w:rFonts w:ascii="Arial"/>
                <w:sz w:val="21"/>
              </w:rPr>
            </w:pPr>
          </w:p>
        </w:tc>
        <w:tc>
          <w:tcPr>
            <w:tcW w:w="767" w:type="dxa"/>
            <w:vAlign w:val="top"/>
          </w:tcPr>
          <w:p w14:paraId="1109A97C">
            <w:pPr>
              <w:rPr>
                <w:rFonts w:ascii="Arial"/>
                <w:sz w:val="21"/>
              </w:rPr>
            </w:pPr>
          </w:p>
        </w:tc>
        <w:tc>
          <w:tcPr>
            <w:tcW w:w="815" w:type="dxa"/>
            <w:vAlign w:val="top"/>
          </w:tcPr>
          <w:p w14:paraId="22D72EA9">
            <w:pPr>
              <w:rPr>
                <w:rFonts w:ascii="Arial"/>
                <w:sz w:val="21"/>
              </w:rPr>
            </w:pPr>
          </w:p>
        </w:tc>
        <w:tc>
          <w:tcPr>
            <w:tcW w:w="1019" w:type="dxa"/>
            <w:tcBorders>
              <w:right w:val="single" w:color="000000" w:sz="6" w:space="0"/>
            </w:tcBorders>
            <w:vAlign w:val="top"/>
          </w:tcPr>
          <w:p w14:paraId="495CA5BF">
            <w:pPr>
              <w:rPr>
                <w:rFonts w:ascii="Arial"/>
                <w:sz w:val="21"/>
              </w:rPr>
            </w:pPr>
          </w:p>
        </w:tc>
      </w:tr>
      <w:tr w14:paraId="7EFC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69" w:type="dxa"/>
            <w:tcBorders>
              <w:left w:val="single" w:color="000000" w:sz="6" w:space="0"/>
            </w:tcBorders>
            <w:vAlign w:val="top"/>
          </w:tcPr>
          <w:p w14:paraId="512F9CCE">
            <w:pPr>
              <w:rPr>
                <w:rFonts w:ascii="Arial"/>
                <w:sz w:val="21"/>
              </w:rPr>
            </w:pPr>
          </w:p>
        </w:tc>
        <w:tc>
          <w:tcPr>
            <w:tcW w:w="1259" w:type="dxa"/>
            <w:vAlign w:val="top"/>
          </w:tcPr>
          <w:p w14:paraId="0F1E4DE9">
            <w:pPr>
              <w:rPr>
                <w:rFonts w:ascii="Arial"/>
                <w:sz w:val="21"/>
              </w:rPr>
            </w:pPr>
          </w:p>
        </w:tc>
        <w:tc>
          <w:tcPr>
            <w:tcW w:w="1504" w:type="dxa"/>
            <w:vAlign w:val="top"/>
          </w:tcPr>
          <w:p w14:paraId="606F71EE">
            <w:pPr>
              <w:rPr>
                <w:rFonts w:ascii="Arial"/>
                <w:sz w:val="21"/>
              </w:rPr>
            </w:pPr>
          </w:p>
        </w:tc>
        <w:tc>
          <w:tcPr>
            <w:tcW w:w="678" w:type="dxa"/>
            <w:vAlign w:val="top"/>
          </w:tcPr>
          <w:p w14:paraId="33C2F7EB">
            <w:pPr>
              <w:rPr>
                <w:rFonts w:ascii="Arial"/>
                <w:sz w:val="21"/>
              </w:rPr>
            </w:pPr>
          </w:p>
        </w:tc>
        <w:tc>
          <w:tcPr>
            <w:tcW w:w="909" w:type="dxa"/>
            <w:vAlign w:val="top"/>
          </w:tcPr>
          <w:p w14:paraId="492A23A6">
            <w:pPr>
              <w:rPr>
                <w:rFonts w:ascii="Arial"/>
                <w:sz w:val="21"/>
              </w:rPr>
            </w:pPr>
          </w:p>
        </w:tc>
        <w:tc>
          <w:tcPr>
            <w:tcW w:w="813" w:type="dxa"/>
            <w:vAlign w:val="top"/>
          </w:tcPr>
          <w:p w14:paraId="619154BF">
            <w:pPr>
              <w:rPr>
                <w:rFonts w:ascii="Arial"/>
                <w:sz w:val="21"/>
              </w:rPr>
            </w:pPr>
          </w:p>
        </w:tc>
        <w:tc>
          <w:tcPr>
            <w:tcW w:w="892" w:type="dxa"/>
            <w:vAlign w:val="top"/>
          </w:tcPr>
          <w:p w14:paraId="2B0EF5E8">
            <w:pPr>
              <w:rPr>
                <w:rFonts w:ascii="Arial"/>
                <w:sz w:val="21"/>
              </w:rPr>
            </w:pPr>
          </w:p>
        </w:tc>
        <w:tc>
          <w:tcPr>
            <w:tcW w:w="894" w:type="dxa"/>
            <w:vAlign w:val="top"/>
          </w:tcPr>
          <w:p w14:paraId="659E0346">
            <w:pPr>
              <w:rPr>
                <w:rFonts w:ascii="Arial"/>
                <w:sz w:val="21"/>
              </w:rPr>
            </w:pPr>
          </w:p>
        </w:tc>
        <w:tc>
          <w:tcPr>
            <w:tcW w:w="892" w:type="dxa"/>
            <w:vAlign w:val="top"/>
          </w:tcPr>
          <w:p w14:paraId="615AA80E">
            <w:pPr>
              <w:rPr>
                <w:rFonts w:ascii="Arial"/>
                <w:sz w:val="21"/>
              </w:rPr>
            </w:pPr>
          </w:p>
        </w:tc>
        <w:tc>
          <w:tcPr>
            <w:tcW w:w="907" w:type="dxa"/>
            <w:vAlign w:val="top"/>
          </w:tcPr>
          <w:p w14:paraId="148601D5">
            <w:pPr>
              <w:rPr>
                <w:rFonts w:ascii="Arial"/>
                <w:sz w:val="21"/>
              </w:rPr>
            </w:pPr>
          </w:p>
        </w:tc>
        <w:tc>
          <w:tcPr>
            <w:tcW w:w="815" w:type="dxa"/>
            <w:vAlign w:val="top"/>
          </w:tcPr>
          <w:p w14:paraId="27FF062E">
            <w:pPr>
              <w:rPr>
                <w:rFonts w:ascii="Arial"/>
                <w:sz w:val="21"/>
              </w:rPr>
            </w:pPr>
          </w:p>
        </w:tc>
        <w:tc>
          <w:tcPr>
            <w:tcW w:w="988" w:type="dxa"/>
            <w:vAlign w:val="top"/>
          </w:tcPr>
          <w:p w14:paraId="1DE3CD30">
            <w:pPr>
              <w:rPr>
                <w:rFonts w:ascii="Arial"/>
                <w:sz w:val="21"/>
              </w:rPr>
            </w:pPr>
          </w:p>
        </w:tc>
        <w:tc>
          <w:tcPr>
            <w:tcW w:w="767" w:type="dxa"/>
            <w:vAlign w:val="top"/>
          </w:tcPr>
          <w:p w14:paraId="651675FF">
            <w:pPr>
              <w:rPr>
                <w:rFonts w:ascii="Arial"/>
                <w:sz w:val="21"/>
              </w:rPr>
            </w:pPr>
          </w:p>
        </w:tc>
        <w:tc>
          <w:tcPr>
            <w:tcW w:w="815" w:type="dxa"/>
            <w:vAlign w:val="top"/>
          </w:tcPr>
          <w:p w14:paraId="69C96169">
            <w:pPr>
              <w:rPr>
                <w:rFonts w:ascii="Arial"/>
                <w:sz w:val="21"/>
              </w:rPr>
            </w:pPr>
          </w:p>
        </w:tc>
        <w:tc>
          <w:tcPr>
            <w:tcW w:w="1019" w:type="dxa"/>
            <w:tcBorders>
              <w:right w:val="single" w:color="000000" w:sz="6" w:space="0"/>
            </w:tcBorders>
            <w:vAlign w:val="top"/>
          </w:tcPr>
          <w:p w14:paraId="10124659">
            <w:pPr>
              <w:rPr>
                <w:rFonts w:ascii="Arial"/>
                <w:sz w:val="21"/>
              </w:rPr>
            </w:pPr>
          </w:p>
        </w:tc>
      </w:tr>
      <w:tr w14:paraId="2DB4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69" w:type="dxa"/>
            <w:tcBorders>
              <w:left w:val="single" w:color="000000" w:sz="6" w:space="0"/>
            </w:tcBorders>
            <w:vAlign w:val="top"/>
          </w:tcPr>
          <w:p w14:paraId="670B6149">
            <w:pPr>
              <w:rPr>
                <w:rFonts w:ascii="Arial"/>
                <w:sz w:val="21"/>
              </w:rPr>
            </w:pPr>
          </w:p>
        </w:tc>
        <w:tc>
          <w:tcPr>
            <w:tcW w:w="1259" w:type="dxa"/>
            <w:vAlign w:val="top"/>
          </w:tcPr>
          <w:p w14:paraId="46264681">
            <w:pPr>
              <w:rPr>
                <w:rFonts w:ascii="Arial"/>
                <w:sz w:val="21"/>
              </w:rPr>
            </w:pPr>
          </w:p>
        </w:tc>
        <w:tc>
          <w:tcPr>
            <w:tcW w:w="1504" w:type="dxa"/>
            <w:vAlign w:val="top"/>
          </w:tcPr>
          <w:p w14:paraId="17A9967F">
            <w:pPr>
              <w:rPr>
                <w:rFonts w:ascii="Arial"/>
                <w:sz w:val="21"/>
              </w:rPr>
            </w:pPr>
          </w:p>
        </w:tc>
        <w:tc>
          <w:tcPr>
            <w:tcW w:w="678" w:type="dxa"/>
            <w:vAlign w:val="top"/>
          </w:tcPr>
          <w:p w14:paraId="7C065AAD">
            <w:pPr>
              <w:rPr>
                <w:rFonts w:ascii="Arial"/>
                <w:sz w:val="21"/>
              </w:rPr>
            </w:pPr>
          </w:p>
        </w:tc>
        <w:tc>
          <w:tcPr>
            <w:tcW w:w="909" w:type="dxa"/>
            <w:vAlign w:val="top"/>
          </w:tcPr>
          <w:p w14:paraId="0252D9C9">
            <w:pPr>
              <w:rPr>
                <w:rFonts w:ascii="Arial"/>
                <w:sz w:val="21"/>
              </w:rPr>
            </w:pPr>
          </w:p>
        </w:tc>
        <w:tc>
          <w:tcPr>
            <w:tcW w:w="813" w:type="dxa"/>
            <w:vAlign w:val="top"/>
          </w:tcPr>
          <w:p w14:paraId="06B425C7">
            <w:pPr>
              <w:rPr>
                <w:rFonts w:ascii="Arial"/>
                <w:sz w:val="21"/>
              </w:rPr>
            </w:pPr>
          </w:p>
        </w:tc>
        <w:tc>
          <w:tcPr>
            <w:tcW w:w="892" w:type="dxa"/>
            <w:vAlign w:val="top"/>
          </w:tcPr>
          <w:p w14:paraId="290DBCB6">
            <w:pPr>
              <w:rPr>
                <w:rFonts w:ascii="Arial"/>
                <w:sz w:val="21"/>
              </w:rPr>
            </w:pPr>
          </w:p>
        </w:tc>
        <w:tc>
          <w:tcPr>
            <w:tcW w:w="894" w:type="dxa"/>
            <w:vAlign w:val="top"/>
          </w:tcPr>
          <w:p w14:paraId="2BC55482">
            <w:pPr>
              <w:rPr>
                <w:rFonts w:ascii="Arial"/>
                <w:sz w:val="21"/>
              </w:rPr>
            </w:pPr>
          </w:p>
        </w:tc>
        <w:tc>
          <w:tcPr>
            <w:tcW w:w="892" w:type="dxa"/>
            <w:vAlign w:val="top"/>
          </w:tcPr>
          <w:p w14:paraId="47CE2345">
            <w:pPr>
              <w:rPr>
                <w:rFonts w:ascii="Arial"/>
                <w:sz w:val="21"/>
              </w:rPr>
            </w:pPr>
          </w:p>
        </w:tc>
        <w:tc>
          <w:tcPr>
            <w:tcW w:w="907" w:type="dxa"/>
            <w:vAlign w:val="top"/>
          </w:tcPr>
          <w:p w14:paraId="43F048F3">
            <w:pPr>
              <w:rPr>
                <w:rFonts w:ascii="Arial"/>
                <w:sz w:val="21"/>
              </w:rPr>
            </w:pPr>
          </w:p>
        </w:tc>
        <w:tc>
          <w:tcPr>
            <w:tcW w:w="815" w:type="dxa"/>
            <w:vAlign w:val="top"/>
          </w:tcPr>
          <w:p w14:paraId="74FD6F21">
            <w:pPr>
              <w:rPr>
                <w:rFonts w:ascii="Arial"/>
                <w:sz w:val="21"/>
              </w:rPr>
            </w:pPr>
          </w:p>
        </w:tc>
        <w:tc>
          <w:tcPr>
            <w:tcW w:w="988" w:type="dxa"/>
            <w:vAlign w:val="top"/>
          </w:tcPr>
          <w:p w14:paraId="1691927F">
            <w:pPr>
              <w:rPr>
                <w:rFonts w:ascii="Arial"/>
                <w:sz w:val="21"/>
              </w:rPr>
            </w:pPr>
          </w:p>
        </w:tc>
        <w:tc>
          <w:tcPr>
            <w:tcW w:w="767" w:type="dxa"/>
            <w:vAlign w:val="top"/>
          </w:tcPr>
          <w:p w14:paraId="144DBEC1">
            <w:pPr>
              <w:rPr>
                <w:rFonts w:ascii="Arial"/>
                <w:sz w:val="21"/>
              </w:rPr>
            </w:pPr>
          </w:p>
        </w:tc>
        <w:tc>
          <w:tcPr>
            <w:tcW w:w="815" w:type="dxa"/>
            <w:vAlign w:val="top"/>
          </w:tcPr>
          <w:p w14:paraId="2158ECDD">
            <w:pPr>
              <w:rPr>
                <w:rFonts w:ascii="Arial"/>
                <w:sz w:val="21"/>
              </w:rPr>
            </w:pPr>
          </w:p>
        </w:tc>
        <w:tc>
          <w:tcPr>
            <w:tcW w:w="1019" w:type="dxa"/>
            <w:tcBorders>
              <w:right w:val="single" w:color="000000" w:sz="6" w:space="0"/>
            </w:tcBorders>
            <w:vAlign w:val="top"/>
          </w:tcPr>
          <w:p w14:paraId="577F18FF">
            <w:pPr>
              <w:rPr>
                <w:rFonts w:ascii="Arial"/>
                <w:sz w:val="21"/>
              </w:rPr>
            </w:pPr>
          </w:p>
        </w:tc>
      </w:tr>
      <w:tr w14:paraId="264F4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69" w:type="dxa"/>
            <w:tcBorders>
              <w:left w:val="single" w:color="000000" w:sz="6" w:space="0"/>
            </w:tcBorders>
            <w:vAlign w:val="top"/>
          </w:tcPr>
          <w:p w14:paraId="06137BAC">
            <w:pPr>
              <w:rPr>
                <w:rFonts w:ascii="Arial"/>
                <w:sz w:val="21"/>
              </w:rPr>
            </w:pPr>
          </w:p>
        </w:tc>
        <w:tc>
          <w:tcPr>
            <w:tcW w:w="1259" w:type="dxa"/>
            <w:vAlign w:val="top"/>
          </w:tcPr>
          <w:p w14:paraId="751C66D9">
            <w:pPr>
              <w:rPr>
                <w:rFonts w:ascii="Arial"/>
                <w:sz w:val="21"/>
              </w:rPr>
            </w:pPr>
          </w:p>
        </w:tc>
        <w:tc>
          <w:tcPr>
            <w:tcW w:w="1504" w:type="dxa"/>
            <w:vAlign w:val="top"/>
          </w:tcPr>
          <w:p w14:paraId="54ADC1D9">
            <w:pPr>
              <w:rPr>
                <w:rFonts w:ascii="Arial"/>
                <w:sz w:val="21"/>
              </w:rPr>
            </w:pPr>
          </w:p>
        </w:tc>
        <w:tc>
          <w:tcPr>
            <w:tcW w:w="678" w:type="dxa"/>
            <w:vAlign w:val="top"/>
          </w:tcPr>
          <w:p w14:paraId="7A7983D5">
            <w:pPr>
              <w:rPr>
                <w:rFonts w:ascii="Arial"/>
                <w:sz w:val="21"/>
              </w:rPr>
            </w:pPr>
          </w:p>
        </w:tc>
        <w:tc>
          <w:tcPr>
            <w:tcW w:w="909" w:type="dxa"/>
            <w:vAlign w:val="top"/>
          </w:tcPr>
          <w:p w14:paraId="0CA18323">
            <w:pPr>
              <w:rPr>
                <w:rFonts w:ascii="Arial"/>
                <w:sz w:val="21"/>
              </w:rPr>
            </w:pPr>
          </w:p>
        </w:tc>
        <w:tc>
          <w:tcPr>
            <w:tcW w:w="813" w:type="dxa"/>
            <w:vAlign w:val="top"/>
          </w:tcPr>
          <w:p w14:paraId="670CAE06">
            <w:pPr>
              <w:rPr>
                <w:rFonts w:ascii="Arial"/>
                <w:sz w:val="21"/>
              </w:rPr>
            </w:pPr>
          </w:p>
        </w:tc>
        <w:tc>
          <w:tcPr>
            <w:tcW w:w="892" w:type="dxa"/>
            <w:vAlign w:val="top"/>
          </w:tcPr>
          <w:p w14:paraId="71B1B475">
            <w:pPr>
              <w:rPr>
                <w:rFonts w:ascii="Arial"/>
                <w:sz w:val="21"/>
              </w:rPr>
            </w:pPr>
          </w:p>
        </w:tc>
        <w:tc>
          <w:tcPr>
            <w:tcW w:w="894" w:type="dxa"/>
            <w:vAlign w:val="top"/>
          </w:tcPr>
          <w:p w14:paraId="4BD51A7A">
            <w:pPr>
              <w:rPr>
                <w:rFonts w:ascii="Arial"/>
                <w:sz w:val="21"/>
              </w:rPr>
            </w:pPr>
          </w:p>
        </w:tc>
        <w:tc>
          <w:tcPr>
            <w:tcW w:w="892" w:type="dxa"/>
            <w:vAlign w:val="top"/>
          </w:tcPr>
          <w:p w14:paraId="5EEE4368">
            <w:pPr>
              <w:rPr>
                <w:rFonts w:ascii="Arial"/>
                <w:sz w:val="21"/>
              </w:rPr>
            </w:pPr>
          </w:p>
        </w:tc>
        <w:tc>
          <w:tcPr>
            <w:tcW w:w="907" w:type="dxa"/>
            <w:vAlign w:val="top"/>
          </w:tcPr>
          <w:p w14:paraId="7E4C87D2">
            <w:pPr>
              <w:rPr>
                <w:rFonts w:ascii="Arial"/>
                <w:sz w:val="21"/>
              </w:rPr>
            </w:pPr>
          </w:p>
        </w:tc>
        <w:tc>
          <w:tcPr>
            <w:tcW w:w="815" w:type="dxa"/>
            <w:vAlign w:val="top"/>
          </w:tcPr>
          <w:p w14:paraId="03EEBC84">
            <w:pPr>
              <w:rPr>
                <w:rFonts w:ascii="Arial"/>
                <w:sz w:val="21"/>
              </w:rPr>
            </w:pPr>
          </w:p>
        </w:tc>
        <w:tc>
          <w:tcPr>
            <w:tcW w:w="988" w:type="dxa"/>
            <w:vAlign w:val="top"/>
          </w:tcPr>
          <w:p w14:paraId="0C41D22F">
            <w:pPr>
              <w:rPr>
                <w:rFonts w:ascii="Arial"/>
                <w:sz w:val="21"/>
              </w:rPr>
            </w:pPr>
          </w:p>
        </w:tc>
        <w:tc>
          <w:tcPr>
            <w:tcW w:w="767" w:type="dxa"/>
            <w:vAlign w:val="top"/>
          </w:tcPr>
          <w:p w14:paraId="05E4D375">
            <w:pPr>
              <w:rPr>
                <w:rFonts w:ascii="Arial"/>
                <w:sz w:val="21"/>
              </w:rPr>
            </w:pPr>
          </w:p>
        </w:tc>
        <w:tc>
          <w:tcPr>
            <w:tcW w:w="815" w:type="dxa"/>
            <w:vAlign w:val="top"/>
          </w:tcPr>
          <w:p w14:paraId="6004EC4E">
            <w:pPr>
              <w:rPr>
                <w:rFonts w:ascii="Arial"/>
                <w:sz w:val="21"/>
              </w:rPr>
            </w:pPr>
          </w:p>
        </w:tc>
        <w:tc>
          <w:tcPr>
            <w:tcW w:w="1019" w:type="dxa"/>
            <w:tcBorders>
              <w:right w:val="single" w:color="000000" w:sz="6" w:space="0"/>
            </w:tcBorders>
            <w:vAlign w:val="top"/>
          </w:tcPr>
          <w:p w14:paraId="615836AB">
            <w:pPr>
              <w:rPr>
                <w:rFonts w:ascii="Arial"/>
                <w:sz w:val="21"/>
              </w:rPr>
            </w:pPr>
          </w:p>
        </w:tc>
      </w:tr>
      <w:tr w14:paraId="61BCF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69" w:type="dxa"/>
            <w:tcBorders>
              <w:left w:val="single" w:color="000000" w:sz="6" w:space="0"/>
            </w:tcBorders>
            <w:vAlign w:val="top"/>
          </w:tcPr>
          <w:p w14:paraId="0F05E879">
            <w:pPr>
              <w:rPr>
                <w:rFonts w:ascii="Arial"/>
                <w:sz w:val="21"/>
              </w:rPr>
            </w:pPr>
          </w:p>
        </w:tc>
        <w:tc>
          <w:tcPr>
            <w:tcW w:w="1259" w:type="dxa"/>
            <w:vAlign w:val="top"/>
          </w:tcPr>
          <w:p w14:paraId="038CBD18">
            <w:pPr>
              <w:rPr>
                <w:rFonts w:ascii="Arial"/>
                <w:sz w:val="21"/>
              </w:rPr>
            </w:pPr>
          </w:p>
        </w:tc>
        <w:tc>
          <w:tcPr>
            <w:tcW w:w="1504" w:type="dxa"/>
            <w:vAlign w:val="top"/>
          </w:tcPr>
          <w:p w14:paraId="2F43FC82">
            <w:pPr>
              <w:rPr>
                <w:rFonts w:ascii="Arial"/>
                <w:sz w:val="21"/>
              </w:rPr>
            </w:pPr>
          </w:p>
        </w:tc>
        <w:tc>
          <w:tcPr>
            <w:tcW w:w="678" w:type="dxa"/>
            <w:vAlign w:val="top"/>
          </w:tcPr>
          <w:p w14:paraId="59B1448A">
            <w:pPr>
              <w:rPr>
                <w:rFonts w:ascii="Arial"/>
                <w:sz w:val="21"/>
              </w:rPr>
            </w:pPr>
          </w:p>
        </w:tc>
        <w:tc>
          <w:tcPr>
            <w:tcW w:w="909" w:type="dxa"/>
            <w:vAlign w:val="top"/>
          </w:tcPr>
          <w:p w14:paraId="2097B6E3">
            <w:pPr>
              <w:rPr>
                <w:rFonts w:ascii="Arial"/>
                <w:sz w:val="21"/>
              </w:rPr>
            </w:pPr>
          </w:p>
        </w:tc>
        <w:tc>
          <w:tcPr>
            <w:tcW w:w="813" w:type="dxa"/>
            <w:vAlign w:val="top"/>
          </w:tcPr>
          <w:p w14:paraId="1EDF4335">
            <w:pPr>
              <w:rPr>
                <w:rFonts w:ascii="Arial"/>
                <w:sz w:val="21"/>
              </w:rPr>
            </w:pPr>
          </w:p>
        </w:tc>
        <w:tc>
          <w:tcPr>
            <w:tcW w:w="892" w:type="dxa"/>
            <w:vAlign w:val="top"/>
          </w:tcPr>
          <w:p w14:paraId="0C949EF3">
            <w:pPr>
              <w:rPr>
                <w:rFonts w:ascii="Arial"/>
                <w:sz w:val="21"/>
              </w:rPr>
            </w:pPr>
          </w:p>
        </w:tc>
        <w:tc>
          <w:tcPr>
            <w:tcW w:w="894" w:type="dxa"/>
            <w:vAlign w:val="top"/>
          </w:tcPr>
          <w:p w14:paraId="6D2203B2">
            <w:pPr>
              <w:rPr>
                <w:rFonts w:ascii="Arial"/>
                <w:sz w:val="21"/>
              </w:rPr>
            </w:pPr>
          </w:p>
        </w:tc>
        <w:tc>
          <w:tcPr>
            <w:tcW w:w="892" w:type="dxa"/>
            <w:vAlign w:val="top"/>
          </w:tcPr>
          <w:p w14:paraId="6F44D072">
            <w:pPr>
              <w:rPr>
                <w:rFonts w:ascii="Arial"/>
                <w:sz w:val="21"/>
              </w:rPr>
            </w:pPr>
          </w:p>
        </w:tc>
        <w:tc>
          <w:tcPr>
            <w:tcW w:w="907" w:type="dxa"/>
            <w:vAlign w:val="top"/>
          </w:tcPr>
          <w:p w14:paraId="25048F03">
            <w:pPr>
              <w:rPr>
                <w:rFonts w:ascii="Arial"/>
                <w:sz w:val="21"/>
              </w:rPr>
            </w:pPr>
          </w:p>
        </w:tc>
        <w:tc>
          <w:tcPr>
            <w:tcW w:w="815" w:type="dxa"/>
            <w:vAlign w:val="top"/>
          </w:tcPr>
          <w:p w14:paraId="5CC8B2B7">
            <w:pPr>
              <w:rPr>
                <w:rFonts w:ascii="Arial"/>
                <w:sz w:val="21"/>
              </w:rPr>
            </w:pPr>
          </w:p>
        </w:tc>
        <w:tc>
          <w:tcPr>
            <w:tcW w:w="988" w:type="dxa"/>
            <w:vAlign w:val="top"/>
          </w:tcPr>
          <w:p w14:paraId="55F72699">
            <w:pPr>
              <w:rPr>
                <w:rFonts w:ascii="Arial"/>
                <w:sz w:val="21"/>
              </w:rPr>
            </w:pPr>
          </w:p>
        </w:tc>
        <w:tc>
          <w:tcPr>
            <w:tcW w:w="767" w:type="dxa"/>
            <w:vAlign w:val="top"/>
          </w:tcPr>
          <w:p w14:paraId="4E9F61DA">
            <w:pPr>
              <w:rPr>
                <w:rFonts w:ascii="Arial"/>
                <w:sz w:val="21"/>
              </w:rPr>
            </w:pPr>
          </w:p>
        </w:tc>
        <w:tc>
          <w:tcPr>
            <w:tcW w:w="815" w:type="dxa"/>
            <w:vAlign w:val="top"/>
          </w:tcPr>
          <w:p w14:paraId="39314A8F">
            <w:pPr>
              <w:rPr>
                <w:rFonts w:ascii="Arial"/>
                <w:sz w:val="21"/>
              </w:rPr>
            </w:pPr>
          </w:p>
        </w:tc>
        <w:tc>
          <w:tcPr>
            <w:tcW w:w="1019" w:type="dxa"/>
            <w:tcBorders>
              <w:right w:val="single" w:color="000000" w:sz="6" w:space="0"/>
            </w:tcBorders>
            <w:vAlign w:val="top"/>
          </w:tcPr>
          <w:p w14:paraId="032D8D08">
            <w:pPr>
              <w:rPr>
                <w:rFonts w:ascii="Arial"/>
                <w:sz w:val="21"/>
              </w:rPr>
            </w:pPr>
          </w:p>
        </w:tc>
      </w:tr>
      <w:tr w14:paraId="4C79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69" w:type="dxa"/>
            <w:tcBorders>
              <w:left w:val="single" w:color="000000" w:sz="6" w:space="0"/>
              <w:bottom w:val="single" w:color="000000" w:sz="6" w:space="0"/>
            </w:tcBorders>
            <w:vAlign w:val="top"/>
          </w:tcPr>
          <w:p w14:paraId="6F87904E">
            <w:pPr>
              <w:rPr>
                <w:rFonts w:ascii="Arial"/>
                <w:sz w:val="21"/>
              </w:rPr>
            </w:pPr>
          </w:p>
        </w:tc>
        <w:tc>
          <w:tcPr>
            <w:tcW w:w="1259" w:type="dxa"/>
            <w:tcBorders>
              <w:bottom w:val="single" w:color="000000" w:sz="6" w:space="0"/>
            </w:tcBorders>
            <w:vAlign w:val="top"/>
          </w:tcPr>
          <w:p w14:paraId="51F998A2">
            <w:pPr>
              <w:rPr>
                <w:rFonts w:ascii="Arial"/>
                <w:sz w:val="21"/>
              </w:rPr>
            </w:pPr>
          </w:p>
        </w:tc>
        <w:tc>
          <w:tcPr>
            <w:tcW w:w="1504" w:type="dxa"/>
            <w:tcBorders>
              <w:bottom w:val="single" w:color="000000" w:sz="6" w:space="0"/>
            </w:tcBorders>
            <w:vAlign w:val="top"/>
          </w:tcPr>
          <w:p w14:paraId="6988E056">
            <w:pPr>
              <w:rPr>
                <w:rFonts w:ascii="Arial"/>
                <w:sz w:val="21"/>
              </w:rPr>
            </w:pPr>
          </w:p>
        </w:tc>
        <w:tc>
          <w:tcPr>
            <w:tcW w:w="678" w:type="dxa"/>
            <w:tcBorders>
              <w:bottom w:val="single" w:color="000000" w:sz="6" w:space="0"/>
            </w:tcBorders>
            <w:vAlign w:val="top"/>
          </w:tcPr>
          <w:p w14:paraId="6E92746B">
            <w:pPr>
              <w:rPr>
                <w:rFonts w:ascii="Arial"/>
                <w:sz w:val="21"/>
              </w:rPr>
            </w:pPr>
          </w:p>
        </w:tc>
        <w:tc>
          <w:tcPr>
            <w:tcW w:w="909" w:type="dxa"/>
            <w:tcBorders>
              <w:bottom w:val="single" w:color="000000" w:sz="6" w:space="0"/>
            </w:tcBorders>
            <w:vAlign w:val="top"/>
          </w:tcPr>
          <w:p w14:paraId="26116D94">
            <w:pPr>
              <w:rPr>
                <w:rFonts w:ascii="Arial"/>
                <w:sz w:val="21"/>
              </w:rPr>
            </w:pPr>
          </w:p>
        </w:tc>
        <w:tc>
          <w:tcPr>
            <w:tcW w:w="813" w:type="dxa"/>
            <w:tcBorders>
              <w:bottom w:val="single" w:color="000000" w:sz="6" w:space="0"/>
            </w:tcBorders>
            <w:vAlign w:val="top"/>
          </w:tcPr>
          <w:p w14:paraId="4AFB69C0">
            <w:pPr>
              <w:rPr>
                <w:rFonts w:ascii="Arial"/>
                <w:sz w:val="21"/>
              </w:rPr>
            </w:pPr>
          </w:p>
        </w:tc>
        <w:tc>
          <w:tcPr>
            <w:tcW w:w="892" w:type="dxa"/>
            <w:tcBorders>
              <w:bottom w:val="single" w:color="000000" w:sz="6" w:space="0"/>
            </w:tcBorders>
            <w:vAlign w:val="top"/>
          </w:tcPr>
          <w:p w14:paraId="0ABAB08A">
            <w:pPr>
              <w:rPr>
                <w:rFonts w:ascii="Arial"/>
                <w:sz w:val="21"/>
              </w:rPr>
            </w:pPr>
          </w:p>
        </w:tc>
        <w:tc>
          <w:tcPr>
            <w:tcW w:w="894" w:type="dxa"/>
            <w:tcBorders>
              <w:bottom w:val="single" w:color="000000" w:sz="6" w:space="0"/>
            </w:tcBorders>
            <w:vAlign w:val="top"/>
          </w:tcPr>
          <w:p w14:paraId="46A57093">
            <w:pPr>
              <w:rPr>
                <w:rFonts w:ascii="Arial"/>
                <w:sz w:val="21"/>
              </w:rPr>
            </w:pPr>
          </w:p>
        </w:tc>
        <w:tc>
          <w:tcPr>
            <w:tcW w:w="892" w:type="dxa"/>
            <w:tcBorders>
              <w:bottom w:val="single" w:color="000000" w:sz="6" w:space="0"/>
            </w:tcBorders>
            <w:vAlign w:val="top"/>
          </w:tcPr>
          <w:p w14:paraId="65B380A1">
            <w:pPr>
              <w:rPr>
                <w:rFonts w:ascii="Arial"/>
                <w:sz w:val="21"/>
              </w:rPr>
            </w:pPr>
          </w:p>
        </w:tc>
        <w:tc>
          <w:tcPr>
            <w:tcW w:w="907" w:type="dxa"/>
            <w:tcBorders>
              <w:bottom w:val="single" w:color="000000" w:sz="6" w:space="0"/>
            </w:tcBorders>
            <w:vAlign w:val="top"/>
          </w:tcPr>
          <w:p w14:paraId="179C5326">
            <w:pPr>
              <w:rPr>
                <w:rFonts w:ascii="Arial"/>
                <w:sz w:val="21"/>
              </w:rPr>
            </w:pPr>
          </w:p>
        </w:tc>
        <w:tc>
          <w:tcPr>
            <w:tcW w:w="815" w:type="dxa"/>
            <w:tcBorders>
              <w:bottom w:val="single" w:color="000000" w:sz="6" w:space="0"/>
            </w:tcBorders>
            <w:vAlign w:val="top"/>
          </w:tcPr>
          <w:p w14:paraId="13EB03B9">
            <w:pPr>
              <w:rPr>
                <w:rFonts w:ascii="Arial"/>
                <w:sz w:val="21"/>
              </w:rPr>
            </w:pPr>
          </w:p>
        </w:tc>
        <w:tc>
          <w:tcPr>
            <w:tcW w:w="988" w:type="dxa"/>
            <w:tcBorders>
              <w:bottom w:val="single" w:color="000000" w:sz="6" w:space="0"/>
            </w:tcBorders>
            <w:vAlign w:val="top"/>
          </w:tcPr>
          <w:p w14:paraId="4703A110">
            <w:pPr>
              <w:rPr>
                <w:rFonts w:ascii="Arial"/>
                <w:sz w:val="21"/>
              </w:rPr>
            </w:pPr>
          </w:p>
        </w:tc>
        <w:tc>
          <w:tcPr>
            <w:tcW w:w="767" w:type="dxa"/>
            <w:tcBorders>
              <w:bottom w:val="single" w:color="000000" w:sz="6" w:space="0"/>
            </w:tcBorders>
            <w:vAlign w:val="top"/>
          </w:tcPr>
          <w:p w14:paraId="5A1CAB7B">
            <w:pPr>
              <w:rPr>
                <w:rFonts w:ascii="Arial"/>
                <w:sz w:val="21"/>
              </w:rPr>
            </w:pPr>
          </w:p>
        </w:tc>
        <w:tc>
          <w:tcPr>
            <w:tcW w:w="815" w:type="dxa"/>
            <w:tcBorders>
              <w:bottom w:val="single" w:color="000000" w:sz="6" w:space="0"/>
            </w:tcBorders>
            <w:vAlign w:val="top"/>
          </w:tcPr>
          <w:p w14:paraId="078809B9">
            <w:pPr>
              <w:rPr>
                <w:rFonts w:ascii="Arial"/>
                <w:sz w:val="21"/>
              </w:rPr>
            </w:pPr>
          </w:p>
        </w:tc>
        <w:tc>
          <w:tcPr>
            <w:tcW w:w="1019" w:type="dxa"/>
            <w:tcBorders>
              <w:bottom w:val="single" w:color="000000" w:sz="6" w:space="0"/>
              <w:right w:val="single" w:color="000000" w:sz="6" w:space="0"/>
            </w:tcBorders>
            <w:vAlign w:val="top"/>
          </w:tcPr>
          <w:p w14:paraId="015DA797">
            <w:pPr>
              <w:rPr>
                <w:rFonts w:ascii="Arial"/>
                <w:sz w:val="21"/>
              </w:rPr>
            </w:pPr>
          </w:p>
        </w:tc>
      </w:tr>
    </w:tbl>
    <w:p w14:paraId="58B91F27">
      <w:pPr>
        <w:spacing w:before="119" w:line="220" w:lineRule="auto"/>
        <w:ind w:left="11798"/>
        <w:rPr>
          <w:rFonts w:ascii="宋体" w:hAnsi="宋体" w:eastAsia="宋体" w:cs="宋体"/>
          <w:sz w:val="18"/>
          <w:szCs w:val="18"/>
        </w:rPr>
      </w:pPr>
      <w:r>
        <w:rPr>
          <w:rFonts w:ascii="宋体" w:hAnsi="宋体" w:eastAsia="宋体" w:cs="宋体"/>
          <w:spacing w:val="-2"/>
          <w:sz w:val="18"/>
          <w:szCs w:val="18"/>
        </w:rPr>
        <w:t>法定代表人</w:t>
      </w:r>
    </w:p>
    <w:p w14:paraId="5ADEBF91">
      <w:pPr>
        <w:spacing w:before="114" w:line="220" w:lineRule="auto"/>
        <w:ind w:left="11682"/>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z w:val="18"/>
          <w:szCs w:val="18"/>
        </w:rPr>
        <w:t>）</w:t>
      </w:r>
      <w:r>
        <w:rPr>
          <w:rFonts w:ascii="宋体" w:hAnsi="宋体" w:eastAsia="宋体" w:cs="宋体"/>
          <w:spacing w:val="2"/>
          <w:sz w:val="18"/>
          <w:szCs w:val="18"/>
        </w:rPr>
        <w:t xml:space="preserve"> </w:t>
      </w:r>
      <w:r>
        <w:rPr>
          <w:rFonts w:ascii="宋体" w:hAnsi="宋体" w:eastAsia="宋体" w:cs="宋体"/>
          <w:sz w:val="18"/>
          <w:szCs w:val="18"/>
        </w:rPr>
        <w:t>：</w:t>
      </w:r>
    </w:p>
    <w:p w14:paraId="36FE225B">
      <w:pPr>
        <w:spacing w:before="19" w:line="213" w:lineRule="auto"/>
        <w:ind w:left="11670"/>
        <w:rPr>
          <w:rFonts w:ascii="宋体" w:hAnsi="宋体" w:eastAsia="宋体" w:cs="宋体"/>
          <w:sz w:val="18"/>
          <w:szCs w:val="18"/>
        </w:rPr>
      </w:pPr>
      <w:r>
        <w:rPr>
          <w:rFonts w:ascii="宋体" w:hAnsi="宋体" w:eastAsia="宋体" w:cs="宋体"/>
          <w:spacing w:val="-1"/>
          <w:sz w:val="18"/>
          <w:szCs w:val="18"/>
        </w:rPr>
        <w:t>___________（签字）</w:t>
      </w:r>
    </w:p>
    <w:p w14:paraId="769527FA">
      <w:pPr>
        <w:spacing w:line="213" w:lineRule="auto"/>
        <w:rPr>
          <w:rFonts w:ascii="宋体" w:hAnsi="宋体" w:eastAsia="宋体" w:cs="宋体"/>
          <w:sz w:val="18"/>
          <w:szCs w:val="18"/>
        </w:rPr>
        <w:sectPr>
          <w:footerReference r:id="rId163" w:type="default"/>
          <w:pgSz w:w="16843" w:h="11905" w:orient="landscape"/>
          <w:pgMar w:top="1480" w:right="969" w:bottom="1355" w:left="1026" w:header="0" w:footer="754" w:gutter="0"/>
          <w:cols w:space="0" w:num="1"/>
          <w:rtlGutter w:val="0"/>
          <w:docGrid w:linePitch="0" w:charSpace="0"/>
        </w:sectPr>
      </w:pPr>
    </w:p>
    <w:p w14:paraId="1CF425B7">
      <w:pPr>
        <w:pStyle w:val="5"/>
        <w:spacing w:line="245" w:lineRule="auto"/>
      </w:pPr>
    </w:p>
    <w:p w14:paraId="690F2135">
      <w:pPr>
        <w:pStyle w:val="5"/>
        <w:spacing w:line="245" w:lineRule="auto"/>
      </w:pPr>
    </w:p>
    <w:p w14:paraId="624F98AF">
      <w:pPr>
        <w:pStyle w:val="5"/>
        <w:spacing w:line="245" w:lineRule="auto"/>
      </w:pPr>
    </w:p>
    <w:p w14:paraId="3CD83F86">
      <w:pPr>
        <w:pStyle w:val="5"/>
        <w:spacing w:line="246" w:lineRule="auto"/>
      </w:pPr>
    </w:p>
    <w:p w14:paraId="778601C6">
      <w:pPr>
        <w:pStyle w:val="5"/>
        <w:spacing w:line="246" w:lineRule="auto"/>
      </w:pPr>
    </w:p>
    <w:p w14:paraId="771AC483">
      <w:pPr>
        <w:pStyle w:val="5"/>
        <w:spacing w:line="246" w:lineRule="auto"/>
      </w:pPr>
    </w:p>
    <w:p w14:paraId="739F49AD">
      <w:pPr>
        <w:pStyle w:val="5"/>
        <w:spacing w:line="246" w:lineRule="auto"/>
      </w:pPr>
    </w:p>
    <w:p w14:paraId="210CC40A">
      <w:pPr>
        <w:spacing w:before="78" w:line="232" w:lineRule="auto"/>
        <w:ind w:left="19"/>
        <w:outlineLvl w:val="2"/>
        <w:rPr>
          <w:rFonts w:ascii="黑体" w:hAnsi="黑体" w:eastAsia="黑体" w:cs="黑体"/>
          <w:sz w:val="24"/>
          <w:szCs w:val="24"/>
        </w:rPr>
      </w:pPr>
      <w:bookmarkStart w:id="1273" w:name="bookmark388"/>
      <w:bookmarkEnd w:id="1273"/>
      <w:r>
        <w:rPr>
          <w:rFonts w:ascii="Times New Roman" w:hAnsi="Times New Roman" w:eastAsia="Times New Roman" w:cs="Times New Roman"/>
          <w:spacing w:val="-1"/>
          <w:sz w:val="24"/>
          <w:szCs w:val="24"/>
        </w:rPr>
        <w:t xml:space="preserve">3.14 </w:t>
      </w:r>
      <w:r>
        <w:rPr>
          <w:rFonts w:ascii="黑体" w:hAnsi="黑体" w:eastAsia="黑体" w:cs="黑体"/>
          <w:spacing w:val="-1"/>
          <w:sz w:val="24"/>
          <w:szCs w:val="24"/>
        </w:rPr>
        <w:t>工程单价费（税）率汇总表</w:t>
      </w:r>
    </w:p>
    <w:p w14:paraId="1DD126C4">
      <w:pPr>
        <w:pStyle w:val="5"/>
        <w:spacing w:line="353" w:lineRule="auto"/>
      </w:pPr>
    </w:p>
    <w:p w14:paraId="69BDF2FF">
      <w:pPr>
        <w:spacing w:before="130" w:line="218" w:lineRule="auto"/>
        <w:ind w:left="2072"/>
        <w:rPr>
          <w:rFonts w:ascii="宋体" w:hAnsi="宋体" w:eastAsia="宋体" w:cs="宋体"/>
          <w:sz w:val="40"/>
          <w:szCs w:val="40"/>
        </w:rPr>
      </w:pPr>
      <w:bookmarkStart w:id="1274" w:name="bookmark622"/>
      <w:bookmarkEnd w:id="1274"/>
      <w:r>
        <w:rPr>
          <w:rFonts w:ascii="宋体" w:hAnsi="宋体" w:eastAsia="宋体" w:cs="宋体"/>
          <w:b/>
          <w:bCs/>
          <w:spacing w:val="-5"/>
          <w:sz w:val="40"/>
          <w:szCs w:val="40"/>
        </w:rPr>
        <w:t>工程单价费（税）率汇总表</w:t>
      </w:r>
    </w:p>
    <w:p w14:paraId="293C2A17">
      <w:pPr>
        <w:spacing w:before="180"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17CC0B2B">
      <w:pPr>
        <w:spacing w:before="182" w:line="229" w:lineRule="auto"/>
        <w:ind w:left="127"/>
        <w:rPr>
          <w:rFonts w:ascii="宋体" w:hAnsi="宋体" w:eastAsia="宋体" w:cs="宋体"/>
          <w:sz w:val="19"/>
          <w:szCs w:val="19"/>
        </w:rPr>
      </w:pPr>
      <w:r>
        <w:rPr>
          <w:rFonts w:ascii="宋体" w:hAnsi="宋体" w:eastAsia="宋体" w:cs="宋体"/>
          <w:spacing w:val="1"/>
          <w:position w:val="7"/>
          <w:sz w:val="19"/>
          <w:szCs w:val="19"/>
        </w:rPr>
        <w:t xml:space="preserve">工程名称：                                                                </w:t>
      </w:r>
      <w:r>
        <w:rPr>
          <w:rFonts w:ascii="宋体" w:hAnsi="宋体" w:eastAsia="宋体" w:cs="宋体"/>
          <w:spacing w:val="1"/>
          <w:position w:val="-5"/>
          <w:sz w:val="19"/>
          <w:szCs w:val="19"/>
        </w:rPr>
        <w:t>第</w:t>
      </w:r>
      <w:r>
        <w:rPr>
          <w:rFonts w:ascii="宋体" w:hAnsi="宋体" w:eastAsia="宋体" w:cs="宋体"/>
          <w:spacing w:val="29"/>
          <w:position w:val="-5"/>
          <w:sz w:val="19"/>
          <w:szCs w:val="19"/>
        </w:rPr>
        <w:t xml:space="preserve"> </w:t>
      </w:r>
      <w:r>
        <w:rPr>
          <w:rFonts w:ascii="宋体" w:hAnsi="宋体" w:eastAsia="宋体" w:cs="宋体"/>
          <w:spacing w:val="1"/>
          <w:position w:val="-5"/>
          <w:sz w:val="19"/>
          <w:szCs w:val="19"/>
        </w:rPr>
        <w:t>1 页、</w:t>
      </w:r>
      <w:r>
        <w:rPr>
          <w:rFonts w:ascii="宋体" w:hAnsi="宋体" w:eastAsia="宋体" w:cs="宋体"/>
          <w:position w:val="-5"/>
          <w:sz w:val="19"/>
          <w:szCs w:val="19"/>
        </w:rPr>
        <w:t>共</w:t>
      </w:r>
      <w:r>
        <w:rPr>
          <w:rFonts w:ascii="宋体" w:hAnsi="宋体" w:eastAsia="宋体" w:cs="宋体"/>
          <w:spacing w:val="28"/>
          <w:position w:val="-5"/>
          <w:sz w:val="19"/>
          <w:szCs w:val="19"/>
        </w:rPr>
        <w:t xml:space="preserve"> </w:t>
      </w:r>
      <w:r>
        <w:rPr>
          <w:rFonts w:ascii="宋体" w:hAnsi="宋体" w:eastAsia="宋体" w:cs="宋体"/>
          <w:position w:val="-5"/>
          <w:sz w:val="19"/>
          <w:szCs w:val="19"/>
        </w:rPr>
        <w:t>1 页</w:t>
      </w:r>
    </w:p>
    <w:tbl>
      <w:tblPr>
        <w:tblStyle w:val="10"/>
        <w:tblW w:w="89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1328"/>
        <w:gridCol w:w="1330"/>
        <w:gridCol w:w="1330"/>
        <w:gridCol w:w="1330"/>
        <w:gridCol w:w="1313"/>
        <w:gridCol w:w="1339"/>
      </w:tblGrid>
      <w:tr w14:paraId="19ADB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9" w:type="dxa"/>
            <w:vMerge w:val="restart"/>
            <w:tcBorders>
              <w:top w:val="single" w:color="000000" w:sz="6" w:space="0"/>
              <w:left w:val="single" w:color="000000" w:sz="6" w:space="0"/>
              <w:bottom w:val="nil"/>
            </w:tcBorders>
            <w:vAlign w:val="top"/>
          </w:tcPr>
          <w:p w14:paraId="71C3DAF8">
            <w:pPr>
              <w:pStyle w:val="11"/>
              <w:spacing w:before="239" w:line="230" w:lineRule="auto"/>
              <w:ind w:left="265"/>
              <w:rPr>
                <w:sz w:val="19"/>
                <w:szCs w:val="19"/>
              </w:rPr>
            </w:pPr>
            <w:r>
              <w:rPr>
                <w:spacing w:val="5"/>
                <w:sz w:val="19"/>
                <w:szCs w:val="19"/>
              </w:rPr>
              <w:t>序号</w:t>
            </w:r>
          </w:p>
        </w:tc>
        <w:tc>
          <w:tcPr>
            <w:tcW w:w="1328" w:type="dxa"/>
            <w:vMerge w:val="restart"/>
            <w:tcBorders>
              <w:top w:val="single" w:color="000000" w:sz="6" w:space="0"/>
              <w:bottom w:val="nil"/>
            </w:tcBorders>
            <w:vAlign w:val="top"/>
          </w:tcPr>
          <w:p w14:paraId="240EB660">
            <w:pPr>
              <w:pStyle w:val="11"/>
              <w:spacing w:before="239" w:line="228" w:lineRule="auto"/>
              <w:ind w:left="268"/>
              <w:rPr>
                <w:sz w:val="19"/>
                <w:szCs w:val="19"/>
              </w:rPr>
            </w:pPr>
            <w:r>
              <w:rPr>
                <w:spacing w:val="6"/>
                <w:sz w:val="19"/>
                <w:szCs w:val="19"/>
              </w:rPr>
              <w:t>工程类别</w:t>
            </w:r>
          </w:p>
        </w:tc>
        <w:tc>
          <w:tcPr>
            <w:tcW w:w="5303" w:type="dxa"/>
            <w:gridSpan w:val="4"/>
            <w:tcBorders>
              <w:top w:val="single" w:color="000000" w:sz="6" w:space="0"/>
            </w:tcBorders>
            <w:vAlign w:val="top"/>
          </w:tcPr>
          <w:p w14:paraId="20F847E4">
            <w:pPr>
              <w:pStyle w:val="11"/>
              <w:spacing w:before="68" w:line="227" w:lineRule="auto"/>
              <w:ind w:left="1508"/>
              <w:rPr>
                <w:sz w:val="19"/>
                <w:szCs w:val="19"/>
              </w:rPr>
            </w:pPr>
            <w:r>
              <w:rPr>
                <w:spacing w:val="7"/>
                <w:sz w:val="19"/>
                <w:szCs w:val="19"/>
              </w:rPr>
              <w:t>工程单价费（税）率（%）</w:t>
            </w:r>
          </w:p>
        </w:tc>
        <w:tc>
          <w:tcPr>
            <w:tcW w:w="1339" w:type="dxa"/>
            <w:vMerge w:val="restart"/>
            <w:tcBorders>
              <w:top w:val="single" w:color="000000" w:sz="6" w:space="0"/>
              <w:bottom w:val="nil"/>
              <w:right w:val="single" w:color="000000" w:sz="6" w:space="0"/>
            </w:tcBorders>
            <w:vAlign w:val="top"/>
          </w:tcPr>
          <w:p w14:paraId="07217A63">
            <w:pPr>
              <w:pStyle w:val="11"/>
              <w:spacing w:before="239" w:line="230" w:lineRule="auto"/>
              <w:ind w:left="478"/>
              <w:rPr>
                <w:sz w:val="19"/>
                <w:szCs w:val="19"/>
              </w:rPr>
            </w:pPr>
            <w:r>
              <w:rPr>
                <w:spacing w:val="4"/>
                <w:sz w:val="19"/>
                <w:szCs w:val="19"/>
              </w:rPr>
              <w:t>备注</w:t>
            </w:r>
          </w:p>
        </w:tc>
      </w:tr>
      <w:tr w14:paraId="7A68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39" w:type="dxa"/>
            <w:vMerge w:val="continue"/>
            <w:tcBorders>
              <w:top w:val="nil"/>
              <w:left w:val="single" w:color="000000" w:sz="6" w:space="0"/>
            </w:tcBorders>
            <w:vAlign w:val="top"/>
          </w:tcPr>
          <w:p w14:paraId="3287191A">
            <w:pPr>
              <w:rPr>
                <w:rFonts w:ascii="Arial"/>
                <w:sz w:val="21"/>
              </w:rPr>
            </w:pPr>
          </w:p>
        </w:tc>
        <w:tc>
          <w:tcPr>
            <w:tcW w:w="1328" w:type="dxa"/>
            <w:vMerge w:val="continue"/>
            <w:tcBorders>
              <w:top w:val="nil"/>
            </w:tcBorders>
            <w:vAlign w:val="top"/>
          </w:tcPr>
          <w:p w14:paraId="19E8EF4E">
            <w:pPr>
              <w:rPr>
                <w:rFonts w:ascii="Arial"/>
                <w:sz w:val="21"/>
              </w:rPr>
            </w:pPr>
          </w:p>
        </w:tc>
        <w:tc>
          <w:tcPr>
            <w:tcW w:w="1330" w:type="dxa"/>
            <w:vAlign w:val="top"/>
          </w:tcPr>
          <w:p w14:paraId="3E205878">
            <w:pPr>
              <w:pStyle w:val="11"/>
              <w:spacing w:before="71" w:line="229" w:lineRule="auto"/>
              <w:ind w:left="366"/>
              <w:rPr>
                <w:sz w:val="19"/>
                <w:szCs w:val="19"/>
              </w:rPr>
            </w:pPr>
            <w:r>
              <w:rPr>
                <w:spacing w:val="6"/>
                <w:sz w:val="19"/>
                <w:szCs w:val="19"/>
              </w:rPr>
              <w:t>措施费</w:t>
            </w:r>
          </w:p>
        </w:tc>
        <w:tc>
          <w:tcPr>
            <w:tcW w:w="1330" w:type="dxa"/>
            <w:vAlign w:val="top"/>
          </w:tcPr>
          <w:p w14:paraId="1E318875">
            <w:pPr>
              <w:pStyle w:val="11"/>
              <w:spacing w:before="71" w:line="229" w:lineRule="auto"/>
              <w:ind w:left="384"/>
              <w:rPr>
                <w:sz w:val="19"/>
                <w:szCs w:val="19"/>
              </w:rPr>
            </w:pPr>
            <w:r>
              <w:rPr>
                <w:spacing w:val="1"/>
                <w:sz w:val="19"/>
                <w:szCs w:val="19"/>
              </w:rPr>
              <w:t>间接费</w:t>
            </w:r>
          </w:p>
        </w:tc>
        <w:tc>
          <w:tcPr>
            <w:tcW w:w="1330" w:type="dxa"/>
            <w:vAlign w:val="top"/>
          </w:tcPr>
          <w:p w14:paraId="4A4FB4D2">
            <w:pPr>
              <w:pStyle w:val="11"/>
              <w:spacing w:before="71" w:line="229" w:lineRule="auto"/>
              <w:ind w:left="472"/>
              <w:rPr>
                <w:sz w:val="19"/>
                <w:szCs w:val="19"/>
              </w:rPr>
            </w:pPr>
            <w:r>
              <w:rPr>
                <w:spacing w:val="4"/>
                <w:sz w:val="19"/>
                <w:szCs w:val="19"/>
              </w:rPr>
              <w:t>利润</w:t>
            </w:r>
          </w:p>
        </w:tc>
        <w:tc>
          <w:tcPr>
            <w:tcW w:w="1313" w:type="dxa"/>
            <w:vAlign w:val="top"/>
          </w:tcPr>
          <w:p w14:paraId="368AF6CE">
            <w:pPr>
              <w:pStyle w:val="11"/>
              <w:spacing w:before="71" w:line="229" w:lineRule="auto"/>
              <w:ind w:left="463"/>
              <w:rPr>
                <w:sz w:val="19"/>
                <w:szCs w:val="19"/>
              </w:rPr>
            </w:pPr>
            <w:r>
              <w:rPr>
                <w:spacing w:val="5"/>
                <w:sz w:val="19"/>
                <w:szCs w:val="19"/>
              </w:rPr>
              <w:t>税金</w:t>
            </w:r>
          </w:p>
        </w:tc>
        <w:tc>
          <w:tcPr>
            <w:tcW w:w="1339" w:type="dxa"/>
            <w:vMerge w:val="continue"/>
            <w:tcBorders>
              <w:top w:val="nil"/>
              <w:right w:val="single" w:color="000000" w:sz="6" w:space="0"/>
            </w:tcBorders>
            <w:vAlign w:val="top"/>
          </w:tcPr>
          <w:p w14:paraId="7BAC59F2">
            <w:pPr>
              <w:rPr>
                <w:rFonts w:ascii="Arial"/>
                <w:sz w:val="21"/>
              </w:rPr>
            </w:pPr>
          </w:p>
        </w:tc>
      </w:tr>
      <w:tr w14:paraId="17C2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6A80A03D">
            <w:pPr>
              <w:rPr>
                <w:rFonts w:ascii="Arial"/>
                <w:sz w:val="21"/>
              </w:rPr>
            </w:pPr>
          </w:p>
        </w:tc>
        <w:tc>
          <w:tcPr>
            <w:tcW w:w="1328" w:type="dxa"/>
            <w:vAlign w:val="top"/>
          </w:tcPr>
          <w:p w14:paraId="1F45031D">
            <w:pPr>
              <w:rPr>
                <w:rFonts w:ascii="Arial"/>
                <w:sz w:val="21"/>
              </w:rPr>
            </w:pPr>
          </w:p>
        </w:tc>
        <w:tc>
          <w:tcPr>
            <w:tcW w:w="1330" w:type="dxa"/>
            <w:vAlign w:val="top"/>
          </w:tcPr>
          <w:p w14:paraId="61318594">
            <w:pPr>
              <w:rPr>
                <w:rFonts w:ascii="Arial"/>
                <w:sz w:val="21"/>
              </w:rPr>
            </w:pPr>
          </w:p>
        </w:tc>
        <w:tc>
          <w:tcPr>
            <w:tcW w:w="1330" w:type="dxa"/>
            <w:vAlign w:val="top"/>
          </w:tcPr>
          <w:p w14:paraId="4E3F2551">
            <w:pPr>
              <w:rPr>
                <w:rFonts w:ascii="Arial"/>
                <w:sz w:val="21"/>
              </w:rPr>
            </w:pPr>
          </w:p>
        </w:tc>
        <w:tc>
          <w:tcPr>
            <w:tcW w:w="1330" w:type="dxa"/>
            <w:vAlign w:val="top"/>
          </w:tcPr>
          <w:p w14:paraId="5777D9C2">
            <w:pPr>
              <w:rPr>
                <w:rFonts w:ascii="Arial"/>
                <w:sz w:val="21"/>
              </w:rPr>
            </w:pPr>
          </w:p>
        </w:tc>
        <w:tc>
          <w:tcPr>
            <w:tcW w:w="1313" w:type="dxa"/>
            <w:vAlign w:val="top"/>
          </w:tcPr>
          <w:p w14:paraId="60780F14">
            <w:pPr>
              <w:rPr>
                <w:rFonts w:ascii="Arial"/>
                <w:sz w:val="21"/>
              </w:rPr>
            </w:pPr>
          </w:p>
        </w:tc>
        <w:tc>
          <w:tcPr>
            <w:tcW w:w="1339" w:type="dxa"/>
            <w:tcBorders>
              <w:right w:val="single" w:color="000000" w:sz="6" w:space="0"/>
            </w:tcBorders>
            <w:vAlign w:val="top"/>
          </w:tcPr>
          <w:p w14:paraId="17F34642">
            <w:pPr>
              <w:rPr>
                <w:rFonts w:ascii="Arial"/>
                <w:sz w:val="21"/>
              </w:rPr>
            </w:pPr>
          </w:p>
        </w:tc>
      </w:tr>
      <w:tr w14:paraId="1AB7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3EA4858D">
            <w:pPr>
              <w:rPr>
                <w:rFonts w:ascii="Arial"/>
                <w:sz w:val="21"/>
              </w:rPr>
            </w:pPr>
          </w:p>
        </w:tc>
        <w:tc>
          <w:tcPr>
            <w:tcW w:w="1328" w:type="dxa"/>
            <w:vAlign w:val="top"/>
          </w:tcPr>
          <w:p w14:paraId="3043B42C">
            <w:pPr>
              <w:rPr>
                <w:rFonts w:ascii="Arial"/>
                <w:sz w:val="21"/>
              </w:rPr>
            </w:pPr>
          </w:p>
        </w:tc>
        <w:tc>
          <w:tcPr>
            <w:tcW w:w="1330" w:type="dxa"/>
            <w:vAlign w:val="top"/>
          </w:tcPr>
          <w:p w14:paraId="2C12818A">
            <w:pPr>
              <w:rPr>
                <w:rFonts w:ascii="Arial"/>
                <w:sz w:val="21"/>
              </w:rPr>
            </w:pPr>
          </w:p>
        </w:tc>
        <w:tc>
          <w:tcPr>
            <w:tcW w:w="1330" w:type="dxa"/>
            <w:vAlign w:val="top"/>
          </w:tcPr>
          <w:p w14:paraId="6AE4BE1C">
            <w:pPr>
              <w:rPr>
                <w:rFonts w:ascii="Arial"/>
                <w:sz w:val="21"/>
              </w:rPr>
            </w:pPr>
          </w:p>
        </w:tc>
        <w:tc>
          <w:tcPr>
            <w:tcW w:w="1330" w:type="dxa"/>
            <w:vAlign w:val="top"/>
          </w:tcPr>
          <w:p w14:paraId="32800914">
            <w:pPr>
              <w:rPr>
                <w:rFonts w:ascii="Arial"/>
                <w:sz w:val="21"/>
              </w:rPr>
            </w:pPr>
          </w:p>
        </w:tc>
        <w:tc>
          <w:tcPr>
            <w:tcW w:w="1313" w:type="dxa"/>
            <w:vAlign w:val="top"/>
          </w:tcPr>
          <w:p w14:paraId="1B68A5BD">
            <w:pPr>
              <w:rPr>
                <w:rFonts w:ascii="Arial"/>
                <w:sz w:val="21"/>
              </w:rPr>
            </w:pPr>
          </w:p>
        </w:tc>
        <w:tc>
          <w:tcPr>
            <w:tcW w:w="1339" w:type="dxa"/>
            <w:tcBorders>
              <w:right w:val="single" w:color="000000" w:sz="6" w:space="0"/>
            </w:tcBorders>
            <w:vAlign w:val="top"/>
          </w:tcPr>
          <w:p w14:paraId="1E987DF3">
            <w:pPr>
              <w:rPr>
                <w:rFonts w:ascii="Arial"/>
                <w:sz w:val="21"/>
              </w:rPr>
            </w:pPr>
          </w:p>
        </w:tc>
      </w:tr>
      <w:tr w14:paraId="59BE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6A2D9327">
            <w:pPr>
              <w:rPr>
                <w:rFonts w:ascii="Arial"/>
                <w:sz w:val="21"/>
              </w:rPr>
            </w:pPr>
          </w:p>
        </w:tc>
        <w:tc>
          <w:tcPr>
            <w:tcW w:w="1328" w:type="dxa"/>
            <w:vAlign w:val="top"/>
          </w:tcPr>
          <w:p w14:paraId="07B4F4B5">
            <w:pPr>
              <w:rPr>
                <w:rFonts w:ascii="Arial"/>
                <w:sz w:val="21"/>
              </w:rPr>
            </w:pPr>
          </w:p>
        </w:tc>
        <w:tc>
          <w:tcPr>
            <w:tcW w:w="1330" w:type="dxa"/>
            <w:vAlign w:val="top"/>
          </w:tcPr>
          <w:p w14:paraId="4EC903B2">
            <w:pPr>
              <w:rPr>
                <w:rFonts w:ascii="Arial"/>
                <w:sz w:val="21"/>
              </w:rPr>
            </w:pPr>
          </w:p>
        </w:tc>
        <w:tc>
          <w:tcPr>
            <w:tcW w:w="1330" w:type="dxa"/>
            <w:vAlign w:val="top"/>
          </w:tcPr>
          <w:p w14:paraId="0D74AB8F">
            <w:pPr>
              <w:rPr>
                <w:rFonts w:ascii="Arial"/>
                <w:sz w:val="21"/>
              </w:rPr>
            </w:pPr>
          </w:p>
        </w:tc>
        <w:tc>
          <w:tcPr>
            <w:tcW w:w="1330" w:type="dxa"/>
            <w:vAlign w:val="top"/>
          </w:tcPr>
          <w:p w14:paraId="681F525A">
            <w:pPr>
              <w:rPr>
                <w:rFonts w:ascii="Arial"/>
                <w:sz w:val="21"/>
              </w:rPr>
            </w:pPr>
          </w:p>
        </w:tc>
        <w:tc>
          <w:tcPr>
            <w:tcW w:w="1313" w:type="dxa"/>
            <w:vAlign w:val="top"/>
          </w:tcPr>
          <w:p w14:paraId="68ABEDF5">
            <w:pPr>
              <w:rPr>
                <w:rFonts w:ascii="Arial"/>
                <w:sz w:val="21"/>
              </w:rPr>
            </w:pPr>
          </w:p>
        </w:tc>
        <w:tc>
          <w:tcPr>
            <w:tcW w:w="1339" w:type="dxa"/>
            <w:tcBorders>
              <w:right w:val="single" w:color="000000" w:sz="6" w:space="0"/>
            </w:tcBorders>
            <w:vAlign w:val="top"/>
          </w:tcPr>
          <w:p w14:paraId="6C9146DA">
            <w:pPr>
              <w:rPr>
                <w:rFonts w:ascii="Arial"/>
                <w:sz w:val="21"/>
              </w:rPr>
            </w:pPr>
          </w:p>
        </w:tc>
      </w:tr>
      <w:tr w14:paraId="43E9D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F9E05B2">
            <w:pPr>
              <w:rPr>
                <w:rFonts w:ascii="Arial"/>
                <w:sz w:val="21"/>
              </w:rPr>
            </w:pPr>
          </w:p>
        </w:tc>
        <w:tc>
          <w:tcPr>
            <w:tcW w:w="1328" w:type="dxa"/>
            <w:vAlign w:val="top"/>
          </w:tcPr>
          <w:p w14:paraId="4666D29F">
            <w:pPr>
              <w:rPr>
                <w:rFonts w:ascii="Arial"/>
                <w:sz w:val="21"/>
              </w:rPr>
            </w:pPr>
          </w:p>
        </w:tc>
        <w:tc>
          <w:tcPr>
            <w:tcW w:w="1330" w:type="dxa"/>
            <w:vAlign w:val="top"/>
          </w:tcPr>
          <w:p w14:paraId="63321E8F">
            <w:pPr>
              <w:rPr>
                <w:rFonts w:ascii="Arial"/>
                <w:sz w:val="21"/>
              </w:rPr>
            </w:pPr>
          </w:p>
        </w:tc>
        <w:tc>
          <w:tcPr>
            <w:tcW w:w="1330" w:type="dxa"/>
            <w:vAlign w:val="top"/>
          </w:tcPr>
          <w:p w14:paraId="5AFAD54E">
            <w:pPr>
              <w:rPr>
                <w:rFonts w:ascii="Arial"/>
                <w:sz w:val="21"/>
              </w:rPr>
            </w:pPr>
          </w:p>
        </w:tc>
        <w:tc>
          <w:tcPr>
            <w:tcW w:w="1330" w:type="dxa"/>
            <w:vAlign w:val="top"/>
          </w:tcPr>
          <w:p w14:paraId="22641B01">
            <w:pPr>
              <w:rPr>
                <w:rFonts w:ascii="Arial"/>
                <w:sz w:val="21"/>
              </w:rPr>
            </w:pPr>
          </w:p>
        </w:tc>
        <w:tc>
          <w:tcPr>
            <w:tcW w:w="1313" w:type="dxa"/>
            <w:vAlign w:val="top"/>
          </w:tcPr>
          <w:p w14:paraId="1EEB2C19">
            <w:pPr>
              <w:rPr>
                <w:rFonts w:ascii="Arial"/>
                <w:sz w:val="21"/>
              </w:rPr>
            </w:pPr>
          </w:p>
        </w:tc>
        <w:tc>
          <w:tcPr>
            <w:tcW w:w="1339" w:type="dxa"/>
            <w:tcBorders>
              <w:right w:val="single" w:color="000000" w:sz="6" w:space="0"/>
            </w:tcBorders>
            <w:vAlign w:val="top"/>
          </w:tcPr>
          <w:p w14:paraId="46EA8CA6">
            <w:pPr>
              <w:rPr>
                <w:rFonts w:ascii="Arial"/>
                <w:sz w:val="21"/>
              </w:rPr>
            </w:pPr>
          </w:p>
        </w:tc>
      </w:tr>
      <w:tr w14:paraId="60DA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39" w:type="dxa"/>
            <w:tcBorders>
              <w:left w:val="single" w:color="000000" w:sz="6" w:space="0"/>
            </w:tcBorders>
            <w:vAlign w:val="top"/>
          </w:tcPr>
          <w:p w14:paraId="010BAE80">
            <w:pPr>
              <w:rPr>
                <w:rFonts w:ascii="Arial"/>
                <w:sz w:val="21"/>
              </w:rPr>
            </w:pPr>
          </w:p>
        </w:tc>
        <w:tc>
          <w:tcPr>
            <w:tcW w:w="1328" w:type="dxa"/>
            <w:vAlign w:val="top"/>
          </w:tcPr>
          <w:p w14:paraId="09504B8B">
            <w:pPr>
              <w:rPr>
                <w:rFonts w:ascii="Arial"/>
                <w:sz w:val="21"/>
              </w:rPr>
            </w:pPr>
          </w:p>
        </w:tc>
        <w:tc>
          <w:tcPr>
            <w:tcW w:w="1330" w:type="dxa"/>
            <w:vAlign w:val="top"/>
          </w:tcPr>
          <w:p w14:paraId="33F7A4A0">
            <w:pPr>
              <w:rPr>
                <w:rFonts w:ascii="Arial"/>
                <w:sz w:val="21"/>
              </w:rPr>
            </w:pPr>
          </w:p>
        </w:tc>
        <w:tc>
          <w:tcPr>
            <w:tcW w:w="1330" w:type="dxa"/>
            <w:vAlign w:val="top"/>
          </w:tcPr>
          <w:p w14:paraId="605CED7D">
            <w:pPr>
              <w:rPr>
                <w:rFonts w:ascii="Arial"/>
                <w:sz w:val="21"/>
              </w:rPr>
            </w:pPr>
          </w:p>
        </w:tc>
        <w:tc>
          <w:tcPr>
            <w:tcW w:w="1330" w:type="dxa"/>
            <w:vAlign w:val="top"/>
          </w:tcPr>
          <w:p w14:paraId="178E45FF">
            <w:pPr>
              <w:rPr>
                <w:rFonts w:ascii="Arial"/>
                <w:sz w:val="21"/>
              </w:rPr>
            </w:pPr>
          </w:p>
        </w:tc>
        <w:tc>
          <w:tcPr>
            <w:tcW w:w="1313" w:type="dxa"/>
            <w:vAlign w:val="top"/>
          </w:tcPr>
          <w:p w14:paraId="1916DD9D">
            <w:pPr>
              <w:rPr>
                <w:rFonts w:ascii="Arial"/>
                <w:sz w:val="21"/>
              </w:rPr>
            </w:pPr>
          </w:p>
        </w:tc>
        <w:tc>
          <w:tcPr>
            <w:tcW w:w="1339" w:type="dxa"/>
            <w:tcBorders>
              <w:right w:val="single" w:color="000000" w:sz="6" w:space="0"/>
            </w:tcBorders>
            <w:vAlign w:val="top"/>
          </w:tcPr>
          <w:p w14:paraId="0E0ACC85">
            <w:pPr>
              <w:rPr>
                <w:rFonts w:ascii="Arial"/>
                <w:sz w:val="21"/>
              </w:rPr>
            </w:pPr>
          </w:p>
        </w:tc>
      </w:tr>
      <w:tr w14:paraId="460C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759D3BB9">
            <w:pPr>
              <w:rPr>
                <w:rFonts w:ascii="Arial"/>
                <w:sz w:val="21"/>
              </w:rPr>
            </w:pPr>
          </w:p>
        </w:tc>
        <w:tc>
          <w:tcPr>
            <w:tcW w:w="1328" w:type="dxa"/>
            <w:vAlign w:val="top"/>
          </w:tcPr>
          <w:p w14:paraId="38B86B77">
            <w:pPr>
              <w:rPr>
                <w:rFonts w:ascii="Arial"/>
                <w:sz w:val="21"/>
              </w:rPr>
            </w:pPr>
          </w:p>
        </w:tc>
        <w:tc>
          <w:tcPr>
            <w:tcW w:w="1330" w:type="dxa"/>
            <w:vAlign w:val="top"/>
          </w:tcPr>
          <w:p w14:paraId="5C772C16">
            <w:pPr>
              <w:rPr>
                <w:rFonts w:ascii="Arial"/>
                <w:sz w:val="21"/>
              </w:rPr>
            </w:pPr>
          </w:p>
        </w:tc>
        <w:tc>
          <w:tcPr>
            <w:tcW w:w="1330" w:type="dxa"/>
            <w:vAlign w:val="top"/>
          </w:tcPr>
          <w:p w14:paraId="7497BC87">
            <w:pPr>
              <w:rPr>
                <w:rFonts w:ascii="Arial"/>
                <w:sz w:val="21"/>
              </w:rPr>
            </w:pPr>
          </w:p>
        </w:tc>
        <w:tc>
          <w:tcPr>
            <w:tcW w:w="1330" w:type="dxa"/>
            <w:vAlign w:val="top"/>
          </w:tcPr>
          <w:p w14:paraId="114B7C54">
            <w:pPr>
              <w:rPr>
                <w:rFonts w:ascii="Arial"/>
                <w:sz w:val="21"/>
              </w:rPr>
            </w:pPr>
          </w:p>
        </w:tc>
        <w:tc>
          <w:tcPr>
            <w:tcW w:w="1313" w:type="dxa"/>
            <w:vAlign w:val="top"/>
          </w:tcPr>
          <w:p w14:paraId="0C2FD763">
            <w:pPr>
              <w:rPr>
                <w:rFonts w:ascii="Arial"/>
                <w:sz w:val="21"/>
              </w:rPr>
            </w:pPr>
          </w:p>
        </w:tc>
        <w:tc>
          <w:tcPr>
            <w:tcW w:w="1339" w:type="dxa"/>
            <w:tcBorders>
              <w:right w:val="single" w:color="000000" w:sz="6" w:space="0"/>
            </w:tcBorders>
            <w:vAlign w:val="top"/>
          </w:tcPr>
          <w:p w14:paraId="2A6921B5">
            <w:pPr>
              <w:rPr>
                <w:rFonts w:ascii="Arial"/>
                <w:sz w:val="21"/>
              </w:rPr>
            </w:pPr>
          </w:p>
        </w:tc>
      </w:tr>
      <w:tr w14:paraId="4CF0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BD260C8">
            <w:pPr>
              <w:rPr>
                <w:rFonts w:ascii="Arial"/>
                <w:sz w:val="21"/>
              </w:rPr>
            </w:pPr>
          </w:p>
        </w:tc>
        <w:tc>
          <w:tcPr>
            <w:tcW w:w="1328" w:type="dxa"/>
            <w:vAlign w:val="top"/>
          </w:tcPr>
          <w:p w14:paraId="1A2F825F">
            <w:pPr>
              <w:rPr>
                <w:rFonts w:ascii="Arial"/>
                <w:sz w:val="21"/>
              </w:rPr>
            </w:pPr>
          </w:p>
        </w:tc>
        <w:tc>
          <w:tcPr>
            <w:tcW w:w="1330" w:type="dxa"/>
            <w:vAlign w:val="top"/>
          </w:tcPr>
          <w:p w14:paraId="108B528E">
            <w:pPr>
              <w:rPr>
                <w:rFonts w:ascii="Arial"/>
                <w:sz w:val="21"/>
              </w:rPr>
            </w:pPr>
          </w:p>
        </w:tc>
        <w:tc>
          <w:tcPr>
            <w:tcW w:w="1330" w:type="dxa"/>
            <w:vAlign w:val="top"/>
          </w:tcPr>
          <w:p w14:paraId="026161A3">
            <w:pPr>
              <w:rPr>
                <w:rFonts w:ascii="Arial"/>
                <w:sz w:val="21"/>
              </w:rPr>
            </w:pPr>
          </w:p>
        </w:tc>
        <w:tc>
          <w:tcPr>
            <w:tcW w:w="1330" w:type="dxa"/>
            <w:vAlign w:val="top"/>
          </w:tcPr>
          <w:p w14:paraId="6DD75B48">
            <w:pPr>
              <w:rPr>
                <w:rFonts w:ascii="Arial"/>
                <w:sz w:val="21"/>
              </w:rPr>
            </w:pPr>
          </w:p>
        </w:tc>
        <w:tc>
          <w:tcPr>
            <w:tcW w:w="1313" w:type="dxa"/>
            <w:vAlign w:val="top"/>
          </w:tcPr>
          <w:p w14:paraId="780C03FF">
            <w:pPr>
              <w:rPr>
                <w:rFonts w:ascii="Arial"/>
                <w:sz w:val="21"/>
              </w:rPr>
            </w:pPr>
          </w:p>
        </w:tc>
        <w:tc>
          <w:tcPr>
            <w:tcW w:w="1339" w:type="dxa"/>
            <w:tcBorders>
              <w:right w:val="single" w:color="000000" w:sz="6" w:space="0"/>
            </w:tcBorders>
            <w:vAlign w:val="top"/>
          </w:tcPr>
          <w:p w14:paraId="79A41075">
            <w:pPr>
              <w:rPr>
                <w:rFonts w:ascii="Arial"/>
                <w:sz w:val="21"/>
              </w:rPr>
            </w:pPr>
          </w:p>
        </w:tc>
      </w:tr>
      <w:tr w14:paraId="0630F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8CB84A5">
            <w:pPr>
              <w:rPr>
                <w:rFonts w:ascii="Arial"/>
                <w:sz w:val="21"/>
              </w:rPr>
            </w:pPr>
          </w:p>
        </w:tc>
        <w:tc>
          <w:tcPr>
            <w:tcW w:w="1328" w:type="dxa"/>
            <w:vAlign w:val="top"/>
          </w:tcPr>
          <w:p w14:paraId="594A96BC">
            <w:pPr>
              <w:rPr>
                <w:rFonts w:ascii="Arial"/>
                <w:sz w:val="21"/>
              </w:rPr>
            </w:pPr>
          </w:p>
        </w:tc>
        <w:tc>
          <w:tcPr>
            <w:tcW w:w="1330" w:type="dxa"/>
            <w:vAlign w:val="top"/>
          </w:tcPr>
          <w:p w14:paraId="0B7EC05D">
            <w:pPr>
              <w:rPr>
                <w:rFonts w:ascii="Arial"/>
                <w:sz w:val="21"/>
              </w:rPr>
            </w:pPr>
          </w:p>
        </w:tc>
        <w:tc>
          <w:tcPr>
            <w:tcW w:w="1330" w:type="dxa"/>
            <w:vAlign w:val="top"/>
          </w:tcPr>
          <w:p w14:paraId="77A124BD">
            <w:pPr>
              <w:rPr>
                <w:rFonts w:ascii="Arial"/>
                <w:sz w:val="21"/>
              </w:rPr>
            </w:pPr>
          </w:p>
        </w:tc>
        <w:tc>
          <w:tcPr>
            <w:tcW w:w="1330" w:type="dxa"/>
            <w:vAlign w:val="top"/>
          </w:tcPr>
          <w:p w14:paraId="0AB2E90D">
            <w:pPr>
              <w:rPr>
                <w:rFonts w:ascii="Arial"/>
                <w:sz w:val="21"/>
              </w:rPr>
            </w:pPr>
          </w:p>
        </w:tc>
        <w:tc>
          <w:tcPr>
            <w:tcW w:w="1313" w:type="dxa"/>
            <w:vAlign w:val="top"/>
          </w:tcPr>
          <w:p w14:paraId="3853A81B">
            <w:pPr>
              <w:rPr>
                <w:rFonts w:ascii="Arial"/>
                <w:sz w:val="21"/>
              </w:rPr>
            </w:pPr>
          </w:p>
        </w:tc>
        <w:tc>
          <w:tcPr>
            <w:tcW w:w="1339" w:type="dxa"/>
            <w:tcBorders>
              <w:right w:val="single" w:color="000000" w:sz="6" w:space="0"/>
            </w:tcBorders>
            <w:vAlign w:val="top"/>
          </w:tcPr>
          <w:p w14:paraId="615A5AA2">
            <w:pPr>
              <w:rPr>
                <w:rFonts w:ascii="Arial"/>
                <w:sz w:val="21"/>
              </w:rPr>
            </w:pPr>
          </w:p>
        </w:tc>
      </w:tr>
      <w:tr w14:paraId="6D98B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01B835CA">
            <w:pPr>
              <w:rPr>
                <w:rFonts w:ascii="Arial"/>
                <w:sz w:val="21"/>
              </w:rPr>
            </w:pPr>
          </w:p>
        </w:tc>
        <w:tc>
          <w:tcPr>
            <w:tcW w:w="1328" w:type="dxa"/>
            <w:vAlign w:val="top"/>
          </w:tcPr>
          <w:p w14:paraId="09D8DC00">
            <w:pPr>
              <w:rPr>
                <w:rFonts w:ascii="Arial"/>
                <w:sz w:val="21"/>
              </w:rPr>
            </w:pPr>
          </w:p>
        </w:tc>
        <w:tc>
          <w:tcPr>
            <w:tcW w:w="1330" w:type="dxa"/>
            <w:vAlign w:val="top"/>
          </w:tcPr>
          <w:p w14:paraId="73E93796">
            <w:pPr>
              <w:rPr>
                <w:rFonts w:ascii="Arial"/>
                <w:sz w:val="21"/>
              </w:rPr>
            </w:pPr>
          </w:p>
        </w:tc>
        <w:tc>
          <w:tcPr>
            <w:tcW w:w="1330" w:type="dxa"/>
            <w:vAlign w:val="top"/>
          </w:tcPr>
          <w:p w14:paraId="5EBF90C2">
            <w:pPr>
              <w:rPr>
                <w:rFonts w:ascii="Arial"/>
                <w:sz w:val="21"/>
              </w:rPr>
            </w:pPr>
          </w:p>
        </w:tc>
        <w:tc>
          <w:tcPr>
            <w:tcW w:w="1330" w:type="dxa"/>
            <w:vAlign w:val="top"/>
          </w:tcPr>
          <w:p w14:paraId="4CF36BDB">
            <w:pPr>
              <w:rPr>
                <w:rFonts w:ascii="Arial"/>
                <w:sz w:val="21"/>
              </w:rPr>
            </w:pPr>
          </w:p>
        </w:tc>
        <w:tc>
          <w:tcPr>
            <w:tcW w:w="1313" w:type="dxa"/>
            <w:vAlign w:val="top"/>
          </w:tcPr>
          <w:p w14:paraId="259344DD">
            <w:pPr>
              <w:rPr>
                <w:rFonts w:ascii="Arial"/>
                <w:sz w:val="21"/>
              </w:rPr>
            </w:pPr>
          </w:p>
        </w:tc>
        <w:tc>
          <w:tcPr>
            <w:tcW w:w="1339" w:type="dxa"/>
            <w:tcBorders>
              <w:right w:val="single" w:color="000000" w:sz="6" w:space="0"/>
            </w:tcBorders>
            <w:vAlign w:val="top"/>
          </w:tcPr>
          <w:p w14:paraId="221DCAA6">
            <w:pPr>
              <w:rPr>
                <w:rFonts w:ascii="Arial"/>
                <w:sz w:val="21"/>
              </w:rPr>
            </w:pPr>
          </w:p>
        </w:tc>
      </w:tr>
      <w:tr w14:paraId="3E81F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78494710">
            <w:pPr>
              <w:rPr>
                <w:rFonts w:ascii="Arial"/>
                <w:sz w:val="21"/>
              </w:rPr>
            </w:pPr>
          </w:p>
        </w:tc>
        <w:tc>
          <w:tcPr>
            <w:tcW w:w="1328" w:type="dxa"/>
            <w:vAlign w:val="top"/>
          </w:tcPr>
          <w:p w14:paraId="6F9FFA11">
            <w:pPr>
              <w:rPr>
                <w:rFonts w:ascii="Arial"/>
                <w:sz w:val="21"/>
              </w:rPr>
            </w:pPr>
          </w:p>
        </w:tc>
        <w:tc>
          <w:tcPr>
            <w:tcW w:w="1330" w:type="dxa"/>
            <w:vAlign w:val="top"/>
          </w:tcPr>
          <w:p w14:paraId="651171E1">
            <w:pPr>
              <w:rPr>
                <w:rFonts w:ascii="Arial"/>
                <w:sz w:val="21"/>
              </w:rPr>
            </w:pPr>
          </w:p>
        </w:tc>
        <w:tc>
          <w:tcPr>
            <w:tcW w:w="1330" w:type="dxa"/>
            <w:vAlign w:val="top"/>
          </w:tcPr>
          <w:p w14:paraId="3B1167EC">
            <w:pPr>
              <w:rPr>
                <w:rFonts w:ascii="Arial"/>
                <w:sz w:val="21"/>
              </w:rPr>
            </w:pPr>
          </w:p>
        </w:tc>
        <w:tc>
          <w:tcPr>
            <w:tcW w:w="1330" w:type="dxa"/>
            <w:vAlign w:val="top"/>
          </w:tcPr>
          <w:p w14:paraId="0B584F0F">
            <w:pPr>
              <w:rPr>
                <w:rFonts w:ascii="Arial"/>
                <w:sz w:val="21"/>
              </w:rPr>
            </w:pPr>
          </w:p>
        </w:tc>
        <w:tc>
          <w:tcPr>
            <w:tcW w:w="1313" w:type="dxa"/>
            <w:vAlign w:val="top"/>
          </w:tcPr>
          <w:p w14:paraId="1704D588">
            <w:pPr>
              <w:rPr>
                <w:rFonts w:ascii="Arial"/>
                <w:sz w:val="21"/>
              </w:rPr>
            </w:pPr>
          </w:p>
        </w:tc>
        <w:tc>
          <w:tcPr>
            <w:tcW w:w="1339" w:type="dxa"/>
            <w:tcBorders>
              <w:right w:val="single" w:color="000000" w:sz="6" w:space="0"/>
            </w:tcBorders>
            <w:vAlign w:val="top"/>
          </w:tcPr>
          <w:p w14:paraId="6F72C7E9">
            <w:pPr>
              <w:rPr>
                <w:rFonts w:ascii="Arial"/>
                <w:sz w:val="21"/>
              </w:rPr>
            </w:pPr>
          </w:p>
        </w:tc>
      </w:tr>
      <w:tr w14:paraId="29FE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39" w:type="dxa"/>
            <w:tcBorders>
              <w:left w:val="single" w:color="000000" w:sz="6" w:space="0"/>
            </w:tcBorders>
            <w:vAlign w:val="top"/>
          </w:tcPr>
          <w:p w14:paraId="45C55BD1">
            <w:pPr>
              <w:rPr>
                <w:rFonts w:ascii="Arial"/>
                <w:sz w:val="21"/>
              </w:rPr>
            </w:pPr>
          </w:p>
        </w:tc>
        <w:tc>
          <w:tcPr>
            <w:tcW w:w="1328" w:type="dxa"/>
            <w:vAlign w:val="top"/>
          </w:tcPr>
          <w:p w14:paraId="792AB4F4">
            <w:pPr>
              <w:rPr>
                <w:rFonts w:ascii="Arial"/>
                <w:sz w:val="21"/>
              </w:rPr>
            </w:pPr>
          </w:p>
        </w:tc>
        <w:tc>
          <w:tcPr>
            <w:tcW w:w="1330" w:type="dxa"/>
            <w:vAlign w:val="top"/>
          </w:tcPr>
          <w:p w14:paraId="057EFE1A">
            <w:pPr>
              <w:rPr>
                <w:rFonts w:ascii="Arial"/>
                <w:sz w:val="21"/>
              </w:rPr>
            </w:pPr>
          </w:p>
        </w:tc>
        <w:tc>
          <w:tcPr>
            <w:tcW w:w="1330" w:type="dxa"/>
            <w:vAlign w:val="top"/>
          </w:tcPr>
          <w:p w14:paraId="25CE40A4">
            <w:pPr>
              <w:rPr>
                <w:rFonts w:ascii="Arial"/>
                <w:sz w:val="21"/>
              </w:rPr>
            </w:pPr>
          </w:p>
        </w:tc>
        <w:tc>
          <w:tcPr>
            <w:tcW w:w="1330" w:type="dxa"/>
            <w:vAlign w:val="top"/>
          </w:tcPr>
          <w:p w14:paraId="6D2FE016">
            <w:pPr>
              <w:rPr>
                <w:rFonts w:ascii="Arial"/>
                <w:sz w:val="21"/>
              </w:rPr>
            </w:pPr>
          </w:p>
        </w:tc>
        <w:tc>
          <w:tcPr>
            <w:tcW w:w="1313" w:type="dxa"/>
            <w:vAlign w:val="top"/>
          </w:tcPr>
          <w:p w14:paraId="442887C4">
            <w:pPr>
              <w:rPr>
                <w:rFonts w:ascii="Arial"/>
                <w:sz w:val="21"/>
              </w:rPr>
            </w:pPr>
          </w:p>
        </w:tc>
        <w:tc>
          <w:tcPr>
            <w:tcW w:w="1339" w:type="dxa"/>
            <w:tcBorders>
              <w:right w:val="single" w:color="000000" w:sz="6" w:space="0"/>
            </w:tcBorders>
            <w:vAlign w:val="top"/>
          </w:tcPr>
          <w:p w14:paraId="127200AA">
            <w:pPr>
              <w:rPr>
                <w:rFonts w:ascii="Arial"/>
                <w:sz w:val="21"/>
              </w:rPr>
            </w:pPr>
          </w:p>
        </w:tc>
      </w:tr>
      <w:tr w14:paraId="351D8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7BEE2BF9">
            <w:pPr>
              <w:rPr>
                <w:rFonts w:ascii="Arial"/>
                <w:sz w:val="21"/>
              </w:rPr>
            </w:pPr>
          </w:p>
        </w:tc>
        <w:tc>
          <w:tcPr>
            <w:tcW w:w="1328" w:type="dxa"/>
            <w:vAlign w:val="top"/>
          </w:tcPr>
          <w:p w14:paraId="7E4A09B5">
            <w:pPr>
              <w:rPr>
                <w:rFonts w:ascii="Arial"/>
                <w:sz w:val="21"/>
              </w:rPr>
            </w:pPr>
          </w:p>
        </w:tc>
        <w:tc>
          <w:tcPr>
            <w:tcW w:w="1330" w:type="dxa"/>
            <w:vAlign w:val="top"/>
          </w:tcPr>
          <w:p w14:paraId="2706B815">
            <w:pPr>
              <w:rPr>
                <w:rFonts w:ascii="Arial"/>
                <w:sz w:val="21"/>
              </w:rPr>
            </w:pPr>
          </w:p>
        </w:tc>
        <w:tc>
          <w:tcPr>
            <w:tcW w:w="1330" w:type="dxa"/>
            <w:vAlign w:val="top"/>
          </w:tcPr>
          <w:p w14:paraId="3BD20C3D">
            <w:pPr>
              <w:rPr>
                <w:rFonts w:ascii="Arial"/>
                <w:sz w:val="21"/>
              </w:rPr>
            </w:pPr>
          </w:p>
        </w:tc>
        <w:tc>
          <w:tcPr>
            <w:tcW w:w="1330" w:type="dxa"/>
            <w:vAlign w:val="top"/>
          </w:tcPr>
          <w:p w14:paraId="58EDD345">
            <w:pPr>
              <w:rPr>
                <w:rFonts w:ascii="Arial"/>
                <w:sz w:val="21"/>
              </w:rPr>
            </w:pPr>
          </w:p>
        </w:tc>
        <w:tc>
          <w:tcPr>
            <w:tcW w:w="1313" w:type="dxa"/>
            <w:vAlign w:val="top"/>
          </w:tcPr>
          <w:p w14:paraId="24D3192F">
            <w:pPr>
              <w:rPr>
                <w:rFonts w:ascii="Arial"/>
                <w:sz w:val="21"/>
              </w:rPr>
            </w:pPr>
          </w:p>
        </w:tc>
        <w:tc>
          <w:tcPr>
            <w:tcW w:w="1339" w:type="dxa"/>
            <w:tcBorders>
              <w:right w:val="single" w:color="000000" w:sz="6" w:space="0"/>
            </w:tcBorders>
            <w:vAlign w:val="top"/>
          </w:tcPr>
          <w:p w14:paraId="27204F44">
            <w:pPr>
              <w:rPr>
                <w:rFonts w:ascii="Arial"/>
                <w:sz w:val="21"/>
              </w:rPr>
            </w:pPr>
          </w:p>
        </w:tc>
      </w:tr>
      <w:tr w14:paraId="3BD2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4315079">
            <w:pPr>
              <w:rPr>
                <w:rFonts w:ascii="Arial"/>
                <w:sz w:val="21"/>
              </w:rPr>
            </w:pPr>
          </w:p>
        </w:tc>
        <w:tc>
          <w:tcPr>
            <w:tcW w:w="1328" w:type="dxa"/>
            <w:vAlign w:val="top"/>
          </w:tcPr>
          <w:p w14:paraId="6C88D844">
            <w:pPr>
              <w:rPr>
                <w:rFonts w:ascii="Arial"/>
                <w:sz w:val="21"/>
              </w:rPr>
            </w:pPr>
          </w:p>
        </w:tc>
        <w:tc>
          <w:tcPr>
            <w:tcW w:w="1330" w:type="dxa"/>
            <w:vAlign w:val="top"/>
          </w:tcPr>
          <w:p w14:paraId="38109165">
            <w:pPr>
              <w:rPr>
                <w:rFonts w:ascii="Arial"/>
                <w:sz w:val="21"/>
              </w:rPr>
            </w:pPr>
          </w:p>
        </w:tc>
        <w:tc>
          <w:tcPr>
            <w:tcW w:w="1330" w:type="dxa"/>
            <w:vAlign w:val="top"/>
          </w:tcPr>
          <w:p w14:paraId="3D12433B">
            <w:pPr>
              <w:rPr>
                <w:rFonts w:ascii="Arial"/>
                <w:sz w:val="21"/>
              </w:rPr>
            </w:pPr>
          </w:p>
        </w:tc>
        <w:tc>
          <w:tcPr>
            <w:tcW w:w="1330" w:type="dxa"/>
            <w:vAlign w:val="top"/>
          </w:tcPr>
          <w:p w14:paraId="7ED993D1">
            <w:pPr>
              <w:rPr>
                <w:rFonts w:ascii="Arial"/>
                <w:sz w:val="21"/>
              </w:rPr>
            </w:pPr>
          </w:p>
        </w:tc>
        <w:tc>
          <w:tcPr>
            <w:tcW w:w="1313" w:type="dxa"/>
            <w:vAlign w:val="top"/>
          </w:tcPr>
          <w:p w14:paraId="44BAA31F">
            <w:pPr>
              <w:rPr>
                <w:rFonts w:ascii="Arial"/>
                <w:sz w:val="21"/>
              </w:rPr>
            </w:pPr>
          </w:p>
        </w:tc>
        <w:tc>
          <w:tcPr>
            <w:tcW w:w="1339" w:type="dxa"/>
            <w:tcBorders>
              <w:right w:val="single" w:color="000000" w:sz="6" w:space="0"/>
            </w:tcBorders>
            <w:vAlign w:val="top"/>
          </w:tcPr>
          <w:p w14:paraId="0AEEAD6F">
            <w:pPr>
              <w:rPr>
                <w:rFonts w:ascii="Arial"/>
                <w:sz w:val="21"/>
              </w:rPr>
            </w:pPr>
          </w:p>
        </w:tc>
      </w:tr>
      <w:tr w14:paraId="3230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694171B5">
            <w:pPr>
              <w:rPr>
                <w:rFonts w:ascii="Arial"/>
                <w:sz w:val="21"/>
              </w:rPr>
            </w:pPr>
          </w:p>
        </w:tc>
        <w:tc>
          <w:tcPr>
            <w:tcW w:w="1328" w:type="dxa"/>
            <w:vAlign w:val="top"/>
          </w:tcPr>
          <w:p w14:paraId="35756751">
            <w:pPr>
              <w:rPr>
                <w:rFonts w:ascii="Arial"/>
                <w:sz w:val="21"/>
              </w:rPr>
            </w:pPr>
          </w:p>
        </w:tc>
        <w:tc>
          <w:tcPr>
            <w:tcW w:w="1330" w:type="dxa"/>
            <w:vAlign w:val="top"/>
          </w:tcPr>
          <w:p w14:paraId="1BA314CF">
            <w:pPr>
              <w:rPr>
                <w:rFonts w:ascii="Arial"/>
                <w:sz w:val="21"/>
              </w:rPr>
            </w:pPr>
          </w:p>
        </w:tc>
        <w:tc>
          <w:tcPr>
            <w:tcW w:w="1330" w:type="dxa"/>
            <w:vAlign w:val="top"/>
          </w:tcPr>
          <w:p w14:paraId="31B48370">
            <w:pPr>
              <w:rPr>
                <w:rFonts w:ascii="Arial"/>
                <w:sz w:val="21"/>
              </w:rPr>
            </w:pPr>
          </w:p>
        </w:tc>
        <w:tc>
          <w:tcPr>
            <w:tcW w:w="1330" w:type="dxa"/>
            <w:vAlign w:val="top"/>
          </w:tcPr>
          <w:p w14:paraId="0DFE6EDF">
            <w:pPr>
              <w:rPr>
                <w:rFonts w:ascii="Arial"/>
                <w:sz w:val="21"/>
              </w:rPr>
            </w:pPr>
          </w:p>
        </w:tc>
        <w:tc>
          <w:tcPr>
            <w:tcW w:w="1313" w:type="dxa"/>
            <w:vAlign w:val="top"/>
          </w:tcPr>
          <w:p w14:paraId="47F50AE3">
            <w:pPr>
              <w:rPr>
                <w:rFonts w:ascii="Arial"/>
                <w:sz w:val="21"/>
              </w:rPr>
            </w:pPr>
          </w:p>
        </w:tc>
        <w:tc>
          <w:tcPr>
            <w:tcW w:w="1339" w:type="dxa"/>
            <w:tcBorders>
              <w:right w:val="single" w:color="000000" w:sz="6" w:space="0"/>
            </w:tcBorders>
            <w:vAlign w:val="top"/>
          </w:tcPr>
          <w:p w14:paraId="17435B7C">
            <w:pPr>
              <w:rPr>
                <w:rFonts w:ascii="Arial"/>
                <w:sz w:val="21"/>
              </w:rPr>
            </w:pPr>
          </w:p>
        </w:tc>
      </w:tr>
      <w:tr w14:paraId="42E0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5B9C84CE">
            <w:pPr>
              <w:rPr>
                <w:rFonts w:ascii="Arial"/>
                <w:sz w:val="21"/>
              </w:rPr>
            </w:pPr>
          </w:p>
        </w:tc>
        <w:tc>
          <w:tcPr>
            <w:tcW w:w="1328" w:type="dxa"/>
            <w:vAlign w:val="top"/>
          </w:tcPr>
          <w:p w14:paraId="136A3459">
            <w:pPr>
              <w:rPr>
                <w:rFonts w:ascii="Arial"/>
                <w:sz w:val="21"/>
              </w:rPr>
            </w:pPr>
          </w:p>
        </w:tc>
        <w:tc>
          <w:tcPr>
            <w:tcW w:w="1330" w:type="dxa"/>
            <w:vAlign w:val="top"/>
          </w:tcPr>
          <w:p w14:paraId="0F06FF47">
            <w:pPr>
              <w:rPr>
                <w:rFonts w:ascii="Arial"/>
                <w:sz w:val="21"/>
              </w:rPr>
            </w:pPr>
          </w:p>
        </w:tc>
        <w:tc>
          <w:tcPr>
            <w:tcW w:w="1330" w:type="dxa"/>
            <w:vAlign w:val="top"/>
          </w:tcPr>
          <w:p w14:paraId="6F55D1D9">
            <w:pPr>
              <w:rPr>
                <w:rFonts w:ascii="Arial"/>
                <w:sz w:val="21"/>
              </w:rPr>
            </w:pPr>
          </w:p>
        </w:tc>
        <w:tc>
          <w:tcPr>
            <w:tcW w:w="1330" w:type="dxa"/>
            <w:vAlign w:val="top"/>
          </w:tcPr>
          <w:p w14:paraId="3D1A38B3">
            <w:pPr>
              <w:rPr>
                <w:rFonts w:ascii="Arial"/>
                <w:sz w:val="21"/>
              </w:rPr>
            </w:pPr>
          </w:p>
        </w:tc>
        <w:tc>
          <w:tcPr>
            <w:tcW w:w="1313" w:type="dxa"/>
            <w:vAlign w:val="top"/>
          </w:tcPr>
          <w:p w14:paraId="169E5157">
            <w:pPr>
              <w:rPr>
                <w:rFonts w:ascii="Arial"/>
                <w:sz w:val="21"/>
              </w:rPr>
            </w:pPr>
          </w:p>
        </w:tc>
        <w:tc>
          <w:tcPr>
            <w:tcW w:w="1339" w:type="dxa"/>
            <w:tcBorders>
              <w:right w:val="single" w:color="000000" w:sz="6" w:space="0"/>
            </w:tcBorders>
            <w:vAlign w:val="top"/>
          </w:tcPr>
          <w:p w14:paraId="6FAB1CB0">
            <w:pPr>
              <w:rPr>
                <w:rFonts w:ascii="Arial"/>
                <w:sz w:val="21"/>
              </w:rPr>
            </w:pPr>
          </w:p>
        </w:tc>
      </w:tr>
      <w:tr w14:paraId="2CC9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7F56D02">
            <w:pPr>
              <w:rPr>
                <w:rFonts w:ascii="Arial"/>
                <w:sz w:val="21"/>
              </w:rPr>
            </w:pPr>
          </w:p>
        </w:tc>
        <w:tc>
          <w:tcPr>
            <w:tcW w:w="1328" w:type="dxa"/>
            <w:vAlign w:val="top"/>
          </w:tcPr>
          <w:p w14:paraId="62545C7C">
            <w:pPr>
              <w:rPr>
                <w:rFonts w:ascii="Arial"/>
                <w:sz w:val="21"/>
              </w:rPr>
            </w:pPr>
          </w:p>
        </w:tc>
        <w:tc>
          <w:tcPr>
            <w:tcW w:w="1330" w:type="dxa"/>
            <w:vAlign w:val="top"/>
          </w:tcPr>
          <w:p w14:paraId="3D541090">
            <w:pPr>
              <w:rPr>
                <w:rFonts w:ascii="Arial"/>
                <w:sz w:val="21"/>
              </w:rPr>
            </w:pPr>
          </w:p>
        </w:tc>
        <w:tc>
          <w:tcPr>
            <w:tcW w:w="1330" w:type="dxa"/>
            <w:vAlign w:val="top"/>
          </w:tcPr>
          <w:p w14:paraId="3EC7939F">
            <w:pPr>
              <w:rPr>
                <w:rFonts w:ascii="Arial"/>
                <w:sz w:val="21"/>
              </w:rPr>
            </w:pPr>
          </w:p>
        </w:tc>
        <w:tc>
          <w:tcPr>
            <w:tcW w:w="1330" w:type="dxa"/>
            <w:vAlign w:val="top"/>
          </w:tcPr>
          <w:p w14:paraId="69CB8507">
            <w:pPr>
              <w:rPr>
                <w:rFonts w:ascii="Arial"/>
                <w:sz w:val="21"/>
              </w:rPr>
            </w:pPr>
          </w:p>
        </w:tc>
        <w:tc>
          <w:tcPr>
            <w:tcW w:w="1313" w:type="dxa"/>
            <w:vAlign w:val="top"/>
          </w:tcPr>
          <w:p w14:paraId="22B44CB8">
            <w:pPr>
              <w:rPr>
                <w:rFonts w:ascii="Arial"/>
                <w:sz w:val="21"/>
              </w:rPr>
            </w:pPr>
          </w:p>
        </w:tc>
        <w:tc>
          <w:tcPr>
            <w:tcW w:w="1339" w:type="dxa"/>
            <w:tcBorders>
              <w:right w:val="single" w:color="000000" w:sz="6" w:space="0"/>
            </w:tcBorders>
            <w:vAlign w:val="top"/>
          </w:tcPr>
          <w:p w14:paraId="22EE6EFD">
            <w:pPr>
              <w:rPr>
                <w:rFonts w:ascii="Arial"/>
                <w:sz w:val="21"/>
              </w:rPr>
            </w:pPr>
          </w:p>
        </w:tc>
      </w:tr>
      <w:tr w14:paraId="46C0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39" w:type="dxa"/>
            <w:tcBorders>
              <w:left w:val="single" w:color="000000" w:sz="6" w:space="0"/>
            </w:tcBorders>
            <w:vAlign w:val="top"/>
          </w:tcPr>
          <w:p w14:paraId="14267E20">
            <w:pPr>
              <w:rPr>
                <w:rFonts w:ascii="Arial"/>
                <w:sz w:val="21"/>
              </w:rPr>
            </w:pPr>
          </w:p>
        </w:tc>
        <w:tc>
          <w:tcPr>
            <w:tcW w:w="1328" w:type="dxa"/>
            <w:vAlign w:val="top"/>
          </w:tcPr>
          <w:p w14:paraId="1BC4F8B4">
            <w:pPr>
              <w:rPr>
                <w:rFonts w:ascii="Arial"/>
                <w:sz w:val="21"/>
              </w:rPr>
            </w:pPr>
          </w:p>
        </w:tc>
        <w:tc>
          <w:tcPr>
            <w:tcW w:w="1330" w:type="dxa"/>
            <w:vAlign w:val="top"/>
          </w:tcPr>
          <w:p w14:paraId="4541ACD9">
            <w:pPr>
              <w:rPr>
                <w:rFonts w:ascii="Arial"/>
                <w:sz w:val="21"/>
              </w:rPr>
            </w:pPr>
          </w:p>
        </w:tc>
        <w:tc>
          <w:tcPr>
            <w:tcW w:w="1330" w:type="dxa"/>
            <w:vAlign w:val="top"/>
          </w:tcPr>
          <w:p w14:paraId="79819DD5">
            <w:pPr>
              <w:rPr>
                <w:rFonts w:ascii="Arial"/>
                <w:sz w:val="21"/>
              </w:rPr>
            </w:pPr>
          </w:p>
        </w:tc>
        <w:tc>
          <w:tcPr>
            <w:tcW w:w="1330" w:type="dxa"/>
            <w:vAlign w:val="top"/>
          </w:tcPr>
          <w:p w14:paraId="0C04C8B3">
            <w:pPr>
              <w:rPr>
                <w:rFonts w:ascii="Arial"/>
                <w:sz w:val="21"/>
              </w:rPr>
            </w:pPr>
          </w:p>
        </w:tc>
        <w:tc>
          <w:tcPr>
            <w:tcW w:w="1313" w:type="dxa"/>
            <w:vAlign w:val="top"/>
          </w:tcPr>
          <w:p w14:paraId="07AF894F">
            <w:pPr>
              <w:rPr>
                <w:rFonts w:ascii="Arial"/>
                <w:sz w:val="21"/>
              </w:rPr>
            </w:pPr>
          </w:p>
        </w:tc>
        <w:tc>
          <w:tcPr>
            <w:tcW w:w="1339" w:type="dxa"/>
            <w:tcBorders>
              <w:right w:val="single" w:color="000000" w:sz="6" w:space="0"/>
            </w:tcBorders>
            <w:vAlign w:val="top"/>
          </w:tcPr>
          <w:p w14:paraId="77C20027">
            <w:pPr>
              <w:rPr>
                <w:rFonts w:ascii="Arial"/>
                <w:sz w:val="21"/>
              </w:rPr>
            </w:pPr>
          </w:p>
        </w:tc>
      </w:tr>
      <w:tr w14:paraId="73CC6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7F5C69FC">
            <w:pPr>
              <w:rPr>
                <w:rFonts w:ascii="Arial"/>
                <w:sz w:val="21"/>
              </w:rPr>
            </w:pPr>
          </w:p>
        </w:tc>
        <w:tc>
          <w:tcPr>
            <w:tcW w:w="1328" w:type="dxa"/>
            <w:vAlign w:val="top"/>
          </w:tcPr>
          <w:p w14:paraId="1DE17CCD">
            <w:pPr>
              <w:rPr>
                <w:rFonts w:ascii="Arial"/>
                <w:sz w:val="21"/>
              </w:rPr>
            </w:pPr>
          </w:p>
        </w:tc>
        <w:tc>
          <w:tcPr>
            <w:tcW w:w="1330" w:type="dxa"/>
            <w:vAlign w:val="top"/>
          </w:tcPr>
          <w:p w14:paraId="1C12D910">
            <w:pPr>
              <w:rPr>
                <w:rFonts w:ascii="Arial"/>
                <w:sz w:val="21"/>
              </w:rPr>
            </w:pPr>
          </w:p>
        </w:tc>
        <w:tc>
          <w:tcPr>
            <w:tcW w:w="1330" w:type="dxa"/>
            <w:vAlign w:val="top"/>
          </w:tcPr>
          <w:p w14:paraId="1AC15B9D">
            <w:pPr>
              <w:rPr>
                <w:rFonts w:ascii="Arial"/>
                <w:sz w:val="21"/>
              </w:rPr>
            </w:pPr>
          </w:p>
        </w:tc>
        <w:tc>
          <w:tcPr>
            <w:tcW w:w="1330" w:type="dxa"/>
            <w:vAlign w:val="top"/>
          </w:tcPr>
          <w:p w14:paraId="70F39F9A">
            <w:pPr>
              <w:rPr>
                <w:rFonts w:ascii="Arial"/>
                <w:sz w:val="21"/>
              </w:rPr>
            </w:pPr>
          </w:p>
        </w:tc>
        <w:tc>
          <w:tcPr>
            <w:tcW w:w="1313" w:type="dxa"/>
            <w:vAlign w:val="top"/>
          </w:tcPr>
          <w:p w14:paraId="415949D7">
            <w:pPr>
              <w:rPr>
                <w:rFonts w:ascii="Arial"/>
                <w:sz w:val="21"/>
              </w:rPr>
            </w:pPr>
          </w:p>
        </w:tc>
        <w:tc>
          <w:tcPr>
            <w:tcW w:w="1339" w:type="dxa"/>
            <w:tcBorders>
              <w:right w:val="single" w:color="000000" w:sz="6" w:space="0"/>
            </w:tcBorders>
            <w:vAlign w:val="top"/>
          </w:tcPr>
          <w:p w14:paraId="2F34A93C">
            <w:pPr>
              <w:rPr>
                <w:rFonts w:ascii="Arial"/>
                <w:sz w:val="21"/>
              </w:rPr>
            </w:pPr>
          </w:p>
        </w:tc>
      </w:tr>
      <w:tr w14:paraId="6BAD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54EDD2EE">
            <w:pPr>
              <w:rPr>
                <w:rFonts w:ascii="Arial"/>
                <w:sz w:val="21"/>
              </w:rPr>
            </w:pPr>
          </w:p>
        </w:tc>
        <w:tc>
          <w:tcPr>
            <w:tcW w:w="1328" w:type="dxa"/>
            <w:vAlign w:val="top"/>
          </w:tcPr>
          <w:p w14:paraId="251660EE">
            <w:pPr>
              <w:rPr>
                <w:rFonts w:ascii="Arial"/>
                <w:sz w:val="21"/>
              </w:rPr>
            </w:pPr>
          </w:p>
        </w:tc>
        <w:tc>
          <w:tcPr>
            <w:tcW w:w="1330" w:type="dxa"/>
            <w:vAlign w:val="top"/>
          </w:tcPr>
          <w:p w14:paraId="5926F76C">
            <w:pPr>
              <w:rPr>
                <w:rFonts w:ascii="Arial"/>
                <w:sz w:val="21"/>
              </w:rPr>
            </w:pPr>
          </w:p>
        </w:tc>
        <w:tc>
          <w:tcPr>
            <w:tcW w:w="1330" w:type="dxa"/>
            <w:vAlign w:val="top"/>
          </w:tcPr>
          <w:p w14:paraId="3D542F0F">
            <w:pPr>
              <w:rPr>
                <w:rFonts w:ascii="Arial"/>
                <w:sz w:val="21"/>
              </w:rPr>
            </w:pPr>
          </w:p>
        </w:tc>
        <w:tc>
          <w:tcPr>
            <w:tcW w:w="1330" w:type="dxa"/>
            <w:vAlign w:val="top"/>
          </w:tcPr>
          <w:p w14:paraId="449F1D42">
            <w:pPr>
              <w:rPr>
                <w:rFonts w:ascii="Arial"/>
                <w:sz w:val="21"/>
              </w:rPr>
            </w:pPr>
          </w:p>
        </w:tc>
        <w:tc>
          <w:tcPr>
            <w:tcW w:w="1313" w:type="dxa"/>
            <w:vAlign w:val="top"/>
          </w:tcPr>
          <w:p w14:paraId="144F7C59">
            <w:pPr>
              <w:rPr>
                <w:rFonts w:ascii="Arial"/>
                <w:sz w:val="21"/>
              </w:rPr>
            </w:pPr>
          </w:p>
        </w:tc>
        <w:tc>
          <w:tcPr>
            <w:tcW w:w="1339" w:type="dxa"/>
            <w:tcBorders>
              <w:right w:val="single" w:color="000000" w:sz="6" w:space="0"/>
            </w:tcBorders>
            <w:vAlign w:val="top"/>
          </w:tcPr>
          <w:p w14:paraId="319026FB">
            <w:pPr>
              <w:rPr>
                <w:rFonts w:ascii="Arial"/>
                <w:sz w:val="21"/>
              </w:rPr>
            </w:pPr>
          </w:p>
        </w:tc>
      </w:tr>
      <w:tr w14:paraId="4DED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1EA228C2">
            <w:pPr>
              <w:rPr>
                <w:rFonts w:ascii="Arial"/>
                <w:sz w:val="21"/>
              </w:rPr>
            </w:pPr>
          </w:p>
        </w:tc>
        <w:tc>
          <w:tcPr>
            <w:tcW w:w="1328" w:type="dxa"/>
            <w:vAlign w:val="top"/>
          </w:tcPr>
          <w:p w14:paraId="16065F1E">
            <w:pPr>
              <w:rPr>
                <w:rFonts w:ascii="Arial"/>
                <w:sz w:val="21"/>
              </w:rPr>
            </w:pPr>
          </w:p>
        </w:tc>
        <w:tc>
          <w:tcPr>
            <w:tcW w:w="1330" w:type="dxa"/>
            <w:vAlign w:val="top"/>
          </w:tcPr>
          <w:p w14:paraId="51654FF1">
            <w:pPr>
              <w:rPr>
                <w:rFonts w:ascii="Arial"/>
                <w:sz w:val="21"/>
              </w:rPr>
            </w:pPr>
          </w:p>
        </w:tc>
        <w:tc>
          <w:tcPr>
            <w:tcW w:w="1330" w:type="dxa"/>
            <w:vAlign w:val="top"/>
          </w:tcPr>
          <w:p w14:paraId="67780411">
            <w:pPr>
              <w:rPr>
                <w:rFonts w:ascii="Arial"/>
                <w:sz w:val="21"/>
              </w:rPr>
            </w:pPr>
          </w:p>
        </w:tc>
        <w:tc>
          <w:tcPr>
            <w:tcW w:w="1330" w:type="dxa"/>
            <w:vAlign w:val="top"/>
          </w:tcPr>
          <w:p w14:paraId="48653F14">
            <w:pPr>
              <w:rPr>
                <w:rFonts w:ascii="Arial"/>
                <w:sz w:val="21"/>
              </w:rPr>
            </w:pPr>
          </w:p>
        </w:tc>
        <w:tc>
          <w:tcPr>
            <w:tcW w:w="1313" w:type="dxa"/>
            <w:vAlign w:val="top"/>
          </w:tcPr>
          <w:p w14:paraId="02411A1D">
            <w:pPr>
              <w:rPr>
                <w:rFonts w:ascii="Arial"/>
                <w:sz w:val="21"/>
              </w:rPr>
            </w:pPr>
          </w:p>
        </w:tc>
        <w:tc>
          <w:tcPr>
            <w:tcW w:w="1339" w:type="dxa"/>
            <w:tcBorders>
              <w:right w:val="single" w:color="000000" w:sz="6" w:space="0"/>
            </w:tcBorders>
            <w:vAlign w:val="top"/>
          </w:tcPr>
          <w:p w14:paraId="60DCAB72">
            <w:pPr>
              <w:rPr>
                <w:rFonts w:ascii="Arial"/>
                <w:sz w:val="21"/>
              </w:rPr>
            </w:pPr>
          </w:p>
        </w:tc>
      </w:tr>
      <w:tr w14:paraId="67842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9" w:type="dxa"/>
            <w:tcBorders>
              <w:left w:val="single" w:color="000000" w:sz="6" w:space="0"/>
            </w:tcBorders>
            <w:vAlign w:val="top"/>
          </w:tcPr>
          <w:p w14:paraId="462D97D3">
            <w:pPr>
              <w:rPr>
                <w:rFonts w:ascii="Arial"/>
                <w:sz w:val="21"/>
              </w:rPr>
            </w:pPr>
          </w:p>
        </w:tc>
        <w:tc>
          <w:tcPr>
            <w:tcW w:w="1328" w:type="dxa"/>
            <w:vAlign w:val="top"/>
          </w:tcPr>
          <w:p w14:paraId="041B16CB">
            <w:pPr>
              <w:rPr>
                <w:rFonts w:ascii="Arial"/>
                <w:sz w:val="21"/>
              </w:rPr>
            </w:pPr>
          </w:p>
        </w:tc>
        <w:tc>
          <w:tcPr>
            <w:tcW w:w="1330" w:type="dxa"/>
            <w:vAlign w:val="top"/>
          </w:tcPr>
          <w:p w14:paraId="3EAFC91D">
            <w:pPr>
              <w:rPr>
                <w:rFonts w:ascii="Arial"/>
                <w:sz w:val="21"/>
              </w:rPr>
            </w:pPr>
          </w:p>
        </w:tc>
        <w:tc>
          <w:tcPr>
            <w:tcW w:w="1330" w:type="dxa"/>
            <w:vAlign w:val="top"/>
          </w:tcPr>
          <w:p w14:paraId="4B4EB4A2">
            <w:pPr>
              <w:rPr>
                <w:rFonts w:ascii="Arial"/>
                <w:sz w:val="21"/>
              </w:rPr>
            </w:pPr>
          </w:p>
        </w:tc>
        <w:tc>
          <w:tcPr>
            <w:tcW w:w="1330" w:type="dxa"/>
            <w:vAlign w:val="top"/>
          </w:tcPr>
          <w:p w14:paraId="54BC2B9A">
            <w:pPr>
              <w:rPr>
                <w:rFonts w:ascii="Arial"/>
                <w:sz w:val="21"/>
              </w:rPr>
            </w:pPr>
          </w:p>
        </w:tc>
        <w:tc>
          <w:tcPr>
            <w:tcW w:w="1313" w:type="dxa"/>
            <w:vAlign w:val="top"/>
          </w:tcPr>
          <w:p w14:paraId="13944A73">
            <w:pPr>
              <w:rPr>
                <w:rFonts w:ascii="Arial"/>
                <w:sz w:val="21"/>
              </w:rPr>
            </w:pPr>
          </w:p>
        </w:tc>
        <w:tc>
          <w:tcPr>
            <w:tcW w:w="1339" w:type="dxa"/>
            <w:tcBorders>
              <w:right w:val="single" w:color="000000" w:sz="6" w:space="0"/>
            </w:tcBorders>
            <w:vAlign w:val="top"/>
          </w:tcPr>
          <w:p w14:paraId="3575B0AE">
            <w:pPr>
              <w:rPr>
                <w:rFonts w:ascii="Arial"/>
                <w:sz w:val="21"/>
              </w:rPr>
            </w:pPr>
          </w:p>
        </w:tc>
      </w:tr>
      <w:tr w14:paraId="0D8F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39" w:type="dxa"/>
            <w:tcBorders>
              <w:left w:val="single" w:color="000000" w:sz="6" w:space="0"/>
              <w:bottom w:val="single" w:color="000000" w:sz="6" w:space="0"/>
            </w:tcBorders>
            <w:vAlign w:val="top"/>
          </w:tcPr>
          <w:p w14:paraId="3F7014A5">
            <w:pPr>
              <w:rPr>
                <w:rFonts w:ascii="Arial"/>
                <w:sz w:val="21"/>
              </w:rPr>
            </w:pPr>
          </w:p>
        </w:tc>
        <w:tc>
          <w:tcPr>
            <w:tcW w:w="1328" w:type="dxa"/>
            <w:tcBorders>
              <w:bottom w:val="single" w:color="000000" w:sz="6" w:space="0"/>
            </w:tcBorders>
            <w:vAlign w:val="top"/>
          </w:tcPr>
          <w:p w14:paraId="70F49D3A">
            <w:pPr>
              <w:rPr>
                <w:rFonts w:ascii="Arial"/>
                <w:sz w:val="21"/>
              </w:rPr>
            </w:pPr>
          </w:p>
        </w:tc>
        <w:tc>
          <w:tcPr>
            <w:tcW w:w="1330" w:type="dxa"/>
            <w:tcBorders>
              <w:bottom w:val="single" w:color="000000" w:sz="6" w:space="0"/>
            </w:tcBorders>
            <w:vAlign w:val="top"/>
          </w:tcPr>
          <w:p w14:paraId="7463E850">
            <w:pPr>
              <w:rPr>
                <w:rFonts w:ascii="Arial"/>
                <w:sz w:val="21"/>
              </w:rPr>
            </w:pPr>
          </w:p>
        </w:tc>
        <w:tc>
          <w:tcPr>
            <w:tcW w:w="1330" w:type="dxa"/>
            <w:tcBorders>
              <w:bottom w:val="single" w:color="000000" w:sz="6" w:space="0"/>
            </w:tcBorders>
            <w:vAlign w:val="top"/>
          </w:tcPr>
          <w:p w14:paraId="2C96B5DE">
            <w:pPr>
              <w:rPr>
                <w:rFonts w:ascii="Arial"/>
                <w:sz w:val="21"/>
              </w:rPr>
            </w:pPr>
          </w:p>
        </w:tc>
        <w:tc>
          <w:tcPr>
            <w:tcW w:w="1330" w:type="dxa"/>
            <w:tcBorders>
              <w:bottom w:val="single" w:color="000000" w:sz="6" w:space="0"/>
            </w:tcBorders>
            <w:vAlign w:val="top"/>
          </w:tcPr>
          <w:p w14:paraId="634AB787">
            <w:pPr>
              <w:rPr>
                <w:rFonts w:ascii="Arial"/>
                <w:sz w:val="21"/>
              </w:rPr>
            </w:pPr>
          </w:p>
        </w:tc>
        <w:tc>
          <w:tcPr>
            <w:tcW w:w="1313" w:type="dxa"/>
            <w:tcBorders>
              <w:bottom w:val="single" w:color="000000" w:sz="6" w:space="0"/>
            </w:tcBorders>
            <w:vAlign w:val="top"/>
          </w:tcPr>
          <w:p w14:paraId="246EE86E">
            <w:pPr>
              <w:rPr>
                <w:rFonts w:ascii="Arial"/>
                <w:sz w:val="21"/>
              </w:rPr>
            </w:pPr>
          </w:p>
        </w:tc>
        <w:tc>
          <w:tcPr>
            <w:tcW w:w="1339" w:type="dxa"/>
            <w:tcBorders>
              <w:bottom w:val="single" w:color="000000" w:sz="6" w:space="0"/>
              <w:right w:val="single" w:color="000000" w:sz="6" w:space="0"/>
            </w:tcBorders>
            <w:vAlign w:val="top"/>
          </w:tcPr>
          <w:p w14:paraId="17A81C26">
            <w:pPr>
              <w:rPr>
                <w:rFonts w:ascii="Arial"/>
                <w:sz w:val="21"/>
              </w:rPr>
            </w:pPr>
          </w:p>
        </w:tc>
      </w:tr>
    </w:tbl>
    <w:p w14:paraId="6107D96D">
      <w:pPr>
        <w:spacing w:before="70" w:line="220" w:lineRule="auto"/>
        <w:ind w:left="6383"/>
        <w:rPr>
          <w:rFonts w:ascii="宋体" w:hAnsi="宋体" w:eastAsia="宋体" w:cs="宋体"/>
          <w:sz w:val="18"/>
          <w:szCs w:val="18"/>
        </w:rPr>
      </w:pPr>
      <w:r>
        <w:rPr>
          <w:rFonts w:ascii="宋体" w:hAnsi="宋体" w:eastAsia="宋体" w:cs="宋体"/>
          <w:spacing w:val="-7"/>
          <w:sz w:val="18"/>
          <w:szCs w:val="18"/>
        </w:rPr>
        <w:t>法定代表人：</w:t>
      </w:r>
    </w:p>
    <w:p w14:paraId="63198C55">
      <w:pPr>
        <w:spacing w:before="110" w:line="213" w:lineRule="auto"/>
        <w:ind w:left="6387"/>
        <w:rPr>
          <w:rFonts w:ascii="宋体" w:hAnsi="宋体" w:eastAsia="宋体" w:cs="宋体"/>
          <w:sz w:val="18"/>
          <w:szCs w:val="18"/>
        </w:rPr>
      </w:pPr>
      <w:r>
        <w:rPr>
          <w:rFonts w:ascii="宋体" w:hAnsi="宋体" w:eastAsia="宋体" w:cs="宋体"/>
          <w:spacing w:val="-1"/>
          <w:sz w:val="18"/>
          <w:szCs w:val="18"/>
        </w:rPr>
        <w:t>（或委托代理人）_____签字）</w:t>
      </w:r>
    </w:p>
    <w:p w14:paraId="3C1B1C5C">
      <w:pPr>
        <w:spacing w:line="213" w:lineRule="auto"/>
        <w:rPr>
          <w:rFonts w:ascii="宋体" w:hAnsi="宋体" w:eastAsia="宋体" w:cs="宋体"/>
          <w:sz w:val="18"/>
          <w:szCs w:val="18"/>
        </w:rPr>
        <w:sectPr>
          <w:footerReference r:id="rId164" w:type="default"/>
          <w:pgSz w:w="11905" w:h="16843"/>
          <w:pgMar w:top="969" w:right="1355" w:bottom="1026" w:left="1480" w:header="0" w:footer="754" w:gutter="0"/>
          <w:cols w:space="0" w:num="1"/>
          <w:rtlGutter w:val="0"/>
          <w:docGrid w:linePitch="0" w:charSpace="0"/>
        </w:sectPr>
      </w:pPr>
    </w:p>
    <w:p w14:paraId="08286F16">
      <w:pPr>
        <w:pStyle w:val="5"/>
        <w:spacing w:line="277" w:lineRule="auto"/>
      </w:pPr>
    </w:p>
    <w:p w14:paraId="3BE19DAB">
      <w:pPr>
        <w:pStyle w:val="5"/>
        <w:spacing w:line="277" w:lineRule="auto"/>
      </w:pPr>
    </w:p>
    <w:p w14:paraId="071582CA">
      <w:pPr>
        <w:pStyle w:val="5"/>
        <w:spacing w:line="277" w:lineRule="auto"/>
      </w:pPr>
    </w:p>
    <w:p w14:paraId="391F0FF8">
      <w:pPr>
        <w:pStyle w:val="5"/>
        <w:spacing w:line="278" w:lineRule="auto"/>
      </w:pPr>
    </w:p>
    <w:p w14:paraId="109E0931">
      <w:pPr>
        <w:pStyle w:val="5"/>
        <w:spacing w:line="278" w:lineRule="auto"/>
      </w:pPr>
    </w:p>
    <w:p w14:paraId="52472529">
      <w:pPr>
        <w:pStyle w:val="5"/>
        <w:spacing w:line="278" w:lineRule="auto"/>
      </w:pPr>
    </w:p>
    <w:p w14:paraId="344CD27A">
      <w:pPr>
        <w:spacing w:before="78" w:line="232" w:lineRule="auto"/>
        <w:ind w:left="19"/>
        <w:outlineLvl w:val="2"/>
        <w:rPr>
          <w:rFonts w:ascii="黑体" w:hAnsi="黑体" w:eastAsia="黑体" w:cs="黑体"/>
          <w:sz w:val="24"/>
          <w:szCs w:val="24"/>
        </w:rPr>
      </w:pPr>
      <w:bookmarkStart w:id="1275" w:name="bookmark389"/>
      <w:bookmarkEnd w:id="1275"/>
      <w:r>
        <w:rPr>
          <w:rFonts w:ascii="Times New Roman" w:hAnsi="Times New Roman" w:eastAsia="Times New Roman" w:cs="Times New Roman"/>
          <w:spacing w:val="-1"/>
          <w:sz w:val="24"/>
          <w:szCs w:val="24"/>
        </w:rPr>
        <w:t xml:space="preserve">3.15 </w:t>
      </w:r>
      <w:r>
        <w:rPr>
          <w:rFonts w:ascii="黑体" w:hAnsi="黑体" w:eastAsia="黑体" w:cs="黑体"/>
          <w:spacing w:val="-1"/>
          <w:sz w:val="24"/>
          <w:szCs w:val="24"/>
        </w:rPr>
        <w:t>投标人生产电、风、水、砂石基础单价汇总表</w:t>
      </w:r>
    </w:p>
    <w:p w14:paraId="3FFA1E44">
      <w:pPr>
        <w:spacing w:before="206" w:line="218" w:lineRule="auto"/>
        <w:ind w:left="2710"/>
        <w:rPr>
          <w:rFonts w:ascii="宋体" w:hAnsi="宋体" w:eastAsia="宋体" w:cs="宋体"/>
          <w:sz w:val="40"/>
          <w:szCs w:val="40"/>
        </w:rPr>
      </w:pPr>
      <w:bookmarkStart w:id="1276" w:name="bookmark623"/>
      <w:bookmarkEnd w:id="1276"/>
      <w:r>
        <w:rPr>
          <w:rFonts w:ascii="宋体" w:hAnsi="宋体" w:eastAsia="宋体" w:cs="宋体"/>
          <w:b/>
          <w:bCs/>
          <w:spacing w:val="-4"/>
          <w:sz w:val="40"/>
          <w:szCs w:val="40"/>
        </w:rPr>
        <w:t>投标人生产电、风、水、砂石基础单价汇总表</w:t>
      </w:r>
    </w:p>
    <w:p w14:paraId="3A35AD8D">
      <w:pPr>
        <w:spacing w:before="89"/>
      </w:pPr>
    </w:p>
    <w:tbl>
      <w:tblPr>
        <w:tblStyle w:val="10"/>
        <w:tblW w:w="13174" w:type="dxa"/>
        <w:tblInd w:w="12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070"/>
        <w:gridCol w:w="7104"/>
      </w:tblGrid>
      <w:tr w14:paraId="2D287B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1" w:hRule="atLeast"/>
        </w:trPr>
        <w:tc>
          <w:tcPr>
            <w:tcW w:w="6070" w:type="dxa"/>
            <w:vAlign w:val="top"/>
          </w:tcPr>
          <w:p w14:paraId="3705A249">
            <w:pPr>
              <w:pStyle w:val="11"/>
              <w:spacing w:before="156" w:line="220" w:lineRule="auto"/>
              <w:rPr>
                <w:sz w:val="18"/>
                <w:szCs w:val="18"/>
              </w:rPr>
            </w:pPr>
            <w:r>
              <w:rPr>
                <w:spacing w:val="-8"/>
                <w:sz w:val="18"/>
                <w:szCs w:val="18"/>
              </w:rPr>
              <w:t>合同编号：</w:t>
            </w:r>
          </w:p>
        </w:tc>
        <w:tc>
          <w:tcPr>
            <w:tcW w:w="7104" w:type="dxa"/>
            <w:vAlign w:val="top"/>
          </w:tcPr>
          <w:p w14:paraId="69CD1F8E">
            <w:pPr>
              <w:pStyle w:val="11"/>
              <w:spacing w:line="219" w:lineRule="auto"/>
              <w:jc w:val="right"/>
              <w:rPr>
                <w:sz w:val="18"/>
                <w:szCs w:val="18"/>
              </w:rPr>
            </w:pPr>
            <w:r>
              <w:rPr>
                <w:spacing w:val="-11"/>
                <w:sz w:val="18"/>
                <w:szCs w:val="18"/>
              </w:rPr>
              <w:t>第</w:t>
            </w:r>
            <w:r>
              <w:rPr>
                <w:spacing w:val="13"/>
                <w:sz w:val="18"/>
                <w:szCs w:val="18"/>
              </w:rPr>
              <w:t xml:space="preserve">  </w:t>
            </w:r>
            <w:r>
              <w:rPr>
                <w:spacing w:val="-11"/>
                <w:sz w:val="18"/>
                <w:szCs w:val="18"/>
              </w:rPr>
              <w:t>1</w:t>
            </w:r>
            <w:r>
              <w:rPr>
                <w:spacing w:val="7"/>
                <w:sz w:val="18"/>
                <w:szCs w:val="18"/>
              </w:rPr>
              <w:t xml:space="preserve">  </w:t>
            </w:r>
            <w:r>
              <w:rPr>
                <w:spacing w:val="-11"/>
                <w:sz w:val="18"/>
                <w:szCs w:val="18"/>
              </w:rPr>
              <w:t>页、共</w:t>
            </w:r>
            <w:r>
              <w:rPr>
                <w:spacing w:val="9"/>
                <w:sz w:val="18"/>
                <w:szCs w:val="18"/>
              </w:rPr>
              <w:t xml:space="preserve">  </w:t>
            </w:r>
            <w:r>
              <w:rPr>
                <w:spacing w:val="-11"/>
                <w:sz w:val="18"/>
                <w:szCs w:val="18"/>
              </w:rPr>
              <w:t>1</w:t>
            </w:r>
            <w:r>
              <w:rPr>
                <w:spacing w:val="6"/>
                <w:sz w:val="18"/>
                <w:szCs w:val="18"/>
              </w:rPr>
              <w:t xml:space="preserve">  </w:t>
            </w:r>
            <w:r>
              <w:rPr>
                <w:spacing w:val="-11"/>
                <w:sz w:val="18"/>
                <w:szCs w:val="18"/>
              </w:rPr>
              <w:t>页</w:t>
            </w:r>
          </w:p>
        </w:tc>
      </w:tr>
      <w:tr w14:paraId="4BDB59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4" w:hRule="atLeast"/>
        </w:trPr>
        <w:tc>
          <w:tcPr>
            <w:tcW w:w="6070" w:type="dxa"/>
            <w:vAlign w:val="top"/>
          </w:tcPr>
          <w:p w14:paraId="4087F5CE">
            <w:pPr>
              <w:pStyle w:val="11"/>
              <w:spacing w:before="44" w:line="174" w:lineRule="auto"/>
              <w:ind w:left="1"/>
              <w:rPr>
                <w:sz w:val="18"/>
                <w:szCs w:val="18"/>
              </w:rPr>
            </w:pPr>
            <w:r>
              <w:rPr>
                <w:spacing w:val="-9"/>
                <w:sz w:val="18"/>
                <w:szCs w:val="18"/>
              </w:rPr>
              <w:t>工程名称：</w:t>
            </w:r>
          </w:p>
        </w:tc>
        <w:tc>
          <w:tcPr>
            <w:tcW w:w="7104" w:type="dxa"/>
            <w:vAlign w:val="top"/>
          </w:tcPr>
          <w:p w14:paraId="11E79168">
            <w:pPr>
              <w:pStyle w:val="11"/>
              <w:spacing w:before="44" w:line="174" w:lineRule="auto"/>
              <w:jc w:val="right"/>
              <w:rPr>
                <w:sz w:val="18"/>
                <w:szCs w:val="18"/>
              </w:rPr>
            </w:pPr>
            <w:r>
              <w:rPr>
                <w:spacing w:val="-3"/>
                <w:sz w:val="18"/>
                <w:szCs w:val="18"/>
              </w:rPr>
              <w:t>单位：元</w:t>
            </w:r>
          </w:p>
        </w:tc>
      </w:tr>
    </w:tbl>
    <w:p w14:paraId="74C04528">
      <w:pPr>
        <w:spacing w:line="61" w:lineRule="exact"/>
      </w:pPr>
    </w:p>
    <w:tbl>
      <w:tblPr>
        <w:tblStyle w:val="10"/>
        <w:tblW w:w="1340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2117"/>
        <w:gridCol w:w="1218"/>
        <w:gridCol w:w="1095"/>
        <w:gridCol w:w="1199"/>
        <w:gridCol w:w="1359"/>
        <w:gridCol w:w="1305"/>
        <w:gridCol w:w="1501"/>
        <w:gridCol w:w="1395"/>
        <w:gridCol w:w="1269"/>
      </w:tblGrid>
      <w:tr w14:paraId="03C9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44" w:type="dxa"/>
            <w:tcBorders>
              <w:top w:val="single" w:color="000000" w:sz="6" w:space="0"/>
              <w:left w:val="single" w:color="000000" w:sz="6" w:space="0"/>
            </w:tcBorders>
            <w:vAlign w:val="top"/>
          </w:tcPr>
          <w:p w14:paraId="37F16ABF">
            <w:pPr>
              <w:pStyle w:val="11"/>
              <w:spacing w:before="106" w:line="221" w:lineRule="auto"/>
              <w:ind w:left="288"/>
              <w:rPr>
                <w:sz w:val="18"/>
                <w:szCs w:val="18"/>
              </w:rPr>
            </w:pPr>
            <w:r>
              <w:rPr>
                <w:spacing w:val="-2"/>
                <w:sz w:val="18"/>
                <w:szCs w:val="18"/>
              </w:rPr>
              <w:t>序号</w:t>
            </w:r>
          </w:p>
        </w:tc>
        <w:tc>
          <w:tcPr>
            <w:tcW w:w="2117" w:type="dxa"/>
            <w:tcBorders>
              <w:top w:val="single" w:color="000000" w:sz="6" w:space="0"/>
            </w:tcBorders>
            <w:vAlign w:val="top"/>
          </w:tcPr>
          <w:p w14:paraId="1CC97651">
            <w:pPr>
              <w:pStyle w:val="11"/>
              <w:spacing w:before="106" w:line="222" w:lineRule="auto"/>
              <w:ind w:left="879"/>
              <w:rPr>
                <w:sz w:val="18"/>
                <w:szCs w:val="18"/>
              </w:rPr>
            </w:pPr>
            <w:r>
              <w:rPr>
                <w:spacing w:val="-3"/>
                <w:sz w:val="18"/>
                <w:szCs w:val="18"/>
              </w:rPr>
              <w:t>名称</w:t>
            </w:r>
          </w:p>
        </w:tc>
        <w:tc>
          <w:tcPr>
            <w:tcW w:w="1218" w:type="dxa"/>
            <w:tcBorders>
              <w:top w:val="single" w:color="000000" w:sz="6" w:space="0"/>
            </w:tcBorders>
            <w:vAlign w:val="top"/>
          </w:tcPr>
          <w:p w14:paraId="2763664F">
            <w:pPr>
              <w:pStyle w:val="11"/>
              <w:spacing w:before="105" w:line="220" w:lineRule="auto"/>
              <w:ind w:left="251"/>
              <w:rPr>
                <w:sz w:val="18"/>
                <w:szCs w:val="18"/>
              </w:rPr>
            </w:pPr>
            <w:r>
              <w:rPr>
                <w:spacing w:val="-2"/>
                <w:sz w:val="18"/>
                <w:szCs w:val="18"/>
              </w:rPr>
              <w:t>规格型号</w:t>
            </w:r>
          </w:p>
        </w:tc>
        <w:tc>
          <w:tcPr>
            <w:tcW w:w="1095" w:type="dxa"/>
            <w:tcBorders>
              <w:top w:val="single" w:color="000000" w:sz="6" w:space="0"/>
            </w:tcBorders>
            <w:vAlign w:val="top"/>
          </w:tcPr>
          <w:p w14:paraId="545CBFAE">
            <w:pPr>
              <w:pStyle w:val="11"/>
              <w:spacing w:before="106" w:line="220" w:lineRule="auto"/>
              <w:ind w:left="189"/>
              <w:rPr>
                <w:sz w:val="18"/>
                <w:szCs w:val="18"/>
              </w:rPr>
            </w:pPr>
            <w:r>
              <w:rPr>
                <w:spacing w:val="-2"/>
                <w:sz w:val="18"/>
                <w:szCs w:val="18"/>
              </w:rPr>
              <w:t>计量单位</w:t>
            </w:r>
          </w:p>
        </w:tc>
        <w:tc>
          <w:tcPr>
            <w:tcW w:w="1199" w:type="dxa"/>
            <w:tcBorders>
              <w:top w:val="single" w:color="000000" w:sz="6" w:space="0"/>
            </w:tcBorders>
            <w:vAlign w:val="top"/>
          </w:tcPr>
          <w:p w14:paraId="445C5509">
            <w:pPr>
              <w:pStyle w:val="11"/>
              <w:spacing w:before="106" w:line="220" w:lineRule="auto"/>
              <w:ind w:left="332"/>
              <w:rPr>
                <w:sz w:val="18"/>
                <w:szCs w:val="18"/>
              </w:rPr>
            </w:pPr>
            <w:r>
              <w:rPr>
                <w:spacing w:val="-2"/>
                <w:sz w:val="18"/>
                <w:szCs w:val="18"/>
              </w:rPr>
              <w:t>人工费</w:t>
            </w:r>
          </w:p>
        </w:tc>
        <w:tc>
          <w:tcPr>
            <w:tcW w:w="1359" w:type="dxa"/>
            <w:tcBorders>
              <w:top w:val="single" w:color="000000" w:sz="6" w:space="0"/>
            </w:tcBorders>
            <w:vAlign w:val="top"/>
          </w:tcPr>
          <w:p w14:paraId="47C4EB3A">
            <w:pPr>
              <w:pStyle w:val="11"/>
              <w:spacing w:before="106" w:line="219" w:lineRule="auto"/>
              <w:ind w:left="416"/>
              <w:rPr>
                <w:sz w:val="18"/>
                <w:szCs w:val="18"/>
              </w:rPr>
            </w:pPr>
            <w:r>
              <w:rPr>
                <w:spacing w:val="-2"/>
                <w:sz w:val="18"/>
                <w:szCs w:val="18"/>
              </w:rPr>
              <w:t>材料费</w:t>
            </w:r>
          </w:p>
        </w:tc>
        <w:tc>
          <w:tcPr>
            <w:tcW w:w="1305" w:type="dxa"/>
            <w:tcBorders>
              <w:top w:val="single" w:color="000000" w:sz="6" w:space="0"/>
            </w:tcBorders>
            <w:vAlign w:val="top"/>
          </w:tcPr>
          <w:p w14:paraId="075015C9">
            <w:pPr>
              <w:pStyle w:val="11"/>
              <w:spacing w:before="106" w:line="219" w:lineRule="auto"/>
              <w:ind w:left="208"/>
              <w:rPr>
                <w:sz w:val="18"/>
                <w:szCs w:val="18"/>
              </w:rPr>
            </w:pPr>
            <w:r>
              <w:rPr>
                <w:spacing w:val="-2"/>
                <w:sz w:val="18"/>
                <w:szCs w:val="18"/>
              </w:rPr>
              <w:t>机械使用费</w:t>
            </w:r>
          </w:p>
        </w:tc>
        <w:tc>
          <w:tcPr>
            <w:tcW w:w="1501" w:type="dxa"/>
            <w:tcBorders>
              <w:top w:val="single" w:color="000000" w:sz="6" w:space="0"/>
            </w:tcBorders>
            <w:vAlign w:val="top"/>
          </w:tcPr>
          <w:p w14:paraId="7100EEE2">
            <w:pPr>
              <w:pStyle w:val="11"/>
              <w:spacing w:before="106" w:line="220" w:lineRule="auto"/>
              <w:ind w:left="400"/>
              <w:rPr>
                <w:sz w:val="18"/>
                <w:szCs w:val="18"/>
              </w:rPr>
            </w:pPr>
            <w:r>
              <w:rPr>
                <w:spacing w:val="-2"/>
                <w:sz w:val="18"/>
                <w:szCs w:val="18"/>
              </w:rPr>
              <w:t>其他费用</w:t>
            </w:r>
          </w:p>
        </w:tc>
        <w:tc>
          <w:tcPr>
            <w:tcW w:w="1395" w:type="dxa"/>
            <w:tcBorders>
              <w:top w:val="single" w:color="000000" w:sz="6" w:space="0"/>
            </w:tcBorders>
            <w:vAlign w:val="top"/>
          </w:tcPr>
          <w:p w14:paraId="1DB21C6E">
            <w:pPr>
              <w:pStyle w:val="11"/>
              <w:spacing w:before="106" w:line="221" w:lineRule="auto"/>
              <w:ind w:left="529"/>
              <w:rPr>
                <w:sz w:val="18"/>
                <w:szCs w:val="18"/>
              </w:rPr>
            </w:pPr>
            <w:r>
              <w:rPr>
                <w:spacing w:val="-2"/>
                <w:sz w:val="18"/>
                <w:szCs w:val="18"/>
              </w:rPr>
              <w:t>合计</w:t>
            </w:r>
          </w:p>
        </w:tc>
        <w:tc>
          <w:tcPr>
            <w:tcW w:w="1269" w:type="dxa"/>
            <w:tcBorders>
              <w:top w:val="single" w:color="000000" w:sz="6" w:space="0"/>
              <w:right w:val="single" w:color="000000" w:sz="6" w:space="0"/>
            </w:tcBorders>
            <w:vAlign w:val="top"/>
          </w:tcPr>
          <w:p w14:paraId="4BEB1358">
            <w:pPr>
              <w:pStyle w:val="11"/>
              <w:spacing w:before="106" w:line="221" w:lineRule="auto"/>
              <w:ind w:left="460"/>
              <w:rPr>
                <w:sz w:val="18"/>
                <w:szCs w:val="18"/>
              </w:rPr>
            </w:pPr>
            <w:r>
              <w:rPr>
                <w:spacing w:val="-3"/>
                <w:sz w:val="18"/>
                <w:szCs w:val="18"/>
              </w:rPr>
              <w:t>备注</w:t>
            </w:r>
          </w:p>
        </w:tc>
      </w:tr>
      <w:tr w14:paraId="1EE2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67033605">
            <w:pPr>
              <w:pStyle w:val="11"/>
              <w:spacing w:before="104" w:line="241" w:lineRule="auto"/>
              <w:ind w:left="437"/>
              <w:rPr>
                <w:sz w:val="18"/>
                <w:szCs w:val="18"/>
              </w:rPr>
            </w:pPr>
            <w:r>
              <w:rPr>
                <w:sz w:val="18"/>
                <w:szCs w:val="18"/>
              </w:rPr>
              <w:t>1</w:t>
            </w:r>
          </w:p>
        </w:tc>
        <w:tc>
          <w:tcPr>
            <w:tcW w:w="2117" w:type="dxa"/>
            <w:vAlign w:val="top"/>
          </w:tcPr>
          <w:p w14:paraId="3596E03C">
            <w:pPr>
              <w:rPr>
                <w:rFonts w:ascii="Arial"/>
                <w:sz w:val="21"/>
              </w:rPr>
            </w:pPr>
          </w:p>
        </w:tc>
        <w:tc>
          <w:tcPr>
            <w:tcW w:w="1218" w:type="dxa"/>
            <w:vAlign w:val="top"/>
          </w:tcPr>
          <w:p w14:paraId="249E3D76">
            <w:pPr>
              <w:rPr>
                <w:rFonts w:ascii="Arial"/>
                <w:sz w:val="21"/>
              </w:rPr>
            </w:pPr>
          </w:p>
        </w:tc>
        <w:tc>
          <w:tcPr>
            <w:tcW w:w="1095" w:type="dxa"/>
            <w:vAlign w:val="top"/>
          </w:tcPr>
          <w:p w14:paraId="0B4B04BB">
            <w:pPr>
              <w:rPr>
                <w:rFonts w:ascii="Arial"/>
                <w:sz w:val="21"/>
              </w:rPr>
            </w:pPr>
          </w:p>
        </w:tc>
        <w:tc>
          <w:tcPr>
            <w:tcW w:w="1199" w:type="dxa"/>
            <w:vAlign w:val="top"/>
          </w:tcPr>
          <w:p w14:paraId="0D1BAAF6">
            <w:pPr>
              <w:rPr>
                <w:rFonts w:ascii="Arial"/>
                <w:sz w:val="21"/>
              </w:rPr>
            </w:pPr>
          </w:p>
        </w:tc>
        <w:tc>
          <w:tcPr>
            <w:tcW w:w="1359" w:type="dxa"/>
            <w:vAlign w:val="top"/>
          </w:tcPr>
          <w:p w14:paraId="63625ED1">
            <w:pPr>
              <w:rPr>
                <w:rFonts w:ascii="Arial"/>
                <w:sz w:val="21"/>
              </w:rPr>
            </w:pPr>
          </w:p>
        </w:tc>
        <w:tc>
          <w:tcPr>
            <w:tcW w:w="1305" w:type="dxa"/>
            <w:vAlign w:val="top"/>
          </w:tcPr>
          <w:p w14:paraId="0094A720">
            <w:pPr>
              <w:rPr>
                <w:rFonts w:ascii="Arial"/>
                <w:sz w:val="21"/>
              </w:rPr>
            </w:pPr>
          </w:p>
        </w:tc>
        <w:tc>
          <w:tcPr>
            <w:tcW w:w="1501" w:type="dxa"/>
            <w:vAlign w:val="top"/>
          </w:tcPr>
          <w:p w14:paraId="65B74463">
            <w:pPr>
              <w:rPr>
                <w:rFonts w:ascii="Arial"/>
                <w:sz w:val="21"/>
              </w:rPr>
            </w:pPr>
          </w:p>
        </w:tc>
        <w:tc>
          <w:tcPr>
            <w:tcW w:w="1395" w:type="dxa"/>
            <w:vAlign w:val="top"/>
          </w:tcPr>
          <w:p w14:paraId="00F1BCC9">
            <w:pPr>
              <w:rPr>
                <w:rFonts w:ascii="Arial"/>
                <w:sz w:val="21"/>
              </w:rPr>
            </w:pPr>
          </w:p>
        </w:tc>
        <w:tc>
          <w:tcPr>
            <w:tcW w:w="1269" w:type="dxa"/>
            <w:tcBorders>
              <w:right w:val="single" w:color="000000" w:sz="6" w:space="0"/>
            </w:tcBorders>
            <w:vAlign w:val="top"/>
          </w:tcPr>
          <w:p w14:paraId="062C6EF4">
            <w:pPr>
              <w:rPr>
                <w:rFonts w:ascii="Arial"/>
                <w:sz w:val="21"/>
              </w:rPr>
            </w:pPr>
          </w:p>
        </w:tc>
      </w:tr>
      <w:tr w14:paraId="6B716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6EDAC33A">
            <w:pPr>
              <w:rPr>
                <w:rFonts w:ascii="Arial"/>
                <w:sz w:val="21"/>
              </w:rPr>
            </w:pPr>
          </w:p>
        </w:tc>
        <w:tc>
          <w:tcPr>
            <w:tcW w:w="2117" w:type="dxa"/>
            <w:vAlign w:val="top"/>
          </w:tcPr>
          <w:p w14:paraId="2818F07B">
            <w:pPr>
              <w:rPr>
                <w:rFonts w:ascii="Arial"/>
                <w:sz w:val="21"/>
              </w:rPr>
            </w:pPr>
          </w:p>
        </w:tc>
        <w:tc>
          <w:tcPr>
            <w:tcW w:w="1218" w:type="dxa"/>
            <w:vAlign w:val="top"/>
          </w:tcPr>
          <w:p w14:paraId="18ED8299">
            <w:pPr>
              <w:rPr>
                <w:rFonts w:ascii="Arial"/>
                <w:sz w:val="21"/>
              </w:rPr>
            </w:pPr>
          </w:p>
        </w:tc>
        <w:tc>
          <w:tcPr>
            <w:tcW w:w="1095" w:type="dxa"/>
            <w:vAlign w:val="top"/>
          </w:tcPr>
          <w:p w14:paraId="39B9CF37">
            <w:pPr>
              <w:rPr>
                <w:rFonts w:ascii="Arial"/>
                <w:sz w:val="21"/>
              </w:rPr>
            </w:pPr>
          </w:p>
        </w:tc>
        <w:tc>
          <w:tcPr>
            <w:tcW w:w="1199" w:type="dxa"/>
            <w:vAlign w:val="top"/>
          </w:tcPr>
          <w:p w14:paraId="4C8C3D67">
            <w:pPr>
              <w:rPr>
                <w:rFonts w:ascii="Arial"/>
                <w:sz w:val="21"/>
              </w:rPr>
            </w:pPr>
          </w:p>
        </w:tc>
        <w:tc>
          <w:tcPr>
            <w:tcW w:w="1359" w:type="dxa"/>
            <w:vAlign w:val="top"/>
          </w:tcPr>
          <w:p w14:paraId="23696051">
            <w:pPr>
              <w:rPr>
                <w:rFonts w:ascii="Arial"/>
                <w:sz w:val="21"/>
              </w:rPr>
            </w:pPr>
          </w:p>
        </w:tc>
        <w:tc>
          <w:tcPr>
            <w:tcW w:w="1305" w:type="dxa"/>
            <w:vAlign w:val="top"/>
          </w:tcPr>
          <w:p w14:paraId="664784AF">
            <w:pPr>
              <w:rPr>
                <w:rFonts w:ascii="Arial"/>
                <w:sz w:val="21"/>
              </w:rPr>
            </w:pPr>
          </w:p>
        </w:tc>
        <w:tc>
          <w:tcPr>
            <w:tcW w:w="1501" w:type="dxa"/>
            <w:vAlign w:val="top"/>
          </w:tcPr>
          <w:p w14:paraId="121AEEAB">
            <w:pPr>
              <w:rPr>
                <w:rFonts w:ascii="Arial"/>
                <w:sz w:val="21"/>
              </w:rPr>
            </w:pPr>
          </w:p>
        </w:tc>
        <w:tc>
          <w:tcPr>
            <w:tcW w:w="1395" w:type="dxa"/>
            <w:vAlign w:val="top"/>
          </w:tcPr>
          <w:p w14:paraId="274D0763">
            <w:pPr>
              <w:rPr>
                <w:rFonts w:ascii="Arial"/>
                <w:sz w:val="21"/>
              </w:rPr>
            </w:pPr>
          </w:p>
        </w:tc>
        <w:tc>
          <w:tcPr>
            <w:tcW w:w="1269" w:type="dxa"/>
            <w:tcBorders>
              <w:right w:val="single" w:color="000000" w:sz="6" w:space="0"/>
            </w:tcBorders>
            <w:vAlign w:val="top"/>
          </w:tcPr>
          <w:p w14:paraId="1C8DB9C9">
            <w:pPr>
              <w:rPr>
                <w:rFonts w:ascii="Arial"/>
                <w:sz w:val="21"/>
              </w:rPr>
            </w:pPr>
          </w:p>
        </w:tc>
      </w:tr>
      <w:tr w14:paraId="13583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22B1F1AB">
            <w:pPr>
              <w:rPr>
                <w:rFonts w:ascii="Arial"/>
                <w:sz w:val="21"/>
              </w:rPr>
            </w:pPr>
          </w:p>
        </w:tc>
        <w:tc>
          <w:tcPr>
            <w:tcW w:w="2117" w:type="dxa"/>
            <w:vAlign w:val="top"/>
          </w:tcPr>
          <w:p w14:paraId="08488519">
            <w:pPr>
              <w:rPr>
                <w:rFonts w:ascii="Arial"/>
                <w:sz w:val="21"/>
              </w:rPr>
            </w:pPr>
          </w:p>
        </w:tc>
        <w:tc>
          <w:tcPr>
            <w:tcW w:w="1218" w:type="dxa"/>
            <w:vAlign w:val="top"/>
          </w:tcPr>
          <w:p w14:paraId="41618ED1">
            <w:pPr>
              <w:rPr>
                <w:rFonts w:ascii="Arial"/>
                <w:sz w:val="21"/>
              </w:rPr>
            </w:pPr>
          </w:p>
        </w:tc>
        <w:tc>
          <w:tcPr>
            <w:tcW w:w="1095" w:type="dxa"/>
            <w:vAlign w:val="top"/>
          </w:tcPr>
          <w:p w14:paraId="2C7762B1">
            <w:pPr>
              <w:rPr>
                <w:rFonts w:ascii="Arial"/>
                <w:sz w:val="21"/>
              </w:rPr>
            </w:pPr>
          </w:p>
        </w:tc>
        <w:tc>
          <w:tcPr>
            <w:tcW w:w="1199" w:type="dxa"/>
            <w:vAlign w:val="top"/>
          </w:tcPr>
          <w:p w14:paraId="0D2AFF19">
            <w:pPr>
              <w:rPr>
                <w:rFonts w:ascii="Arial"/>
                <w:sz w:val="21"/>
              </w:rPr>
            </w:pPr>
          </w:p>
        </w:tc>
        <w:tc>
          <w:tcPr>
            <w:tcW w:w="1359" w:type="dxa"/>
            <w:vAlign w:val="top"/>
          </w:tcPr>
          <w:p w14:paraId="055390AD">
            <w:pPr>
              <w:rPr>
                <w:rFonts w:ascii="Arial"/>
                <w:sz w:val="21"/>
              </w:rPr>
            </w:pPr>
          </w:p>
        </w:tc>
        <w:tc>
          <w:tcPr>
            <w:tcW w:w="1305" w:type="dxa"/>
            <w:vAlign w:val="top"/>
          </w:tcPr>
          <w:p w14:paraId="06BBA9C1">
            <w:pPr>
              <w:rPr>
                <w:rFonts w:ascii="Arial"/>
                <w:sz w:val="21"/>
              </w:rPr>
            </w:pPr>
          </w:p>
        </w:tc>
        <w:tc>
          <w:tcPr>
            <w:tcW w:w="1501" w:type="dxa"/>
            <w:vAlign w:val="top"/>
          </w:tcPr>
          <w:p w14:paraId="16D00C0A">
            <w:pPr>
              <w:rPr>
                <w:rFonts w:ascii="Arial"/>
                <w:sz w:val="21"/>
              </w:rPr>
            </w:pPr>
          </w:p>
        </w:tc>
        <w:tc>
          <w:tcPr>
            <w:tcW w:w="1395" w:type="dxa"/>
            <w:vAlign w:val="top"/>
          </w:tcPr>
          <w:p w14:paraId="2A573A4F">
            <w:pPr>
              <w:rPr>
                <w:rFonts w:ascii="Arial"/>
                <w:sz w:val="21"/>
              </w:rPr>
            </w:pPr>
          </w:p>
        </w:tc>
        <w:tc>
          <w:tcPr>
            <w:tcW w:w="1269" w:type="dxa"/>
            <w:tcBorders>
              <w:right w:val="single" w:color="000000" w:sz="6" w:space="0"/>
            </w:tcBorders>
            <w:vAlign w:val="top"/>
          </w:tcPr>
          <w:p w14:paraId="68D39F01">
            <w:pPr>
              <w:rPr>
                <w:rFonts w:ascii="Arial"/>
                <w:sz w:val="21"/>
              </w:rPr>
            </w:pPr>
          </w:p>
        </w:tc>
      </w:tr>
      <w:tr w14:paraId="4834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tcBorders>
              <w:left w:val="single" w:color="000000" w:sz="6" w:space="0"/>
            </w:tcBorders>
            <w:vAlign w:val="top"/>
          </w:tcPr>
          <w:p w14:paraId="5012FCFD">
            <w:pPr>
              <w:rPr>
                <w:rFonts w:ascii="Arial"/>
                <w:sz w:val="21"/>
              </w:rPr>
            </w:pPr>
          </w:p>
        </w:tc>
        <w:tc>
          <w:tcPr>
            <w:tcW w:w="2117" w:type="dxa"/>
            <w:vAlign w:val="top"/>
          </w:tcPr>
          <w:p w14:paraId="1796EF41">
            <w:pPr>
              <w:rPr>
                <w:rFonts w:ascii="Arial"/>
                <w:sz w:val="21"/>
              </w:rPr>
            </w:pPr>
          </w:p>
        </w:tc>
        <w:tc>
          <w:tcPr>
            <w:tcW w:w="1218" w:type="dxa"/>
            <w:vAlign w:val="top"/>
          </w:tcPr>
          <w:p w14:paraId="743B36A6">
            <w:pPr>
              <w:rPr>
                <w:rFonts w:ascii="Arial"/>
                <w:sz w:val="21"/>
              </w:rPr>
            </w:pPr>
          </w:p>
        </w:tc>
        <w:tc>
          <w:tcPr>
            <w:tcW w:w="1095" w:type="dxa"/>
            <w:vAlign w:val="top"/>
          </w:tcPr>
          <w:p w14:paraId="4A3E009A">
            <w:pPr>
              <w:rPr>
                <w:rFonts w:ascii="Arial"/>
                <w:sz w:val="21"/>
              </w:rPr>
            </w:pPr>
          </w:p>
        </w:tc>
        <w:tc>
          <w:tcPr>
            <w:tcW w:w="1199" w:type="dxa"/>
            <w:vAlign w:val="top"/>
          </w:tcPr>
          <w:p w14:paraId="663A3966">
            <w:pPr>
              <w:rPr>
                <w:rFonts w:ascii="Arial"/>
                <w:sz w:val="21"/>
              </w:rPr>
            </w:pPr>
          </w:p>
        </w:tc>
        <w:tc>
          <w:tcPr>
            <w:tcW w:w="1359" w:type="dxa"/>
            <w:vAlign w:val="top"/>
          </w:tcPr>
          <w:p w14:paraId="55213631">
            <w:pPr>
              <w:rPr>
                <w:rFonts w:ascii="Arial"/>
                <w:sz w:val="21"/>
              </w:rPr>
            </w:pPr>
          </w:p>
        </w:tc>
        <w:tc>
          <w:tcPr>
            <w:tcW w:w="1305" w:type="dxa"/>
            <w:vAlign w:val="top"/>
          </w:tcPr>
          <w:p w14:paraId="6E2663C6">
            <w:pPr>
              <w:rPr>
                <w:rFonts w:ascii="Arial"/>
                <w:sz w:val="21"/>
              </w:rPr>
            </w:pPr>
          </w:p>
        </w:tc>
        <w:tc>
          <w:tcPr>
            <w:tcW w:w="1501" w:type="dxa"/>
            <w:vAlign w:val="top"/>
          </w:tcPr>
          <w:p w14:paraId="41B49967">
            <w:pPr>
              <w:rPr>
                <w:rFonts w:ascii="Arial"/>
                <w:sz w:val="21"/>
              </w:rPr>
            </w:pPr>
          </w:p>
        </w:tc>
        <w:tc>
          <w:tcPr>
            <w:tcW w:w="1395" w:type="dxa"/>
            <w:vAlign w:val="top"/>
          </w:tcPr>
          <w:p w14:paraId="562C118F">
            <w:pPr>
              <w:rPr>
                <w:rFonts w:ascii="Arial"/>
                <w:sz w:val="21"/>
              </w:rPr>
            </w:pPr>
          </w:p>
        </w:tc>
        <w:tc>
          <w:tcPr>
            <w:tcW w:w="1269" w:type="dxa"/>
            <w:tcBorders>
              <w:right w:val="single" w:color="000000" w:sz="6" w:space="0"/>
            </w:tcBorders>
            <w:vAlign w:val="top"/>
          </w:tcPr>
          <w:p w14:paraId="4FE03E76">
            <w:pPr>
              <w:rPr>
                <w:rFonts w:ascii="Arial"/>
                <w:sz w:val="21"/>
              </w:rPr>
            </w:pPr>
          </w:p>
        </w:tc>
      </w:tr>
      <w:tr w14:paraId="70AF1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44" w:type="dxa"/>
            <w:tcBorders>
              <w:left w:val="single" w:color="000000" w:sz="6" w:space="0"/>
            </w:tcBorders>
            <w:vAlign w:val="top"/>
          </w:tcPr>
          <w:p w14:paraId="58B8ED60">
            <w:pPr>
              <w:rPr>
                <w:rFonts w:ascii="Arial"/>
                <w:sz w:val="21"/>
              </w:rPr>
            </w:pPr>
          </w:p>
        </w:tc>
        <w:tc>
          <w:tcPr>
            <w:tcW w:w="2117" w:type="dxa"/>
            <w:vAlign w:val="top"/>
          </w:tcPr>
          <w:p w14:paraId="668E5C83">
            <w:pPr>
              <w:rPr>
                <w:rFonts w:ascii="Arial"/>
                <w:sz w:val="21"/>
              </w:rPr>
            </w:pPr>
          </w:p>
        </w:tc>
        <w:tc>
          <w:tcPr>
            <w:tcW w:w="1218" w:type="dxa"/>
            <w:vAlign w:val="top"/>
          </w:tcPr>
          <w:p w14:paraId="0D2511E8">
            <w:pPr>
              <w:rPr>
                <w:rFonts w:ascii="Arial"/>
                <w:sz w:val="21"/>
              </w:rPr>
            </w:pPr>
          </w:p>
        </w:tc>
        <w:tc>
          <w:tcPr>
            <w:tcW w:w="1095" w:type="dxa"/>
            <w:vAlign w:val="top"/>
          </w:tcPr>
          <w:p w14:paraId="62A76E15">
            <w:pPr>
              <w:rPr>
                <w:rFonts w:ascii="Arial"/>
                <w:sz w:val="21"/>
              </w:rPr>
            </w:pPr>
          </w:p>
        </w:tc>
        <w:tc>
          <w:tcPr>
            <w:tcW w:w="1199" w:type="dxa"/>
            <w:vAlign w:val="top"/>
          </w:tcPr>
          <w:p w14:paraId="0397207F">
            <w:pPr>
              <w:rPr>
                <w:rFonts w:ascii="Arial"/>
                <w:sz w:val="21"/>
              </w:rPr>
            </w:pPr>
          </w:p>
        </w:tc>
        <w:tc>
          <w:tcPr>
            <w:tcW w:w="1359" w:type="dxa"/>
            <w:vAlign w:val="top"/>
          </w:tcPr>
          <w:p w14:paraId="423594E1">
            <w:pPr>
              <w:rPr>
                <w:rFonts w:ascii="Arial"/>
                <w:sz w:val="21"/>
              </w:rPr>
            </w:pPr>
          </w:p>
        </w:tc>
        <w:tc>
          <w:tcPr>
            <w:tcW w:w="1305" w:type="dxa"/>
            <w:vAlign w:val="top"/>
          </w:tcPr>
          <w:p w14:paraId="2A8D6026">
            <w:pPr>
              <w:rPr>
                <w:rFonts w:ascii="Arial"/>
                <w:sz w:val="21"/>
              </w:rPr>
            </w:pPr>
          </w:p>
        </w:tc>
        <w:tc>
          <w:tcPr>
            <w:tcW w:w="1501" w:type="dxa"/>
            <w:vAlign w:val="top"/>
          </w:tcPr>
          <w:p w14:paraId="4B5220EC">
            <w:pPr>
              <w:rPr>
                <w:rFonts w:ascii="Arial"/>
                <w:sz w:val="21"/>
              </w:rPr>
            </w:pPr>
          </w:p>
        </w:tc>
        <w:tc>
          <w:tcPr>
            <w:tcW w:w="1395" w:type="dxa"/>
            <w:vAlign w:val="top"/>
          </w:tcPr>
          <w:p w14:paraId="5A46E0C3">
            <w:pPr>
              <w:rPr>
                <w:rFonts w:ascii="Arial"/>
                <w:sz w:val="21"/>
              </w:rPr>
            </w:pPr>
          </w:p>
        </w:tc>
        <w:tc>
          <w:tcPr>
            <w:tcW w:w="1269" w:type="dxa"/>
            <w:tcBorders>
              <w:right w:val="single" w:color="000000" w:sz="6" w:space="0"/>
            </w:tcBorders>
            <w:vAlign w:val="top"/>
          </w:tcPr>
          <w:p w14:paraId="10963F57">
            <w:pPr>
              <w:rPr>
                <w:rFonts w:ascii="Arial"/>
                <w:sz w:val="21"/>
              </w:rPr>
            </w:pPr>
          </w:p>
        </w:tc>
      </w:tr>
      <w:tr w14:paraId="6E43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47B5613C">
            <w:pPr>
              <w:rPr>
                <w:rFonts w:ascii="Arial"/>
                <w:sz w:val="21"/>
              </w:rPr>
            </w:pPr>
          </w:p>
        </w:tc>
        <w:tc>
          <w:tcPr>
            <w:tcW w:w="2117" w:type="dxa"/>
            <w:vAlign w:val="top"/>
          </w:tcPr>
          <w:p w14:paraId="4A364104">
            <w:pPr>
              <w:rPr>
                <w:rFonts w:ascii="Arial"/>
                <w:sz w:val="21"/>
              </w:rPr>
            </w:pPr>
          </w:p>
        </w:tc>
        <w:tc>
          <w:tcPr>
            <w:tcW w:w="1218" w:type="dxa"/>
            <w:vAlign w:val="top"/>
          </w:tcPr>
          <w:p w14:paraId="767ACD3E">
            <w:pPr>
              <w:rPr>
                <w:rFonts w:ascii="Arial"/>
                <w:sz w:val="21"/>
              </w:rPr>
            </w:pPr>
          </w:p>
        </w:tc>
        <w:tc>
          <w:tcPr>
            <w:tcW w:w="1095" w:type="dxa"/>
            <w:vAlign w:val="top"/>
          </w:tcPr>
          <w:p w14:paraId="68C98653">
            <w:pPr>
              <w:rPr>
                <w:rFonts w:ascii="Arial"/>
                <w:sz w:val="21"/>
              </w:rPr>
            </w:pPr>
          </w:p>
        </w:tc>
        <w:tc>
          <w:tcPr>
            <w:tcW w:w="1199" w:type="dxa"/>
            <w:vAlign w:val="top"/>
          </w:tcPr>
          <w:p w14:paraId="636A6300">
            <w:pPr>
              <w:rPr>
                <w:rFonts w:ascii="Arial"/>
                <w:sz w:val="21"/>
              </w:rPr>
            </w:pPr>
          </w:p>
        </w:tc>
        <w:tc>
          <w:tcPr>
            <w:tcW w:w="1359" w:type="dxa"/>
            <w:vAlign w:val="top"/>
          </w:tcPr>
          <w:p w14:paraId="5AF2FA21">
            <w:pPr>
              <w:rPr>
                <w:rFonts w:ascii="Arial"/>
                <w:sz w:val="21"/>
              </w:rPr>
            </w:pPr>
          </w:p>
        </w:tc>
        <w:tc>
          <w:tcPr>
            <w:tcW w:w="1305" w:type="dxa"/>
            <w:vAlign w:val="top"/>
          </w:tcPr>
          <w:p w14:paraId="333E37BE">
            <w:pPr>
              <w:rPr>
                <w:rFonts w:ascii="Arial"/>
                <w:sz w:val="21"/>
              </w:rPr>
            </w:pPr>
          </w:p>
        </w:tc>
        <w:tc>
          <w:tcPr>
            <w:tcW w:w="1501" w:type="dxa"/>
            <w:vAlign w:val="top"/>
          </w:tcPr>
          <w:p w14:paraId="4CFA2CDF">
            <w:pPr>
              <w:rPr>
                <w:rFonts w:ascii="Arial"/>
                <w:sz w:val="21"/>
              </w:rPr>
            </w:pPr>
          </w:p>
        </w:tc>
        <w:tc>
          <w:tcPr>
            <w:tcW w:w="1395" w:type="dxa"/>
            <w:vAlign w:val="top"/>
          </w:tcPr>
          <w:p w14:paraId="3F3066A9">
            <w:pPr>
              <w:rPr>
                <w:rFonts w:ascii="Arial"/>
                <w:sz w:val="21"/>
              </w:rPr>
            </w:pPr>
          </w:p>
        </w:tc>
        <w:tc>
          <w:tcPr>
            <w:tcW w:w="1269" w:type="dxa"/>
            <w:tcBorders>
              <w:right w:val="single" w:color="000000" w:sz="6" w:space="0"/>
            </w:tcBorders>
            <w:vAlign w:val="top"/>
          </w:tcPr>
          <w:p w14:paraId="68B7D85E">
            <w:pPr>
              <w:rPr>
                <w:rFonts w:ascii="Arial"/>
                <w:sz w:val="21"/>
              </w:rPr>
            </w:pPr>
          </w:p>
        </w:tc>
      </w:tr>
      <w:tr w14:paraId="6533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26304978">
            <w:pPr>
              <w:rPr>
                <w:rFonts w:ascii="Arial"/>
                <w:sz w:val="21"/>
              </w:rPr>
            </w:pPr>
          </w:p>
        </w:tc>
        <w:tc>
          <w:tcPr>
            <w:tcW w:w="2117" w:type="dxa"/>
            <w:vAlign w:val="top"/>
          </w:tcPr>
          <w:p w14:paraId="2F3C3874">
            <w:pPr>
              <w:rPr>
                <w:rFonts w:ascii="Arial"/>
                <w:sz w:val="21"/>
              </w:rPr>
            </w:pPr>
          </w:p>
        </w:tc>
        <w:tc>
          <w:tcPr>
            <w:tcW w:w="1218" w:type="dxa"/>
            <w:vAlign w:val="top"/>
          </w:tcPr>
          <w:p w14:paraId="7BF8481C">
            <w:pPr>
              <w:rPr>
                <w:rFonts w:ascii="Arial"/>
                <w:sz w:val="21"/>
              </w:rPr>
            </w:pPr>
          </w:p>
        </w:tc>
        <w:tc>
          <w:tcPr>
            <w:tcW w:w="1095" w:type="dxa"/>
            <w:vAlign w:val="top"/>
          </w:tcPr>
          <w:p w14:paraId="29AF567A">
            <w:pPr>
              <w:rPr>
                <w:rFonts w:ascii="Arial"/>
                <w:sz w:val="21"/>
              </w:rPr>
            </w:pPr>
          </w:p>
        </w:tc>
        <w:tc>
          <w:tcPr>
            <w:tcW w:w="1199" w:type="dxa"/>
            <w:vAlign w:val="top"/>
          </w:tcPr>
          <w:p w14:paraId="5D6482F6">
            <w:pPr>
              <w:rPr>
                <w:rFonts w:ascii="Arial"/>
                <w:sz w:val="21"/>
              </w:rPr>
            </w:pPr>
          </w:p>
        </w:tc>
        <w:tc>
          <w:tcPr>
            <w:tcW w:w="1359" w:type="dxa"/>
            <w:vAlign w:val="top"/>
          </w:tcPr>
          <w:p w14:paraId="7346B04B">
            <w:pPr>
              <w:rPr>
                <w:rFonts w:ascii="Arial"/>
                <w:sz w:val="21"/>
              </w:rPr>
            </w:pPr>
          </w:p>
        </w:tc>
        <w:tc>
          <w:tcPr>
            <w:tcW w:w="1305" w:type="dxa"/>
            <w:vAlign w:val="top"/>
          </w:tcPr>
          <w:p w14:paraId="3227B342">
            <w:pPr>
              <w:rPr>
                <w:rFonts w:ascii="Arial"/>
                <w:sz w:val="21"/>
              </w:rPr>
            </w:pPr>
          </w:p>
        </w:tc>
        <w:tc>
          <w:tcPr>
            <w:tcW w:w="1501" w:type="dxa"/>
            <w:vAlign w:val="top"/>
          </w:tcPr>
          <w:p w14:paraId="06126EBD">
            <w:pPr>
              <w:rPr>
                <w:rFonts w:ascii="Arial"/>
                <w:sz w:val="21"/>
              </w:rPr>
            </w:pPr>
          </w:p>
        </w:tc>
        <w:tc>
          <w:tcPr>
            <w:tcW w:w="1395" w:type="dxa"/>
            <w:vAlign w:val="top"/>
          </w:tcPr>
          <w:p w14:paraId="42B7EE22">
            <w:pPr>
              <w:rPr>
                <w:rFonts w:ascii="Arial"/>
                <w:sz w:val="21"/>
              </w:rPr>
            </w:pPr>
          </w:p>
        </w:tc>
        <w:tc>
          <w:tcPr>
            <w:tcW w:w="1269" w:type="dxa"/>
            <w:tcBorders>
              <w:right w:val="single" w:color="000000" w:sz="6" w:space="0"/>
            </w:tcBorders>
            <w:vAlign w:val="top"/>
          </w:tcPr>
          <w:p w14:paraId="7448A641">
            <w:pPr>
              <w:rPr>
                <w:rFonts w:ascii="Arial"/>
                <w:sz w:val="21"/>
              </w:rPr>
            </w:pPr>
          </w:p>
        </w:tc>
      </w:tr>
      <w:tr w14:paraId="6995A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44" w:type="dxa"/>
            <w:tcBorders>
              <w:left w:val="single" w:color="000000" w:sz="6" w:space="0"/>
            </w:tcBorders>
            <w:vAlign w:val="top"/>
          </w:tcPr>
          <w:p w14:paraId="46052D43">
            <w:pPr>
              <w:rPr>
                <w:rFonts w:ascii="Arial"/>
                <w:sz w:val="21"/>
              </w:rPr>
            </w:pPr>
          </w:p>
        </w:tc>
        <w:tc>
          <w:tcPr>
            <w:tcW w:w="2117" w:type="dxa"/>
            <w:vAlign w:val="top"/>
          </w:tcPr>
          <w:p w14:paraId="2356789A">
            <w:pPr>
              <w:rPr>
                <w:rFonts w:ascii="Arial"/>
                <w:sz w:val="21"/>
              </w:rPr>
            </w:pPr>
          </w:p>
        </w:tc>
        <w:tc>
          <w:tcPr>
            <w:tcW w:w="1218" w:type="dxa"/>
            <w:vAlign w:val="top"/>
          </w:tcPr>
          <w:p w14:paraId="4B334E4D">
            <w:pPr>
              <w:rPr>
                <w:rFonts w:ascii="Arial"/>
                <w:sz w:val="21"/>
              </w:rPr>
            </w:pPr>
          </w:p>
        </w:tc>
        <w:tc>
          <w:tcPr>
            <w:tcW w:w="1095" w:type="dxa"/>
            <w:vAlign w:val="top"/>
          </w:tcPr>
          <w:p w14:paraId="103EAEA4">
            <w:pPr>
              <w:rPr>
                <w:rFonts w:ascii="Arial"/>
                <w:sz w:val="21"/>
              </w:rPr>
            </w:pPr>
          </w:p>
        </w:tc>
        <w:tc>
          <w:tcPr>
            <w:tcW w:w="1199" w:type="dxa"/>
            <w:vAlign w:val="top"/>
          </w:tcPr>
          <w:p w14:paraId="1CB8BB01">
            <w:pPr>
              <w:rPr>
                <w:rFonts w:ascii="Arial"/>
                <w:sz w:val="21"/>
              </w:rPr>
            </w:pPr>
          </w:p>
        </w:tc>
        <w:tc>
          <w:tcPr>
            <w:tcW w:w="1359" w:type="dxa"/>
            <w:vAlign w:val="top"/>
          </w:tcPr>
          <w:p w14:paraId="54AF4DDF">
            <w:pPr>
              <w:rPr>
                <w:rFonts w:ascii="Arial"/>
                <w:sz w:val="21"/>
              </w:rPr>
            </w:pPr>
          </w:p>
        </w:tc>
        <w:tc>
          <w:tcPr>
            <w:tcW w:w="1305" w:type="dxa"/>
            <w:vAlign w:val="top"/>
          </w:tcPr>
          <w:p w14:paraId="3C2BC580">
            <w:pPr>
              <w:rPr>
                <w:rFonts w:ascii="Arial"/>
                <w:sz w:val="21"/>
              </w:rPr>
            </w:pPr>
          </w:p>
        </w:tc>
        <w:tc>
          <w:tcPr>
            <w:tcW w:w="1501" w:type="dxa"/>
            <w:vAlign w:val="top"/>
          </w:tcPr>
          <w:p w14:paraId="69A740CF">
            <w:pPr>
              <w:rPr>
                <w:rFonts w:ascii="Arial"/>
                <w:sz w:val="21"/>
              </w:rPr>
            </w:pPr>
          </w:p>
        </w:tc>
        <w:tc>
          <w:tcPr>
            <w:tcW w:w="1395" w:type="dxa"/>
            <w:vAlign w:val="top"/>
          </w:tcPr>
          <w:p w14:paraId="7309A114">
            <w:pPr>
              <w:rPr>
                <w:rFonts w:ascii="Arial"/>
                <w:sz w:val="21"/>
              </w:rPr>
            </w:pPr>
          </w:p>
        </w:tc>
        <w:tc>
          <w:tcPr>
            <w:tcW w:w="1269" w:type="dxa"/>
            <w:tcBorders>
              <w:right w:val="single" w:color="000000" w:sz="6" w:space="0"/>
            </w:tcBorders>
            <w:vAlign w:val="top"/>
          </w:tcPr>
          <w:p w14:paraId="7AB3C326">
            <w:pPr>
              <w:rPr>
                <w:rFonts w:ascii="Arial"/>
                <w:sz w:val="21"/>
              </w:rPr>
            </w:pPr>
          </w:p>
        </w:tc>
      </w:tr>
      <w:tr w14:paraId="07D6B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44" w:type="dxa"/>
            <w:tcBorders>
              <w:left w:val="single" w:color="000000" w:sz="6" w:space="0"/>
            </w:tcBorders>
            <w:vAlign w:val="top"/>
          </w:tcPr>
          <w:p w14:paraId="30648794">
            <w:pPr>
              <w:rPr>
                <w:rFonts w:ascii="Arial"/>
                <w:sz w:val="21"/>
              </w:rPr>
            </w:pPr>
          </w:p>
        </w:tc>
        <w:tc>
          <w:tcPr>
            <w:tcW w:w="2117" w:type="dxa"/>
            <w:vAlign w:val="top"/>
          </w:tcPr>
          <w:p w14:paraId="32997E95">
            <w:pPr>
              <w:rPr>
                <w:rFonts w:ascii="Arial"/>
                <w:sz w:val="21"/>
              </w:rPr>
            </w:pPr>
          </w:p>
        </w:tc>
        <w:tc>
          <w:tcPr>
            <w:tcW w:w="1218" w:type="dxa"/>
            <w:vAlign w:val="top"/>
          </w:tcPr>
          <w:p w14:paraId="237F5AE9">
            <w:pPr>
              <w:rPr>
                <w:rFonts w:ascii="Arial"/>
                <w:sz w:val="21"/>
              </w:rPr>
            </w:pPr>
          </w:p>
        </w:tc>
        <w:tc>
          <w:tcPr>
            <w:tcW w:w="1095" w:type="dxa"/>
            <w:vAlign w:val="top"/>
          </w:tcPr>
          <w:p w14:paraId="16554377">
            <w:pPr>
              <w:rPr>
                <w:rFonts w:ascii="Arial"/>
                <w:sz w:val="21"/>
              </w:rPr>
            </w:pPr>
          </w:p>
        </w:tc>
        <w:tc>
          <w:tcPr>
            <w:tcW w:w="1199" w:type="dxa"/>
            <w:vAlign w:val="top"/>
          </w:tcPr>
          <w:p w14:paraId="31A8F334">
            <w:pPr>
              <w:rPr>
                <w:rFonts w:ascii="Arial"/>
                <w:sz w:val="21"/>
              </w:rPr>
            </w:pPr>
          </w:p>
        </w:tc>
        <w:tc>
          <w:tcPr>
            <w:tcW w:w="1359" w:type="dxa"/>
            <w:vAlign w:val="top"/>
          </w:tcPr>
          <w:p w14:paraId="464AF85C">
            <w:pPr>
              <w:rPr>
                <w:rFonts w:ascii="Arial"/>
                <w:sz w:val="21"/>
              </w:rPr>
            </w:pPr>
          </w:p>
        </w:tc>
        <w:tc>
          <w:tcPr>
            <w:tcW w:w="1305" w:type="dxa"/>
            <w:vAlign w:val="top"/>
          </w:tcPr>
          <w:p w14:paraId="03D72E05">
            <w:pPr>
              <w:rPr>
                <w:rFonts w:ascii="Arial"/>
                <w:sz w:val="21"/>
              </w:rPr>
            </w:pPr>
          </w:p>
        </w:tc>
        <w:tc>
          <w:tcPr>
            <w:tcW w:w="1501" w:type="dxa"/>
            <w:vAlign w:val="top"/>
          </w:tcPr>
          <w:p w14:paraId="2B71DE6C">
            <w:pPr>
              <w:rPr>
                <w:rFonts w:ascii="Arial"/>
                <w:sz w:val="21"/>
              </w:rPr>
            </w:pPr>
          </w:p>
        </w:tc>
        <w:tc>
          <w:tcPr>
            <w:tcW w:w="1395" w:type="dxa"/>
            <w:vAlign w:val="top"/>
          </w:tcPr>
          <w:p w14:paraId="6172892F">
            <w:pPr>
              <w:rPr>
                <w:rFonts w:ascii="Arial"/>
                <w:sz w:val="21"/>
              </w:rPr>
            </w:pPr>
          </w:p>
        </w:tc>
        <w:tc>
          <w:tcPr>
            <w:tcW w:w="1269" w:type="dxa"/>
            <w:tcBorders>
              <w:right w:val="single" w:color="000000" w:sz="6" w:space="0"/>
            </w:tcBorders>
            <w:vAlign w:val="top"/>
          </w:tcPr>
          <w:p w14:paraId="10528572">
            <w:pPr>
              <w:rPr>
                <w:rFonts w:ascii="Arial"/>
                <w:sz w:val="21"/>
              </w:rPr>
            </w:pPr>
          </w:p>
        </w:tc>
      </w:tr>
      <w:tr w14:paraId="59DF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44" w:type="dxa"/>
            <w:tcBorders>
              <w:left w:val="single" w:color="000000" w:sz="6" w:space="0"/>
              <w:bottom w:val="single" w:color="000000" w:sz="6" w:space="0"/>
            </w:tcBorders>
            <w:vAlign w:val="top"/>
          </w:tcPr>
          <w:p w14:paraId="367E7E6C">
            <w:pPr>
              <w:rPr>
                <w:rFonts w:ascii="Arial"/>
                <w:sz w:val="21"/>
              </w:rPr>
            </w:pPr>
          </w:p>
        </w:tc>
        <w:tc>
          <w:tcPr>
            <w:tcW w:w="2117" w:type="dxa"/>
            <w:tcBorders>
              <w:bottom w:val="single" w:color="000000" w:sz="6" w:space="0"/>
            </w:tcBorders>
            <w:vAlign w:val="top"/>
          </w:tcPr>
          <w:p w14:paraId="7CA8A2F1">
            <w:pPr>
              <w:rPr>
                <w:rFonts w:ascii="Arial"/>
                <w:sz w:val="21"/>
              </w:rPr>
            </w:pPr>
          </w:p>
        </w:tc>
        <w:tc>
          <w:tcPr>
            <w:tcW w:w="1218" w:type="dxa"/>
            <w:tcBorders>
              <w:bottom w:val="single" w:color="000000" w:sz="6" w:space="0"/>
            </w:tcBorders>
            <w:vAlign w:val="top"/>
          </w:tcPr>
          <w:p w14:paraId="765ACD43">
            <w:pPr>
              <w:rPr>
                <w:rFonts w:ascii="Arial"/>
                <w:sz w:val="21"/>
              </w:rPr>
            </w:pPr>
          </w:p>
        </w:tc>
        <w:tc>
          <w:tcPr>
            <w:tcW w:w="1095" w:type="dxa"/>
            <w:tcBorders>
              <w:bottom w:val="single" w:color="000000" w:sz="6" w:space="0"/>
            </w:tcBorders>
            <w:vAlign w:val="top"/>
          </w:tcPr>
          <w:p w14:paraId="24E00D7B">
            <w:pPr>
              <w:rPr>
                <w:rFonts w:ascii="Arial"/>
                <w:sz w:val="21"/>
              </w:rPr>
            </w:pPr>
          </w:p>
        </w:tc>
        <w:tc>
          <w:tcPr>
            <w:tcW w:w="1199" w:type="dxa"/>
            <w:tcBorders>
              <w:bottom w:val="single" w:color="000000" w:sz="6" w:space="0"/>
            </w:tcBorders>
            <w:vAlign w:val="top"/>
          </w:tcPr>
          <w:p w14:paraId="2400381E">
            <w:pPr>
              <w:rPr>
                <w:rFonts w:ascii="Arial"/>
                <w:sz w:val="21"/>
              </w:rPr>
            </w:pPr>
          </w:p>
        </w:tc>
        <w:tc>
          <w:tcPr>
            <w:tcW w:w="1359" w:type="dxa"/>
            <w:tcBorders>
              <w:bottom w:val="single" w:color="000000" w:sz="6" w:space="0"/>
            </w:tcBorders>
            <w:vAlign w:val="top"/>
          </w:tcPr>
          <w:p w14:paraId="1D26A290">
            <w:pPr>
              <w:rPr>
                <w:rFonts w:ascii="Arial"/>
                <w:sz w:val="21"/>
              </w:rPr>
            </w:pPr>
          </w:p>
        </w:tc>
        <w:tc>
          <w:tcPr>
            <w:tcW w:w="1305" w:type="dxa"/>
            <w:tcBorders>
              <w:bottom w:val="single" w:color="000000" w:sz="6" w:space="0"/>
            </w:tcBorders>
            <w:vAlign w:val="top"/>
          </w:tcPr>
          <w:p w14:paraId="20069E72">
            <w:pPr>
              <w:rPr>
                <w:rFonts w:ascii="Arial"/>
                <w:sz w:val="21"/>
              </w:rPr>
            </w:pPr>
          </w:p>
        </w:tc>
        <w:tc>
          <w:tcPr>
            <w:tcW w:w="1501" w:type="dxa"/>
            <w:tcBorders>
              <w:bottom w:val="single" w:color="000000" w:sz="6" w:space="0"/>
            </w:tcBorders>
            <w:vAlign w:val="top"/>
          </w:tcPr>
          <w:p w14:paraId="63D99505">
            <w:pPr>
              <w:rPr>
                <w:rFonts w:ascii="Arial"/>
                <w:sz w:val="21"/>
              </w:rPr>
            </w:pPr>
          </w:p>
        </w:tc>
        <w:tc>
          <w:tcPr>
            <w:tcW w:w="1395" w:type="dxa"/>
            <w:tcBorders>
              <w:bottom w:val="single" w:color="000000" w:sz="6" w:space="0"/>
            </w:tcBorders>
            <w:vAlign w:val="top"/>
          </w:tcPr>
          <w:p w14:paraId="532003C1">
            <w:pPr>
              <w:rPr>
                <w:rFonts w:ascii="Arial"/>
                <w:sz w:val="21"/>
              </w:rPr>
            </w:pPr>
          </w:p>
        </w:tc>
        <w:tc>
          <w:tcPr>
            <w:tcW w:w="1269" w:type="dxa"/>
            <w:tcBorders>
              <w:bottom w:val="single" w:color="000000" w:sz="6" w:space="0"/>
              <w:right w:val="single" w:color="000000" w:sz="6" w:space="0"/>
            </w:tcBorders>
            <w:vAlign w:val="top"/>
          </w:tcPr>
          <w:p w14:paraId="6DEEA0C6">
            <w:pPr>
              <w:rPr>
                <w:rFonts w:ascii="Arial"/>
                <w:sz w:val="21"/>
              </w:rPr>
            </w:pPr>
          </w:p>
        </w:tc>
      </w:tr>
    </w:tbl>
    <w:p w14:paraId="506E53FA">
      <w:pPr>
        <w:spacing w:before="123" w:line="220" w:lineRule="auto"/>
        <w:ind w:left="10734"/>
        <w:rPr>
          <w:rFonts w:ascii="宋体" w:hAnsi="宋体" w:eastAsia="宋体" w:cs="宋体"/>
          <w:sz w:val="18"/>
          <w:szCs w:val="18"/>
        </w:rPr>
      </w:pPr>
      <w:r>
        <w:rPr>
          <w:rFonts w:ascii="宋体" w:hAnsi="宋体" w:eastAsia="宋体" w:cs="宋体"/>
          <w:spacing w:val="-2"/>
          <w:sz w:val="18"/>
          <w:szCs w:val="18"/>
        </w:rPr>
        <w:t>法定代表人</w:t>
      </w:r>
    </w:p>
    <w:p w14:paraId="10EB7D48">
      <w:pPr>
        <w:spacing w:before="119" w:line="241" w:lineRule="auto"/>
        <w:ind w:left="10552" w:right="360"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4"/>
          <w:sz w:val="18"/>
          <w:szCs w:val="18"/>
        </w:rPr>
        <w:t>）：</w:t>
      </w:r>
      <w:r>
        <w:rPr>
          <w:rFonts w:ascii="宋体" w:hAnsi="宋体" w:eastAsia="宋体" w:cs="宋体"/>
          <w:spacing w:val="-2"/>
          <w:sz w:val="18"/>
          <w:szCs w:val="18"/>
        </w:rPr>
        <w:t>______（签</w:t>
      </w:r>
      <w:r>
        <w:rPr>
          <w:rFonts w:ascii="宋体" w:hAnsi="宋体" w:eastAsia="宋体" w:cs="宋体"/>
          <w:spacing w:val="-5"/>
          <w:sz w:val="18"/>
          <w:szCs w:val="18"/>
        </w:rPr>
        <w:t>字）</w:t>
      </w:r>
    </w:p>
    <w:p w14:paraId="10788611">
      <w:pPr>
        <w:spacing w:line="241" w:lineRule="auto"/>
        <w:rPr>
          <w:rFonts w:ascii="宋体" w:hAnsi="宋体" w:eastAsia="宋体" w:cs="宋体"/>
          <w:sz w:val="18"/>
          <w:szCs w:val="18"/>
        </w:rPr>
        <w:sectPr>
          <w:footerReference r:id="rId165" w:type="default"/>
          <w:pgSz w:w="16843" w:h="11905" w:orient="landscape"/>
          <w:pgMar w:top="1480" w:right="969" w:bottom="1355" w:left="1026" w:header="0" w:footer="754" w:gutter="0"/>
          <w:cols w:space="0" w:num="1"/>
          <w:rtlGutter w:val="0"/>
          <w:docGrid w:linePitch="0" w:charSpace="0"/>
        </w:sectPr>
      </w:pPr>
    </w:p>
    <w:p w14:paraId="10145753">
      <w:pPr>
        <w:pStyle w:val="5"/>
        <w:spacing w:line="276" w:lineRule="auto"/>
      </w:pPr>
    </w:p>
    <w:p w14:paraId="18483629">
      <w:pPr>
        <w:pStyle w:val="5"/>
        <w:spacing w:line="276" w:lineRule="auto"/>
      </w:pPr>
    </w:p>
    <w:p w14:paraId="3C67C83C">
      <w:pPr>
        <w:pStyle w:val="5"/>
        <w:spacing w:line="276" w:lineRule="auto"/>
      </w:pPr>
    </w:p>
    <w:p w14:paraId="1C5393E7">
      <w:pPr>
        <w:pStyle w:val="5"/>
        <w:spacing w:line="277" w:lineRule="auto"/>
      </w:pPr>
    </w:p>
    <w:p w14:paraId="48043935">
      <w:pPr>
        <w:spacing w:before="78" w:line="233" w:lineRule="auto"/>
        <w:ind w:left="19"/>
        <w:outlineLvl w:val="2"/>
        <w:rPr>
          <w:rFonts w:ascii="黑体" w:hAnsi="黑体" w:eastAsia="黑体" w:cs="黑体"/>
          <w:sz w:val="24"/>
          <w:szCs w:val="24"/>
        </w:rPr>
      </w:pPr>
      <w:bookmarkStart w:id="1277" w:name="bookmark390"/>
      <w:bookmarkEnd w:id="1277"/>
      <w:r>
        <w:rPr>
          <w:rFonts w:ascii="Times New Roman" w:hAnsi="Times New Roman" w:eastAsia="Times New Roman" w:cs="Times New Roman"/>
          <w:spacing w:val="-1"/>
          <w:sz w:val="24"/>
          <w:szCs w:val="24"/>
        </w:rPr>
        <w:t xml:space="preserve">3.16 </w:t>
      </w:r>
      <w:r>
        <w:rPr>
          <w:rFonts w:ascii="黑体" w:hAnsi="黑体" w:eastAsia="黑体" w:cs="黑体"/>
          <w:spacing w:val="-1"/>
          <w:sz w:val="24"/>
          <w:szCs w:val="24"/>
        </w:rPr>
        <w:t>投标人生产混凝土配合比材料费表</w:t>
      </w:r>
    </w:p>
    <w:p w14:paraId="47EF7CFD">
      <w:pPr>
        <w:spacing w:before="130" w:line="219" w:lineRule="auto"/>
        <w:ind w:left="3808"/>
        <w:rPr>
          <w:rFonts w:ascii="宋体" w:hAnsi="宋体" w:eastAsia="宋体" w:cs="宋体"/>
          <w:sz w:val="40"/>
          <w:szCs w:val="40"/>
        </w:rPr>
      </w:pPr>
      <w:bookmarkStart w:id="1278" w:name="bookmark624"/>
      <w:bookmarkEnd w:id="1278"/>
      <w:r>
        <w:rPr>
          <w:rFonts w:ascii="宋体" w:hAnsi="宋体" w:eastAsia="宋体" w:cs="宋体"/>
          <w:b/>
          <w:bCs/>
          <w:spacing w:val="-5"/>
          <w:sz w:val="40"/>
          <w:szCs w:val="40"/>
        </w:rPr>
        <w:t>投标人生产混凝土配合比材料费表</w:t>
      </w:r>
    </w:p>
    <w:p w14:paraId="3FD593F5">
      <w:pPr>
        <w:spacing w:before="115"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738602E3">
      <w:pPr>
        <w:spacing w:before="101"/>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w:t>
      </w:r>
      <w:r>
        <w:rPr>
          <w:position w:val="-5"/>
          <w:sz w:val="18"/>
          <w:szCs w:val="18"/>
        </w:rPr>
        <w:drawing>
          <wp:inline distT="0" distB="0" distL="0" distR="0">
            <wp:extent cx="2540" cy="147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34"/>
                    <a:stretch>
                      <a:fillRect/>
                    </a:stretch>
                  </pic:blipFill>
                  <pic:spPr>
                    <a:xfrm>
                      <a:off x="0" y="0"/>
                      <a:ext cx="3047" cy="147828"/>
                    </a:xfrm>
                    <a:prstGeom prst="rect">
                      <a:avLst/>
                    </a:prstGeom>
                  </pic:spPr>
                </pic:pic>
              </a:graphicData>
            </a:graphic>
          </wp:inline>
        </w:drawing>
      </w:r>
      <w:r>
        <w:rPr>
          <w:rFonts w:ascii="宋体" w:hAnsi="宋体" w:eastAsia="宋体" w:cs="宋体"/>
          <w:spacing w:val="3"/>
          <w:sz w:val="18"/>
          <w:szCs w:val="18"/>
        </w:rPr>
        <w:t xml:space="preserve">                </w:t>
      </w:r>
      <w:r>
        <w:rPr>
          <w:rFonts w:ascii="宋体" w:hAnsi="宋体" w:eastAsia="宋体" w:cs="宋体"/>
          <w:spacing w:val="-3"/>
          <w:sz w:val="18"/>
          <w:szCs w:val="18"/>
        </w:rPr>
        <w:t>第</w:t>
      </w:r>
      <w:r>
        <w:rPr>
          <w:rFonts w:ascii="宋体" w:hAnsi="宋体" w:eastAsia="宋体" w:cs="宋体"/>
          <w:spacing w:val="34"/>
          <w:sz w:val="18"/>
          <w:szCs w:val="18"/>
        </w:rPr>
        <w:t xml:space="preserve"> </w:t>
      </w:r>
      <w:r>
        <w:rPr>
          <w:rFonts w:ascii="宋体" w:hAnsi="宋体" w:eastAsia="宋体" w:cs="宋体"/>
          <w:spacing w:val="-3"/>
          <w:sz w:val="18"/>
          <w:szCs w:val="18"/>
        </w:rPr>
        <w:t>1 页、共</w:t>
      </w:r>
      <w:r>
        <w:rPr>
          <w:rFonts w:ascii="宋体" w:hAnsi="宋体" w:eastAsia="宋体" w:cs="宋体"/>
          <w:spacing w:val="19"/>
          <w:sz w:val="18"/>
          <w:szCs w:val="18"/>
        </w:rPr>
        <w:t xml:space="preserve"> </w:t>
      </w:r>
      <w:r>
        <w:rPr>
          <w:rFonts w:ascii="宋体" w:hAnsi="宋体" w:eastAsia="宋体" w:cs="宋体"/>
          <w:spacing w:val="-3"/>
          <w:sz w:val="18"/>
          <w:szCs w:val="18"/>
        </w:rPr>
        <w:t>1 页</w:t>
      </w:r>
    </w:p>
    <w:p w14:paraId="2BE2F870">
      <w:pPr>
        <w:spacing w:line="105" w:lineRule="exact"/>
      </w:pPr>
    </w:p>
    <w:tbl>
      <w:tblPr>
        <w:tblStyle w:val="10"/>
        <w:tblW w:w="1358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2021"/>
        <w:gridCol w:w="1312"/>
        <w:gridCol w:w="1057"/>
        <w:gridCol w:w="1021"/>
        <w:gridCol w:w="936"/>
        <w:gridCol w:w="1002"/>
        <w:gridCol w:w="1057"/>
        <w:gridCol w:w="1072"/>
        <w:gridCol w:w="1074"/>
        <w:gridCol w:w="1228"/>
        <w:gridCol w:w="1158"/>
      </w:tblGrid>
      <w:tr w14:paraId="35847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47" w:type="dxa"/>
            <w:vMerge w:val="restart"/>
            <w:tcBorders>
              <w:top w:val="single" w:color="000000" w:sz="6" w:space="0"/>
              <w:left w:val="single" w:color="000000" w:sz="6" w:space="0"/>
              <w:bottom w:val="nil"/>
            </w:tcBorders>
            <w:vAlign w:val="top"/>
          </w:tcPr>
          <w:p w14:paraId="6660FE18">
            <w:pPr>
              <w:spacing w:line="253" w:lineRule="auto"/>
              <w:rPr>
                <w:rFonts w:ascii="Arial"/>
                <w:sz w:val="21"/>
              </w:rPr>
            </w:pPr>
          </w:p>
          <w:p w14:paraId="542EA3FC">
            <w:pPr>
              <w:pStyle w:val="11"/>
              <w:spacing w:before="58" w:line="221" w:lineRule="auto"/>
              <w:ind w:left="140"/>
              <w:rPr>
                <w:sz w:val="18"/>
                <w:szCs w:val="18"/>
              </w:rPr>
            </w:pPr>
            <w:r>
              <w:rPr>
                <w:spacing w:val="-2"/>
                <w:sz w:val="18"/>
                <w:szCs w:val="18"/>
              </w:rPr>
              <w:t>序号</w:t>
            </w:r>
          </w:p>
        </w:tc>
        <w:tc>
          <w:tcPr>
            <w:tcW w:w="2021" w:type="dxa"/>
            <w:vMerge w:val="restart"/>
            <w:tcBorders>
              <w:top w:val="single" w:color="000000" w:sz="6" w:space="0"/>
              <w:bottom w:val="nil"/>
            </w:tcBorders>
            <w:vAlign w:val="top"/>
          </w:tcPr>
          <w:p w14:paraId="4AB97686">
            <w:pPr>
              <w:spacing w:line="253" w:lineRule="auto"/>
              <w:rPr>
                <w:rFonts w:ascii="Arial"/>
                <w:sz w:val="21"/>
              </w:rPr>
            </w:pPr>
          </w:p>
          <w:p w14:paraId="06CDB53F">
            <w:pPr>
              <w:pStyle w:val="11"/>
              <w:spacing w:before="58" w:line="222" w:lineRule="auto"/>
              <w:ind w:left="830"/>
              <w:rPr>
                <w:sz w:val="18"/>
                <w:szCs w:val="18"/>
              </w:rPr>
            </w:pPr>
            <w:r>
              <w:rPr>
                <w:spacing w:val="-3"/>
                <w:sz w:val="18"/>
                <w:szCs w:val="18"/>
              </w:rPr>
              <w:t>名称</w:t>
            </w:r>
          </w:p>
        </w:tc>
        <w:tc>
          <w:tcPr>
            <w:tcW w:w="1312" w:type="dxa"/>
            <w:vMerge w:val="restart"/>
            <w:tcBorders>
              <w:top w:val="single" w:color="000000" w:sz="6" w:space="0"/>
              <w:bottom w:val="nil"/>
            </w:tcBorders>
            <w:vAlign w:val="top"/>
          </w:tcPr>
          <w:p w14:paraId="287349CA">
            <w:pPr>
              <w:spacing w:line="252" w:lineRule="auto"/>
              <w:rPr>
                <w:rFonts w:ascii="Arial"/>
                <w:sz w:val="21"/>
              </w:rPr>
            </w:pPr>
          </w:p>
          <w:p w14:paraId="16A7D433">
            <w:pPr>
              <w:pStyle w:val="11"/>
              <w:spacing w:before="59" w:line="220" w:lineRule="auto"/>
              <w:ind w:left="293"/>
              <w:rPr>
                <w:sz w:val="18"/>
                <w:szCs w:val="18"/>
              </w:rPr>
            </w:pPr>
            <w:r>
              <w:rPr>
                <w:spacing w:val="-2"/>
                <w:sz w:val="18"/>
                <w:szCs w:val="18"/>
              </w:rPr>
              <w:t>规格型号</w:t>
            </w:r>
          </w:p>
        </w:tc>
        <w:tc>
          <w:tcPr>
            <w:tcW w:w="1057" w:type="dxa"/>
            <w:vMerge w:val="restart"/>
            <w:tcBorders>
              <w:top w:val="single" w:color="000000" w:sz="6" w:space="0"/>
              <w:bottom w:val="nil"/>
            </w:tcBorders>
            <w:vAlign w:val="top"/>
          </w:tcPr>
          <w:p w14:paraId="564EB695">
            <w:pPr>
              <w:spacing w:line="253" w:lineRule="auto"/>
              <w:rPr>
                <w:rFonts w:ascii="Arial"/>
                <w:sz w:val="21"/>
              </w:rPr>
            </w:pPr>
          </w:p>
          <w:p w14:paraId="6852E73D">
            <w:pPr>
              <w:pStyle w:val="11"/>
              <w:spacing w:before="59" w:line="220" w:lineRule="auto"/>
              <w:ind w:left="169"/>
              <w:rPr>
                <w:sz w:val="18"/>
                <w:szCs w:val="18"/>
              </w:rPr>
            </w:pPr>
            <w:r>
              <w:rPr>
                <w:spacing w:val="-2"/>
                <w:sz w:val="18"/>
                <w:szCs w:val="18"/>
              </w:rPr>
              <w:t>计量单位</w:t>
            </w:r>
          </w:p>
        </w:tc>
        <w:tc>
          <w:tcPr>
            <w:tcW w:w="6162" w:type="dxa"/>
            <w:gridSpan w:val="6"/>
            <w:tcBorders>
              <w:top w:val="single" w:color="000000" w:sz="6" w:space="0"/>
            </w:tcBorders>
            <w:vAlign w:val="top"/>
          </w:tcPr>
          <w:p w14:paraId="71DD5FED">
            <w:pPr>
              <w:pStyle w:val="11"/>
              <w:spacing w:before="70" w:line="214" w:lineRule="auto"/>
              <w:ind w:left="2229"/>
              <w:rPr>
                <w:sz w:val="18"/>
                <w:szCs w:val="18"/>
              </w:rPr>
            </w:pPr>
            <w:r>
              <w:rPr>
                <w:spacing w:val="-1"/>
                <w:sz w:val="18"/>
                <w:szCs w:val="18"/>
              </w:rPr>
              <w:t>预算材料量（kg/m3）</w:t>
            </w:r>
          </w:p>
        </w:tc>
        <w:tc>
          <w:tcPr>
            <w:tcW w:w="1228" w:type="dxa"/>
            <w:vMerge w:val="restart"/>
            <w:tcBorders>
              <w:top w:val="single" w:color="000000" w:sz="6" w:space="0"/>
              <w:bottom w:val="nil"/>
            </w:tcBorders>
            <w:vAlign w:val="top"/>
          </w:tcPr>
          <w:p w14:paraId="496573FA">
            <w:pPr>
              <w:pStyle w:val="11"/>
              <w:spacing w:before="197" w:line="244" w:lineRule="auto"/>
              <w:ind w:left="395" w:right="248" w:hanging="132"/>
              <w:rPr>
                <w:sz w:val="18"/>
                <w:szCs w:val="18"/>
              </w:rPr>
            </w:pPr>
            <w:r>
              <w:rPr>
                <w:spacing w:val="-3"/>
                <w:sz w:val="18"/>
                <w:szCs w:val="18"/>
              </w:rPr>
              <w:t>单价（元</w:t>
            </w:r>
            <w:r>
              <w:rPr>
                <w:spacing w:val="-1"/>
                <w:sz w:val="18"/>
                <w:szCs w:val="18"/>
              </w:rPr>
              <w:t>/m3）</w:t>
            </w:r>
          </w:p>
        </w:tc>
        <w:tc>
          <w:tcPr>
            <w:tcW w:w="1158" w:type="dxa"/>
            <w:vMerge w:val="restart"/>
            <w:tcBorders>
              <w:top w:val="single" w:color="000000" w:sz="6" w:space="0"/>
              <w:bottom w:val="nil"/>
              <w:right w:val="single" w:color="000000" w:sz="6" w:space="0"/>
            </w:tcBorders>
            <w:vAlign w:val="top"/>
          </w:tcPr>
          <w:p w14:paraId="74252587">
            <w:pPr>
              <w:spacing w:line="253" w:lineRule="auto"/>
              <w:rPr>
                <w:rFonts w:ascii="Arial"/>
                <w:sz w:val="21"/>
              </w:rPr>
            </w:pPr>
          </w:p>
          <w:p w14:paraId="7CB41AC7">
            <w:pPr>
              <w:pStyle w:val="11"/>
              <w:spacing w:before="58" w:line="221" w:lineRule="auto"/>
              <w:ind w:left="404"/>
              <w:rPr>
                <w:sz w:val="18"/>
                <w:szCs w:val="18"/>
              </w:rPr>
            </w:pPr>
            <w:r>
              <w:rPr>
                <w:spacing w:val="-3"/>
                <w:sz w:val="18"/>
                <w:szCs w:val="18"/>
              </w:rPr>
              <w:t>备注</w:t>
            </w:r>
          </w:p>
        </w:tc>
      </w:tr>
      <w:tr w14:paraId="366B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47" w:type="dxa"/>
            <w:vMerge w:val="continue"/>
            <w:tcBorders>
              <w:top w:val="nil"/>
              <w:left w:val="single" w:color="000000" w:sz="6" w:space="0"/>
            </w:tcBorders>
            <w:vAlign w:val="top"/>
          </w:tcPr>
          <w:p w14:paraId="75FEF19B">
            <w:pPr>
              <w:rPr>
                <w:rFonts w:ascii="Arial"/>
                <w:sz w:val="21"/>
              </w:rPr>
            </w:pPr>
          </w:p>
        </w:tc>
        <w:tc>
          <w:tcPr>
            <w:tcW w:w="2021" w:type="dxa"/>
            <w:vMerge w:val="continue"/>
            <w:tcBorders>
              <w:top w:val="nil"/>
            </w:tcBorders>
            <w:vAlign w:val="top"/>
          </w:tcPr>
          <w:p w14:paraId="1FB18B66">
            <w:pPr>
              <w:rPr>
                <w:rFonts w:ascii="Arial"/>
                <w:sz w:val="21"/>
              </w:rPr>
            </w:pPr>
          </w:p>
        </w:tc>
        <w:tc>
          <w:tcPr>
            <w:tcW w:w="1312" w:type="dxa"/>
            <w:vMerge w:val="continue"/>
            <w:tcBorders>
              <w:top w:val="nil"/>
            </w:tcBorders>
            <w:vAlign w:val="top"/>
          </w:tcPr>
          <w:p w14:paraId="281A9841">
            <w:pPr>
              <w:rPr>
                <w:rFonts w:ascii="Arial"/>
                <w:sz w:val="21"/>
              </w:rPr>
            </w:pPr>
          </w:p>
        </w:tc>
        <w:tc>
          <w:tcPr>
            <w:tcW w:w="1057" w:type="dxa"/>
            <w:vMerge w:val="continue"/>
            <w:tcBorders>
              <w:top w:val="nil"/>
            </w:tcBorders>
            <w:vAlign w:val="top"/>
          </w:tcPr>
          <w:p w14:paraId="37F8C98D">
            <w:pPr>
              <w:rPr>
                <w:rFonts w:ascii="Arial"/>
                <w:sz w:val="21"/>
              </w:rPr>
            </w:pPr>
          </w:p>
        </w:tc>
        <w:tc>
          <w:tcPr>
            <w:tcW w:w="1021" w:type="dxa"/>
            <w:vAlign w:val="top"/>
          </w:tcPr>
          <w:p w14:paraId="3E8AD935">
            <w:pPr>
              <w:pStyle w:val="11"/>
              <w:spacing w:before="40" w:line="221" w:lineRule="auto"/>
              <w:ind w:left="245" w:right="251" w:firstLine="88"/>
              <w:rPr>
                <w:sz w:val="18"/>
                <w:szCs w:val="18"/>
              </w:rPr>
            </w:pPr>
            <w:r>
              <w:rPr>
                <w:spacing w:val="-5"/>
                <w:sz w:val="18"/>
                <w:szCs w:val="18"/>
              </w:rPr>
              <w:t>水泥</w:t>
            </w:r>
            <w:r>
              <w:rPr>
                <w:spacing w:val="-6"/>
                <w:sz w:val="18"/>
                <w:szCs w:val="18"/>
              </w:rPr>
              <w:t>（kg）</w:t>
            </w:r>
          </w:p>
        </w:tc>
        <w:tc>
          <w:tcPr>
            <w:tcW w:w="936" w:type="dxa"/>
            <w:vAlign w:val="top"/>
          </w:tcPr>
          <w:p w14:paraId="14C3EC68">
            <w:pPr>
              <w:pStyle w:val="11"/>
              <w:spacing w:before="40" w:line="221" w:lineRule="auto"/>
              <w:ind w:left="203" w:right="198" w:hanging="4"/>
              <w:rPr>
                <w:sz w:val="18"/>
                <w:szCs w:val="18"/>
              </w:rPr>
            </w:pPr>
            <w:r>
              <w:rPr>
                <w:spacing w:val="-3"/>
                <w:sz w:val="18"/>
                <w:szCs w:val="18"/>
              </w:rPr>
              <w:t>掺合料</w:t>
            </w:r>
            <w:r>
              <w:rPr>
                <w:spacing w:val="-6"/>
                <w:sz w:val="18"/>
                <w:szCs w:val="18"/>
              </w:rPr>
              <w:t>（kg）</w:t>
            </w:r>
          </w:p>
        </w:tc>
        <w:tc>
          <w:tcPr>
            <w:tcW w:w="1002" w:type="dxa"/>
            <w:vAlign w:val="top"/>
          </w:tcPr>
          <w:p w14:paraId="76B0A1AB">
            <w:pPr>
              <w:pStyle w:val="11"/>
              <w:spacing w:before="40" w:line="221" w:lineRule="auto"/>
              <w:ind w:left="240" w:right="238" w:firstLine="174"/>
              <w:rPr>
                <w:sz w:val="18"/>
                <w:szCs w:val="18"/>
              </w:rPr>
            </w:pPr>
            <w:r>
              <w:rPr>
                <w:spacing w:val="-7"/>
                <w:sz w:val="18"/>
                <w:szCs w:val="18"/>
              </w:rPr>
              <w:t>砂</w:t>
            </w:r>
            <w:r>
              <w:rPr>
                <w:spacing w:val="-6"/>
                <w:sz w:val="18"/>
                <w:szCs w:val="18"/>
              </w:rPr>
              <w:t>（m3）</w:t>
            </w:r>
          </w:p>
        </w:tc>
        <w:tc>
          <w:tcPr>
            <w:tcW w:w="1057" w:type="dxa"/>
            <w:vAlign w:val="top"/>
          </w:tcPr>
          <w:p w14:paraId="18E6DEC3">
            <w:pPr>
              <w:pStyle w:val="11"/>
              <w:spacing w:before="40" w:line="221" w:lineRule="auto"/>
              <w:ind w:left="267" w:right="265" w:firstLine="87"/>
              <w:rPr>
                <w:sz w:val="18"/>
                <w:szCs w:val="18"/>
              </w:rPr>
            </w:pPr>
            <w:r>
              <w:rPr>
                <w:spacing w:val="-4"/>
                <w:sz w:val="18"/>
                <w:szCs w:val="18"/>
              </w:rPr>
              <w:t>石子</w:t>
            </w:r>
            <w:r>
              <w:rPr>
                <w:spacing w:val="-6"/>
                <w:sz w:val="18"/>
                <w:szCs w:val="18"/>
              </w:rPr>
              <w:t>（m3）</w:t>
            </w:r>
          </w:p>
        </w:tc>
        <w:tc>
          <w:tcPr>
            <w:tcW w:w="1072" w:type="dxa"/>
            <w:vAlign w:val="top"/>
          </w:tcPr>
          <w:p w14:paraId="2AC83C29">
            <w:pPr>
              <w:pStyle w:val="11"/>
              <w:spacing w:before="40" w:line="221" w:lineRule="auto"/>
              <w:ind w:left="276" w:right="262" w:hanging="1"/>
              <w:rPr>
                <w:sz w:val="18"/>
                <w:szCs w:val="18"/>
              </w:rPr>
            </w:pPr>
            <w:r>
              <w:rPr>
                <w:spacing w:val="-4"/>
                <w:sz w:val="18"/>
                <w:szCs w:val="18"/>
              </w:rPr>
              <w:t>外加剂</w:t>
            </w:r>
            <w:r>
              <w:rPr>
                <w:spacing w:val="-6"/>
                <w:sz w:val="18"/>
                <w:szCs w:val="18"/>
              </w:rPr>
              <w:t>（kg）</w:t>
            </w:r>
          </w:p>
        </w:tc>
        <w:tc>
          <w:tcPr>
            <w:tcW w:w="1074" w:type="dxa"/>
            <w:vAlign w:val="top"/>
          </w:tcPr>
          <w:p w14:paraId="0192F5DA">
            <w:pPr>
              <w:pStyle w:val="11"/>
              <w:spacing w:before="40" w:line="221" w:lineRule="auto"/>
              <w:ind w:left="280" w:right="270" w:firstLine="177"/>
              <w:rPr>
                <w:sz w:val="18"/>
                <w:szCs w:val="18"/>
              </w:rPr>
            </w:pPr>
            <w:r>
              <w:rPr>
                <w:spacing w:val="-10"/>
                <w:sz w:val="18"/>
                <w:szCs w:val="18"/>
              </w:rPr>
              <w:t>水</w:t>
            </w:r>
            <w:r>
              <w:rPr>
                <w:spacing w:val="-6"/>
                <w:sz w:val="18"/>
                <w:szCs w:val="18"/>
              </w:rPr>
              <w:t>（m3）</w:t>
            </w:r>
          </w:p>
        </w:tc>
        <w:tc>
          <w:tcPr>
            <w:tcW w:w="1228" w:type="dxa"/>
            <w:vMerge w:val="continue"/>
            <w:tcBorders>
              <w:top w:val="nil"/>
            </w:tcBorders>
            <w:vAlign w:val="top"/>
          </w:tcPr>
          <w:p w14:paraId="223366CB">
            <w:pPr>
              <w:rPr>
                <w:rFonts w:ascii="Arial"/>
                <w:sz w:val="21"/>
              </w:rPr>
            </w:pPr>
          </w:p>
        </w:tc>
        <w:tc>
          <w:tcPr>
            <w:tcW w:w="1158" w:type="dxa"/>
            <w:vMerge w:val="continue"/>
            <w:tcBorders>
              <w:top w:val="nil"/>
              <w:right w:val="single" w:color="000000" w:sz="6" w:space="0"/>
            </w:tcBorders>
            <w:vAlign w:val="top"/>
          </w:tcPr>
          <w:p w14:paraId="5BE6D137">
            <w:pPr>
              <w:rPr>
                <w:rFonts w:ascii="Arial"/>
                <w:sz w:val="21"/>
              </w:rPr>
            </w:pPr>
          </w:p>
        </w:tc>
      </w:tr>
      <w:tr w14:paraId="7C61C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47" w:type="dxa"/>
            <w:tcBorders>
              <w:left w:val="single" w:color="000000" w:sz="6" w:space="0"/>
            </w:tcBorders>
            <w:vAlign w:val="top"/>
          </w:tcPr>
          <w:p w14:paraId="51FC5960">
            <w:pPr>
              <w:rPr>
                <w:rFonts w:ascii="Arial"/>
                <w:sz w:val="21"/>
              </w:rPr>
            </w:pPr>
          </w:p>
        </w:tc>
        <w:tc>
          <w:tcPr>
            <w:tcW w:w="2021" w:type="dxa"/>
            <w:vAlign w:val="top"/>
          </w:tcPr>
          <w:p w14:paraId="0C1BB3D7">
            <w:pPr>
              <w:rPr>
                <w:rFonts w:ascii="Arial"/>
                <w:sz w:val="21"/>
              </w:rPr>
            </w:pPr>
          </w:p>
        </w:tc>
        <w:tc>
          <w:tcPr>
            <w:tcW w:w="1312" w:type="dxa"/>
            <w:vAlign w:val="top"/>
          </w:tcPr>
          <w:p w14:paraId="7345A84E">
            <w:pPr>
              <w:rPr>
                <w:rFonts w:ascii="Arial"/>
                <w:sz w:val="21"/>
              </w:rPr>
            </w:pPr>
          </w:p>
        </w:tc>
        <w:tc>
          <w:tcPr>
            <w:tcW w:w="1057" w:type="dxa"/>
            <w:vAlign w:val="top"/>
          </w:tcPr>
          <w:p w14:paraId="6FE4D1F1">
            <w:pPr>
              <w:rPr>
                <w:rFonts w:ascii="Arial"/>
                <w:sz w:val="21"/>
              </w:rPr>
            </w:pPr>
          </w:p>
        </w:tc>
        <w:tc>
          <w:tcPr>
            <w:tcW w:w="1021" w:type="dxa"/>
            <w:vAlign w:val="top"/>
          </w:tcPr>
          <w:p w14:paraId="1F2D08AA">
            <w:pPr>
              <w:rPr>
                <w:rFonts w:ascii="Arial"/>
                <w:sz w:val="21"/>
              </w:rPr>
            </w:pPr>
          </w:p>
        </w:tc>
        <w:tc>
          <w:tcPr>
            <w:tcW w:w="936" w:type="dxa"/>
            <w:vAlign w:val="top"/>
          </w:tcPr>
          <w:p w14:paraId="1273B328">
            <w:pPr>
              <w:rPr>
                <w:rFonts w:ascii="Arial"/>
                <w:sz w:val="21"/>
              </w:rPr>
            </w:pPr>
          </w:p>
        </w:tc>
        <w:tc>
          <w:tcPr>
            <w:tcW w:w="1002" w:type="dxa"/>
            <w:vAlign w:val="top"/>
          </w:tcPr>
          <w:p w14:paraId="6F3CEB08">
            <w:pPr>
              <w:rPr>
                <w:rFonts w:ascii="Arial"/>
                <w:sz w:val="21"/>
              </w:rPr>
            </w:pPr>
          </w:p>
        </w:tc>
        <w:tc>
          <w:tcPr>
            <w:tcW w:w="1057" w:type="dxa"/>
            <w:vAlign w:val="top"/>
          </w:tcPr>
          <w:p w14:paraId="401A280B">
            <w:pPr>
              <w:rPr>
                <w:rFonts w:ascii="Arial"/>
                <w:sz w:val="21"/>
              </w:rPr>
            </w:pPr>
          </w:p>
        </w:tc>
        <w:tc>
          <w:tcPr>
            <w:tcW w:w="1072" w:type="dxa"/>
            <w:vAlign w:val="top"/>
          </w:tcPr>
          <w:p w14:paraId="307ADE0D">
            <w:pPr>
              <w:rPr>
                <w:rFonts w:ascii="Arial"/>
                <w:sz w:val="21"/>
              </w:rPr>
            </w:pPr>
          </w:p>
        </w:tc>
        <w:tc>
          <w:tcPr>
            <w:tcW w:w="1074" w:type="dxa"/>
            <w:vAlign w:val="top"/>
          </w:tcPr>
          <w:p w14:paraId="782445BE">
            <w:pPr>
              <w:rPr>
                <w:rFonts w:ascii="Arial"/>
                <w:sz w:val="21"/>
              </w:rPr>
            </w:pPr>
          </w:p>
        </w:tc>
        <w:tc>
          <w:tcPr>
            <w:tcW w:w="1228" w:type="dxa"/>
            <w:vAlign w:val="top"/>
          </w:tcPr>
          <w:p w14:paraId="6C55C796">
            <w:pPr>
              <w:rPr>
                <w:rFonts w:ascii="Arial"/>
                <w:sz w:val="21"/>
              </w:rPr>
            </w:pPr>
          </w:p>
        </w:tc>
        <w:tc>
          <w:tcPr>
            <w:tcW w:w="1158" w:type="dxa"/>
            <w:tcBorders>
              <w:right w:val="single" w:color="000000" w:sz="6" w:space="0"/>
            </w:tcBorders>
            <w:vAlign w:val="top"/>
          </w:tcPr>
          <w:p w14:paraId="56CA51DF">
            <w:pPr>
              <w:rPr>
                <w:rFonts w:ascii="Arial"/>
                <w:sz w:val="21"/>
              </w:rPr>
            </w:pPr>
          </w:p>
        </w:tc>
      </w:tr>
      <w:tr w14:paraId="2596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5C7D298C">
            <w:pPr>
              <w:rPr>
                <w:rFonts w:ascii="Arial"/>
                <w:sz w:val="21"/>
              </w:rPr>
            </w:pPr>
          </w:p>
        </w:tc>
        <w:tc>
          <w:tcPr>
            <w:tcW w:w="2021" w:type="dxa"/>
            <w:vAlign w:val="top"/>
          </w:tcPr>
          <w:p w14:paraId="0BA77EB5">
            <w:pPr>
              <w:rPr>
                <w:rFonts w:ascii="Arial"/>
                <w:sz w:val="21"/>
              </w:rPr>
            </w:pPr>
          </w:p>
        </w:tc>
        <w:tc>
          <w:tcPr>
            <w:tcW w:w="1312" w:type="dxa"/>
            <w:vAlign w:val="top"/>
          </w:tcPr>
          <w:p w14:paraId="78C3F008">
            <w:pPr>
              <w:rPr>
                <w:rFonts w:ascii="Arial"/>
                <w:sz w:val="21"/>
              </w:rPr>
            </w:pPr>
          </w:p>
        </w:tc>
        <w:tc>
          <w:tcPr>
            <w:tcW w:w="1057" w:type="dxa"/>
            <w:vAlign w:val="top"/>
          </w:tcPr>
          <w:p w14:paraId="7F74A74D">
            <w:pPr>
              <w:rPr>
                <w:rFonts w:ascii="Arial"/>
                <w:sz w:val="21"/>
              </w:rPr>
            </w:pPr>
          </w:p>
        </w:tc>
        <w:tc>
          <w:tcPr>
            <w:tcW w:w="1021" w:type="dxa"/>
            <w:vAlign w:val="top"/>
          </w:tcPr>
          <w:p w14:paraId="6D9BC1A0">
            <w:pPr>
              <w:rPr>
                <w:rFonts w:ascii="Arial"/>
                <w:sz w:val="21"/>
              </w:rPr>
            </w:pPr>
          </w:p>
        </w:tc>
        <w:tc>
          <w:tcPr>
            <w:tcW w:w="936" w:type="dxa"/>
            <w:vAlign w:val="top"/>
          </w:tcPr>
          <w:p w14:paraId="663A605A">
            <w:pPr>
              <w:rPr>
                <w:rFonts w:ascii="Arial"/>
                <w:sz w:val="21"/>
              </w:rPr>
            </w:pPr>
          </w:p>
        </w:tc>
        <w:tc>
          <w:tcPr>
            <w:tcW w:w="1002" w:type="dxa"/>
            <w:vAlign w:val="top"/>
          </w:tcPr>
          <w:p w14:paraId="5DCEAC1B">
            <w:pPr>
              <w:rPr>
                <w:rFonts w:ascii="Arial"/>
                <w:sz w:val="21"/>
              </w:rPr>
            </w:pPr>
          </w:p>
        </w:tc>
        <w:tc>
          <w:tcPr>
            <w:tcW w:w="1057" w:type="dxa"/>
            <w:vAlign w:val="top"/>
          </w:tcPr>
          <w:p w14:paraId="508CF4D6">
            <w:pPr>
              <w:rPr>
                <w:rFonts w:ascii="Arial"/>
                <w:sz w:val="21"/>
              </w:rPr>
            </w:pPr>
          </w:p>
        </w:tc>
        <w:tc>
          <w:tcPr>
            <w:tcW w:w="1072" w:type="dxa"/>
            <w:vAlign w:val="top"/>
          </w:tcPr>
          <w:p w14:paraId="4EB42781">
            <w:pPr>
              <w:rPr>
                <w:rFonts w:ascii="Arial"/>
                <w:sz w:val="21"/>
              </w:rPr>
            </w:pPr>
          </w:p>
        </w:tc>
        <w:tc>
          <w:tcPr>
            <w:tcW w:w="1074" w:type="dxa"/>
            <w:vAlign w:val="top"/>
          </w:tcPr>
          <w:p w14:paraId="6E45F24F">
            <w:pPr>
              <w:rPr>
                <w:rFonts w:ascii="Arial"/>
                <w:sz w:val="21"/>
              </w:rPr>
            </w:pPr>
          </w:p>
        </w:tc>
        <w:tc>
          <w:tcPr>
            <w:tcW w:w="1228" w:type="dxa"/>
            <w:vAlign w:val="top"/>
          </w:tcPr>
          <w:p w14:paraId="79250567">
            <w:pPr>
              <w:rPr>
                <w:rFonts w:ascii="Arial"/>
                <w:sz w:val="21"/>
              </w:rPr>
            </w:pPr>
          </w:p>
        </w:tc>
        <w:tc>
          <w:tcPr>
            <w:tcW w:w="1158" w:type="dxa"/>
            <w:tcBorders>
              <w:right w:val="single" w:color="000000" w:sz="6" w:space="0"/>
            </w:tcBorders>
            <w:vAlign w:val="top"/>
          </w:tcPr>
          <w:p w14:paraId="2F372332">
            <w:pPr>
              <w:rPr>
                <w:rFonts w:ascii="Arial"/>
                <w:sz w:val="21"/>
              </w:rPr>
            </w:pPr>
          </w:p>
        </w:tc>
      </w:tr>
      <w:tr w14:paraId="4520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63866B66">
            <w:pPr>
              <w:rPr>
                <w:rFonts w:ascii="Arial"/>
                <w:sz w:val="21"/>
              </w:rPr>
            </w:pPr>
          </w:p>
        </w:tc>
        <w:tc>
          <w:tcPr>
            <w:tcW w:w="2021" w:type="dxa"/>
            <w:vAlign w:val="top"/>
          </w:tcPr>
          <w:p w14:paraId="646A725E">
            <w:pPr>
              <w:rPr>
                <w:rFonts w:ascii="Arial"/>
                <w:sz w:val="21"/>
              </w:rPr>
            </w:pPr>
          </w:p>
        </w:tc>
        <w:tc>
          <w:tcPr>
            <w:tcW w:w="1312" w:type="dxa"/>
            <w:vAlign w:val="top"/>
          </w:tcPr>
          <w:p w14:paraId="5588971B">
            <w:pPr>
              <w:rPr>
                <w:rFonts w:ascii="Arial"/>
                <w:sz w:val="21"/>
              </w:rPr>
            </w:pPr>
          </w:p>
        </w:tc>
        <w:tc>
          <w:tcPr>
            <w:tcW w:w="1057" w:type="dxa"/>
            <w:vAlign w:val="top"/>
          </w:tcPr>
          <w:p w14:paraId="2C26DCD2">
            <w:pPr>
              <w:rPr>
                <w:rFonts w:ascii="Arial"/>
                <w:sz w:val="21"/>
              </w:rPr>
            </w:pPr>
          </w:p>
        </w:tc>
        <w:tc>
          <w:tcPr>
            <w:tcW w:w="1021" w:type="dxa"/>
            <w:vAlign w:val="top"/>
          </w:tcPr>
          <w:p w14:paraId="7FCC4758">
            <w:pPr>
              <w:rPr>
                <w:rFonts w:ascii="Arial"/>
                <w:sz w:val="21"/>
              </w:rPr>
            </w:pPr>
          </w:p>
        </w:tc>
        <w:tc>
          <w:tcPr>
            <w:tcW w:w="936" w:type="dxa"/>
            <w:vAlign w:val="top"/>
          </w:tcPr>
          <w:p w14:paraId="2B1367B5">
            <w:pPr>
              <w:rPr>
                <w:rFonts w:ascii="Arial"/>
                <w:sz w:val="21"/>
              </w:rPr>
            </w:pPr>
          </w:p>
        </w:tc>
        <w:tc>
          <w:tcPr>
            <w:tcW w:w="1002" w:type="dxa"/>
            <w:vAlign w:val="top"/>
          </w:tcPr>
          <w:p w14:paraId="4490CD83">
            <w:pPr>
              <w:rPr>
                <w:rFonts w:ascii="Arial"/>
                <w:sz w:val="21"/>
              </w:rPr>
            </w:pPr>
          </w:p>
        </w:tc>
        <w:tc>
          <w:tcPr>
            <w:tcW w:w="1057" w:type="dxa"/>
            <w:vAlign w:val="top"/>
          </w:tcPr>
          <w:p w14:paraId="343483AF">
            <w:pPr>
              <w:rPr>
                <w:rFonts w:ascii="Arial"/>
                <w:sz w:val="21"/>
              </w:rPr>
            </w:pPr>
          </w:p>
        </w:tc>
        <w:tc>
          <w:tcPr>
            <w:tcW w:w="1072" w:type="dxa"/>
            <w:vAlign w:val="top"/>
          </w:tcPr>
          <w:p w14:paraId="199D4B62">
            <w:pPr>
              <w:rPr>
                <w:rFonts w:ascii="Arial"/>
                <w:sz w:val="21"/>
              </w:rPr>
            </w:pPr>
          </w:p>
        </w:tc>
        <w:tc>
          <w:tcPr>
            <w:tcW w:w="1074" w:type="dxa"/>
            <w:vAlign w:val="top"/>
          </w:tcPr>
          <w:p w14:paraId="1194FD39">
            <w:pPr>
              <w:rPr>
                <w:rFonts w:ascii="Arial"/>
                <w:sz w:val="21"/>
              </w:rPr>
            </w:pPr>
          </w:p>
        </w:tc>
        <w:tc>
          <w:tcPr>
            <w:tcW w:w="1228" w:type="dxa"/>
            <w:vAlign w:val="top"/>
          </w:tcPr>
          <w:p w14:paraId="22E7F6EA">
            <w:pPr>
              <w:rPr>
                <w:rFonts w:ascii="Arial"/>
                <w:sz w:val="21"/>
              </w:rPr>
            </w:pPr>
          </w:p>
        </w:tc>
        <w:tc>
          <w:tcPr>
            <w:tcW w:w="1158" w:type="dxa"/>
            <w:tcBorders>
              <w:right w:val="single" w:color="000000" w:sz="6" w:space="0"/>
            </w:tcBorders>
            <w:vAlign w:val="top"/>
          </w:tcPr>
          <w:p w14:paraId="5D5E7635">
            <w:pPr>
              <w:rPr>
                <w:rFonts w:ascii="Arial"/>
                <w:sz w:val="21"/>
              </w:rPr>
            </w:pPr>
          </w:p>
        </w:tc>
      </w:tr>
      <w:tr w14:paraId="5EA3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 w:type="dxa"/>
            <w:tcBorders>
              <w:left w:val="single" w:color="000000" w:sz="6" w:space="0"/>
            </w:tcBorders>
            <w:vAlign w:val="top"/>
          </w:tcPr>
          <w:p w14:paraId="760AD908">
            <w:pPr>
              <w:rPr>
                <w:rFonts w:ascii="Arial"/>
                <w:sz w:val="21"/>
              </w:rPr>
            </w:pPr>
          </w:p>
        </w:tc>
        <w:tc>
          <w:tcPr>
            <w:tcW w:w="2021" w:type="dxa"/>
            <w:vAlign w:val="top"/>
          </w:tcPr>
          <w:p w14:paraId="12ED9599">
            <w:pPr>
              <w:rPr>
                <w:rFonts w:ascii="Arial"/>
                <w:sz w:val="21"/>
              </w:rPr>
            </w:pPr>
          </w:p>
        </w:tc>
        <w:tc>
          <w:tcPr>
            <w:tcW w:w="1312" w:type="dxa"/>
            <w:vAlign w:val="top"/>
          </w:tcPr>
          <w:p w14:paraId="7C76DB44">
            <w:pPr>
              <w:rPr>
                <w:rFonts w:ascii="Arial"/>
                <w:sz w:val="21"/>
              </w:rPr>
            </w:pPr>
          </w:p>
        </w:tc>
        <w:tc>
          <w:tcPr>
            <w:tcW w:w="1057" w:type="dxa"/>
            <w:vAlign w:val="top"/>
          </w:tcPr>
          <w:p w14:paraId="5EC32B03">
            <w:pPr>
              <w:rPr>
                <w:rFonts w:ascii="Arial"/>
                <w:sz w:val="21"/>
              </w:rPr>
            </w:pPr>
          </w:p>
        </w:tc>
        <w:tc>
          <w:tcPr>
            <w:tcW w:w="1021" w:type="dxa"/>
            <w:vAlign w:val="top"/>
          </w:tcPr>
          <w:p w14:paraId="259538A9">
            <w:pPr>
              <w:rPr>
                <w:rFonts w:ascii="Arial"/>
                <w:sz w:val="21"/>
              </w:rPr>
            </w:pPr>
          </w:p>
        </w:tc>
        <w:tc>
          <w:tcPr>
            <w:tcW w:w="936" w:type="dxa"/>
            <w:vAlign w:val="top"/>
          </w:tcPr>
          <w:p w14:paraId="6B1B8610">
            <w:pPr>
              <w:rPr>
                <w:rFonts w:ascii="Arial"/>
                <w:sz w:val="21"/>
              </w:rPr>
            </w:pPr>
          </w:p>
        </w:tc>
        <w:tc>
          <w:tcPr>
            <w:tcW w:w="1002" w:type="dxa"/>
            <w:vAlign w:val="top"/>
          </w:tcPr>
          <w:p w14:paraId="2C670333">
            <w:pPr>
              <w:rPr>
                <w:rFonts w:ascii="Arial"/>
                <w:sz w:val="21"/>
              </w:rPr>
            </w:pPr>
          </w:p>
        </w:tc>
        <w:tc>
          <w:tcPr>
            <w:tcW w:w="1057" w:type="dxa"/>
            <w:vAlign w:val="top"/>
          </w:tcPr>
          <w:p w14:paraId="197C1366">
            <w:pPr>
              <w:rPr>
                <w:rFonts w:ascii="Arial"/>
                <w:sz w:val="21"/>
              </w:rPr>
            </w:pPr>
          </w:p>
        </w:tc>
        <w:tc>
          <w:tcPr>
            <w:tcW w:w="1072" w:type="dxa"/>
            <w:vAlign w:val="top"/>
          </w:tcPr>
          <w:p w14:paraId="22CB42BB">
            <w:pPr>
              <w:rPr>
                <w:rFonts w:ascii="Arial"/>
                <w:sz w:val="21"/>
              </w:rPr>
            </w:pPr>
          </w:p>
        </w:tc>
        <w:tc>
          <w:tcPr>
            <w:tcW w:w="1074" w:type="dxa"/>
            <w:vAlign w:val="top"/>
          </w:tcPr>
          <w:p w14:paraId="1CDA96AD">
            <w:pPr>
              <w:rPr>
                <w:rFonts w:ascii="Arial"/>
                <w:sz w:val="21"/>
              </w:rPr>
            </w:pPr>
          </w:p>
        </w:tc>
        <w:tc>
          <w:tcPr>
            <w:tcW w:w="1228" w:type="dxa"/>
            <w:vAlign w:val="top"/>
          </w:tcPr>
          <w:p w14:paraId="6CA76E8E">
            <w:pPr>
              <w:rPr>
                <w:rFonts w:ascii="Arial"/>
                <w:sz w:val="21"/>
              </w:rPr>
            </w:pPr>
          </w:p>
        </w:tc>
        <w:tc>
          <w:tcPr>
            <w:tcW w:w="1158" w:type="dxa"/>
            <w:tcBorders>
              <w:right w:val="single" w:color="000000" w:sz="6" w:space="0"/>
            </w:tcBorders>
            <w:vAlign w:val="top"/>
          </w:tcPr>
          <w:p w14:paraId="382D55D6">
            <w:pPr>
              <w:rPr>
                <w:rFonts w:ascii="Arial"/>
                <w:sz w:val="21"/>
              </w:rPr>
            </w:pPr>
          </w:p>
        </w:tc>
      </w:tr>
      <w:tr w14:paraId="0A6B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62BEE4D7">
            <w:pPr>
              <w:rPr>
                <w:rFonts w:ascii="Arial"/>
                <w:sz w:val="21"/>
              </w:rPr>
            </w:pPr>
          </w:p>
        </w:tc>
        <w:tc>
          <w:tcPr>
            <w:tcW w:w="2021" w:type="dxa"/>
            <w:vAlign w:val="top"/>
          </w:tcPr>
          <w:p w14:paraId="45225CCC">
            <w:pPr>
              <w:rPr>
                <w:rFonts w:ascii="Arial"/>
                <w:sz w:val="21"/>
              </w:rPr>
            </w:pPr>
          </w:p>
        </w:tc>
        <w:tc>
          <w:tcPr>
            <w:tcW w:w="1312" w:type="dxa"/>
            <w:vAlign w:val="top"/>
          </w:tcPr>
          <w:p w14:paraId="786871F6">
            <w:pPr>
              <w:rPr>
                <w:rFonts w:ascii="Arial"/>
                <w:sz w:val="21"/>
              </w:rPr>
            </w:pPr>
          </w:p>
        </w:tc>
        <w:tc>
          <w:tcPr>
            <w:tcW w:w="1057" w:type="dxa"/>
            <w:vAlign w:val="top"/>
          </w:tcPr>
          <w:p w14:paraId="5419BEA4">
            <w:pPr>
              <w:rPr>
                <w:rFonts w:ascii="Arial"/>
                <w:sz w:val="21"/>
              </w:rPr>
            </w:pPr>
          </w:p>
        </w:tc>
        <w:tc>
          <w:tcPr>
            <w:tcW w:w="1021" w:type="dxa"/>
            <w:vAlign w:val="top"/>
          </w:tcPr>
          <w:p w14:paraId="7307FDBA">
            <w:pPr>
              <w:rPr>
                <w:rFonts w:ascii="Arial"/>
                <w:sz w:val="21"/>
              </w:rPr>
            </w:pPr>
          </w:p>
        </w:tc>
        <w:tc>
          <w:tcPr>
            <w:tcW w:w="936" w:type="dxa"/>
            <w:vAlign w:val="top"/>
          </w:tcPr>
          <w:p w14:paraId="4B09B63B">
            <w:pPr>
              <w:rPr>
                <w:rFonts w:ascii="Arial"/>
                <w:sz w:val="21"/>
              </w:rPr>
            </w:pPr>
          </w:p>
        </w:tc>
        <w:tc>
          <w:tcPr>
            <w:tcW w:w="1002" w:type="dxa"/>
            <w:vAlign w:val="top"/>
          </w:tcPr>
          <w:p w14:paraId="1F16B308">
            <w:pPr>
              <w:rPr>
                <w:rFonts w:ascii="Arial"/>
                <w:sz w:val="21"/>
              </w:rPr>
            </w:pPr>
          </w:p>
        </w:tc>
        <w:tc>
          <w:tcPr>
            <w:tcW w:w="1057" w:type="dxa"/>
            <w:vAlign w:val="top"/>
          </w:tcPr>
          <w:p w14:paraId="4AB16E7B">
            <w:pPr>
              <w:rPr>
                <w:rFonts w:ascii="Arial"/>
                <w:sz w:val="21"/>
              </w:rPr>
            </w:pPr>
          </w:p>
        </w:tc>
        <w:tc>
          <w:tcPr>
            <w:tcW w:w="1072" w:type="dxa"/>
            <w:vAlign w:val="top"/>
          </w:tcPr>
          <w:p w14:paraId="01610D85">
            <w:pPr>
              <w:rPr>
                <w:rFonts w:ascii="Arial"/>
                <w:sz w:val="21"/>
              </w:rPr>
            </w:pPr>
          </w:p>
        </w:tc>
        <w:tc>
          <w:tcPr>
            <w:tcW w:w="1074" w:type="dxa"/>
            <w:vAlign w:val="top"/>
          </w:tcPr>
          <w:p w14:paraId="2C2BE7D7">
            <w:pPr>
              <w:rPr>
                <w:rFonts w:ascii="Arial"/>
                <w:sz w:val="21"/>
              </w:rPr>
            </w:pPr>
          </w:p>
        </w:tc>
        <w:tc>
          <w:tcPr>
            <w:tcW w:w="1228" w:type="dxa"/>
            <w:vAlign w:val="top"/>
          </w:tcPr>
          <w:p w14:paraId="4F812903">
            <w:pPr>
              <w:rPr>
                <w:rFonts w:ascii="Arial"/>
                <w:sz w:val="21"/>
              </w:rPr>
            </w:pPr>
          </w:p>
        </w:tc>
        <w:tc>
          <w:tcPr>
            <w:tcW w:w="1158" w:type="dxa"/>
            <w:tcBorders>
              <w:right w:val="single" w:color="000000" w:sz="6" w:space="0"/>
            </w:tcBorders>
            <w:vAlign w:val="top"/>
          </w:tcPr>
          <w:p w14:paraId="07642D78">
            <w:pPr>
              <w:rPr>
                <w:rFonts w:ascii="Arial"/>
                <w:sz w:val="21"/>
              </w:rPr>
            </w:pPr>
          </w:p>
        </w:tc>
      </w:tr>
      <w:tr w14:paraId="10F12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 w:type="dxa"/>
            <w:tcBorders>
              <w:left w:val="single" w:color="000000" w:sz="6" w:space="0"/>
            </w:tcBorders>
            <w:vAlign w:val="top"/>
          </w:tcPr>
          <w:p w14:paraId="33389CA9">
            <w:pPr>
              <w:rPr>
                <w:rFonts w:ascii="Arial"/>
                <w:sz w:val="21"/>
              </w:rPr>
            </w:pPr>
          </w:p>
        </w:tc>
        <w:tc>
          <w:tcPr>
            <w:tcW w:w="2021" w:type="dxa"/>
            <w:vAlign w:val="top"/>
          </w:tcPr>
          <w:p w14:paraId="5C7EF6EC">
            <w:pPr>
              <w:rPr>
                <w:rFonts w:ascii="Arial"/>
                <w:sz w:val="21"/>
              </w:rPr>
            </w:pPr>
          </w:p>
        </w:tc>
        <w:tc>
          <w:tcPr>
            <w:tcW w:w="1312" w:type="dxa"/>
            <w:vAlign w:val="top"/>
          </w:tcPr>
          <w:p w14:paraId="77864F12">
            <w:pPr>
              <w:rPr>
                <w:rFonts w:ascii="Arial"/>
                <w:sz w:val="21"/>
              </w:rPr>
            </w:pPr>
          </w:p>
        </w:tc>
        <w:tc>
          <w:tcPr>
            <w:tcW w:w="1057" w:type="dxa"/>
            <w:vAlign w:val="top"/>
          </w:tcPr>
          <w:p w14:paraId="017FB092">
            <w:pPr>
              <w:rPr>
                <w:rFonts w:ascii="Arial"/>
                <w:sz w:val="21"/>
              </w:rPr>
            </w:pPr>
          </w:p>
        </w:tc>
        <w:tc>
          <w:tcPr>
            <w:tcW w:w="1021" w:type="dxa"/>
            <w:vAlign w:val="top"/>
          </w:tcPr>
          <w:p w14:paraId="49123D06">
            <w:pPr>
              <w:rPr>
                <w:rFonts w:ascii="Arial"/>
                <w:sz w:val="21"/>
              </w:rPr>
            </w:pPr>
          </w:p>
        </w:tc>
        <w:tc>
          <w:tcPr>
            <w:tcW w:w="936" w:type="dxa"/>
            <w:vAlign w:val="top"/>
          </w:tcPr>
          <w:p w14:paraId="2F58D61D">
            <w:pPr>
              <w:rPr>
                <w:rFonts w:ascii="Arial"/>
                <w:sz w:val="21"/>
              </w:rPr>
            </w:pPr>
          </w:p>
        </w:tc>
        <w:tc>
          <w:tcPr>
            <w:tcW w:w="1002" w:type="dxa"/>
            <w:vAlign w:val="top"/>
          </w:tcPr>
          <w:p w14:paraId="11F6CC35">
            <w:pPr>
              <w:rPr>
                <w:rFonts w:ascii="Arial"/>
                <w:sz w:val="21"/>
              </w:rPr>
            </w:pPr>
          </w:p>
        </w:tc>
        <w:tc>
          <w:tcPr>
            <w:tcW w:w="1057" w:type="dxa"/>
            <w:vAlign w:val="top"/>
          </w:tcPr>
          <w:p w14:paraId="32F6049A">
            <w:pPr>
              <w:rPr>
                <w:rFonts w:ascii="Arial"/>
                <w:sz w:val="21"/>
              </w:rPr>
            </w:pPr>
          </w:p>
        </w:tc>
        <w:tc>
          <w:tcPr>
            <w:tcW w:w="1072" w:type="dxa"/>
            <w:vAlign w:val="top"/>
          </w:tcPr>
          <w:p w14:paraId="1C24A1C0">
            <w:pPr>
              <w:rPr>
                <w:rFonts w:ascii="Arial"/>
                <w:sz w:val="21"/>
              </w:rPr>
            </w:pPr>
          </w:p>
        </w:tc>
        <w:tc>
          <w:tcPr>
            <w:tcW w:w="1074" w:type="dxa"/>
            <w:vAlign w:val="top"/>
          </w:tcPr>
          <w:p w14:paraId="262875E2">
            <w:pPr>
              <w:rPr>
                <w:rFonts w:ascii="Arial"/>
                <w:sz w:val="21"/>
              </w:rPr>
            </w:pPr>
          </w:p>
        </w:tc>
        <w:tc>
          <w:tcPr>
            <w:tcW w:w="1228" w:type="dxa"/>
            <w:vAlign w:val="top"/>
          </w:tcPr>
          <w:p w14:paraId="2EAE05E1">
            <w:pPr>
              <w:rPr>
                <w:rFonts w:ascii="Arial"/>
                <w:sz w:val="21"/>
              </w:rPr>
            </w:pPr>
          </w:p>
        </w:tc>
        <w:tc>
          <w:tcPr>
            <w:tcW w:w="1158" w:type="dxa"/>
            <w:tcBorders>
              <w:right w:val="single" w:color="000000" w:sz="6" w:space="0"/>
            </w:tcBorders>
            <w:vAlign w:val="top"/>
          </w:tcPr>
          <w:p w14:paraId="198B06A0">
            <w:pPr>
              <w:rPr>
                <w:rFonts w:ascii="Arial"/>
                <w:sz w:val="21"/>
              </w:rPr>
            </w:pPr>
          </w:p>
        </w:tc>
      </w:tr>
      <w:tr w14:paraId="70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47" w:type="dxa"/>
            <w:tcBorders>
              <w:left w:val="single" w:color="000000" w:sz="6" w:space="0"/>
            </w:tcBorders>
            <w:vAlign w:val="top"/>
          </w:tcPr>
          <w:p w14:paraId="0F462341">
            <w:pPr>
              <w:rPr>
                <w:rFonts w:ascii="Arial"/>
                <w:sz w:val="21"/>
              </w:rPr>
            </w:pPr>
          </w:p>
        </w:tc>
        <w:tc>
          <w:tcPr>
            <w:tcW w:w="2021" w:type="dxa"/>
            <w:vAlign w:val="top"/>
          </w:tcPr>
          <w:p w14:paraId="0D1601EC">
            <w:pPr>
              <w:rPr>
                <w:rFonts w:ascii="Arial"/>
                <w:sz w:val="21"/>
              </w:rPr>
            </w:pPr>
          </w:p>
        </w:tc>
        <w:tc>
          <w:tcPr>
            <w:tcW w:w="1312" w:type="dxa"/>
            <w:vAlign w:val="top"/>
          </w:tcPr>
          <w:p w14:paraId="5AD53FCF">
            <w:pPr>
              <w:rPr>
                <w:rFonts w:ascii="Arial"/>
                <w:sz w:val="21"/>
              </w:rPr>
            </w:pPr>
          </w:p>
        </w:tc>
        <w:tc>
          <w:tcPr>
            <w:tcW w:w="1057" w:type="dxa"/>
            <w:vAlign w:val="top"/>
          </w:tcPr>
          <w:p w14:paraId="57905370">
            <w:pPr>
              <w:rPr>
                <w:rFonts w:ascii="Arial"/>
                <w:sz w:val="21"/>
              </w:rPr>
            </w:pPr>
          </w:p>
        </w:tc>
        <w:tc>
          <w:tcPr>
            <w:tcW w:w="1021" w:type="dxa"/>
            <w:vAlign w:val="top"/>
          </w:tcPr>
          <w:p w14:paraId="0DCC19B6">
            <w:pPr>
              <w:rPr>
                <w:rFonts w:ascii="Arial"/>
                <w:sz w:val="21"/>
              </w:rPr>
            </w:pPr>
          </w:p>
        </w:tc>
        <w:tc>
          <w:tcPr>
            <w:tcW w:w="936" w:type="dxa"/>
            <w:vAlign w:val="top"/>
          </w:tcPr>
          <w:p w14:paraId="63CE9688">
            <w:pPr>
              <w:rPr>
                <w:rFonts w:ascii="Arial"/>
                <w:sz w:val="21"/>
              </w:rPr>
            </w:pPr>
          </w:p>
        </w:tc>
        <w:tc>
          <w:tcPr>
            <w:tcW w:w="1002" w:type="dxa"/>
            <w:vAlign w:val="top"/>
          </w:tcPr>
          <w:p w14:paraId="7AF4086C">
            <w:pPr>
              <w:rPr>
                <w:rFonts w:ascii="Arial"/>
                <w:sz w:val="21"/>
              </w:rPr>
            </w:pPr>
          </w:p>
        </w:tc>
        <w:tc>
          <w:tcPr>
            <w:tcW w:w="1057" w:type="dxa"/>
            <w:vAlign w:val="top"/>
          </w:tcPr>
          <w:p w14:paraId="30ECFEA7">
            <w:pPr>
              <w:rPr>
                <w:rFonts w:ascii="Arial"/>
                <w:sz w:val="21"/>
              </w:rPr>
            </w:pPr>
          </w:p>
        </w:tc>
        <w:tc>
          <w:tcPr>
            <w:tcW w:w="1072" w:type="dxa"/>
            <w:vAlign w:val="top"/>
          </w:tcPr>
          <w:p w14:paraId="5DD1259F">
            <w:pPr>
              <w:rPr>
                <w:rFonts w:ascii="Arial"/>
                <w:sz w:val="21"/>
              </w:rPr>
            </w:pPr>
          </w:p>
        </w:tc>
        <w:tc>
          <w:tcPr>
            <w:tcW w:w="1074" w:type="dxa"/>
            <w:vAlign w:val="top"/>
          </w:tcPr>
          <w:p w14:paraId="4AB1A483">
            <w:pPr>
              <w:rPr>
                <w:rFonts w:ascii="Arial"/>
                <w:sz w:val="21"/>
              </w:rPr>
            </w:pPr>
          </w:p>
        </w:tc>
        <w:tc>
          <w:tcPr>
            <w:tcW w:w="1228" w:type="dxa"/>
            <w:vAlign w:val="top"/>
          </w:tcPr>
          <w:p w14:paraId="489FAC01">
            <w:pPr>
              <w:rPr>
                <w:rFonts w:ascii="Arial"/>
                <w:sz w:val="21"/>
              </w:rPr>
            </w:pPr>
          </w:p>
        </w:tc>
        <w:tc>
          <w:tcPr>
            <w:tcW w:w="1158" w:type="dxa"/>
            <w:tcBorders>
              <w:right w:val="single" w:color="000000" w:sz="6" w:space="0"/>
            </w:tcBorders>
            <w:vAlign w:val="top"/>
          </w:tcPr>
          <w:p w14:paraId="3BD90C1D">
            <w:pPr>
              <w:rPr>
                <w:rFonts w:ascii="Arial"/>
                <w:sz w:val="21"/>
              </w:rPr>
            </w:pPr>
          </w:p>
        </w:tc>
      </w:tr>
      <w:tr w14:paraId="6270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38D195F8">
            <w:pPr>
              <w:rPr>
                <w:rFonts w:ascii="Arial"/>
                <w:sz w:val="21"/>
              </w:rPr>
            </w:pPr>
          </w:p>
        </w:tc>
        <w:tc>
          <w:tcPr>
            <w:tcW w:w="2021" w:type="dxa"/>
            <w:vAlign w:val="top"/>
          </w:tcPr>
          <w:p w14:paraId="69469F04">
            <w:pPr>
              <w:rPr>
                <w:rFonts w:ascii="Arial"/>
                <w:sz w:val="21"/>
              </w:rPr>
            </w:pPr>
          </w:p>
        </w:tc>
        <w:tc>
          <w:tcPr>
            <w:tcW w:w="1312" w:type="dxa"/>
            <w:vAlign w:val="top"/>
          </w:tcPr>
          <w:p w14:paraId="5347EA5B">
            <w:pPr>
              <w:rPr>
                <w:rFonts w:ascii="Arial"/>
                <w:sz w:val="21"/>
              </w:rPr>
            </w:pPr>
          </w:p>
        </w:tc>
        <w:tc>
          <w:tcPr>
            <w:tcW w:w="1057" w:type="dxa"/>
            <w:vAlign w:val="top"/>
          </w:tcPr>
          <w:p w14:paraId="4D0D52CA">
            <w:pPr>
              <w:rPr>
                <w:rFonts w:ascii="Arial"/>
                <w:sz w:val="21"/>
              </w:rPr>
            </w:pPr>
          </w:p>
        </w:tc>
        <w:tc>
          <w:tcPr>
            <w:tcW w:w="1021" w:type="dxa"/>
            <w:vAlign w:val="top"/>
          </w:tcPr>
          <w:p w14:paraId="3CBC6C3A">
            <w:pPr>
              <w:rPr>
                <w:rFonts w:ascii="Arial"/>
                <w:sz w:val="21"/>
              </w:rPr>
            </w:pPr>
          </w:p>
        </w:tc>
        <w:tc>
          <w:tcPr>
            <w:tcW w:w="936" w:type="dxa"/>
            <w:vAlign w:val="top"/>
          </w:tcPr>
          <w:p w14:paraId="6804BC6F">
            <w:pPr>
              <w:rPr>
                <w:rFonts w:ascii="Arial"/>
                <w:sz w:val="21"/>
              </w:rPr>
            </w:pPr>
          </w:p>
        </w:tc>
        <w:tc>
          <w:tcPr>
            <w:tcW w:w="1002" w:type="dxa"/>
            <w:vAlign w:val="top"/>
          </w:tcPr>
          <w:p w14:paraId="24CE0361">
            <w:pPr>
              <w:rPr>
                <w:rFonts w:ascii="Arial"/>
                <w:sz w:val="21"/>
              </w:rPr>
            </w:pPr>
          </w:p>
        </w:tc>
        <w:tc>
          <w:tcPr>
            <w:tcW w:w="1057" w:type="dxa"/>
            <w:vAlign w:val="top"/>
          </w:tcPr>
          <w:p w14:paraId="3B423975">
            <w:pPr>
              <w:rPr>
                <w:rFonts w:ascii="Arial"/>
                <w:sz w:val="21"/>
              </w:rPr>
            </w:pPr>
          </w:p>
        </w:tc>
        <w:tc>
          <w:tcPr>
            <w:tcW w:w="1072" w:type="dxa"/>
            <w:vAlign w:val="top"/>
          </w:tcPr>
          <w:p w14:paraId="389E8A14">
            <w:pPr>
              <w:rPr>
                <w:rFonts w:ascii="Arial"/>
                <w:sz w:val="21"/>
              </w:rPr>
            </w:pPr>
          </w:p>
        </w:tc>
        <w:tc>
          <w:tcPr>
            <w:tcW w:w="1074" w:type="dxa"/>
            <w:vAlign w:val="top"/>
          </w:tcPr>
          <w:p w14:paraId="6C153E6C">
            <w:pPr>
              <w:rPr>
                <w:rFonts w:ascii="Arial"/>
                <w:sz w:val="21"/>
              </w:rPr>
            </w:pPr>
          </w:p>
        </w:tc>
        <w:tc>
          <w:tcPr>
            <w:tcW w:w="1228" w:type="dxa"/>
            <w:vAlign w:val="top"/>
          </w:tcPr>
          <w:p w14:paraId="2B1F92B4">
            <w:pPr>
              <w:rPr>
                <w:rFonts w:ascii="Arial"/>
                <w:sz w:val="21"/>
              </w:rPr>
            </w:pPr>
          </w:p>
        </w:tc>
        <w:tc>
          <w:tcPr>
            <w:tcW w:w="1158" w:type="dxa"/>
            <w:tcBorders>
              <w:right w:val="single" w:color="000000" w:sz="6" w:space="0"/>
            </w:tcBorders>
            <w:vAlign w:val="top"/>
          </w:tcPr>
          <w:p w14:paraId="42C48F73">
            <w:pPr>
              <w:rPr>
                <w:rFonts w:ascii="Arial"/>
                <w:sz w:val="21"/>
              </w:rPr>
            </w:pPr>
          </w:p>
        </w:tc>
      </w:tr>
      <w:tr w14:paraId="2D5F0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 w:type="dxa"/>
            <w:tcBorders>
              <w:left w:val="single" w:color="000000" w:sz="6" w:space="0"/>
            </w:tcBorders>
            <w:vAlign w:val="top"/>
          </w:tcPr>
          <w:p w14:paraId="0A489ADB">
            <w:pPr>
              <w:rPr>
                <w:rFonts w:ascii="Arial"/>
                <w:sz w:val="21"/>
              </w:rPr>
            </w:pPr>
          </w:p>
        </w:tc>
        <w:tc>
          <w:tcPr>
            <w:tcW w:w="2021" w:type="dxa"/>
            <w:vAlign w:val="top"/>
          </w:tcPr>
          <w:p w14:paraId="67B3A4D6">
            <w:pPr>
              <w:rPr>
                <w:rFonts w:ascii="Arial"/>
                <w:sz w:val="21"/>
              </w:rPr>
            </w:pPr>
          </w:p>
        </w:tc>
        <w:tc>
          <w:tcPr>
            <w:tcW w:w="1312" w:type="dxa"/>
            <w:vAlign w:val="top"/>
          </w:tcPr>
          <w:p w14:paraId="2BA8AB9F">
            <w:pPr>
              <w:rPr>
                <w:rFonts w:ascii="Arial"/>
                <w:sz w:val="21"/>
              </w:rPr>
            </w:pPr>
          </w:p>
        </w:tc>
        <w:tc>
          <w:tcPr>
            <w:tcW w:w="1057" w:type="dxa"/>
            <w:vAlign w:val="top"/>
          </w:tcPr>
          <w:p w14:paraId="528BAE38">
            <w:pPr>
              <w:rPr>
                <w:rFonts w:ascii="Arial"/>
                <w:sz w:val="21"/>
              </w:rPr>
            </w:pPr>
          </w:p>
        </w:tc>
        <w:tc>
          <w:tcPr>
            <w:tcW w:w="1021" w:type="dxa"/>
            <w:vAlign w:val="top"/>
          </w:tcPr>
          <w:p w14:paraId="6D0BBEFE">
            <w:pPr>
              <w:rPr>
                <w:rFonts w:ascii="Arial"/>
                <w:sz w:val="21"/>
              </w:rPr>
            </w:pPr>
          </w:p>
        </w:tc>
        <w:tc>
          <w:tcPr>
            <w:tcW w:w="936" w:type="dxa"/>
            <w:vAlign w:val="top"/>
          </w:tcPr>
          <w:p w14:paraId="5CB3D9FB">
            <w:pPr>
              <w:rPr>
                <w:rFonts w:ascii="Arial"/>
                <w:sz w:val="21"/>
              </w:rPr>
            </w:pPr>
          </w:p>
        </w:tc>
        <w:tc>
          <w:tcPr>
            <w:tcW w:w="1002" w:type="dxa"/>
            <w:vAlign w:val="top"/>
          </w:tcPr>
          <w:p w14:paraId="0893935D">
            <w:pPr>
              <w:rPr>
                <w:rFonts w:ascii="Arial"/>
                <w:sz w:val="21"/>
              </w:rPr>
            </w:pPr>
          </w:p>
        </w:tc>
        <w:tc>
          <w:tcPr>
            <w:tcW w:w="1057" w:type="dxa"/>
            <w:vAlign w:val="top"/>
          </w:tcPr>
          <w:p w14:paraId="532E0ADC">
            <w:pPr>
              <w:rPr>
                <w:rFonts w:ascii="Arial"/>
                <w:sz w:val="21"/>
              </w:rPr>
            </w:pPr>
          </w:p>
        </w:tc>
        <w:tc>
          <w:tcPr>
            <w:tcW w:w="1072" w:type="dxa"/>
            <w:vAlign w:val="top"/>
          </w:tcPr>
          <w:p w14:paraId="4DEE436F">
            <w:pPr>
              <w:rPr>
                <w:rFonts w:ascii="Arial"/>
                <w:sz w:val="21"/>
              </w:rPr>
            </w:pPr>
          </w:p>
        </w:tc>
        <w:tc>
          <w:tcPr>
            <w:tcW w:w="1074" w:type="dxa"/>
            <w:vAlign w:val="top"/>
          </w:tcPr>
          <w:p w14:paraId="4E8FA1DD">
            <w:pPr>
              <w:rPr>
                <w:rFonts w:ascii="Arial"/>
                <w:sz w:val="21"/>
              </w:rPr>
            </w:pPr>
          </w:p>
        </w:tc>
        <w:tc>
          <w:tcPr>
            <w:tcW w:w="1228" w:type="dxa"/>
            <w:vAlign w:val="top"/>
          </w:tcPr>
          <w:p w14:paraId="383A97D2">
            <w:pPr>
              <w:rPr>
                <w:rFonts w:ascii="Arial"/>
                <w:sz w:val="21"/>
              </w:rPr>
            </w:pPr>
          </w:p>
        </w:tc>
        <w:tc>
          <w:tcPr>
            <w:tcW w:w="1158" w:type="dxa"/>
            <w:tcBorders>
              <w:right w:val="single" w:color="000000" w:sz="6" w:space="0"/>
            </w:tcBorders>
            <w:vAlign w:val="top"/>
          </w:tcPr>
          <w:p w14:paraId="32609585">
            <w:pPr>
              <w:rPr>
                <w:rFonts w:ascii="Arial"/>
                <w:sz w:val="21"/>
              </w:rPr>
            </w:pPr>
          </w:p>
        </w:tc>
      </w:tr>
      <w:tr w14:paraId="6AAF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56FE4E6F">
            <w:pPr>
              <w:rPr>
                <w:rFonts w:ascii="Arial"/>
                <w:sz w:val="21"/>
              </w:rPr>
            </w:pPr>
          </w:p>
        </w:tc>
        <w:tc>
          <w:tcPr>
            <w:tcW w:w="2021" w:type="dxa"/>
            <w:vAlign w:val="top"/>
          </w:tcPr>
          <w:p w14:paraId="1A0A149D">
            <w:pPr>
              <w:rPr>
                <w:rFonts w:ascii="Arial"/>
                <w:sz w:val="21"/>
              </w:rPr>
            </w:pPr>
          </w:p>
        </w:tc>
        <w:tc>
          <w:tcPr>
            <w:tcW w:w="1312" w:type="dxa"/>
            <w:vAlign w:val="top"/>
          </w:tcPr>
          <w:p w14:paraId="102ABC29">
            <w:pPr>
              <w:rPr>
                <w:rFonts w:ascii="Arial"/>
                <w:sz w:val="21"/>
              </w:rPr>
            </w:pPr>
          </w:p>
        </w:tc>
        <w:tc>
          <w:tcPr>
            <w:tcW w:w="1057" w:type="dxa"/>
            <w:vAlign w:val="top"/>
          </w:tcPr>
          <w:p w14:paraId="3941ABCC">
            <w:pPr>
              <w:rPr>
                <w:rFonts w:ascii="Arial"/>
                <w:sz w:val="21"/>
              </w:rPr>
            </w:pPr>
          </w:p>
        </w:tc>
        <w:tc>
          <w:tcPr>
            <w:tcW w:w="1021" w:type="dxa"/>
            <w:vAlign w:val="top"/>
          </w:tcPr>
          <w:p w14:paraId="62B9DA31">
            <w:pPr>
              <w:rPr>
                <w:rFonts w:ascii="Arial"/>
                <w:sz w:val="21"/>
              </w:rPr>
            </w:pPr>
          </w:p>
        </w:tc>
        <w:tc>
          <w:tcPr>
            <w:tcW w:w="936" w:type="dxa"/>
            <w:vAlign w:val="top"/>
          </w:tcPr>
          <w:p w14:paraId="7716F84C">
            <w:pPr>
              <w:rPr>
                <w:rFonts w:ascii="Arial"/>
                <w:sz w:val="21"/>
              </w:rPr>
            </w:pPr>
          </w:p>
        </w:tc>
        <w:tc>
          <w:tcPr>
            <w:tcW w:w="1002" w:type="dxa"/>
            <w:vAlign w:val="top"/>
          </w:tcPr>
          <w:p w14:paraId="3A97BE00">
            <w:pPr>
              <w:rPr>
                <w:rFonts w:ascii="Arial"/>
                <w:sz w:val="21"/>
              </w:rPr>
            </w:pPr>
          </w:p>
        </w:tc>
        <w:tc>
          <w:tcPr>
            <w:tcW w:w="1057" w:type="dxa"/>
            <w:vAlign w:val="top"/>
          </w:tcPr>
          <w:p w14:paraId="615364F7">
            <w:pPr>
              <w:rPr>
                <w:rFonts w:ascii="Arial"/>
                <w:sz w:val="21"/>
              </w:rPr>
            </w:pPr>
          </w:p>
        </w:tc>
        <w:tc>
          <w:tcPr>
            <w:tcW w:w="1072" w:type="dxa"/>
            <w:vAlign w:val="top"/>
          </w:tcPr>
          <w:p w14:paraId="1C703AE8">
            <w:pPr>
              <w:rPr>
                <w:rFonts w:ascii="Arial"/>
                <w:sz w:val="21"/>
              </w:rPr>
            </w:pPr>
          </w:p>
        </w:tc>
        <w:tc>
          <w:tcPr>
            <w:tcW w:w="1074" w:type="dxa"/>
            <w:vAlign w:val="top"/>
          </w:tcPr>
          <w:p w14:paraId="3705A206">
            <w:pPr>
              <w:rPr>
                <w:rFonts w:ascii="Arial"/>
                <w:sz w:val="21"/>
              </w:rPr>
            </w:pPr>
          </w:p>
        </w:tc>
        <w:tc>
          <w:tcPr>
            <w:tcW w:w="1228" w:type="dxa"/>
            <w:vAlign w:val="top"/>
          </w:tcPr>
          <w:p w14:paraId="7ACCB4E7">
            <w:pPr>
              <w:rPr>
                <w:rFonts w:ascii="Arial"/>
                <w:sz w:val="21"/>
              </w:rPr>
            </w:pPr>
          </w:p>
        </w:tc>
        <w:tc>
          <w:tcPr>
            <w:tcW w:w="1158" w:type="dxa"/>
            <w:tcBorders>
              <w:right w:val="single" w:color="000000" w:sz="6" w:space="0"/>
            </w:tcBorders>
            <w:vAlign w:val="top"/>
          </w:tcPr>
          <w:p w14:paraId="785E4407">
            <w:pPr>
              <w:rPr>
                <w:rFonts w:ascii="Arial"/>
                <w:sz w:val="21"/>
              </w:rPr>
            </w:pPr>
          </w:p>
        </w:tc>
      </w:tr>
      <w:tr w14:paraId="6AA7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47" w:type="dxa"/>
            <w:tcBorders>
              <w:left w:val="single" w:color="000000" w:sz="6" w:space="0"/>
            </w:tcBorders>
            <w:vAlign w:val="top"/>
          </w:tcPr>
          <w:p w14:paraId="4B76AB5A">
            <w:pPr>
              <w:rPr>
                <w:rFonts w:ascii="Arial"/>
                <w:sz w:val="21"/>
              </w:rPr>
            </w:pPr>
          </w:p>
        </w:tc>
        <w:tc>
          <w:tcPr>
            <w:tcW w:w="2021" w:type="dxa"/>
            <w:vAlign w:val="top"/>
          </w:tcPr>
          <w:p w14:paraId="008AF48E">
            <w:pPr>
              <w:rPr>
                <w:rFonts w:ascii="Arial"/>
                <w:sz w:val="21"/>
              </w:rPr>
            </w:pPr>
          </w:p>
        </w:tc>
        <w:tc>
          <w:tcPr>
            <w:tcW w:w="1312" w:type="dxa"/>
            <w:vAlign w:val="top"/>
          </w:tcPr>
          <w:p w14:paraId="5D464A56">
            <w:pPr>
              <w:rPr>
                <w:rFonts w:ascii="Arial"/>
                <w:sz w:val="21"/>
              </w:rPr>
            </w:pPr>
          </w:p>
        </w:tc>
        <w:tc>
          <w:tcPr>
            <w:tcW w:w="1057" w:type="dxa"/>
            <w:vAlign w:val="top"/>
          </w:tcPr>
          <w:p w14:paraId="320E96DB">
            <w:pPr>
              <w:rPr>
                <w:rFonts w:ascii="Arial"/>
                <w:sz w:val="21"/>
              </w:rPr>
            </w:pPr>
          </w:p>
        </w:tc>
        <w:tc>
          <w:tcPr>
            <w:tcW w:w="1021" w:type="dxa"/>
            <w:vAlign w:val="top"/>
          </w:tcPr>
          <w:p w14:paraId="7FF586D9">
            <w:pPr>
              <w:rPr>
                <w:rFonts w:ascii="Arial"/>
                <w:sz w:val="21"/>
              </w:rPr>
            </w:pPr>
          </w:p>
        </w:tc>
        <w:tc>
          <w:tcPr>
            <w:tcW w:w="936" w:type="dxa"/>
            <w:vAlign w:val="top"/>
          </w:tcPr>
          <w:p w14:paraId="238BECA6">
            <w:pPr>
              <w:rPr>
                <w:rFonts w:ascii="Arial"/>
                <w:sz w:val="21"/>
              </w:rPr>
            </w:pPr>
          </w:p>
        </w:tc>
        <w:tc>
          <w:tcPr>
            <w:tcW w:w="1002" w:type="dxa"/>
            <w:vAlign w:val="top"/>
          </w:tcPr>
          <w:p w14:paraId="1252AA51">
            <w:pPr>
              <w:rPr>
                <w:rFonts w:ascii="Arial"/>
                <w:sz w:val="21"/>
              </w:rPr>
            </w:pPr>
          </w:p>
        </w:tc>
        <w:tc>
          <w:tcPr>
            <w:tcW w:w="1057" w:type="dxa"/>
            <w:vAlign w:val="top"/>
          </w:tcPr>
          <w:p w14:paraId="646051E9">
            <w:pPr>
              <w:rPr>
                <w:rFonts w:ascii="Arial"/>
                <w:sz w:val="21"/>
              </w:rPr>
            </w:pPr>
          </w:p>
        </w:tc>
        <w:tc>
          <w:tcPr>
            <w:tcW w:w="1072" w:type="dxa"/>
            <w:vAlign w:val="top"/>
          </w:tcPr>
          <w:p w14:paraId="18B2D35B">
            <w:pPr>
              <w:rPr>
                <w:rFonts w:ascii="Arial"/>
                <w:sz w:val="21"/>
              </w:rPr>
            </w:pPr>
          </w:p>
        </w:tc>
        <w:tc>
          <w:tcPr>
            <w:tcW w:w="1074" w:type="dxa"/>
            <w:vAlign w:val="top"/>
          </w:tcPr>
          <w:p w14:paraId="4C9ADCE0">
            <w:pPr>
              <w:rPr>
                <w:rFonts w:ascii="Arial"/>
                <w:sz w:val="21"/>
              </w:rPr>
            </w:pPr>
          </w:p>
        </w:tc>
        <w:tc>
          <w:tcPr>
            <w:tcW w:w="1228" w:type="dxa"/>
            <w:vAlign w:val="top"/>
          </w:tcPr>
          <w:p w14:paraId="4ACDAA2D">
            <w:pPr>
              <w:rPr>
                <w:rFonts w:ascii="Arial"/>
                <w:sz w:val="21"/>
              </w:rPr>
            </w:pPr>
          </w:p>
        </w:tc>
        <w:tc>
          <w:tcPr>
            <w:tcW w:w="1158" w:type="dxa"/>
            <w:tcBorders>
              <w:right w:val="single" w:color="000000" w:sz="6" w:space="0"/>
            </w:tcBorders>
            <w:vAlign w:val="top"/>
          </w:tcPr>
          <w:p w14:paraId="770375E2">
            <w:pPr>
              <w:rPr>
                <w:rFonts w:ascii="Arial"/>
                <w:sz w:val="21"/>
              </w:rPr>
            </w:pPr>
          </w:p>
        </w:tc>
      </w:tr>
      <w:tr w14:paraId="57D5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647" w:type="dxa"/>
            <w:tcBorders>
              <w:left w:val="single" w:color="000000" w:sz="6" w:space="0"/>
            </w:tcBorders>
            <w:vAlign w:val="top"/>
          </w:tcPr>
          <w:p w14:paraId="21073C60">
            <w:pPr>
              <w:rPr>
                <w:rFonts w:ascii="Arial"/>
                <w:sz w:val="21"/>
              </w:rPr>
            </w:pPr>
          </w:p>
        </w:tc>
        <w:tc>
          <w:tcPr>
            <w:tcW w:w="2021" w:type="dxa"/>
            <w:vAlign w:val="top"/>
          </w:tcPr>
          <w:p w14:paraId="34B14E40">
            <w:pPr>
              <w:rPr>
                <w:rFonts w:ascii="Arial"/>
                <w:sz w:val="21"/>
              </w:rPr>
            </w:pPr>
          </w:p>
        </w:tc>
        <w:tc>
          <w:tcPr>
            <w:tcW w:w="1312" w:type="dxa"/>
            <w:vAlign w:val="top"/>
          </w:tcPr>
          <w:p w14:paraId="1A49C93C">
            <w:pPr>
              <w:rPr>
                <w:rFonts w:ascii="Arial"/>
                <w:sz w:val="21"/>
              </w:rPr>
            </w:pPr>
          </w:p>
        </w:tc>
        <w:tc>
          <w:tcPr>
            <w:tcW w:w="1057" w:type="dxa"/>
            <w:vAlign w:val="top"/>
          </w:tcPr>
          <w:p w14:paraId="55259065">
            <w:pPr>
              <w:rPr>
                <w:rFonts w:ascii="Arial"/>
                <w:sz w:val="21"/>
              </w:rPr>
            </w:pPr>
          </w:p>
        </w:tc>
        <w:tc>
          <w:tcPr>
            <w:tcW w:w="1021" w:type="dxa"/>
            <w:vAlign w:val="top"/>
          </w:tcPr>
          <w:p w14:paraId="0FFB979A">
            <w:pPr>
              <w:rPr>
                <w:rFonts w:ascii="Arial"/>
                <w:sz w:val="21"/>
              </w:rPr>
            </w:pPr>
          </w:p>
        </w:tc>
        <w:tc>
          <w:tcPr>
            <w:tcW w:w="936" w:type="dxa"/>
            <w:vAlign w:val="top"/>
          </w:tcPr>
          <w:p w14:paraId="3EEE9179">
            <w:pPr>
              <w:rPr>
                <w:rFonts w:ascii="Arial"/>
                <w:sz w:val="21"/>
              </w:rPr>
            </w:pPr>
          </w:p>
        </w:tc>
        <w:tc>
          <w:tcPr>
            <w:tcW w:w="1002" w:type="dxa"/>
            <w:vAlign w:val="top"/>
          </w:tcPr>
          <w:p w14:paraId="66884301">
            <w:pPr>
              <w:rPr>
                <w:rFonts w:ascii="Arial"/>
                <w:sz w:val="21"/>
              </w:rPr>
            </w:pPr>
          </w:p>
        </w:tc>
        <w:tc>
          <w:tcPr>
            <w:tcW w:w="1057" w:type="dxa"/>
            <w:vAlign w:val="top"/>
          </w:tcPr>
          <w:p w14:paraId="263B7B99">
            <w:pPr>
              <w:rPr>
                <w:rFonts w:ascii="Arial"/>
                <w:sz w:val="21"/>
              </w:rPr>
            </w:pPr>
          </w:p>
        </w:tc>
        <w:tc>
          <w:tcPr>
            <w:tcW w:w="1072" w:type="dxa"/>
            <w:vAlign w:val="top"/>
          </w:tcPr>
          <w:p w14:paraId="60B813A4">
            <w:pPr>
              <w:rPr>
                <w:rFonts w:ascii="Arial"/>
                <w:sz w:val="21"/>
              </w:rPr>
            </w:pPr>
          </w:p>
        </w:tc>
        <w:tc>
          <w:tcPr>
            <w:tcW w:w="1074" w:type="dxa"/>
            <w:vAlign w:val="top"/>
          </w:tcPr>
          <w:p w14:paraId="054ECC72">
            <w:pPr>
              <w:rPr>
                <w:rFonts w:ascii="Arial"/>
                <w:sz w:val="21"/>
              </w:rPr>
            </w:pPr>
          </w:p>
        </w:tc>
        <w:tc>
          <w:tcPr>
            <w:tcW w:w="1228" w:type="dxa"/>
            <w:vAlign w:val="top"/>
          </w:tcPr>
          <w:p w14:paraId="399E4764">
            <w:pPr>
              <w:rPr>
                <w:rFonts w:ascii="Arial"/>
                <w:sz w:val="21"/>
              </w:rPr>
            </w:pPr>
          </w:p>
        </w:tc>
        <w:tc>
          <w:tcPr>
            <w:tcW w:w="1158" w:type="dxa"/>
            <w:tcBorders>
              <w:right w:val="single" w:color="000000" w:sz="6" w:space="0"/>
            </w:tcBorders>
            <w:vAlign w:val="top"/>
          </w:tcPr>
          <w:p w14:paraId="4C155D82">
            <w:pPr>
              <w:rPr>
                <w:rFonts w:ascii="Arial"/>
                <w:sz w:val="21"/>
              </w:rPr>
            </w:pPr>
          </w:p>
        </w:tc>
      </w:tr>
      <w:tr w14:paraId="6E69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7" w:type="dxa"/>
            <w:tcBorders>
              <w:left w:val="single" w:color="000000" w:sz="6" w:space="0"/>
            </w:tcBorders>
            <w:vAlign w:val="top"/>
          </w:tcPr>
          <w:p w14:paraId="197E5A25">
            <w:pPr>
              <w:rPr>
                <w:rFonts w:ascii="Arial"/>
                <w:sz w:val="21"/>
              </w:rPr>
            </w:pPr>
          </w:p>
        </w:tc>
        <w:tc>
          <w:tcPr>
            <w:tcW w:w="2021" w:type="dxa"/>
            <w:vAlign w:val="top"/>
          </w:tcPr>
          <w:p w14:paraId="6CA203A6">
            <w:pPr>
              <w:rPr>
                <w:rFonts w:ascii="Arial"/>
                <w:sz w:val="21"/>
              </w:rPr>
            </w:pPr>
          </w:p>
        </w:tc>
        <w:tc>
          <w:tcPr>
            <w:tcW w:w="1312" w:type="dxa"/>
            <w:vAlign w:val="top"/>
          </w:tcPr>
          <w:p w14:paraId="66B72835">
            <w:pPr>
              <w:rPr>
                <w:rFonts w:ascii="Arial"/>
                <w:sz w:val="21"/>
              </w:rPr>
            </w:pPr>
          </w:p>
        </w:tc>
        <w:tc>
          <w:tcPr>
            <w:tcW w:w="1057" w:type="dxa"/>
            <w:vAlign w:val="top"/>
          </w:tcPr>
          <w:p w14:paraId="1E4C4D21">
            <w:pPr>
              <w:rPr>
                <w:rFonts w:ascii="Arial"/>
                <w:sz w:val="21"/>
              </w:rPr>
            </w:pPr>
          </w:p>
        </w:tc>
        <w:tc>
          <w:tcPr>
            <w:tcW w:w="1021" w:type="dxa"/>
            <w:vAlign w:val="top"/>
          </w:tcPr>
          <w:p w14:paraId="7507F5E2">
            <w:pPr>
              <w:rPr>
                <w:rFonts w:ascii="Arial"/>
                <w:sz w:val="21"/>
              </w:rPr>
            </w:pPr>
          </w:p>
        </w:tc>
        <w:tc>
          <w:tcPr>
            <w:tcW w:w="936" w:type="dxa"/>
            <w:vAlign w:val="top"/>
          </w:tcPr>
          <w:p w14:paraId="4C2390CD">
            <w:pPr>
              <w:rPr>
                <w:rFonts w:ascii="Arial"/>
                <w:sz w:val="21"/>
              </w:rPr>
            </w:pPr>
          </w:p>
        </w:tc>
        <w:tc>
          <w:tcPr>
            <w:tcW w:w="1002" w:type="dxa"/>
            <w:vAlign w:val="top"/>
          </w:tcPr>
          <w:p w14:paraId="7CFD6D3E">
            <w:pPr>
              <w:rPr>
                <w:rFonts w:ascii="Arial"/>
                <w:sz w:val="21"/>
              </w:rPr>
            </w:pPr>
          </w:p>
        </w:tc>
        <w:tc>
          <w:tcPr>
            <w:tcW w:w="1057" w:type="dxa"/>
            <w:vAlign w:val="top"/>
          </w:tcPr>
          <w:p w14:paraId="4F156E1C">
            <w:pPr>
              <w:rPr>
                <w:rFonts w:ascii="Arial"/>
                <w:sz w:val="21"/>
              </w:rPr>
            </w:pPr>
          </w:p>
        </w:tc>
        <w:tc>
          <w:tcPr>
            <w:tcW w:w="1072" w:type="dxa"/>
            <w:vAlign w:val="top"/>
          </w:tcPr>
          <w:p w14:paraId="6C489A38">
            <w:pPr>
              <w:rPr>
                <w:rFonts w:ascii="Arial"/>
                <w:sz w:val="21"/>
              </w:rPr>
            </w:pPr>
          </w:p>
        </w:tc>
        <w:tc>
          <w:tcPr>
            <w:tcW w:w="1074" w:type="dxa"/>
            <w:vAlign w:val="top"/>
          </w:tcPr>
          <w:p w14:paraId="50CEC9FD">
            <w:pPr>
              <w:rPr>
                <w:rFonts w:ascii="Arial"/>
                <w:sz w:val="21"/>
              </w:rPr>
            </w:pPr>
          </w:p>
        </w:tc>
        <w:tc>
          <w:tcPr>
            <w:tcW w:w="1228" w:type="dxa"/>
            <w:vAlign w:val="top"/>
          </w:tcPr>
          <w:p w14:paraId="5A2D046A">
            <w:pPr>
              <w:rPr>
                <w:rFonts w:ascii="Arial"/>
                <w:sz w:val="21"/>
              </w:rPr>
            </w:pPr>
          </w:p>
        </w:tc>
        <w:tc>
          <w:tcPr>
            <w:tcW w:w="1158" w:type="dxa"/>
            <w:tcBorders>
              <w:right w:val="single" w:color="000000" w:sz="6" w:space="0"/>
            </w:tcBorders>
            <w:vAlign w:val="top"/>
          </w:tcPr>
          <w:p w14:paraId="33FEF87C">
            <w:pPr>
              <w:rPr>
                <w:rFonts w:ascii="Arial"/>
                <w:sz w:val="21"/>
              </w:rPr>
            </w:pPr>
          </w:p>
        </w:tc>
      </w:tr>
      <w:tr w14:paraId="7579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7" w:type="dxa"/>
            <w:tcBorders>
              <w:left w:val="single" w:color="000000" w:sz="6" w:space="0"/>
              <w:bottom w:val="single" w:color="000000" w:sz="6" w:space="0"/>
            </w:tcBorders>
            <w:vAlign w:val="top"/>
          </w:tcPr>
          <w:p w14:paraId="47181556">
            <w:pPr>
              <w:rPr>
                <w:rFonts w:ascii="Arial"/>
                <w:sz w:val="21"/>
              </w:rPr>
            </w:pPr>
          </w:p>
        </w:tc>
        <w:tc>
          <w:tcPr>
            <w:tcW w:w="2021" w:type="dxa"/>
            <w:tcBorders>
              <w:bottom w:val="single" w:color="000000" w:sz="6" w:space="0"/>
            </w:tcBorders>
            <w:vAlign w:val="top"/>
          </w:tcPr>
          <w:p w14:paraId="5295DE89">
            <w:pPr>
              <w:rPr>
                <w:rFonts w:ascii="Arial"/>
                <w:sz w:val="21"/>
              </w:rPr>
            </w:pPr>
          </w:p>
        </w:tc>
        <w:tc>
          <w:tcPr>
            <w:tcW w:w="1312" w:type="dxa"/>
            <w:tcBorders>
              <w:bottom w:val="single" w:color="000000" w:sz="6" w:space="0"/>
            </w:tcBorders>
            <w:vAlign w:val="top"/>
          </w:tcPr>
          <w:p w14:paraId="4280797F">
            <w:pPr>
              <w:rPr>
                <w:rFonts w:ascii="Arial"/>
                <w:sz w:val="21"/>
              </w:rPr>
            </w:pPr>
          </w:p>
        </w:tc>
        <w:tc>
          <w:tcPr>
            <w:tcW w:w="1057" w:type="dxa"/>
            <w:tcBorders>
              <w:bottom w:val="single" w:color="000000" w:sz="6" w:space="0"/>
            </w:tcBorders>
            <w:vAlign w:val="top"/>
          </w:tcPr>
          <w:p w14:paraId="4AC66315">
            <w:pPr>
              <w:rPr>
                <w:rFonts w:ascii="Arial"/>
                <w:sz w:val="21"/>
              </w:rPr>
            </w:pPr>
          </w:p>
        </w:tc>
        <w:tc>
          <w:tcPr>
            <w:tcW w:w="1021" w:type="dxa"/>
            <w:tcBorders>
              <w:bottom w:val="single" w:color="000000" w:sz="6" w:space="0"/>
            </w:tcBorders>
            <w:vAlign w:val="top"/>
          </w:tcPr>
          <w:p w14:paraId="36966201">
            <w:pPr>
              <w:rPr>
                <w:rFonts w:ascii="Arial"/>
                <w:sz w:val="21"/>
              </w:rPr>
            </w:pPr>
          </w:p>
        </w:tc>
        <w:tc>
          <w:tcPr>
            <w:tcW w:w="936" w:type="dxa"/>
            <w:tcBorders>
              <w:bottom w:val="single" w:color="000000" w:sz="6" w:space="0"/>
            </w:tcBorders>
            <w:vAlign w:val="top"/>
          </w:tcPr>
          <w:p w14:paraId="78E57A25">
            <w:pPr>
              <w:rPr>
                <w:rFonts w:ascii="Arial"/>
                <w:sz w:val="21"/>
              </w:rPr>
            </w:pPr>
          </w:p>
        </w:tc>
        <w:tc>
          <w:tcPr>
            <w:tcW w:w="1002" w:type="dxa"/>
            <w:tcBorders>
              <w:bottom w:val="single" w:color="000000" w:sz="6" w:space="0"/>
            </w:tcBorders>
            <w:vAlign w:val="top"/>
          </w:tcPr>
          <w:p w14:paraId="04D26521">
            <w:pPr>
              <w:rPr>
                <w:rFonts w:ascii="Arial"/>
                <w:sz w:val="21"/>
              </w:rPr>
            </w:pPr>
          </w:p>
        </w:tc>
        <w:tc>
          <w:tcPr>
            <w:tcW w:w="1057" w:type="dxa"/>
            <w:tcBorders>
              <w:bottom w:val="single" w:color="000000" w:sz="6" w:space="0"/>
            </w:tcBorders>
            <w:vAlign w:val="top"/>
          </w:tcPr>
          <w:p w14:paraId="4BEC8F12">
            <w:pPr>
              <w:rPr>
                <w:rFonts w:ascii="Arial"/>
                <w:sz w:val="21"/>
              </w:rPr>
            </w:pPr>
          </w:p>
        </w:tc>
        <w:tc>
          <w:tcPr>
            <w:tcW w:w="1072" w:type="dxa"/>
            <w:tcBorders>
              <w:bottom w:val="single" w:color="000000" w:sz="6" w:space="0"/>
            </w:tcBorders>
            <w:vAlign w:val="top"/>
          </w:tcPr>
          <w:p w14:paraId="640F8EEE">
            <w:pPr>
              <w:rPr>
                <w:rFonts w:ascii="Arial"/>
                <w:sz w:val="21"/>
              </w:rPr>
            </w:pPr>
          </w:p>
        </w:tc>
        <w:tc>
          <w:tcPr>
            <w:tcW w:w="1074" w:type="dxa"/>
            <w:tcBorders>
              <w:bottom w:val="single" w:color="000000" w:sz="6" w:space="0"/>
            </w:tcBorders>
            <w:vAlign w:val="top"/>
          </w:tcPr>
          <w:p w14:paraId="01B90E5B">
            <w:pPr>
              <w:rPr>
                <w:rFonts w:ascii="Arial"/>
                <w:sz w:val="21"/>
              </w:rPr>
            </w:pPr>
          </w:p>
        </w:tc>
        <w:tc>
          <w:tcPr>
            <w:tcW w:w="1228" w:type="dxa"/>
            <w:tcBorders>
              <w:bottom w:val="single" w:color="000000" w:sz="6" w:space="0"/>
            </w:tcBorders>
            <w:vAlign w:val="top"/>
          </w:tcPr>
          <w:p w14:paraId="0F6E5C25">
            <w:pPr>
              <w:rPr>
                <w:rFonts w:ascii="Arial"/>
                <w:sz w:val="21"/>
              </w:rPr>
            </w:pPr>
          </w:p>
        </w:tc>
        <w:tc>
          <w:tcPr>
            <w:tcW w:w="1158" w:type="dxa"/>
            <w:tcBorders>
              <w:bottom w:val="single" w:color="000000" w:sz="6" w:space="0"/>
              <w:right w:val="single" w:color="000000" w:sz="6" w:space="0"/>
            </w:tcBorders>
            <w:vAlign w:val="top"/>
          </w:tcPr>
          <w:p w14:paraId="73315CD5">
            <w:pPr>
              <w:rPr>
                <w:rFonts w:ascii="Arial"/>
                <w:sz w:val="21"/>
              </w:rPr>
            </w:pPr>
          </w:p>
        </w:tc>
      </w:tr>
    </w:tbl>
    <w:p w14:paraId="0B620D09">
      <w:pPr>
        <w:spacing w:before="87" w:line="220" w:lineRule="auto"/>
        <w:ind w:left="10732"/>
        <w:rPr>
          <w:rFonts w:ascii="宋体" w:hAnsi="宋体" w:eastAsia="宋体" w:cs="宋体"/>
          <w:sz w:val="18"/>
          <w:szCs w:val="18"/>
        </w:rPr>
      </w:pPr>
      <w:r>
        <w:rPr>
          <w:rFonts w:ascii="宋体" w:hAnsi="宋体" w:eastAsia="宋体" w:cs="宋体"/>
          <w:spacing w:val="-2"/>
          <w:sz w:val="18"/>
          <w:szCs w:val="18"/>
        </w:rPr>
        <w:t>法定代表人</w:t>
      </w:r>
    </w:p>
    <w:p w14:paraId="7A5DD8DC">
      <w:pPr>
        <w:spacing w:before="78" w:line="241" w:lineRule="auto"/>
        <w:ind w:left="10550" w:right="365"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6"/>
          <w:sz w:val="18"/>
          <w:szCs w:val="18"/>
        </w:rPr>
        <w:t>）：</w:t>
      </w:r>
      <w:r>
        <w:rPr>
          <w:rFonts w:ascii="宋体" w:hAnsi="宋体" w:eastAsia="宋体" w:cs="宋体"/>
          <w:spacing w:val="-2"/>
          <w:sz w:val="18"/>
          <w:szCs w:val="18"/>
        </w:rPr>
        <w:t>________（签</w:t>
      </w:r>
      <w:r>
        <w:rPr>
          <w:rFonts w:ascii="宋体" w:hAnsi="宋体" w:eastAsia="宋体" w:cs="宋体"/>
          <w:spacing w:val="-5"/>
          <w:sz w:val="18"/>
          <w:szCs w:val="18"/>
        </w:rPr>
        <w:t>字）</w:t>
      </w:r>
    </w:p>
    <w:p w14:paraId="1F7ACEBC">
      <w:pPr>
        <w:spacing w:line="241" w:lineRule="auto"/>
        <w:rPr>
          <w:rFonts w:ascii="宋体" w:hAnsi="宋体" w:eastAsia="宋体" w:cs="宋体"/>
          <w:sz w:val="18"/>
          <w:szCs w:val="18"/>
        </w:rPr>
        <w:sectPr>
          <w:footerReference r:id="rId166" w:type="default"/>
          <w:pgSz w:w="16843" w:h="11905" w:orient="landscape"/>
          <w:pgMar w:top="1480" w:right="969" w:bottom="1355" w:left="1026" w:header="0" w:footer="754" w:gutter="0"/>
          <w:cols w:space="0" w:num="1"/>
          <w:rtlGutter w:val="0"/>
          <w:docGrid w:linePitch="0" w:charSpace="0"/>
        </w:sectPr>
      </w:pPr>
    </w:p>
    <w:p w14:paraId="53FC2884">
      <w:pPr>
        <w:pStyle w:val="5"/>
        <w:spacing w:line="276" w:lineRule="auto"/>
      </w:pPr>
    </w:p>
    <w:p w14:paraId="6BE6AEE4">
      <w:pPr>
        <w:pStyle w:val="5"/>
        <w:spacing w:line="276" w:lineRule="auto"/>
      </w:pPr>
    </w:p>
    <w:p w14:paraId="052E3F3D">
      <w:pPr>
        <w:pStyle w:val="5"/>
        <w:spacing w:line="276" w:lineRule="auto"/>
      </w:pPr>
    </w:p>
    <w:p w14:paraId="13616003">
      <w:pPr>
        <w:pStyle w:val="5"/>
        <w:spacing w:line="276" w:lineRule="auto"/>
      </w:pPr>
    </w:p>
    <w:p w14:paraId="6F5FD19C">
      <w:pPr>
        <w:spacing w:before="78" w:line="233" w:lineRule="auto"/>
        <w:ind w:left="19"/>
        <w:outlineLvl w:val="2"/>
        <w:rPr>
          <w:rFonts w:ascii="黑体" w:hAnsi="黑体" w:eastAsia="黑体" w:cs="黑体"/>
          <w:sz w:val="24"/>
          <w:szCs w:val="24"/>
        </w:rPr>
      </w:pPr>
      <w:bookmarkStart w:id="1279" w:name="bookmark391"/>
      <w:bookmarkEnd w:id="1279"/>
      <w:r>
        <w:rPr>
          <w:rFonts w:ascii="Times New Roman" w:hAnsi="Times New Roman" w:eastAsia="Times New Roman" w:cs="Times New Roman"/>
          <w:spacing w:val="-1"/>
          <w:sz w:val="24"/>
          <w:szCs w:val="24"/>
        </w:rPr>
        <w:t xml:space="preserve">3.17 </w:t>
      </w:r>
      <w:r>
        <w:rPr>
          <w:rFonts w:ascii="黑体" w:hAnsi="黑体" w:eastAsia="黑体" w:cs="黑体"/>
          <w:spacing w:val="-1"/>
          <w:sz w:val="24"/>
          <w:szCs w:val="24"/>
        </w:rPr>
        <w:t>招标人供应材料价格汇总表</w:t>
      </w:r>
    </w:p>
    <w:p w14:paraId="2B89187B">
      <w:pPr>
        <w:spacing w:before="170" w:line="218" w:lineRule="auto"/>
        <w:ind w:left="4580"/>
        <w:rPr>
          <w:rFonts w:ascii="宋体" w:hAnsi="宋体" w:eastAsia="宋体" w:cs="宋体"/>
          <w:sz w:val="40"/>
          <w:szCs w:val="40"/>
        </w:rPr>
      </w:pPr>
      <w:bookmarkStart w:id="1280" w:name="bookmark625"/>
      <w:bookmarkEnd w:id="1280"/>
      <w:r>
        <w:rPr>
          <w:rFonts w:ascii="宋体" w:hAnsi="宋体" w:eastAsia="宋体" w:cs="宋体"/>
          <w:b/>
          <w:bCs/>
          <w:spacing w:val="-5"/>
          <w:sz w:val="40"/>
          <w:szCs w:val="40"/>
        </w:rPr>
        <w:t>招标人供应材料价格汇总表</w:t>
      </w:r>
    </w:p>
    <w:p w14:paraId="19C9B9D9">
      <w:pPr>
        <w:spacing w:before="180"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63A683CF">
      <w:pPr>
        <w:spacing w:before="192" w:line="228" w:lineRule="auto"/>
        <w:ind w:left="127"/>
        <w:rPr>
          <w:rFonts w:ascii="宋体" w:hAnsi="宋体" w:eastAsia="宋体" w:cs="宋体"/>
          <w:sz w:val="19"/>
          <w:szCs w:val="19"/>
        </w:rPr>
      </w:pPr>
      <w:r>
        <w:rPr>
          <w:rFonts w:ascii="宋体" w:hAnsi="宋体" w:eastAsia="宋体" w:cs="宋体"/>
          <w:spacing w:val="1"/>
          <w:sz w:val="19"/>
          <w:szCs w:val="19"/>
        </w:rPr>
        <w:t>工程名称：                                                                                                                    第</w:t>
      </w:r>
      <w:r>
        <w:rPr>
          <w:rFonts w:ascii="宋体" w:hAnsi="宋体" w:eastAsia="宋体" w:cs="宋体"/>
          <w:spacing w:val="38"/>
          <w:sz w:val="19"/>
          <w:szCs w:val="19"/>
        </w:rPr>
        <w:t xml:space="preserve"> </w:t>
      </w:r>
      <w:r>
        <w:rPr>
          <w:rFonts w:ascii="宋体" w:hAnsi="宋体" w:eastAsia="宋体" w:cs="宋体"/>
          <w:spacing w:val="1"/>
          <w:sz w:val="19"/>
          <w:szCs w:val="19"/>
        </w:rPr>
        <w:t>1 页、共</w:t>
      </w:r>
      <w:r>
        <w:rPr>
          <w:rFonts w:ascii="宋体" w:hAnsi="宋体" w:eastAsia="宋体" w:cs="宋体"/>
          <w:spacing w:val="28"/>
          <w:sz w:val="19"/>
          <w:szCs w:val="19"/>
        </w:rPr>
        <w:t xml:space="preserve"> </w:t>
      </w:r>
      <w:r>
        <w:rPr>
          <w:rFonts w:ascii="宋体" w:hAnsi="宋体" w:eastAsia="宋体" w:cs="宋体"/>
          <w:spacing w:val="1"/>
          <w:sz w:val="19"/>
          <w:szCs w:val="19"/>
        </w:rPr>
        <w:t>1</w:t>
      </w:r>
      <w:r>
        <w:rPr>
          <w:rFonts w:ascii="宋体" w:hAnsi="宋体" w:eastAsia="宋体" w:cs="宋体"/>
          <w:spacing w:val="20"/>
          <w:sz w:val="19"/>
          <w:szCs w:val="19"/>
        </w:rPr>
        <w:t xml:space="preserve"> </w:t>
      </w:r>
      <w:r>
        <w:rPr>
          <w:rFonts w:ascii="宋体" w:hAnsi="宋体" w:eastAsia="宋体" w:cs="宋体"/>
          <w:spacing w:val="1"/>
          <w:sz w:val="19"/>
          <w:szCs w:val="19"/>
        </w:rPr>
        <w:t>页</w:t>
      </w:r>
    </w:p>
    <w:p w14:paraId="128550EA">
      <w:pPr>
        <w:spacing w:line="125" w:lineRule="exact"/>
      </w:pPr>
    </w:p>
    <w:tbl>
      <w:tblPr>
        <w:tblStyle w:val="10"/>
        <w:tblW w:w="1393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969"/>
        <w:gridCol w:w="2403"/>
        <w:gridCol w:w="1594"/>
        <w:gridCol w:w="1146"/>
        <w:gridCol w:w="1364"/>
        <w:gridCol w:w="1362"/>
        <w:gridCol w:w="1362"/>
        <w:gridCol w:w="1365"/>
        <w:gridCol w:w="1390"/>
      </w:tblGrid>
      <w:tr w14:paraId="7B7D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78" w:type="dxa"/>
            <w:tcBorders>
              <w:top w:val="single" w:color="000000" w:sz="6" w:space="0"/>
              <w:left w:val="single" w:color="000000" w:sz="6" w:space="0"/>
            </w:tcBorders>
            <w:vAlign w:val="top"/>
          </w:tcPr>
          <w:p w14:paraId="6955A3F3">
            <w:pPr>
              <w:pStyle w:val="11"/>
              <w:spacing w:before="164" w:line="230" w:lineRule="auto"/>
              <w:ind w:left="284"/>
              <w:rPr>
                <w:sz w:val="19"/>
                <w:szCs w:val="19"/>
              </w:rPr>
            </w:pPr>
            <w:r>
              <w:rPr>
                <w:spacing w:val="5"/>
                <w:sz w:val="19"/>
                <w:szCs w:val="19"/>
              </w:rPr>
              <w:t>序号</w:t>
            </w:r>
          </w:p>
        </w:tc>
        <w:tc>
          <w:tcPr>
            <w:tcW w:w="969" w:type="dxa"/>
            <w:tcBorders>
              <w:top w:val="single" w:color="000000" w:sz="6" w:space="0"/>
            </w:tcBorders>
            <w:vAlign w:val="top"/>
          </w:tcPr>
          <w:p w14:paraId="6EA37973">
            <w:pPr>
              <w:pStyle w:val="11"/>
              <w:spacing w:before="165" w:line="228" w:lineRule="auto"/>
              <w:ind w:left="281"/>
              <w:rPr>
                <w:sz w:val="19"/>
                <w:szCs w:val="19"/>
              </w:rPr>
            </w:pPr>
            <w:r>
              <w:rPr>
                <w:spacing w:val="4"/>
                <w:sz w:val="19"/>
                <w:szCs w:val="19"/>
              </w:rPr>
              <w:t>编码</w:t>
            </w:r>
          </w:p>
        </w:tc>
        <w:tc>
          <w:tcPr>
            <w:tcW w:w="2403" w:type="dxa"/>
            <w:tcBorders>
              <w:top w:val="single" w:color="000000" w:sz="6" w:space="0"/>
            </w:tcBorders>
            <w:vAlign w:val="top"/>
          </w:tcPr>
          <w:p w14:paraId="096103EA">
            <w:pPr>
              <w:pStyle w:val="11"/>
              <w:spacing w:before="164" w:line="228" w:lineRule="auto"/>
              <w:ind w:left="798"/>
              <w:rPr>
                <w:sz w:val="19"/>
                <w:szCs w:val="19"/>
              </w:rPr>
            </w:pPr>
            <w:r>
              <w:rPr>
                <w:spacing w:val="7"/>
                <w:sz w:val="19"/>
                <w:szCs w:val="19"/>
              </w:rPr>
              <w:t>材料名称</w:t>
            </w:r>
          </w:p>
        </w:tc>
        <w:tc>
          <w:tcPr>
            <w:tcW w:w="1594" w:type="dxa"/>
            <w:tcBorders>
              <w:top w:val="single" w:color="000000" w:sz="6" w:space="0"/>
            </w:tcBorders>
            <w:vAlign w:val="top"/>
          </w:tcPr>
          <w:p w14:paraId="4AF48641">
            <w:pPr>
              <w:pStyle w:val="11"/>
              <w:spacing w:before="165" w:line="228" w:lineRule="auto"/>
              <w:ind w:left="404"/>
              <w:rPr>
                <w:sz w:val="19"/>
                <w:szCs w:val="19"/>
              </w:rPr>
            </w:pPr>
            <w:r>
              <w:rPr>
                <w:spacing w:val="5"/>
                <w:sz w:val="19"/>
                <w:szCs w:val="19"/>
              </w:rPr>
              <w:t>型号规格</w:t>
            </w:r>
          </w:p>
        </w:tc>
        <w:tc>
          <w:tcPr>
            <w:tcW w:w="1146" w:type="dxa"/>
            <w:tcBorders>
              <w:top w:val="single" w:color="000000" w:sz="6" w:space="0"/>
            </w:tcBorders>
            <w:vAlign w:val="top"/>
          </w:tcPr>
          <w:p w14:paraId="541B0A09">
            <w:pPr>
              <w:pStyle w:val="11"/>
              <w:spacing w:before="165" w:line="229" w:lineRule="auto"/>
              <w:ind w:left="177"/>
              <w:rPr>
                <w:sz w:val="19"/>
                <w:szCs w:val="19"/>
              </w:rPr>
            </w:pPr>
            <w:r>
              <w:rPr>
                <w:spacing w:val="7"/>
                <w:sz w:val="19"/>
                <w:szCs w:val="19"/>
              </w:rPr>
              <w:t>计量单位</w:t>
            </w:r>
          </w:p>
        </w:tc>
        <w:tc>
          <w:tcPr>
            <w:tcW w:w="1364" w:type="dxa"/>
            <w:tcBorders>
              <w:top w:val="single" w:color="000000" w:sz="6" w:space="0"/>
            </w:tcBorders>
            <w:vAlign w:val="top"/>
          </w:tcPr>
          <w:p w14:paraId="6E4ABE4F">
            <w:pPr>
              <w:pStyle w:val="11"/>
              <w:spacing w:before="34" w:line="227" w:lineRule="auto"/>
              <w:ind w:left="387"/>
              <w:rPr>
                <w:sz w:val="19"/>
                <w:szCs w:val="19"/>
              </w:rPr>
            </w:pPr>
            <w:r>
              <w:rPr>
                <w:spacing w:val="6"/>
                <w:sz w:val="19"/>
                <w:szCs w:val="19"/>
              </w:rPr>
              <w:t>供应价</w:t>
            </w:r>
          </w:p>
          <w:p w14:paraId="7F49A43A">
            <w:pPr>
              <w:pStyle w:val="11"/>
              <w:spacing w:before="26" w:line="215" w:lineRule="auto"/>
              <w:ind w:left="397"/>
              <w:rPr>
                <w:sz w:val="19"/>
                <w:szCs w:val="19"/>
              </w:rPr>
            </w:pPr>
            <w:r>
              <w:rPr>
                <w:spacing w:val="-2"/>
                <w:sz w:val="19"/>
                <w:szCs w:val="19"/>
              </w:rPr>
              <w:t>（元）</w:t>
            </w:r>
          </w:p>
        </w:tc>
        <w:tc>
          <w:tcPr>
            <w:tcW w:w="1362" w:type="dxa"/>
            <w:tcBorders>
              <w:top w:val="single" w:color="000000" w:sz="6" w:space="0"/>
            </w:tcBorders>
            <w:vAlign w:val="top"/>
          </w:tcPr>
          <w:p w14:paraId="6E549C0E">
            <w:pPr>
              <w:pStyle w:val="11"/>
              <w:spacing w:before="34" w:line="227" w:lineRule="auto"/>
              <w:ind w:left="387"/>
              <w:rPr>
                <w:sz w:val="19"/>
                <w:szCs w:val="19"/>
              </w:rPr>
            </w:pPr>
            <w:r>
              <w:rPr>
                <w:spacing w:val="6"/>
                <w:sz w:val="19"/>
                <w:szCs w:val="19"/>
              </w:rPr>
              <w:t>预算价</w:t>
            </w:r>
          </w:p>
          <w:p w14:paraId="25560021">
            <w:pPr>
              <w:pStyle w:val="11"/>
              <w:spacing w:before="26" w:line="215" w:lineRule="auto"/>
              <w:ind w:left="396"/>
              <w:rPr>
                <w:sz w:val="19"/>
                <w:szCs w:val="19"/>
              </w:rPr>
            </w:pPr>
            <w:r>
              <w:rPr>
                <w:spacing w:val="-2"/>
                <w:sz w:val="19"/>
                <w:szCs w:val="19"/>
              </w:rPr>
              <w:t>（元）</w:t>
            </w:r>
          </w:p>
        </w:tc>
        <w:tc>
          <w:tcPr>
            <w:tcW w:w="1362" w:type="dxa"/>
            <w:tcBorders>
              <w:top w:val="single" w:color="000000" w:sz="6" w:space="0"/>
            </w:tcBorders>
            <w:vAlign w:val="top"/>
          </w:tcPr>
          <w:p w14:paraId="40CF3271">
            <w:pPr>
              <w:pStyle w:val="11"/>
              <w:spacing w:before="164" w:line="228" w:lineRule="auto"/>
              <w:ind w:left="293"/>
              <w:rPr>
                <w:sz w:val="19"/>
                <w:szCs w:val="19"/>
              </w:rPr>
            </w:pPr>
            <w:r>
              <w:rPr>
                <w:spacing w:val="6"/>
                <w:sz w:val="19"/>
                <w:szCs w:val="19"/>
              </w:rPr>
              <w:t>交货方式</w:t>
            </w:r>
          </w:p>
        </w:tc>
        <w:tc>
          <w:tcPr>
            <w:tcW w:w="1365" w:type="dxa"/>
            <w:tcBorders>
              <w:top w:val="single" w:color="000000" w:sz="6" w:space="0"/>
            </w:tcBorders>
            <w:vAlign w:val="top"/>
          </w:tcPr>
          <w:p w14:paraId="22D9CDEC">
            <w:pPr>
              <w:pStyle w:val="11"/>
              <w:spacing w:before="164" w:line="233" w:lineRule="auto"/>
              <w:ind w:left="289"/>
              <w:rPr>
                <w:sz w:val="19"/>
                <w:szCs w:val="19"/>
              </w:rPr>
            </w:pPr>
            <w:r>
              <w:rPr>
                <w:spacing w:val="7"/>
                <w:sz w:val="19"/>
                <w:szCs w:val="19"/>
              </w:rPr>
              <w:t>送达地点</w:t>
            </w:r>
          </w:p>
        </w:tc>
        <w:tc>
          <w:tcPr>
            <w:tcW w:w="1390" w:type="dxa"/>
            <w:tcBorders>
              <w:top w:val="single" w:color="000000" w:sz="6" w:space="0"/>
              <w:right w:val="single" w:color="000000" w:sz="6" w:space="0"/>
            </w:tcBorders>
            <w:vAlign w:val="top"/>
          </w:tcPr>
          <w:p w14:paraId="1498DDCC">
            <w:pPr>
              <w:pStyle w:val="11"/>
              <w:spacing w:before="164" w:line="230" w:lineRule="auto"/>
              <w:ind w:left="503"/>
              <w:rPr>
                <w:sz w:val="19"/>
                <w:szCs w:val="19"/>
              </w:rPr>
            </w:pPr>
            <w:r>
              <w:rPr>
                <w:spacing w:val="4"/>
                <w:sz w:val="19"/>
                <w:szCs w:val="19"/>
              </w:rPr>
              <w:t>备注</w:t>
            </w:r>
          </w:p>
        </w:tc>
      </w:tr>
      <w:tr w14:paraId="2795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0BABDDAE">
            <w:pPr>
              <w:rPr>
                <w:rFonts w:ascii="Arial"/>
                <w:sz w:val="21"/>
              </w:rPr>
            </w:pPr>
          </w:p>
        </w:tc>
        <w:tc>
          <w:tcPr>
            <w:tcW w:w="969" w:type="dxa"/>
            <w:vAlign w:val="top"/>
          </w:tcPr>
          <w:p w14:paraId="6395837E">
            <w:pPr>
              <w:rPr>
                <w:rFonts w:ascii="Arial"/>
                <w:sz w:val="21"/>
              </w:rPr>
            </w:pPr>
          </w:p>
        </w:tc>
        <w:tc>
          <w:tcPr>
            <w:tcW w:w="2403" w:type="dxa"/>
            <w:vAlign w:val="top"/>
          </w:tcPr>
          <w:p w14:paraId="037562B9">
            <w:pPr>
              <w:rPr>
                <w:rFonts w:ascii="Arial"/>
                <w:sz w:val="21"/>
              </w:rPr>
            </w:pPr>
          </w:p>
        </w:tc>
        <w:tc>
          <w:tcPr>
            <w:tcW w:w="1594" w:type="dxa"/>
            <w:vAlign w:val="top"/>
          </w:tcPr>
          <w:p w14:paraId="6EFB2BC3">
            <w:pPr>
              <w:rPr>
                <w:rFonts w:ascii="Arial"/>
                <w:sz w:val="21"/>
              </w:rPr>
            </w:pPr>
          </w:p>
        </w:tc>
        <w:tc>
          <w:tcPr>
            <w:tcW w:w="1146" w:type="dxa"/>
            <w:vAlign w:val="top"/>
          </w:tcPr>
          <w:p w14:paraId="7C536D14">
            <w:pPr>
              <w:rPr>
                <w:rFonts w:ascii="Arial"/>
                <w:sz w:val="21"/>
              </w:rPr>
            </w:pPr>
          </w:p>
        </w:tc>
        <w:tc>
          <w:tcPr>
            <w:tcW w:w="1364" w:type="dxa"/>
            <w:vAlign w:val="top"/>
          </w:tcPr>
          <w:p w14:paraId="7859B25A">
            <w:pPr>
              <w:rPr>
                <w:rFonts w:ascii="Arial"/>
                <w:sz w:val="21"/>
              </w:rPr>
            </w:pPr>
          </w:p>
        </w:tc>
        <w:tc>
          <w:tcPr>
            <w:tcW w:w="1362" w:type="dxa"/>
            <w:vAlign w:val="top"/>
          </w:tcPr>
          <w:p w14:paraId="3B54FABB">
            <w:pPr>
              <w:rPr>
                <w:rFonts w:ascii="Arial"/>
                <w:sz w:val="21"/>
              </w:rPr>
            </w:pPr>
          </w:p>
        </w:tc>
        <w:tc>
          <w:tcPr>
            <w:tcW w:w="1362" w:type="dxa"/>
            <w:vAlign w:val="top"/>
          </w:tcPr>
          <w:p w14:paraId="4DB47B77">
            <w:pPr>
              <w:rPr>
                <w:rFonts w:ascii="Arial"/>
                <w:sz w:val="21"/>
              </w:rPr>
            </w:pPr>
          </w:p>
        </w:tc>
        <w:tc>
          <w:tcPr>
            <w:tcW w:w="1365" w:type="dxa"/>
            <w:vAlign w:val="top"/>
          </w:tcPr>
          <w:p w14:paraId="646D8C63">
            <w:pPr>
              <w:rPr>
                <w:rFonts w:ascii="Arial"/>
                <w:sz w:val="21"/>
              </w:rPr>
            </w:pPr>
          </w:p>
        </w:tc>
        <w:tc>
          <w:tcPr>
            <w:tcW w:w="1390" w:type="dxa"/>
            <w:tcBorders>
              <w:right w:val="single" w:color="000000" w:sz="6" w:space="0"/>
            </w:tcBorders>
            <w:vAlign w:val="top"/>
          </w:tcPr>
          <w:p w14:paraId="38735392">
            <w:pPr>
              <w:rPr>
                <w:rFonts w:ascii="Arial"/>
                <w:sz w:val="21"/>
              </w:rPr>
            </w:pPr>
          </w:p>
        </w:tc>
      </w:tr>
      <w:tr w14:paraId="13B0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41A984ED">
            <w:pPr>
              <w:rPr>
                <w:rFonts w:ascii="Arial"/>
                <w:sz w:val="21"/>
              </w:rPr>
            </w:pPr>
          </w:p>
        </w:tc>
        <w:tc>
          <w:tcPr>
            <w:tcW w:w="969" w:type="dxa"/>
            <w:vAlign w:val="top"/>
          </w:tcPr>
          <w:p w14:paraId="51F89D5D">
            <w:pPr>
              <w:rPr>
                <w:rFonts w:ascii="Arial"/>
                <w:sz w:val="21"/>
              </w:rPr>
            </w:pPr>
          </w:p>
        </w:tc>
        <w:tc>
          <w:tcPr>
            <w:tcW w:w="2403" w:type="dxa"/>
            <w:vAlign w:val="top"/>
          </w:tcPr>
          <w:p w14:paraId="4D57D6AD">
            <w:pPr>
              <w:rPr>
                <w:rFonts w:ascii="Arial"/>
                <w:sz w:val="21"/>
              </w:rPr>
            </w:pPr>
          </w:p>
        </w:tc>
        <w:tc>
          <w:tcPr>
            <w:tcW w:w="1594" w:type="dxa"/>
            <w:vAlign w:val="top"/>
          </w:tcPr>
          <w:p w14:paraId="7D55B309">
            <w:pPr>
              <w:rPr>
                <w:rFonts w:ascii="Arial"/>
                <w:sz w:val="21"/>
              </w:rPr>
            </w:pPr>
          </w:p>
        </w:tc>
        <w:tc>
          <w:tcPr>
            <w:tcW w:w="1146" w:type="dxa"/>
            <w:vAlign w:val="top"/>
          </w:tcPr>
          <w:p w14:paraId="6A4E1452">
            <w:pPr>
              <w:rPr>
                <w:rFonts w:ascii="Arial"/>
                <w:sz w:val="21"/>
              </w:rPr>
            </w:pPr>
          </w:p>
        </w:tc>
        <w:tc>
          <w:tcPr>
            <w:tcW w:w="1364" w:type="dxa"/>
            <w:vAlign w:val="top"/>
          </w:tcPr>
          <w:p w14:paraId="337D9AB1">
            <w:pPr>
              <w:rPr>
                <w:rFonts w:ascii="Arial"/>
                <w:sz w:val="21"/>
              </w:rPr>
            </w:pPr>
          </w:p>
        </w:tc>
        <w:tc>
          <w:tcPr>
            <w:tcW w:w="1362" w:type="dxa"/>
            <w:vAlign w:val="top"/>
          </w:tcPr>
          <w:p w14:paraId="6C5F406F">
            <w:pPr>
              <w:rPr>
                <w:rFonts w:ascii="Arial"/>
                <w:sz w:val="21"/>
              </w:rPr>
            </w:pPr>
          </w:p>
        </w:tc>
        <w:tc>
          <w:tcPr>
            <w:tcW w:w="1362" w:type="dxa"/>
            <w:vAlign w:val="top"/>
          </w:tcPr>
          <w:p w14:paraId="736F782E">
            <w:pPr>
              <w:rPr>
                <w:rFonts w:ascii="Arial"/>
                <w:sz w:val="21"/>
              </w:rPr>
            </w:pPr>
          </w:p>
        </w:tc>
        <w:tc>
          <w:tcPr>
            <w:tcW w:w="1365" w:type="dxa"/>
            <w:vAlign w:val="top"/>
          </w:tcPr>
          <w:p w14:paraId="7966414E">
            <w:pPr>
              <w:rPr>
                <w:rFonts w:ascii="Arial"/>
                <w:sz w:val="21"/>
              </w:rPr>
            </w:pPr>
          </w:p>
        </w:tc>
        <w:tc>
          <w:tcPr>
            <w:tcW w:w="1390" w:type="dxa"/>
            <w:tcBorders>
              <w:right w:val="single" w:color="000000" w:sz="6" w:space="0"/>
            </w:tcBorders>
            <w:vAlign w:val="top"/>
          </w:tcPr>
          <w:p w14:paraId="51A88554">
            <w:pPr>
              <w:rPr>
                <w:rFonts w:ascii="Arial"/>
                <w:sz w:val="21"/>
              </w:rPr>
            </w:pPr>
          </w:p>
        </w:tc>
      </w:tr>
      <w:tr w14:paraId="4AF1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6A7B0A5D">
            <w:pPr>
              <w:rPr>
                <w:rFonts w:ascii="Arial"/>
                <w:sz w:val="21"/>
              </w:rPr>
            </w:pPr>
          </w:p>
        </w:tc>
        <w:tc>
          <w:tcPr>
            <w:tcW w:w="969" w:type="dxa"/>
            <w:vAlign w:val="top"/>
          </w:tcPr>
          <w:p w14:paraId="55BB79F4">
            <w:pPr>
              <w:rPr>
                <w:rFonts w:ascii="Arial"/>
                <w:sz w:val="21"/>
              </w:rPr>
            </w:pPr>
          </w:p>
        </w:tc>
        <w:tc>
          <w:tcPr>
            <w:tcW w:w="2403" w:type="dxa"/>
            <w:vAlign w:val="top"/>
          </w:tcPr>
          <w:p w14:paraId="0241B0F5">
            <w:pPr>
              <w:rPr>
                <w:rFonts w:ascii="Arial"/>
                <w:sz w:val="21"/>
              </w:rPr>
            </w:pPr>
          </w:p>
        </w:tc>
        <w:tc>
          <w:tcPr>
            <w:tcW w:w="1594" w:type="dxa"/>
            <w:vAlign w:val="top"/>
          </w:tcPr>
          <w:p w14:paraId="6B93AE9A">
            <w:pPr>
              <w:rPr>
                <w:rFonts w:ascii="Arial"/>
                <w:sz w:val="21"/>
              </w:rPr>
            </w:pPr>
          </w:p>
        </w:tc>
        <w:tc>
          <w:tcPr>
            <w:tcW w:w="1146" w:type="dxa"/>
            <w:vAlign w:val="top"/>
          </w:tcPr>
          <w:p w14:paraId="1DE0507D">
            <w:pPr>
              <w:rPr>
                <w:rFonts w:ascii="Arial"/>
                <w:sz w:val="21"/>
              </w:rPr>
            </w:pPr>
          </w:p>
        </w:tc>
        <w:tc>
          <w:tcPr>
            <w:tcW w:w="1364" w:type="dxa"/>
            <w:vAlign w:val="top"/>
          </w:tcPr>
          <w:p w14:paraId="4B2E41AC">
            <w:pPr>
              <w:rPr>
                <w:rFonts w:ascii="Arial"/>
                <w:sz w:val="21"/>
              </w:rPr>
            </w:pPr>
          </w:p>
        </w:tc>
        <w:tc>
          <w:tcPr>
            <w:tcW w:w="1362" w:type="dxa"/>
            <w:vAlign w:val="top"/>
          </w:tcPr>
          <w:p w14:paraId="5C69034B">
            <w:pPr>
              <w:rPr>
                <w:rFonts w:ascii="Arial"/>
                <w:sz w:val="21"/>
              </w:rPr>
            </w:pPr>
          </w:p>
        </w:tc>
        <w:tc>
          <w:tcPr>
            <w:tcW w:w="1362" w:type="dxa"/>
            <w:vAlign w:val="top"/>
          </w:tcPr>
          <w:p w14:paraId="14BDBCF5">
            <w:pPr>
              <w:rPr>
                <w:rFonts w:ascii="Arial"/>
                <w:sz w:val="21"/>
              </w:rPr>
            </w:pPr>
          </w:p>
        </w:tc>
        <w:tc>
          <w:tcPr>
            <w:tcW w:w="1365" w:type="dxa"/>
            <w:vAlign w:val="top"/>
          </w:tcPr>
          <w:p w14:paraId="2CFFFD54">
            <w:pPr>
              <w:rPr>
                <w:rFonts w:ascii="Arial"/>
                <w:sz w:val="21"/>
              </w:rPr>
            </w:pPr>
          </w:p>
        </w:tc>
        <w:tc>
          <w:tcPr>
            <w:tcW w:w="1390" w:type="dxa"/>
            <w:tcBorders>
              <w:right w:val="single" w:color="000000" w:sz="6" w:space="0"/>
            </w:tcBorders>
            <w:vAlign w:val="top"/>
          </w:tcPr>
          <w:p w14:paraId="32C5A049">
            <w:pPr>
              <w:rPr>
                <w:rFonts w:ascii="Arial"/>
                <w:sz w:val="21"/>
              </w:rPr>
            </w:pPr>
          </w:p>
        </w:tc>
      </w:tr>
      <w:tr w14:paraId="7E3A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2522EF7E">
            <w:pPr>
              <w:rPr>
                <w:rFonts w:ascii="Arial"/>
                <w:sz w:val="21"/>
              </w:rPr>
            </w:pPr>
          </w:p>
        </w:tc>
        <w:tc>
          <w:tcPr>
            <w:tcW w:w="969" w:type="dxa"/>
            <w:vAlign w:val="top"/>
          </w:tcPr>
          <w:p w14:paraId="571F4985">
            <w:pPr>
              <w:rPr>
                <w:rFonts w:ascii="Arial"/>
                <w:sz w:val="21"/>
              </w:rPr>
            </w:pPr>
          </w:p>
        </w:tc>
        <w:tc>
          <w:tcPr>
            <w:tcW w:w="2403" w:type="dxa"/>
            <w:vAlign w:val="top"/>
          </w:tcPr>
          <w:p w14:paraId="2D20D720">
            <w:pPr>
              <w:rPr>
                <w:rFonts w:ascii="Arial"/>
                <w:sz w:val="21"/>
              </w:rPr>
            </w:pPr>
          </w:p>
        </w:tc>
        <w:tc>
          <w:tcPr>
            <w:tcW w:w="1594" w:type="dxa"/>
            <w:vAlign w:val="top"/>
          </w:tcPr>
          <w:p w14:paraId="5E3CFA61">
            <w:pPr>
              <w:rPr>
                <w:rFonts w:ascii="Arial"/>
                <w:sz w:val="21"/>
              </w:rPr>
            </w:pPr>
          </w:p>
        </w:tc>
        <w:tc>
          <w:tcPr>
            <w:tcW w:w="1146" w:type="dxa"/>
            <w:vAlign w:val="top"/>
          </w:tcPr>
          <w:p w14:paraId="7AFF99D1">
            <w:pPr>
              <w:rPr>
                <w:rFonts w:ascii="Arial"/>
                <w:sz w:val="21"/>
              </w:rPr>
            </w:pPr>
          </w:p>
        </w:tc>
        <w:tc>
          <w:tcPr>
            <w:tcW w:w="1364" w:type="dxa"/>
            <w:vAlign w:val="top"/>
          </w:tcPr>
          <w:p w14:paraId="290D8264">
            <w:pPr>
              <w:rPr>
                <w:rFonts w:ascii="Arial"/>
                <w:sz w:val="21"/>
              </w:rPr>
            </w:pPr>
          </w:p>
        </w:tc>
        <w:tc>
          <w:tcPr>
            <w:tcW w:w="1362" w:type="dxa"/>
            <w:vAlign w:val="top"/>
          </w:tcPr>
          <w:p w14:paraId="157903DF">
            <w:pPr>
              <w:rPr>
                <w:rFonts w:ascii="Arial"/>
                <w:sz w:val="21"/>
              </w:rPr>
            </w:pPr>
          </w:p>
        </w:tc>
        <w:tc>
          <w:tcPr>
            <w:tcW w:w="1362" w:type="dxa"/>
            <w:vAlign w:val="top"/>
          </w:tcPr>
          <w:p w14:paraId="62F08AEB">
            <w:pPr>
              <w:rPr>
                <w:rFonts w:ascii="Arial"/>
                <w:sz w:val="21"/>
              </w:rPr>
            </w:pPr>
          </w:p>
        </w:tc>
        <w:tc>
          <w:tcPr>
            <w:tcW w:w="1365" w:type="dxa"/>
            <w:vAlign w:val="top"/>
          </w:tcPr>
          <w:p w14:paraId="356BD952">
            <w:pPr>
              <w:rPr>
                <w:rFonts w:ascii="Arial"/>
                <w:sz w:val="21"/>
              </w:rPr>
            </w:pPr>
          </w:p>
        </w:tc>
        <w:tc>
          <w:tcPr>
            <w:tcW w:w="1390" w:type="dxa"/>
            <w:tcBorders>
              <w:right w:val="single" w:color="000000" w:sz="6" w:space="0"/>
            </w:tcBorders>
            <w:vAlign w:val="top"/>
          </w:tcPr>
          <w:p w14:paraId="5C75B364">
            <w:pPr>
              <w:rPr>
                <w:rFonts w:ascii="Arial"/>
                <w:sz w:val="21"/>
              </w:rPr>
            </w:pPr>
          </w:p>
        </w:tc>
      </w:tr>
      <w:tr w14:paraId="4FEE9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4B8FBCA6">
            <w:pPr>
              <w:rPr>
                <w:rFonts w:ascii="Arial"/>
                <w:sz w:val="21"/>
              </w:rPr>
            </w:pPr>
          </w:p>
        </w:tc>
        <w:tc>
          <w:tcPr>
            <w:tcW w:w="969" w:type="dxa"/>
            <w:vAlign w:val="top"/>
          </w:tcPr>
          <w:p w14:paraId="2EC04D31">
            <w:pPr>
              <w:rPr>
                <w:rFonts w:ascii="Arial"/>
                <w:sz w:val="21"/>
              </w:rPr>
            </w:pPr>
          </w:p>
        </w:tc>
        <w:tc>
          <w:tcPr>
            <w:tcW w:w="2403" w:type="dxa"/>
            <w:vAlign w:val="top"/>
          </w:tcPr>
          <w:p w14:paraId="5A5A2A19">
            <w:pPr>
              <w:rPr>
                <w:rFonts w:ascii="Arial"/>
                <w:sz w:val="21"/>
              </w:rPr>
            </w:pPr>
          </w:p>
        </w:tc>
        <w:tc>
          <w:tcPr>
            <w:tcW w:w="1594" w:type="dxa"/>
            <w:vAlign w:val="top"/>
          </w:tcPr>
          <w:p w14:paraId="7A89987A">
            <w:pPr>
              <w:rPr>
                <w:rFonts w:ascii="Arial"/>
                <w:sz w:val="21"/>
              </w:rPr>
            </w:pPr>
          </w:p>
        </w:tc>
        <w:tc>
          <w:tcPr>
            <w:tcW w:w="1146" w:type="dxa"/>
            <w:vAlign w:val="top"/>
          </w:tcPr>
          <w:p w14:paraId="01B46FEC">
            <w:pPr>
              <w:rPr>
                <w:rFonts w:ascii="Arial"/>
                <w:sz w:val="21"/>
              </w:rPr>
            </w:pPr>
          </w:p>
        </w:tc>
        <w:tc>
          <w:tcPr>
            <w:tcW w:w="1364" w:type="dxa"/>
            <w:vAlign w:val="top"/>
          </w:tcPr>
          <w:p w14:paraId="2FB2F5F6">
            <w:pPr>
              <w:rPr>
                <w:rFonts w:ascii="Arial"/>
                <w:sz w:val="21"/>
              </w:rPr>
            </w:pPr>
          </w:p>
        </w:tc>
        <w:tc>
          <w:tcPr>
            <w:tcW w:w="1362" w:type="dxa"/>
            <w:vAlign w:val="top"/>
          </w:tcPr>
          <w:p w14:paraId="6AF987E2">
            <w:pPr>
              <w:rPr>
                <w:rFonts w:ascii="Arial"/>
                <w:sz w:val="21"/>
              </w:rPr>
            </w:pPr>
          </w:p>
        </w:tc>
        <w:tc>
          <w:tcPr>
            <w:tcW w:w="1362" w:type="dxa"/>
            <w:vAlign w:val="top"/>
          </w:tcPr>
          <w:p w14:paraId="15CC590D">
            <w:pPr>
              <w:rPr>
                <w:rFonts w:ascii="Arial"/>
                <w:sz w:val="21"/>
              </w:rPr>
            </w:pPr>
          </w:p>
        </w:tc>
        <w:tc>
          <w:tcPr>
            <w:tcW w:w="1365" w:type="dxa"/>
            <w:vAlign w:val="top"/>
          </w:tcPr>
          <w:p w14:paraId="0F712BFD">
            <w:pPr>
              <w:rPr>
                <w:rFonts w:ascii="Arial"/>
                <w:sz w:val="21"/>
              </w:rPr>
            </w:pPr>
          </w:p>
        </w:tc>
        <w:tc>
          <w:tcPr>
            <w:tcW w:w="1390" w:type="dxa"/>
            <w:tcBorders>
              <w:right w:val="single" w:color="000000" w:sz="6" w:space="0"/>
            </w:tcBorders>
            <w:vAlign w:val="top"/>
          </w:tcPr>
          <w:p w14:paraId="67850702">
            <w:pPr>
              <w:rPr>
                <w:rFonts w:ascii="Arial"/>
                <w:sz w:val="21"/>
              </w:rPr>
            </w:pPr>
          </w:p>
        </w:tc>
      </w:tr>
      <w:tr w14:paraId="5A4E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7FD33F46">
            <w:pPr>
              <w:rPr>
                <w:rFonts w:ascii="Arial"/>
                <w:sz w:val="21"/>
              </w:rPr>
            </w:pPr>
          </w:p>
        </w:tc>
        <w:tc>
          <w:tcPr>
            <w:tcW w:w="969" w:type="dxa"/>
            <w:vAlign w:val="top"/>
          </w:tcPr>
          <w:p w14:paraId="4CD30EC7">
            <w:pPr>
              <w:rPr>
                <w:rFonts w:ascii="Arial"/>
                <w:sz w:val="21"/>
              </w:rPr>
            </w:pPr>
          </w:p>
        </w:tc>
        <w:tc>
          <w:tcPr>
            <w:tcW w:w="2403" w:type="dxa"/>
            <w:vAlign w:val="top"/>
          </w:tcPr>
          <w:p w14:paraId="629ECF66">
            <w:pPr>
              <w:rPr>
                <w:rFonts w:ascii="Arial"/>
                <w:sz w:val="21"/>
              </w:rPr>
            </w:pPr>
          </w:p>
        </w:tc>
        <w:tc>
          <w:tcPr>
            <w:tcW w:w="1594" w:type="dxa"/>
            <w:vAlign w:val="top"/>
          </w:tcPr>
          <w:p w14:paraId="51ED7029">
            <w:pPr>
              <w:rPr>
                <w:rFonts w:ascii="Arial"/>
                <w:sz w:val="21"/>
              </w:rPr>
            </w:pPr>
          </w:p>
        </w:tc>
        <w:tc>
          <w:tcPr>
            <w:tcW w:w="1146" w:type="dxa"/>
            <w:vAlign w:val="top"/>
          </w:tcPr>
          <w:p w14:paraId="01AC7599">
            <w:pPr>
              <w:rPr>
                <w:rFonts w:ascii="Arial"/>
                <w:sz w:val="21"/>
              </w:rPr>
            </w:pPr>
          </w:p>
        </w:tc>
        <w:tc>
          <w:tcPr>
            <w:tcW w:w="1364" w:type="dxa"/>
            <w:vAlign w:val="top"/>
          </w:tcPr>
          <w:p w14:paraId="15F25F74">
            <w:pPr>
              <w:rPr>
                <w:rFonts w:ascii="Arial"/>
                <w:sz w:val="21"/>
              </w:rPr>
            </w:pPr>
          </w:p>
        </w:tc>
        <w:tc>
          <w:tcPr>
            <w:tcW w:w="1362" w:type="dxa"/>
            <w:vAlign w:val="top"/>
          </w:tcPr>
          <w:p w14:paraId="69A6923C">
            <w:pPr>
              <w:rPr>
                <w:rFonts w:ascii="Arial"/>
                <w:sz w:val="21"/>
              </w:rPr>
            </w:pPr>
          </w:p>
        </w:tc>
        <w:tc>
          <w:tcPr>
            <w:tcW w:w="1362" w:type="dxa"/>
            <w:vAlign w:val="top"/>
          </w:tcPr>
          <w:p w14:paraId="360FBA6A">
            <w:pPr>
              <w:rPr>
                <w:rFonts w:ascii="Arial"/>
                <w:sz w:val="21"/>
              </w:rPr>
            </w:pPr>
          </w:p>
        </w:tc>
        <w:tc>
          <w:tcPr>
            <w:tcW w:w="1365" w:type="dxa"/>
            <w:vAlign w:val="top"/>
          </w:tcPr>
          <w:p w14:paraId="713B6554">
            <w:pPr>
              <w:rPr>
                <w:rFonts w:ascii="Arial"/>
                <w:sz w:val="21"/>
              </w:rPr>
            </w:pPr>
          </w:p>
        </w:tc>
        <w:tc>
          <w:tcPr>
            <w:tcW w:w="1390" w:type="dxa"/>
            <w:tcBorders>
              <w:right w:val="single" w:color="000000" w:sz="6" w:space="0"/>
            </w:tcBorders>
            <w:vAlign w:val="top"/>
          </w:tcPr>
          <w:p w14:paraId="4625EAB7">
            <w:pPr>
              <w:rPr>
                <w:rFonts w:ascii="Arial"/>
                <w:sz w:val="21"/>
              </w:rPr>
            </w:pPr>
          </w:p>
        </w:tc>
      </w:tr>
      <w:tr w14:paraId="01D9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19DFFD05">
            <w:pPr>
              <w:rPr>
                <w:rFonts w:ascii="Arial"/>
                <w:sz w:val="21"/>
              </w:rPr>
            </w:pPr>
          </w:p>
        </w:tc>
        <w:tc>
          <w:tcPr>
            <w:tcW w:w="969" w:type="dxa"/>
            <w:vAlign w:val="top"/>
          </w:tcPr>
          <w:p w14:paraId="0699E236">
            <w:pPr>
              <w:rPr>
                <w:rFonts w:ascii="Arial"/>
                <w:sz w:val="21"/>
              </w:rPr>
            </w:pPr>
          </w:p>
        </w:tc>
        <w:tc>
          <w:tcPr>
            <w:tcW w:w="2403" w:type="dxa"/>
            <w:vAlign w:val="top"/>
          </w:tcPr>
          <w:p w14:paraId="38CF311E">
            <w:pPr>
              <w:rPr>
                <w:rFonts w:ascii="Arial"/>
                <w:sz w:val="21"/>
              </w:rPr>
            </w:pPr>
          </w:p>
        </w:tc>
        <w:tc>
          <w:tcPr>
            <w:tcW w:w="1594" w:type="dxa"/>
            <w:vAlign w:val="top"/>
          </w:tcPr>
          <w:p w14:paraId="6F122FC2">
            <w:pPr>
              <w:rPr>
                <w:rFonts w:ascii="Arial"/>
                <w:sz w:val="21"/>
              </w:rPr>
            </w:pPr>
          </w:p>
        </w:tc>
        <w:tc>
          <w:tcPr>
            <w:tcW w:w="1146" w:type="dxa"/>
            <w:vAlign w:val="top"/>
          </w:tcPr>
          <w:p w14:paraId="5D399598">
            <w:pPr>
              <w:rPr>
                <w:rFonts w:ascii="Arial"/>
                <w:sz w:val="21"/>
              </w:rPr>
            </w:pPr>
          </w:p>
        </w:tc>
        <w:tc>
          <w:tcPr>
            <w:tcW w:w="1364" w:type="dxa"/>
            <w:vAlign w:val="top"/>
          </w:tcPr>
          <w:p w14:paraId="37FAE08E">
            <w:pPr>
              <w:rPr>
                <w:rFonts w:ascii="Arial"/>
                <w:sz w:val="21"/>
              </w:rPr>
            </w:pPr>
          </w:p>
        </w:tc>
        <w:tc>
          <w:tcPr>
            <w:tcW w:w="1362" w:type="dxa"/>
            <w:vAlign w:val="top"/>
          </w:tcPr>
          <w:p w14:paraId="683D8CC3">
            <w:pPr>
              <w:rPr>
                <w:rFonts w:ascii="Arial"/>
                <w:sz w:val="21"/>
              </w:rPr>
            </w:pPr>
          </w:p>
        </w:tc>
        <w:tc>
          <w:tcPr>
            <w:tcW w:w="1362" w:type="dxa"/>
            <w:vAlign w:val="top"/>
          </w:tcPr>
          <w:p w14:paraId="527DE75E">
            <w:pPr>
              <w:rPr>
                <w:rFonts w:ascii="Arial"/>
                <w:sz w:val="21"/>
              </w:rPr>
            </w:pPr>
          </w:p>
        </w:tc>
        <w:tc>
          <w:tcPr>
            <w:tcW w:w="1365" w:type="dxa"/>
            <w:vAlign w:val="top"/>
          </w:tcPr>
          <w:p w14:paraId="37625951">
            <w:pPr>
              <w:rPr>
                <w:rFonts w:ascii="Arial"/>
                <w:sz w:val="21"/>
              </w:rPr>
            </w:pPr>
          </w:p>
        </w:tc>
        <w:tc>
          <w:tcPr>
            <w:tcW w:w="1390" w:type="dxa"/>
            <w:tcBorders>
              <w:right w:val="single" w:color="000000" w:sz="6" w:space="0"/>
            </w:tcBorders>
            <w:vAlign w:val="top"/>
          </w:tcPr>
          <w:p w14:paraId="5FC0C3F1">
            <w:pPr>
              <w:rPr>
                <w:rFonts w:ascii="Arial"/>
                <w:sz w:val="21"/>
              </w:rPr>
            </w:pPr>
          </w:p>
        </w:tc>
      </w:tr>
      <w:tr w14:paraId="03CB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1C3A3F24">
            <w:pPr>
              <w:rPr>
                <w:rFonts w:ascii="Arial"/>
                <w:sz w:val="21"/>
              </w:rPr>
            </w:pPr>
          </w:p>
        </w:tc>
        <w:tc>
          <w:tcPr>
            <w:tcW w:w="969" w:type="dxa"/>
            <w:vAlign w:val="top"/>
          </w:tcPr>
          <w:p w14:paraId="7C9FDE80">
            <w:pPr>
              <w:rPr>
                <w:rFonts w:ascii="Arial"/>
                <w:sz w:val="21"/>
              </w:rPr>
            </w:pPr>
          </w:p>
        </w:tc>
        <w:tc>
          <w:tcPr>
            <w:tcW w:w="2403" w:type="dxa"/>
            <w:vAlign w:val="top"/>
          </w:tcPr>
          <w:p w14:paraId="02CD6442">
            <w:pPr>
              <w:rPr>
                <w:rFonts w:ascii="Arial"/>
                <w:sz w:val="21"/>
              </w:rPr>
            </w:pPr>
          </w:p>
        </w:tc>
        <w:tc>
          <w:tcPr>
            <w:tcW w:w="1594" w:type="dxa"/>
            <w:vAlign w:val="top"/>
          </w:tcPr>
          <w:p w14:paraId="6930E0D3">
            <w:pPr>
              <w:rPr>
                <w:rFonts w:ascii="Arial"/>
                <w:sz w:val="21"/>
              </w:rPr>
            </w:pPr>
          </w:p>
        </w:tc>
        <w:tc>
          <w:tcPr>
            <w:tcW w:w="1146" w:type="dxa"/>
            <w:vAlign w:val="top"/>
          </w:tcPr>
          <w:p w14:paraId="1B12F94C">
            <w:pPr>
              <w:rPr>
                <w:rFonts w:ascii="Arial"/>
                <w:sz w:val="21"/>
              </w:rPr>
            </w:pPr>
          </w:p>
        </w:tc>
        <w:tc>
          <w:tcPr>
            <w:tcW w:w="1364" w:type="dxa"/>
            <w:vAlign w:val="top"/>
          </w:tcPr>
          <w:p w14:paraId="32795C60">
            <w:pPr>
              <w:rPr>
                <w:rFonts w:ascii="Arial"/>
                <w:sz w:val="21"/>
              </w:rPr>
            </w:pPr>
          </w:p>
        </w:tc>
        <w:tc>
          <w:tcPr>
            <w:tcW w:w="1362" w:type="dxa"/>
            <w:vAlign w:val="top"/>
          </w:tcPr>
          <w:p w14:paraId="0C924B7C">
            <w:pPr>
              <w:rPr>
                <w:rFonts w:ascii="Arial"/>
                <w:sz w:val="21"/>
              </w:rPr>
            </w:pPr>
          </w:p>
        </w:tc>
        <w:tc>
          <w:tcPr>
            <w:tcW w:w="1362" w:type="dxa"/>
            <w:vAlign w:val="top"/>
          </w:tcPr>
          <w:p w14:paraId="198DFB80">
            <w:pPr>
              <w:rPr>
                <w:rFonts w:ascii="Arial"/>
                <w:sz w:val="21"/>
              </w:rPr>
            </w:pPr>
          </w:p>
        </w:tc>
        <w:tc>
          <w:tcPr>
            <w:tcW w:w="1365" w:type="dxa"/>
            <w:vAlign w:val="top"/>
          </w:tcPr>
          <w:p w14:paraId="3ECA7FF1">
            <w:pPr>
              <w:rPr>
                <w:rFonts w:ascii="Arial"/>
                <w:sz w:val="21"/>
              </w:rPr>
            </w:pPr>
          </w:p>
        </w:tc>
        <w:tc>
          <w:tcPr>
            <w:tcW w:w="1390" w:type="dxa"/>
            <w:tcBorders>
              <w:right w:val="single" w:color="000000" w:sz="6" w:space="0"/>
            </w:tcBorders>
            <w:vAlign w:val="top"/>
          </w:tcPr>
          <w:p w14:paraId="660A7A2C">
            <w:pPr>
              <w:rPr>
                <w:rFonts w:ascii="Arial"/>
                <w:sz w:val="21"/>
              </w:rPr>
            </w:pPr>
          </w:p>
        </w:tc>
      </w:tr>
      <w:tr w14:paraId="68B2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0244721A">
            <w:pPr>
              <w:rPr>
                <w:rFonts w:ascii="Arial"/>
                <w:sz w:val="21"/>
              </w:rPr>
            </w:pPr>
          </w:p>
        </w:tc>
        <w:tc>
          <w:tcPr>
            <w:tcW w:w="969" w:type="dxa"/>
            <w:vAlign w:val="top"/>
          </w:tcPr>
          <w:p w14:paraId="57932E47">
            <w:pPr>
              <w:rPr>
                <w:rFonts w:ascii="Arial"/>
                <w:sz w:val="21"/>
              </w:rPr>
            </w:pPr>
          </w:p>
        </w:tc>
        <w:tc>
          <w:tcPr>
            <w:tcW w:w="2403" w:type="dxa"/>
            <w:vAlign w:val="top"/>
          </w:tcPr>
          <w:p w14:paraId="464947C3">
            <w:pPr>
              <w:rPr>
                <w:rFonts w:ascii="Arial"/>
                <w:sz w:val="21"/>
              </w:rPr>
            </w:pPr>
          </w:p>
        </w:tc>
        <w:tc>
          <w:tcPr>
            <w:tcW w:w="1594" w:type="dxa"/>
            <w:vAlign w:val="top"/>
          </w:tcPr>
          <w:p w14:paraId="7E4C8FBE">
            <w:pPr>
              <w:rPr>
                <w:rFonts w:ascii="Arial"/>
                <w:sz w:val="21"/>
              </w:rPr>
            </w:pPr>
          </w:p>
        </w:tc>
        <w:tc>
          <w:tcPr>
            <w:tcW w:w="1146" w:type="dxa"/>
            <w:vAlign w:val="top"/>
          </w:tcPr>
          <w:p w14:paraId="57FFAA93">
            <w:pPr>
              <w:rPr>
                <w:rFonts w:ascii="Arial"/>
                <w:sz w:val="21"/>
              </w:rPr>
            </w:pPr>
          </w:p>
        </w:tc>
        <w:tc>
          <w:tcPr>
            <w:tcW w:w="1364" w:type="dxa"/>
            <w:vAlign w:val="top"/>
          </w:tcPr>
          <w:p w14:paraId="62DF891C">
            <w:pPr>
              <w:rPr>
                <w:rFonts w:ascii="Arial"/>
                <w:sz w:val="21"/>
              </w:rPr>
            </w:pPr>
          </w:p>
        </w:tc>
        <w:tc>
          <w:tcPr>
            <w:tcW w:w="1362" w:type="dxa"/>
            <w:vAlign w:val="top"/>
          </w:tcPr>
          <w:p w14:paraId="212AAFE9">
            <w:pPr>
              <w:rPr>
                <w:rFonts w:ascii="Arial"/>
                <w:sz w:val="21"/>
              </w:rPr>
            </w:pPr>
          </w:p>
        </w:tc>
        <w:tc>
          <w:tcPr>
            <w:tcW w:w="1362" w:type="dxa"/>
            <w:vAlign w:val="top"/>
          </w:tcPr>
          <w:p w14:paraId="4220EE43">
            <w:pPr>
              <w:rPr>
                <w:rFonts w:ascii="Arial"/>
                <w:sz w:val="21"/>
              </w:rPr>
            </w:pPr>
          </w:p>
        </w:tc>
        <w:tc>
          <w:tcPr>
            <w:tcW w:w="1365" w:type="dxa"/>
            <w:vAlign w:val="top"/>
          </w:tcPr>
          <w:p w14:paraId="3CCFAD15">
            <w:pPr>
              <w:rPr>
                <w:rFonts w:ascii="Arial"/>
                <w:sz w:val="21"/>
              </w:rPr>
            </w:pPr>
          </w:p>
        </w:tc>
        <w:tc>
          <w:tcPr>
            <w:tcW w:w="1390" w:type="dxa"/>
            <w:tcBorders>
              <w:right w:val="single" w:color="000000" w:sz="6" w:space="0"/>
            </w:tcBorders>
            <w:vAlign w:val="top"/>
          </w:tcPr>
          <w:p w14:paraId="47A6B589">
            <w:pPr>
              <w:rPr>
                <w:rFonts w:ascii="Arial"/>
                <w:sz w:val="21"/>
              </w:rPr>
            </w:pPr>
          </w:p>
        </w:tc>
      </w:tr>
      <w:tr w14:paraId="0E49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09FECC62">
            <w:pPr>
              <w:rPr>
                <w:rFonts w:ascii="Arial"/>
                <w:sz w:val="21"/>
              </w:rPr>
            </w:pPr>
          </w:p>
        </w:tc>
        <w:tc>
          <w:tcPr>
            <w:tcW w:w="969" w:type="dxa"/>
            <w:vAlign w:val="top"/>
          </w:tcPr>
          <w:p w14:paraId="764E2D00">
            <w:pPr>
              <w:rPr>
                <w:rFonts w:ascii="Arial"/>
                <w:sz w:val="21"/>
              </w:rPr>
            </w:pPr>
          </w:p>
        </w:tc>
        <w:tc>
          <w:tcPr>
            <w:tcW w:w="2403" w:type="dxa"/>
            <w:vAlign w:val="top"/>
          </w:tcPr>
          <w:p w14:paraId="796585D0">
            <w:pPr>
              <w:rPr>
                <w:rFonts w:ascii="Arial"/>
                <w:sz w:val="21"/>
              </w:rPr>
            </w:pPr>
          </w:p>
        </w:tc>
        <w:tc>
          <w:tcPr>
            <w:tcW w:w="1594" w:type="dxa"/>
            <w:vAlign w:val="top"/>
          </w:tcPr>
          <w:p w14:paraId="3CD326A8">
            <w:pPr>
              <w:rPr>
                <w:rFonts w:ascii="Arial"/>
                <w:sz w:val="21"/>
              </w:rPr>
            </w:pPr>
          </w:p>
        </w:tc>
        <w:tc>
          <w:tcPr>
            <w:tcW w:w="1146" w:type="dxa"/>
            <w:vAlign w:val="top"/>
          </w:tcPr>
          <w:p w14:paraId="5E331593">
            <w:pPr>
              <w:rPr>
                <w:rFonts w:ascii="Arial"/>
                <w:sz w:val="21"/>
              </w:rPr>
            </w:pPr>
          </w:p>
        </w:tc>
        <w:tc>
          <w:tcPr>
            <w:tcW w:w="1364" w:type="dxa"/>
            <w:vAlign w:val="top"/>
          </w:tcPr>
          <w:p w14:paraId="5F138431">
            <w:pPr>
              <w:rPr>
                <w:rFonts w:ascii="Arial"/>
                <w:sz w:val="21"/>
              </w:rPr>
            </w:pPr>
          </w:p>
        </w:tc>
        <w:tc>
          <w:tcPr>
            <w:tcW w:w="1362" w:type="dxa"/>
            <w:vAlign w:val="top"/>
          </w:tcPr>
          <w:p w14:paraId="25885710">
            <w:pPr>
              <w:rPr>
                <w:rFonts w:ascii="Arial"/>
                <w:sz w:val="21"/>
              </w:rPr>
            </w:pPr>
          </w:p>
        </w:tc>
        <w:tc>
          <w:tcPr>
            <w:tcW w:w="1362" w:type="dxa"/>
            <w:vAlign w:val="top"/>
          </w:tcPr>
          <w:p w14:paraId="57D591C6">
            <w:pPr>
              <w:rPr>
                <w:rFonts w:ascii="Arial"/>
                <w:sz w:val="21"/>
              </w:rPr>
            </w:pPr>
          </w:p>
        </w:tc>
        <w:tc>
          <w:tcPr>
            <w:tcW w:w="1365" w:type="dxa"/>
            <w:vAlign w:val="top"/>
          </w:tcPr>
          <w:p w14:paraId="3E47BC96">
            <w:pPr>
              <w:rPr>
                <w:rFonts w:ascii="Arial"/>
                <w:sz w:val="21"/>
              </w:rPr>
            </w:pPr>
          </w:p>
        </w:tc>
        <w:tc>
          <w:tcPr>
            <w:tcW w:w="1390" w:type="dxa"/>
            <w:tcBorders>
              <w:right w:val="single" w:color="000000" w:sz="6" w:space="0"/>
            </w:tcBorders>
            <w:vAlign w:val="top"/>
          </w:tcPr>
          <w:p w14:paraId="24CAB4F5">
            <w:pPr>
              <w:rPr>
                <w:rFonts w:ascii="Arial"/>
                <w:sz w:val="21"/>
              </w:rPr>
            </w:pPr>
          </w:p>
        </w:tc>
      </w:tr>
      <w:tr w14:paraId="67BA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78" w:type="dxa"/>
            <w:tcBorders>
              <w:left w:val="single" w:color="000000" w:sz="6" w:space="0"/>
            </w:tcBorders>
            <w:vAlign w:val="top"/>
          </w:tcPr>
          <w:p w14:paraId="3EB82325">
            <w:pPr>
              <w:rPr>
                <w:rFonts w:ascii="Arial"/>
                <w:sz w:val="21"/>
              </w:rPr>
            </w:pPr>
          </w:p>
        </w:tc>
        <w:tc>
          <w:tcPr>
            <w:tcW w:w="969" w:type="dxa"/>
            <w:vAlign w:val="top"/>
          </w:tcPr>
          <w:p w14:paraId="64D071B6">
            <w:pPr>
              <w:rPr>
                <w:rFonts w:ascii="Arial"/>
                <w:sz w:val="21"/>
              </w:rPr>
            </w:pPr>
          </w:p>
        </w:tc>
        <w:tc>
          <w:tcPr>
            <w:tcW w:w="2403" w:type="dxa"/>
            <w:vAlign w:val="top"/>
          </w:tcPr>
          <w:p w14:paraId="4FF8D8AA">
            <w:pPr>
              <w:rPr>
                <w:rFonts w:ascii="Arial"/>
                <w:sz w:val="21"/>
              </w:rPr>
            </w:pPr>
          </w:p>
        </w:tc>
        <w:tc>
          <w:tcPr>
            <w:tcW w:w="1594" w:type="dxa"/>
            <w:vAlign w:val="top"/>
          </w:tcPr>
          <w:p w14:paraId="3C43A4DD">
            <w:pPr>
              <w:rPr>
                <w:rFonts w:ascii="Arial"/>
                <w:sz w:val="21"/>
              </w:rPr>
            </w:pPr>
          </w:p>
        </w:tc>
        <w:tc>
          <w:tcPr>
            <w:tcW w:w="1146" w:type="dxa"/>
            <w:vAlign w:val="top"/>
          </w:tcPr>
          <w:p w14:paraId="212AE567">
            <w:pPr>
              <w:rPr>
                <w:rFonts w:ascii="Arial"/>
                <w:sz w:val="21"/>
              </w:rPr>
            </w:pPr>
          </w:p>
        </w:tc>
        <w:tc>
          <w:tcPr>
            <w:tcW w:w="1364" w:type="dxa"/>
            <w:vAlign w:val="top"/>
          </w:tcPr>
          <w:p w14:paraId="6DABA6F0">
            <w:pPr>
              <w:rPr>
                <w:rFonts w:ascii="Arial"/>
                <w:sz w:val="21"/>
              </w:rPr>
            </w:pPr>
          </w:p>
        </w:tc>
        <w:tc>
          <w:tcPr>
            <w:tcW w:w="1362" w:type="dxa"/>
            <w:vAlign w:val="top"/>
          </w:tcPr>
          <w:p w14:paraId="1D4FAF54">
            <w:pPr>
              <w:rPr>
                <w:rFonts w:ascii="Arial"/>
                <w:sz w:val="21"/>
              </w:rPr>
            </w:pPr>
          </w:p>
        </w:tc>
        <w:tc>
          <w:tcPr>
            <w:tcW w:w="1362" w:type="dxa"/>
            <w:vAlign w:val="top"/>
          </w:tcPr>
          <w:p w14:paraId="5AEEABCA">
            <w:pPr>
              <w:rPr>
                <w:rFonts w:ascii="Arial"/>
                <w:sz w:val="21"/>
              </w:rPr>
            </w:pPr>
          </w:p>
        </w:tc>
        <w:tc>
          <w:tcPr>
            <w:tcW w:w="1365" w:type="dxa"/>
            <w:vAlign w:val="top"/>
          </w:tcPr>
          <w:p w14:paraId="0AECFB5C">
            <w:pPr>
              <w:rPr>
                <w:rFonts w:ascii="Arial"/>
                <w:sz w:val="21"/>
              </w:rPr>
            </w:pPr>
          </w:p>
        </w:tc>
        <w:tc>
          <w:tcPr>
            <w:tcW w:w="1390" w:type="dxa"/>
            <w:tcBorders>
              <w:right w:val="single" w:color="000000" w:sz="6" w:space="0"/>
            </w:tcBorders>
            <w:vAlign w:val="top"/>
          </w:tcPr>
          <w:p w14:paraId="456A0693">
            <w:pPr>
              <w:rPr>
                <w:rFonts w:ascii="Arial"/>
                <w:sz w:val="21"/>
              </w:rPr>
            </w:pPr>
          </w:p>
        </w:tc>
      </w:tr>
      <w:tr w14:paraId="5236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78" w:type="dxa"/>
            <w:tcBorders>
              <w:left w:val="single" w:color="000000" w:sz="6" w:space="0"/>
            </w:tcBorders>
            <w:vAlign w:val="top"/>
          </w:tcPr>
          <w:p w14:paraId="10827BC5">
            <w:pPr>
              <w:rPr>
                <w:rFonts w:ascii="Arial"/>
                <w:sz w:val="21"/>
              </w:rPr>
            </w:pPr>
          </w:p>
        </w:tc>
        <w:tc>
          <w:tcPr>
            <w:tcW w:w="969" w:type="dxa"/>
            <w:vAlign w:val="top"/>
          </w:tcPr>
          <w:p w14:paraId="76C8D4C1">
            <w:pPr>
              <w:rPr>
                <w:rFonts w:ascii="Arial"/>
                <w:sz w:val="21"/>
              </w:rPr>
            </w:pPr>
          </w:p>
        </w:tc>
        <w:tc>
          <w:tcPr>
            <w:tcW w:w="2403" w:type="dxa"/>
            <w:vAlign w:val="top"/>
          </w:tcPr>
          <w:p w14:paraId="09C5F558">
            <w:pPr>
              <w:rPr>
                <w:rFonts w:ascii="Arial"/>
                <w:sz w:val="21"/>
              </w:rPr>
            </w:pPr>
          </w:p>
        </w:tc>
        <w:tc>
          <w:tcPr>
            <w:tcW w:w="1594" w:type="dxa"/>
            <w:vAlign w:val="top"/>
          </w:tcPr>
          <w:p w14:paraId="59211804">
            <w:pPr>
              <w:rPr>
                <w:rFonts w:ascii="Arial"/>
                <w:sz w:val="21"/>
              </w:rPr>
            </w:pPr>
          </w:p>
        </w:tc>
        <w:tc>
          <w:tcPr>
            <w:tcW w:w="1146" w:type="dxa"/>
            <w:vAlign w:val="top"/>
          </w:tcPr>
          <w:p w14:paraId="5D854F17">
            <w:pPr>
              <w:rPr>
                <w:rFonts w:ascii="Arial"/>
                <w:sz w:val="21"/>
              </w:rPr>
            </w:pPr>
          </w:p>
        </w:tc>
        <w:tc>
          <w:tcPr>
            <w:tcW w:w="1364" w:type="dxa"/>
            <w:vAlign w:val="top"/>
          </w:tcPr>
          <w:p w14:paraId="7BE4EE51">
            <w:pPr>
              <w:rPr>
                <w:rFonts w:ascii="Arial"/>
                <w:sz w:val="21"/>
              </w:rPr>
            </w:pPr>
          </w:p>
        </w:tc>
        <w:tc>
          <w:tcPr>
            <w:tcW w:w="1362" w:type="dxa"/>
            <w:vAlign w:val="top"/>
          </w:tcPr>
          <w:p w14:paraId="7FB7022B">
            <w:pPr>
              <w:rPr>
                <w:rFonts w:ascii="Arial"/>
                <w:sz w:val="21"/>
              </w:rPr>
            </w:pPr>
          </w:p>
        </w:tc>
        <w:tc>
          <w:tcPr>
            <w:tcW w:w="1362" w:type="dxa"/>
            <w:vAlign w:val="top"/>
          </w:tcPr>
          <w:p w14:paraId="0F8D0BA9">
            <w:pPr>
              <w:rPr>
                <w:rFonts w:ascii="Arial"/>
                <w:sz w:val="21"/>
              </w:rPr>
            </w:pPr>
          </w:p>
        </w:tc>
        <w:tc>
          <w:tcPr>
            <w:tcW w:w="1365" w:type="dxa"/>
            <w:vAlign w:val="top"/>
          </w:tcPr>
          <w:p w14:paraId="3DAAE490">
            <w:pPr>
              <w:rPr>
                <w:rFonts w:ascii="Arial"/>
                <w:sz w:val="21"/>
              </w:rPr>
            </w:pPr>
          </w:p>
        </w:tc>
        <w:tc>
          <w:tcPr>
            <w:tcW w:w="1390" w:type="dxa"/>
            <w:tcBorders>
              <w:right w:val="single" w:color="000000" w:sz="6" w:space="0"/>
            </w:tcBorders>
            <w:vAlign w:val="top"/>
          </w:tcPr>
          <w:p w14:paraId="0C3E299E">
            <w:pPr>
              <w:rPr>
                <w:rFonts w:ascii="Arial"/>
                <w:sz w:val="21"/>
              </w:rPr>
            </w:pPr>
          </w:p>
        </w:tc>
      </w:tr>
      <w:tr w14:paraId="73D6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8" w:type="dxa"/>
            <w:tcBorders>
              <w:left w:val="single" w:color="000000" w:sz="6" w:space="0"/>
              <w:bottom w:val="single" w:color="000000" w:sz="6" w:space="0"/>
            </w:tcBorders>
            <w:vAlign w:val="top"/>
          </w:tcPr>
          <w:p w14:paraId="6AF74F43">
            <w:pPr>
              <w:rPr>
                <w:rFonts w:ascii="Arial"/>
                <w:sz w:val="21"/>
              </w:rPr>
            </w:pPr>
          </w:p>
        </w:tc>
        <w:tc>
          <w:tcPr>
            <w:tcW w:w="969" w:type="dxa"/>
            <w:tcBorders>
              <w:bottom w:val="single" w:color="000000" w:sz="6" w:space="0"/>
            </w:tcBorders>
            <w:vAlign w:val="top"/>
          </w:tcPr>
          <w:p w14:paraId="1E4CCE08">
            <w:pPr>
              <w:rPr>
                <w:rFonts w:ascii="Arial"/>
                <w:sz w:val="21"/>
              </w:rPr>
            </w:pPr>
          </w:p>
        </w:tc>
        <w:tc>
          <w:tcPr>
            <w:tcW w:w="2403" w:type="dxa"/>
            <w:tcBorders>
              <w:bottom w:val="single" w:color="000000" w:sz="6" w:space="0"/>
            </w:tcBorders>
            <w:vAlign w:val="top"/>
          </w:tcPr>
          <w:p w14:paraId="5B7266C4">
            <w:pPr>
              <w:rPr>
                <w:rFonts w:ascii="Arial"/>
                <w:sz w:val="21"/>
              </w:rPr>
            </w:pPr>
          </w:p>
        </w:tc>
        <w:tc>
          <w:tcPr>
            <w:tcW w:w="1594" w:type="dxa"/>
            <w:tcBorders>
              <w:bottom w:val="single" w:color="000000" w:sz="6" w:space="0"/>
            </w:tcBorders>
            <w:vAlign w:val="top"/>
          </w:tcPr>
          <w:p w14:paraId="0FA25AC6">
            <w:pPr>
              <w:rPr>
                <w:rFonts w:ascii="Arial"/>
                <w:sz w:val="21"/>
              </w:rPr>
            </w:pPr>
          </w:p>
        </w:tc>
        <w:tc>
          <w:tcPr>
            <w:tcW w:w="1146" w:type="dxa"/>
            <w:tcBorders>
              <w:bottom w:val="single" w:color="000000" w:sz="6" w:space="0"/>
            </w:tcBorders>
            <w:vAlign w:val="top"/>
          </w:tcPr>
          <w:p w14:paraId="51AB9EED">
            <w:pPr>
              <w:rPr>
                <w:rFonts w:ascii="Arial"/>
                <w:sz w:val="21"/>
              </w:rPr>
            </w:pPr>
          </w:p>
        </w:tc>
        <w:tc>
          <w:tcPr>
            <w:tcW w:w="1364" w:type="dxa"/>
            <w:tcBorders>
              <w:bottom w:val="single" w:color="000000" w:sz="6" w:space="0"/>
            </w:tcBorders>
            <w:vAlign w:val="top"/>
          </w:tcPr>
          <w:p w14:paraId="45E457E3">
            <w:pPr>
              <w:rPr>
                <w:rFonts w:ascii="Arial"/>
                <w:sz w:val="21"/>
              </w:rPr>
            </w:pPr>
          </w:p>
        </w:tc>
        <w:tc>
          <w:tcPr>
            <w:tcW w:w="1362" w:type="dxa"/>
            <w:tcBorders>
              <w:bottom w:val="single" w:color="000000" w:sz="6" w:space="0"/>
            </w:tcBorders>
            <w:vAlign w:val="top"/>
          </w:tcPr>
          <w:p w14:paraId="4CAC4EA8">
            <w:pPr>
              <w:rPr>
                <w:rFonts w:ascii="Arial"/>
                <w:sz w:val="21"/>
              </w:rPr>
            </w:pPr>
          </w:p>
        </w:tc>
        <w:tc>
          <w:tcPr>
            <w:tcW w:w="1362" w:type="dxa"/>
            <w:tcBorders>
              <w:bottom w:val="single" w:color="000000" w:sz="6" w:space="0"/>
            </w:tcBorders>
            <w:vAlign w:val="top"/>
          </w:tcPr>
          <w:p w14:paraId="05D6F63B">
            <w:pPr>
              <w:rPr>
                <w:rFonts w:ascii="Arial"/>
                <w:sz w:val="21"/>
              </w:rPr>
            </w:pPr>
          </w:p>
        </w:tc>
        <w:tc>
          <w:tcPr>
            <w:tcW w:w="1365" w:type="dxa"/>
            <w:tcBorders>
              <w:bottom w:val="single" w:color="000000" w:sz="6" w:space="0"/>
            </w:tcBorders>
            <w:vAlign w:val="top"/>
          </w:tcPr>
          <w:p w14:paraId="0B75E201">
            <w:pPr>
              <w:rPr>
                <w:rFonts w:ascii="Arial"/>
                <w:sz w:val="21"/>
              </w:rPr>
            </w:pPr>
          </w:p>
        </w:tc>
        <w:tc>
          <w:tcPr>
            <w:tcW w:w="1390" w:type="dxa"/>
            <w:tcBorders>
              <w:bottom w:val="single" w:color="000000" w:sz="6" w:space="0"/>
              <w:right w:val="single" w:color="000000" w:sz="6" w:space="0"/>
            </w:tcBorders>
            <w:vAlign w:val="top"/>
          </w:tcPr>
          <w:p w14:paraId="60AC6D0F">
            <w:pPr>
              <w:rPr>
                <w:rFonts w:ascii="Arial"/>
                <w:sz w:val="21"/>
              </w:rPr>
            </w:pPr>
          </w:p>
        </w:tc>
      </w:tr>
    </w:tbl>
    <w:p w14:paraId="41969DB4">
      <w:pPr>
        <w:spacing w:before="73" w:line="220" w:lineRule="auto"/>
        <w:ind w:left="7271"/>
        <w:rPr>
          <w:rFonts w:ascii="宋体" w:hAnsi="宋体" w:eastAsia="宋体" w:cs="宋体"/>
          <w:sz w:val="18"/>
          <w:szCs w:val="18"/>
        </w:rPr>
      </w:pPr>
      <w:r>
        <w:rPr>
          <w:rFonts w:ascii="宋体" w:hAnsi="宋体" w:eastAsia="宋体" w:cs="宋体"/>
          <w:spacing w:val="-2"/>
          <w:sz w:val="18"/>
          <w:szCs w:val="18"/>
        </w:rPr>
        <w:t>法定代表人</w:t>
      </w:r>
    </w:p>
    <w:p w14:paraId="0A213E39">
      <w:pPr>
        <w:spacing w:before="69" w:line="213" w:lineRule="auto"/>
        <w:ind w:left="7001"/>
        <w:rPr>
          <w:rFonts w:ascii="宋体" w:hAnsi="宋体" w:eastAsia="宋体" w:cs="宋体"/>
          <w:sz w:val="18"/>
          <w:szCs w:val="18"/>
        </w:rPr>
      </w:pPr>
      <w:r>
        <w:rPr>
          <w:rFonts w:ascii="宋体" w:hAnsi="宋体" w:eastAsia="宋体" w:cs="宋体"/>
          <w:spacing w:val="-1"/>
          <w:sz w:val="18"/>
          <w:szCs w:val="18"/>
        </w:rPr>
        <w:t>（或委托代理人）：_________（签字）</w:t>
      </w:r>
    </w:p>
    <w:p w14:paraId="7A9BB92F">
      <w:pPr>
        <w:spacing w:line="213" w:lineRule="auto"/>
        <w:rPr>
          <w:rFonts w:ascii="宋体" w:hAnsi="宋体" w:eastAsia="宋体" w:cs="宋体"/>
          <w:sz w:val="18"/>
          <w:szCs w:val="18"/>
        </w:rPr>
        <w:sectPr>
          <w:footerReference r:id="rId167" w:type="default"/>
          <w:pgSz w:w="16843" w:h="11905" w:orient="landscape"/>
          <w:pgMar w:top="1480" w:right="969" w:bottom="1355" w:left="1026" w:header="0" w:footer="754" w:gutter="0"/>
          <w:cols w:space="0" w:num="1"/>
          <w:rtlGutter w:val="0"/>
          <w:docGrid w:linePitch="0" w:charSpace="0"/>
        </w:sectPr>
      </w:pPr>
    </w:p>
    <w:p w14:paraId="390DCDF6">
      <w:pPr>
        <w:pStyle w:val="5"/>
        <w:spacing w:line="258" w:lineRule="auto"/>
      </w:pPr>
    </w:p>
    <w:p w14:paraId="3DF70BBD">
      <w:pPr>
        <w:pStyle w:val="5"/>
        <w:spacing w:line="259" w:lineRule="auto"/>
      </w:pPr>
    </w:p>
    <w:p w14:paraId="3DCC2693">
      <w:pPr>
        <w:pStyle w:val="5"/>
        <w:spacing w:line="259" w:lineRule="auto"/>
      </w:pPr>
    </w:p>
    <w:p w14:paraId="5739134C">
      <w:pPr>
        <w:pStyle w:val="5"/>
        <w:spacing w:line="259" w:lineRule="auto"/>
      </w:pPr>
    </w:p>
    <w:p w14:paraId="72D5A7B5">
      <w:pPr>
        <w:spacing w:before="78" w:line="233" w:lineRule="auto"/>
        <w:ind w:left="19"/>
        <w:outlineLvl w:val="2"/>
        <w:rPr>
          <w:rFonts w:ascii="黑体" w:hAnsi="黑体" w:eastAsia="黑体" w:cs="黑体"/>
          <w:sz w:val="24"/>
          <w:szCs w:val="24"/>
        </w:rPr>
      </w:pPr>
      <w:bookmarkStart w:id="1281" w:name="bookmark392"/>
      <w:bookmarkEnd w:id="1281"/>
      <w:r>
        <w:rPr>
          <w:rFonts w:ascii="Times New Roman" w:hAnsi="Times New Roman" w:eastAsia="Times New Roman" w:cs="Times New Roman"/>
          <w:spacing w:val="-1"/>
          <w:sz w:val="24"/>
          <w:szCs w:val="24"/>
        </w:rPr>
        <w:t xml:space="preserve">3.18 </w:t>
      </w:r>
      <w:r>
        <w:rPr>
          <w:rFonts w:ascii="黑体" w:hAnsi="黑体" w:eastAsia="黑体" w:cs="黑体"/>
          <w:spacing w:val="-1"/>
          <w:sz w:val="24"/>
          <w:szCs w:val="24"/>
        </w:rPr>
        <w:t>投标人自行采购主要材料预算价格汇总表</w:t>
      </w:r>
    </w:p>
    <w:p w14:paraId="02B7DDA9">
      <w:pPr>
        <w:pStyle w:val="5"/>
        <w:spacing w:line="428" w:lineRule="auto"/>
      </w:pPr>
    </w:p>
    <w:p w14:paraId="00E875A1">
      <w:pPr>
        <w:spacing w:before="130" w:line="218" w:lineRule="auto"/>
        <w:ind w:left="850"/>
        <w:rPr>
          <w:rFonts w:ascii="宋体" w:hAnsi="宋体" w:eastAsia="宋体" w:cs="宋体"/>
          <w:sz w:val="40"/>
          <w:szCs w:val="40"/>
        </w:rPr>
      </w:pPr>
      <w:bookmarkStart w:id="1282" w:name="bookmark626"/>
      <w:bookmarkEnd w:id="1282"/>
      <w:r>
        <w:rPr>
          <w:rFonts w:ascii="宋体" w:hAnsi="宋体" w:eastAsia="宋体" w:cs="宋体"/>
          <w:b/>
          <w:bCs/>
          <w:spacing w:val="-4"/>
          <w:sz w:val="40"/>
          <w:szCs w:val="40"/>
        </w:rPr>
        <w:t>投标人自行采购主要材料预算价格汇总表</w:t>
      </w:r>
    </w:p>
    <w:p w14:paraId="58498E62">
      <w:pPr>
        <w:spacing w:before="33"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0357FE28">
      <w:pPr>
        <w:spacing w:before="146" w:line="228" w:lineRule="auto"/>
        <w:ind w:left="127"/>
        <w:rPr>
          <w:rFonts w:ascii="宋体" w:hAnsi="宋体" w:eastAsia="宋体" w:cs="宋体"/>
          <w:sz w:val="19"/>
          <w:szCs w:val="19"/>
        </w:rPr>
      </w:pPr>
      <w:r>
        <w:rPr>
          <w:rFonts w:ascii="宋体" w:hAnsi="宋体" w:eastAsia="宋体" w:cs="宋体"/>
          <w:spacing w:val="2"/>
          <w:sz w:val="19"/>
          <w:szCs w:val="19"/>
        </w:rPr>
        <w:t xml:space="preserve">工程名称：                </w:t>
      </w:r>
      <w:r>
        <w:rPr>
          <w:rFonts w:ascii="宋体" w:hAnsi="宋体" w:eastAsia="宋体" w:cs="宋体"/>
          <w:spacing w:val="1"/>
          <w:sz w:val="19"/>
          <w:szCs w:val="19"/>
        </w:rPr>
        <w:t xml:space="preserve">                                               第</w:t>
      </w:r>
      <w:r>
        <w:rPr>
          <w:rFonts w:ascii="宋体" w:hAnsi="宋体" w:eastAsia="宋体" w:cs="宋体"/>
          <w:spacing w:val="29"/>
          <w:sz w:val="19"/>
          <w:szCs w:val="19"/>
        </w:rPr>
        <w:t xml:space="preserve"> </w:t>
      </w:r>
      <w:r>
        <w:rPr>
          <w:rFonts w:ascii="宋体" w:hAnsi="宋体" w:eastAsia="宋体" w:cs="宋体"/>
          <w:spacing w:val="1"/>
          <w:sz w:val="19"/>
          <w:szCs w:val="19"/>
        </w:rPr>
        <w:t>1</w:t>
      </w:r>
      <w:r>
        <w:rPr>
          <w:rFonts w:ascii="宋体" w:hAnsi="宋体" w:eastAsia="宋体" w:cs="宋体"/>
          <w:spacing w:val="20"/>
          <w:sz w:val="19"/>
          <w:szCs w:val="19"/>
        </w:rPr>
        <w:t xml:space="preserve"> </w:t>
      </w:r>
      <w:r>
        <w:rPr>
          <w:rFonts w:ascii="宋体" w:hAnsi="宋体" w:eastAsia="宋体" w:cs="宋体"/>
          <w:spacing w:val="1"/>
          <w:sz w:val="19"/>
          <w:szCs w:val="19"/>
        </w:rPr>
        <w:t>页、共</w:t>
      </w:r>
      <w:r>
        <w:rPr>
          <w:rFonts w:ascii="宋体" w:hAnsi="宋体" w:eastAsia="宋体" w:cs="宋体"/>
          <w:spacing w:val="28"/>
          <w:sz w:val="19"/>
          <w:szCs w:val="19"/>
        </w:rPr>
        <w:t xml:space="preserve"> </w:t>
      </w:r>
      <w:r>
        <w:rPr>
          <w:rFonts w:ascii="宋体" w:hAnsi="宋体" w:eastAsia="宋体" w:cs="宋体"/>
          <w:spacing w:val="1"/>
          <w:sz w:val="19"/>
          <w:szCs w:val="19"/>
        </w:rPr>
        <w:t>1</w:t>
      </w:r>
      <w:r>
        <w:rPr>
          <w:rFonts w:ascii="宋体" w:hAnsi="宋体" w:eastAsia="宋体" w:cs="宋体"/>
          <w:spacing w:val="20"/>
          <w:sz w:val="19"/>
          <w:szCs w:val="19"/>
        </w:rPr>
        <w:t xml:space="preserve"> </w:t>
      </w:r>
      <w:r>
        <w:rPr>
          <w:rFonts w:ascii="宋体" w:hAnsi="宋体" w:eastAsia="宋体" w:cs="宋体"/>
          <w:spacing w:val="1"/>
          <w:sz w:val="19"/>
          <w:szCs w:val="19"/>
        </w:rPr>
        <w:t>页</w:t>
      </w:r>
    </w:p>
    <w:p w14:paraId="09E79CCA">
      <w:pPr>
        <w:spacing w:line="99" w:lineRule="exact"/>
      </w:pPr>
    </w:p>
    <w:tbl>
      <w:tblPr>
        <w:tblStyle w:val="10"/>
        <w:tblW w:w="88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2401"/>
        <w:gridCol w:w="1596"/>
        <w:gridCol w:w="1148"/>
        <w:gridCol w:w="1362"/>
        <w:gridCol w:w="1392"/>
      </w:tblGrid>
      <w:tr w14:paraId="76DF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77" w:type="dxa"/>
            <w:tcBorders>
              <w:top w:val="single" w:color="000000" w:sz="6" w:space="0"/>
              <w:left w:val="single" w:color="000000" w:sz="6" w:space="0"/>
            </w:tcBorders>
            <w:vAlign w:val="top"/>
          </w:tcPr>
          <w:p w14:paraId="0B36A677">
            <w:pPr>
              <w:pStyle w:val="11"/>
              <w:spacing w:before="164" w:line="230" w:lineRule="auto"/>
              <w:ind w:left="284"/>
              <w:rPr>
                <w:sz w:val="19"/>
                <w:szCs w:val="19"/>
              </w:rPr>
            </w:pPr>
            <w:r>
              <w:rPr>
                <w:spacing w:val="5"/>
                <w:sz w:val="19"/>
                <w:szCs w:val="19"/>
              </w:rPr>
              <w:t>序号</w:t>
            </w:r>
          </w:p>
        </w:tc>
        <w:tc>
          <w:tcPr>
            <w:tcW w:w="2401" w:type="dxa"/>
            <w:tcBorders>
              <w:top w:val="single" w:color="000000" w:sz="6" w:space="0"/>
            </w:tcBorders>
            <w:vAlign w:val="top"/>
          </w:tcPr>
          <w:p w14:paraId="641DAEA1">
            <w:pPr>
              <w:pStyle w:val="11"/>
              <w:spacing w:before="164" w:line="228" w:lineRule="auto"/>
              <w:ind w:left="803"/>
              <w:rPr>
                <w:sz w:val="19"/>
                <w:szCs w:val="19"/>
              </w:rPr>
            </w:pPr>
            <w:r>
              <w:rPr>
                <w:spacing w:val="7"/>
                <w:sz w:val="19"/>
                <w:szCs w:val="19"/>
              </w:rPr>
              <w:t>材料名称</w:t>
            </w:r>
          </w:p>
        </w:tc>
        <w:tc>
          <w:tcPr>
            <w:tcW w:w="1596" w:type="dxa"/>
            <w:tcBorders>
              <w:top w:val="single" w:color="000000" w:sz="6" w:space="0"/>
            </w:tcBorders>
            <w:vAlign w:val="top"/>
          </w:tcPr>
          <w:p w14:paraId="7E90EE03">
            <w:pPr>
              <w:pStyle w:val="11"/>
              <w:spacing w:before="165" w:line="228" w:lineRule="auto"/>
              <w:ind w:left="408"/>
              <w:rPr>
                <w:sz w:val="19"/>
                <w:szCs w:val="19"/>
              </w:rPr>
            </w:pPr>
            <w:r>
              <w:rPr>
                <w:spacing w:val="5"/>
                <w:sz w:val="19"/>
                <w:szCs w:val="19"/>
              </w:rPr>
              <w:t>型号规格</w:t>
            </w:r>
          </w:p>
        </w:tc>
        <w:tc>
          <w:tcPr>
            <w:tcW w:w="1148" w:type="dxa"/>
            <w:tcBorders>
              <w:top w:val="single" w:color="000000" w:sz="6" w:space="0"/>
            </w:tcBorders>
            <w:vAlign w:val="top"/>
          </w:tcPr>
          <w:p w14:paraId="67D60E9D">
            <w:pPr>
              <w:pStyle w:val="11"/>
              <w:spacing w:before="165" w:line="229" w:lineRule="auto"/>
              <w:ind w:left="182"/>
              <w:rPr>
                <w:sz w:val="19"/>
                <w:szCs w:val="19"/>
              </w:rPr>
            </w:pPr>
            <w:r>
              <w:rPr>
                <w:spacing w:val="7"/>
                <w:sz w:val="19"/>
                <w:szCs w:val="19"/>
              </w:rPr>
              <w:t>计量单位</w:t>
            </w:r>
          </w:p>
        </w:tc>
        <w:tc>
          <w:tcPr>
            <w:tcW w:w="1362" w:type="dxa"/>
            <w:tcBorders>
              <w:top w:val="single" w:color="000000" w:sz="6" w:space="0"/>
            </w:tcBorders>
            <w:vAlign w:val="top"/>
          </w:tcPr>
          <w:p w14:paraId="6061D40D">
            <w:pPr>
              <w:pStyle w:val="11"/>
              <w:spacing w:before="35" w:line="227" w:lineRule="auto"/>
              <w:ind w:left="391"/>
              <w:rPr>
                <w:sz w:val="19"/>
                <w:szCs w:val="19"/>
              </w:rPr>
            </w:pPr>
            <w:r>
              <w:rPr>
                <w:spacing w:val="6"/>
                <w:sz w:val="19"/>
                <w:szCs w:val="19"/>
              </w:rPr>
              <w:t>预算价</w:t>
            </w:r>
          </w:p>
          <w:p w14:paraId="23B58886">
            <w:pPr>
              <w:pStyle w:val="11"/>
              <w:spacing w:before="25" w:line="216" w:lineRule="auto"/>
              <w:ind w:left="400"/>
              <w:rPr>
                <w:sz w:val="19"/>
                <w:szCs w:val="19"/>
              </w:rPr>
            </w:pPr>
            <w:r>
              <w:rPr>
                <w:spacing w:val="-2"/>
                <w:sz w:val="19"/>
                <w:szCs w:val="19"/>
              </w:rPr>
              <w:t>（元）</w:t>
            </w:r>
          </w:p>
        </w:tc>
        <w:tc>
          <w:tcPr>
            <w:tcW w:w="1392" w:type="dxa"/>
            <w:tcBorders>
              <w:top w:val="single" w:color="000000" w:sz="6" w:space="0"/>
              <w:right w:val="single" w:color="000000" w:sz="6" w:space="0"/>
            </w:tcBorders>
            <w:vAlign w:val="top"/>
          </w:tcPr>
          <w:p w14:paraId="54813992">
            <w:pPr>
              <w:pStyle w:val="11"/>
              <w:spacing w:before="164" w:line="230" w:lineRule="auto"/>
              <w:ind w:left="504"/>
              <w:rPr>
                <w:sz w:val="19"/>
                <w:szCs w:val="19"/>
              </w:rPr>
            </w:pPr>
            <w:r>
              <w:rPr>
                <w:spacing w:val="4"/>
                <w:sz w:val="19"/>
                <w:szCs w:val="19"/>
              </w:rPr>
              <w:t>备注</w:t>
            </w:r>
          </w:p>
        </w:tc>
      </w:tr>
      <w:tr w14:paraId="5A65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3176B5B3">
            <w:pPr>
              <w:pStyle w:val="11"/>
              <w:spacing w:before="55" w:line="239" w:lineRule="auto"/>
              <w:ind w:left="451"/>
              <w:rPr>
                <w:sz w:val="19"/>
                <w:szCs w:val="19"/>
              </w:rPr>
            </w:pPr>
            <w:r>
              <w:rPr>
                <w:sz w:val="19"/>
                <w:szCs w:val="19"/>
              </w:rPr>
              <w:t>1</w:t>
            </w:r>
          </w:p>
        </w:tc>
        <w:tc>
          <w:tcPr>
            <w:tcW w:w="2401" w:type="dxa"/>
            <w:vAlign w:val="top"/>
          </w:tcPr>
          <w:p w14:paraId="3D9F4894">
            <w:pPr>
              <w:rPr>
                <w:rFonts w:ascii="Arial"/>
                <w:sz w:val="21"/>
              </w:rPr>
            </w:pPr>
          </w:p>
        </w:tc>
        <w:tc>
          <w:tcPr>
            <w:tcW w:w="1596" w:type="dxa"/>
            <w:vAlign w:val="top"/>
          </w:tcPr>
          <w:p w14:paraId="033AA841">
            <w:pPr>
              <w:rPr>
                <w:rFonts w:ascii="Arial"/>
                <w:sz w:val="21"/>
              </w:rPr>
            </w:pPr>
          </w:p>
        </w:tc>
        <w:tc>
          <w:tcPr>
            <w:tcW w:w="1148" w:type="dxa"/>
            <w:vAlign w:val="top"/>
          </w:tcPr>
          <w:p w14:paraId="1A2866D6">
            <w:pPr>
              <w:rPr>
                <w:rFonts w:ascii="Arial"/>
                <w:sz w:val="21"/>
              </w:rPr>
            </w:pPr>
          </w:p>
        </w:tc>
        <w:tc>
          <w:tcPr>
            <w:tcW w:w="1362" w:type="dxa"/>
            <w:vAlign w:val="top"/>
          </w:tcPr>
          <w:p w14:paraId="58D91154">
            <w:pPr>
              <w:rPr>
                <w:rFonts w:ascii="Arial"/>
                <w:sz w:val="21"/>
              </w:rPr>
            </w:pPr>
          </w:p>
        </w:tc>
        <w:tc>
          <w:tcPr>
            <w:tcW w:w="1392" w:type="dxa"/>
            <w:tcBorders>
              <w:right w:val="single" w:color="000000" w:sz="6" w:space="0"/>
            </w:tcBorders>
            <w:vAlign w:val="top"/>
          </w:tcPr>
          <w:p w14:paraId="256DF276">
            <w:pPr>
              <w:rPr>
                <w:rFonts w:ascii="Arial"/>
                <w:sz w:val="21"/>
              </w:rPr>
            </w:pPr>
          </w:p>
        </w:tc>
      </w:tr>
      <w:tr w14:paraId="66864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2C22FBC0">
            <w:pPr>
              <w:rPr>
                <w:rFonts w:ascii="Arial"/>
                <w:sz w:val="21"/>
              </w:rPr>
            </w:pPr>
          </w:p>
        </w:tc>
        <w:tc>
          <w:tcPr>
            <w:tcW w:w="2401" w:type="dxa"/>
            <w:vAlign w:val="top"/>
          </w:tcPr>
          <w:p w14:paraId="757E9CD6">
            <w:pPr>
              <w:rPr>
                <w:rFonts w:ascii="Arial"/>
                <w:sz w:val="21"/>
              </w:rPr>
            </w:pPr>
          </w:p>
        </w:tc>
        <w:tc>
          <w:tcPr>
            <w:tcW w:w="1596" w:type="dxa"/>
            <w:vAlign w:val="top"/>
          </w:tcPr>
          <w:p w14:paraId="414D1D1D">
            <w:pPr>
              <w:rPr>
                <w:rFonts w:ascii="Arial"/>
                <w:sz w:val="21"/>
              </w:rPr>
            </w:pPr>
          </w:p>
        </w:tc>
        <w:tc>
          <w:tcPr>
            <w:tcW w:w="1148" w:type="dxa"/>
            <w:vAlign w:val="top"/>
          </w:tcPr>
          <w:p w14:paraId="68D01982">
            <w:pPr>
              <w:rPr>
                <w:rFonts w:ascii="Arial"/>
                <w:sz w:val="21"/>
              </w:rPr>
            </w:pPr>
          </w:p>
        </w:tc>
        <w:tc>
          <w:tcPr>
            <w:tcW w:w="1362" w:type="dxa"/>
            <w:vAlign w:val="top"/>
          </w:tcPr>
          <w:p w14:paraId="04A81CB3">
            <w:pPr>
              <w:rPr>
                <w:rFonts w:ascii="Arial"/>
                <w:sz w:val="21"/>
              </w:rPr>
            </w:pPr>
          </w:p>
        </w:tc>
        <w:tc>
          <w:tcPr>
            <w:tcW w:w="1392" w:type="dxa"/>
            <w:tcBorders>
              <w:right w:val="single" w:color="000000" w:sz="6" w:space="0"/>
            </w:tcBorders>
            <w:vAlign w:val="top"/>
          </w:tcPr>
          <w:p w14:paraId="4D245100">
            <w:pPr>
              <w:rPr>
                <w:rFonts w:ascii="Arial"/>
                <w:sz w:val="21"/>
              </w:rPr>
            </w:pPr>
          </w:p>
        </w:tc>
      </w:tr>
      <w:tr w14:paraId="0C14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6567733C">
            <w:pPr>
              <w:rPr>
                <w:rFonts w:ascii="Arial"/>
                <w:sz w:val="21"/>
              </w:rPr>
            </w:pPr>
          </w:p>
        </w:tc>
        <w:tc>
          <w:tcPr>
            <w:tcW w:w="2401" w:type="dxa"/>
            <w:vAlign w:val="top"/>
          </w:tcPr>
          <w:p w14:paraId="1B51AFD4">
            <w:pPr>
              <w:rPr>
                <w:rFonts w:ascii="Arial"/>
                <w:sz w:val="21"/>
              </w:rPr>
            </w:pPr>
          </w:p>
        </w:tc>
        <w:tc>
          <w:tcPr>
            <w:tcW w:w="1596" w:type="dxa"/>
            <w:vAlign w:val="top"/>
          </w:tcPr>
          <w:p w14:paraId="58723E78">
            <w:pPr>
              <w:rPr>
                <w:rFonts w:ascii="Arial"/>
                <w:sz w:val="21"/>
              </w:rPr>
            </w:pPr>
          </w:p>
        </w:tc>
        <w:tc>
          <w:tcPr>
            <w:tcW w:w="1148" w:type="dxa"/>
            <w:vAlign w:val="top"/>
          </w:tcPr>
          <w:p w14:paraId="19E511D0">
            <w:pPr>
              <w:rPr>
                <w:rFonts w:ascii="Arial"/>
                <w:sz w:val="21"/>
              </w:rPr>
            </w:pPr>
          </w:p>
        </w:tc>
        <w:tc>
          <w:tcPr>
            <w:tcW w:w="1362" w:type="dxa"/>
            <w:vAlign w:val="top"/>
          </w:tcPr>
          <w:p w14:paraId="1E72BEB0">
            <w:pPr>
              <w:rPr>
                <w:rFonts w:ascii="Arial"/>
                <w:sz w:val="21"/>
              </w:rPr>
            </w:pPr>
          </w:p>
        </w:tc>
        <w:tc>
          <w:tcPr>
            <w:tcW w:w="1392" w:type="dxa"/>
            <w:tcBorders>
              <w:right w:val="single" w:color="000000" w:sz="6" w:space="0"/>
            </w:tcBorders>
            <w:vAlign w:val="top"/>
          </w:tcPr>
          <w:p w14:paraId="54095768">
            <w:pPr>
              <w:rPr>
                <w:rFonts w:ascii="Arial"/>
                <w:sz w:val="21"/>
              </w:rPr>
            </w:pPr>
          </w:p>
        </w:tc>
      </w:tr>
      <w:tr w14:paraId="29BB2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56F80AF8">
            <w:pPr>
              <w:rPr>
                <w:rFonts w:ascii="Arial"/>
                <w:sz w:val="21"/>
              </w:rPr>
            </w:pPr>
          </w:p>
        </w:tc>
        <w:tc>
          <w:tcPr>
            <w:tcW w:w="2401" w:type="dxa"/>
            <w:vAlign w:val="top"/>
          </w:tcPr>
          <w:p w14:paraId="6C432BFF">
            <w:pPr>
              <w:rPr>
                <w:rFonts w:ascii="Arial"/>
                <w:sz w:val="21"/>
              </w:rPr>
            </w:pPr>
          </w:p>
        </w:tc>
        <w:tc>
          <w:tcPr>
            <w:tcW w:w="1596" w:type="dxa"/>
            <w:vAlign w:val="top"/>
          </w:tcPr>
          <w:p w14:paraId="20EED92E">
            <w:pPr>
              <w:rPr>
                <w:rFonts w:ascii="Arial"/>
                <w:sz w:val="21"/>
              </w:rPr>
            </w:pPr>
          </w:p>
        </w:tc>
        <w:tc>
          <w:tcPr>
            <w:tcW w:w="1148" w:type="dxa"/>
            <w:vAlign w:val="top"/>
          </w:tcPr>
          <w:p w14:paraId="291C3D06">
            <w:pPr>
              <w:rPr>
                <w:rFonts w:ascii="Arial"/>
                <w:sz w:val="21"/>
              </w:rPr>
            </w:pPr>
          </w:p>
        </w:tc>
        <w:tc>
          <w:tcPr>
            <w:tcW w:w="1362" w:type="dxa"/>
            <w:vAlign w:val="top"/>
          </w:tcPr>
          <w:p w14:paraId="2ED9A8F6">
            <w:pPr>
              <w:rPr>
                <w:rFonts w:ascii="Arial"/>
                <w:sz w:val="21"/>
              </w:rPr>
            </w:pPr>
          </w:p>
        </w:tc>
        <w:tc>
          <w:tcPr>
            <w:tcW w:w="1392" w:type="dxa"/>
            <w:tcBorders>
              <w:right w:val="single" w:color="000000" w:sz="6" w:space="0"/>
            </w:tcBorders>
            <w:vAlign w:val="top"/>
          </w:tcPr>
          <w:p w14:paraId="34B2E96C">
            <w:pPr>
              <w:rPr>
                <w:rFonts w:ascii="Arial"/>
                <w:sz w:val="21"/>
              </w:rPr>
            </w:pPr>
          </w:p>
        </w:tc>
      </w:tr>
      <w:tr w14:paraId="3649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03A6444F">
            <w:pPr>
              <w:rPr>
                <w:rFonts w:ascii="Arial"/>
                <w:sz w:val="21"/>
              </w:rPr>
            </w:pPr>
          </w:p>
        </w:tc>
        <w:tc>
          <w:tcPr>
            <w:tcW w:w="2401" w:type="dxa"/>
            <w:vAlign w:val="top"/>
          </w:tcPr>
          <w:p w14:paraId="5EED5A4D">
            <w:pPr>
              <w:rPr>
                <w:rFonts w:ascii="Arial"/>
                <w:sz w:val="21"/>
              </w:rPr>
            </w:pPr>
          </w:p>
        </w:tc>
        <w:tc>
          <w:tcPr>
            <w:tcW w:w="1596" w:type="dxa"/>
            <w:vAlign w:val="top"/>
          </w:tcPr>
          <w:p w14:paraId="0FDF7CBC">
            <w:pPr>
              <w:rPr>
                <w:rFonts w:ascii="Arial"/>
                <w:sz w:val="21"/>
              </w:rPr>
            </w:pPr>
          </w:p>
        </w:tc>
        <w:tc>
          <w:tcPr>
            <w:tcW w:w="1148" w:type="dxa"/>
            <w:vAlign w:val="top"/>
          </w:tcPr>
          <w:p w14:paraId="6CE5FA21">
            <w:pPr>
              <w:rPr>
                <w:rFonts w:ascii="Arial"/>
                <w:sz w:val="21"/>
              </w:rPr>
            </w:pPr>
          </w:p>
        </w:tc>
        <w:tc>
          <w:tcPr>
            <w:tcW w:w="1362" w:type="dxa"/>
            <w:vAlign w:val="top"/>
          </w:tcPr>
          <w:p w14:paraId="446A4022">
            <w:pPr>
              <w:rPr>
                <w:rFonts w:ascii="Arial"/>
                <w:sz w:val="21"/>
              </w:rPr>
            </w:pPr>
          </w:p>
        </w:tc>
        <w:tc>
          <w:tcPr>
            <w:tcW w:w="1392" w:type="dxa"/>
            <w:tcBorders>
              <w:right w:val="single" w:color="000000" w:sz="6" w:space="0"/>
            </w:tcBorders>
            <w:vAlign w:val="top"/>
          </w:tcPr>
          <w:p w14:paraId="7716D556">
            <w:pPr>
              <w:rPr>
                <w:rFonts w:ascii="Arial"/>
                <w:sz w:val="21"/>
              </w:rPr>
            </w:pPr>
          </w:p>
        </w:tc>
      </w:tr>
      <w:tr w14:paraId="79E00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137C1665">
            <w:pPr>
              <w:rPr>
                <w:rFonts w:ascii="Arial"/>
                <w:sz w:val="21"/>
              </w:rPr>
            </w:pPr>
          </w:p>
        </w:tc>
        <w:tc>
          <w:tcPr>
            <w:tcW w:w="2401" w:type="dxa"/>
            <w:vAlign w:val="top"/>
          </w:tcPr>
          <w:p w14:paraId="73D2338D">
            <w:pPr>
              <w:rPr>
                <w:rFonts w:ascii="Arial"/>
                <w:sz w:val="21"/>
              </w:rPr>
            </w:pPr>
          </w:p>
        </w:tc>
        <w:tc>
          <w:tcPr>
            <w:tcW w:w="1596" w:type="dxa"/>
            <w:vAlign w:val="top"/>
          </w:tcPr>
          <w:p w14:paraId="1C89CFBB">
            <w:pPr>
              <w:rPr>
                <w:rFonts w:ascii="Arial"/>
                <w:sz w:val="21"/>
              </w:rPr>
            </w:pPr>
          </w:p>
        </w:tc>
        <w:tc>
          <w:tcPr>
            <w:tcW w:w="1148" w:type="dxa"/>
            <w:vAlign w:val="top"/>
          </w:tcPr>
          <w:p w14:paraId="65E06AB8">
            <w:pPr>
              <w:rPr>
                <w:rFonts w:ascii="Arial"/>
                <w:sz w:val="21"/>
              </w:rPr>
            </w:pPr>
          </w:p>
        </w:tc>
        <w:tc>
          <w:tcPr>
            <w:tcW w:w="1362" w:type="dxa"/>
            <w:vAlign w:val="top"/>
          </w:tcPr>
          <w:p w14:paraId="6612DDAA">
            <w:pPr>
              <w:rPr>
                <w:rFonts w:ascii="Arial"/>
                <w:sz w:val="21"/>
              </w:rPr>
            </w:pPr>
          </w:p>
        </w:tc>
        <w:tc>
          <w:tcPr>
            <w:tcW w:w="1392" w:type="dxa"/>
            <w:tcBorders>
              <w:right w:val="single" w:color="000000" w:sz="6" w:space="0"/>
            </w:tcBorders>
            <w:vAlign w:val="top"/>
          </w:tcPr>
          <w:p w14:paraId="7E85ECE7">
            <w:pPr>
              <w:rPr>
                <w:rFonts w:ascii="Arial"/>
                <w:sz w:val="21"/>
              </w:rPr>
            </w:pPr>
          </w:p>
        </w:tc>
      </w:tr>
      <w:tr w14:paraId="7BB9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77" w:type="dxa"/>
            <w:tcBorders>
              <w:left w:val="single" w:color="000000" w:sz="6" w:space="0"/>
            </w:tcBorders>
            <w:vAlign w:val="top"/>
          </w:tcPr>
          <w:p w14:paraId="4D1158AD">
            <w:pPr>
              <w:rPr>
                <w:rFonts w:ascii="Arial"/>
                <w:sz w:val="21"/>
              </w:rPr>
            </w:pPr>
          </w:p>
        </w:tc>
        <w:tc>
          <w:tcPr>
            <w:tcW w:w="2401" w:type="dxa"/>
            <w:vAlign w:val="top"/>
          </w:tcPr>
          <w:p w14:paraId="1DBD3F94">
            <w:pPr>
              <w:rPr>
                <w:rFonts w:ascii="Arial"/>
                <w:sz w:val="21"/>
              </w:rPr>
            </w:pPr>
          </w:p>
        </w:tc>
        <w:tc>
          <w:tcPr>
            <w:tcW w:w="1596" w:type="dxa"/>
            <w:vAlign w:val="top"/>
          </w:tcPr>
          <w:p w14:paraId="29E0F516">
            <w:pPr>
              <w:rPr>
                <w:rFonts w:ascii="Arial"/>
                <w:sz w:val="21"/>
              </w:rPr>
            </w:pPr>
          </w:p>
        </w:tc>
        <w:tc>
          <w:tcPr>
            <w:tcW w:w="1148" w:type="dxa"/>
            <w:vAlign w:val="top"/>
          </w:tcPr>
          <w:p w14:paraId="00BE71BC">
            <w:pPr>
              <w:rPr>
                <w:rFonts w:ascii="Arial"/>
                <w:sz w:val="21"/>
              </w:rPr>
            </w:pPr>
          </w:p>
        </w:tc>
        <w:tc>
          <w:tcPr>
            <w:tcW w:w="1362" w:type="dxa"/>
            <w:vAlign w:val="top"/>
          </w:tcPr>
          <w:p w14:paraId="02962B19">
            <w:pPr>
              <w:rPr>
                <w:rFonts w:ascii="Arial"/>
                <w:sz w:val="21"/>
              </w:rPr>
            </w:pPr>
          </w:p>
        </w:tc>
        <w:tc>
          <w:tcPr>
            <w:tcW w:w="1392" w:type="dxa"/>
            <w:tcBorders>
              <w:right w:val="single" w:color="000000" w:sz="6" w:space="0"/>
            </w:tcBorders>
            <w:vAlign w:val="top"/>
          </w:tcPr>
          <w:p w14:paraId="642CF81F">
            <w:pPr>
              <w:rPr>
                <w:rFonts w:ascii="Arial"/>
                <w:sz w:val="21"/>
              </w:rPr>
            </w:pPr>
          </w:p>
        </w:tc>
      </w:tr>
      <w:tr w14:paraId="6C3A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59243F86">
            <w:pPr>
              <w:rPr>
                <w:rFonts w:ascii="Arial"/>
                <w:sz w:val="21"/>
              </w:rPr>
            </w:pPr>
          </w:p>
        </w:tc>
        <w:tc>
          <w:tcPr>
            <w:tcW w:w="2401" w:type="dxa"/>
            <w:vAlign w:val="top"/>
          </w:tcPr>
          <w:p w14:paraId="6C233E33">
            <w:pPr>
              <w:rPr>
                <w:rFonts w:ascii="Arial"/>
                <w:sz w:val="21"/>
              </w:rPr>
            </w:pPr>
          </w:p>
        </w:tc>
        <w:tc>
          <w:tcPr>
            <w:tcW w:w="1596" w:type="dxa"/>
            <w:vAlign w:val="top"/>
          </w:tcPr>
          <w:p w14:paraId="2B3A4DC8">
            <w:pPr>
              <w:rPr>
                <w:rFonts w:ascii="Arial"/>
                <w:sz w:val="21"/>
              </w:rPr>
            </w:pPr>
          </w:p>
        </w:tc>
        <w:tc>
          <w:tcPr>
            <w:tcW w:w="1148" w:type="dxa"/>
            <w:vAlign w:val="top"/>
          </w:tcPr>
          <w:p w14:paraId="4108CD4A">
            <w:pPr>
              <w:rPr>
                <w:rFonts w:ascii="Arial"/>
                <w:sz w:val="21"/>
              </w:rPr>
            </w:pPr>
          </w:p>
        </w:tc>
        <w:tc>
          <w:tcPr>
            <w:tcW w:w="1362" w:type="dxa"/>
            <w:vAlign w:val="top"/>
          </w:tcPr>
          <w:p w14:paraId="26B1160D">
            <w:pPr>
              <w:rPr>
                <w:rFonts w:ascii="Arial"/>
                <w:sz w:val="21"/>
              </w:rPr>
            </w:pPr>
          </w:p>
        </w:tc>
        <w:tc>
          <w:tcPr>
            <w:tcW w:w="1392" w:type="dxa"/>
            <w:tcBorders>
              <w:right w:val="single" w:color="000000" w:sz="6" w:space="0"/>
            </w:tcBorders>
            <w:vAlign w:val="top"/>
          </w:tcPr>
          <w:p w14:paraId="28C7B586">
            <w:pPr>
              <w:rPr>
                <w:rFonts w:ascii="Arial"/>
                <w:sz w:val="21"/>
              </w:rPr>
            </w:pPr>
          </w:p>
        </w:tc>
      </w:tr>
      <w:tr w14:paraId="6330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41738DDE">
            <w:pPr>
              <w:rPr>
                <w:rFonts w:ascii="Arial"/>
                <w:sz w:val="21"/>
              </w:rPr>
            </w:pPr>
          </w:p>
        </w:tc>
        <w:tc>
          <w:tcPr>
            <w:tcW w:w="2401" w:type="dxa"/>
            <w:vAlign w:val="top"/>
          </w:tcPr>
          <w:p w14:paraId="7700D99C">
            <w:pPr>
              <w:rPr>
                <w:rFonts w:ascii="Arial"/>
                <w:sz w:val="21"/>
              </w:rPr>
            </w:pPr>
          </w:p>
        </w:tc>
        <w:tc>
          <w:tcPr>
            <w:tcW w:w="1596" w:type="dxa"/>
            <w:vAlign w:val="top"/>
          </w:tcPr>
          <w:p w14:paraId="221C42C5">
            <w:pPr>
              <w:rPr>
                <w:rFonts w:ascii="Arial"/>
                <w:sz w:val="21"/>
              </w:rPr>
            </w:pPr>
          </w:p>
        </w:tc>
        <w:tc>
          <w:tcPr>
            <w:tcW w:w="1148" w:type="dxa"/>
            <w:vAlign w:val="top"/>
          </w:tcPr>
          <w:p w14:paraId="36275418">
            <w:pPr>
              <w:rPr>
                <w:rFonts w:ascii="Arial"/>
                <w:sz w:val="21"/>
              </w:rPr>
            </w:pPr>
          </w:p>
        </w:tc>
        <w:tc>
          <w:tcPr>
            <w:tcW w:w="1362" w:type="dxa"/>
            <w:vAlign w:val="top"/>
          </w:tcPr>
          <w:p w14:paraId="457398B5">
            <w:pPr>
              <w:rPr>
                <w:rFonts w:ascii="Arial"/>
                <w:sz w:val="21"/>
              </w:rPr>
            </w:pPr>
          </w:p>
        </w:tc>
        <w:tc>
          <w:tcPr>
            <w:tcW w:w="1392" w:type="dxa"/>
            <w:tcBorders>
              <w:right w:val="single" w:color="000000" w:sz="6" w:space="0"/>
            </w:tcBorders>
            <w:vAlign w:val="top"/>
          </w:tcPr>
          <w:p w14:paraId="41DCCBC2">
            <w:pPr>
              <w:rPr>
                <w:rFonts w:ascii="Arial"/>
                <w:sz w:val="21"/>
              </w:rPr>
            </w:pPr>
          </w:p>
        </w:tc>
      </w:tr>
      <w:tr w14:paraId="4758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11DFEA31">
            <w:pPr>
              <w:rPr>
                <w:rFonts w:ascii="Arial"/>
                <w:sz w:val="21"/>
              </w:rPr>
            </w:pPr>
          </w:p>
        </w:tc>
        <w:tc>
          <w:tcPr>
            <w:tcW w:w="2401" w:type="dxa"/>
            <w:vAlign w:val="top"/>
          </w:tcPr>
          <w:p w14:paraId="3B44D499">
            <w:pPr>
              <w:rPr>
                <w:rFonts w:ascii="Arial"/>
                <w:sz w:val="21"/>
              </w:rPr>
            </w:pPr>
          </w:p>
        </w:tc>
        <w:tc>
          <w:tcPr>
            <w:tcW w:w="1596" w:type="dxa"/>
            <w:vAlign w:val="top"/>
          </w:tcPr>
          <w:p w14:paraId="4CEB52C7">
            <w:pPr>
              <w:rPr>
                <w:rFonts w:ascii="Arial"/>
                <w:sz w:val="21"/>
              </w:rPr>
            </w:pPr>
          </w:p>
        </w:tc>
        <w:tc>
          <w:tcPr>
            <w:tcW w:w="1148" w:type="dxa"/>
            <w:vAlign w:val="top"/>
          </w:tcPr>
          <w:p w14:paraId="063C3DB0">
            <w:pPr>
              <w:rPr>
                <w:rFonts w:ascii="Arial"/>
                <w:sz w:val="21"/>
              </w:rPr>
            </w:pPr>
          </w:p>
        </w:tc>
        <w:tc>
          <w:tcPr>
            <w:tcW w:w="1362" w:type="dxa"/>
            <w:vAlign w:val="top"/>
          </w:tcPr>
          <w:p w14:paraId="498E266E">
            <w:pPr>
              <w:rPr>
                <w:rFonts w:ascii="Arial"/>
                <w:sz w:val="21"/>
              </w:rPr>
            </w:pPr>
          </w:p>
        </w:tc>
        <w:tc>
          <w:tcPr>
            <w:tcW w:w="1392" w:type="dxa"/>
            <w:tcBorders>
              <w:right w:val="single" w:color="000000" w:sz="6" w:space="0"/>
            </w:tcBorders>
            <w:vAlign w:val="top"/>
          </w:tcPr>
          <w:p w14:paraId="32C98FF4">
            <w:pPr>
              <w:rPr>
                <w:rFonts w:ascii="Arial"/>
                <w:sz w:val="21"/>
              </w:rPr>
            </w:pPr>
          </w:p>
        </w:tc>
      </w:tr>
      <w:tr w14:paraId="7E0B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03EB3251">
            <w:pPr>
              <w:rPr>
                <w:rFonts w:ascii="Arial"/>
                <w:sz w:val="21"/>
              </w:rPr>
            </w:pPr>
          </w:p>
        </w:tc>
        <w:tc>
          <w:tcPr>
            <w:tcW w:w="2401" w:type="dxa"/>
            <w:vAlign w:val="top"/>
          </w:tcPr>
          <w:p w14:paraId="4DC0B601">
            <w:pPr>
              <w:rPr>
                <w:rFonts w:ascii="Arial"/>
                <w:sz w:val="21"/>
              </w:rPr>
            </w:pPr>
          </w:p>
        </w:tc>
        <w:tc>
          <w:tcPr>
            <w:tcW w:w="1596" w:type="dxa"/>
            <w:vAlign w:val="top"/>
          </w:tcPr>
          <w:p w14:paraId="010A7C1C">
            <w:pPr>
              <w:rPr>
                <w:rFonts w:ascii="Arial"/>
                <w:sz w:val="21"/>
              </w:rPr>
            </w:pPr>
          </w:p>
        </w:tc>
        <w:tc>
          <w:tcPr>
            <w:tcW w:w="1148" w:type="dxa"/>
            <w:vAlign w:val="top"/>
          </w:tcPr>
          <w:p w14:paraId="39E5E1E5">
            <w:pPr>
              <w:rPr>
                <w:rFonts w:ascii="Arial"/>
                <w:sz w:val="21"/>
              </w:rPr>
            </w:pPr>
          </w:p>
        </w:tc>
        <w:tc>
          <w:tcPr>
            <w:tcW w:w="1362" w:type="dxa"/>
            <w:vAlign w:val="top"/>
          </w:tcPr>
          <w:p w14:paraId="493D7496">
            <w:pPr>
              <w:rPr>
                <w:rFonts w:ascii="Arial"/>
                <w:sz w:val="21"/>
              </w:rPr>
            </w:pPr>
          </w:p>
        </w:tc>
        <w:tc>
          <w:tcPr>
            <w:tcW w:w="1392" w:type="dxa"/>
            <w:tcBorders>
              <w:right w:val="single" w:color="000000" w:sz="6" w:space="0"/>
            </w:tcBorders>
            <w:vAlign w:val="top"/>
          </w:tcPr>
          <w:p w14:paraId="1598E589">
            <w:pPr>
              <w:rPr>
                <w:rFonts w:ascii="Arial"/>
                <w:sz w:val="21"/>
              </w:rPr>
            </w:pPr>
          </w:p>
        </w:tc>
      </w:tr>
      <w:tr w14:paraId="43F05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6306B06D">
            <w:pPr>
              <w:rPr>
                <w:rFonts w:ascii="Arial"/>
                <w:sz w:val="21"/>
              </w:rPr>
            </w:pPr>
          </w:p>
        </w:tc>
        <w:tc>
          <w:tcPr>
            <w:tcW w:w="2401" w:type="dxa"/>
            <w:vAlign w:val="top"/>
          </w:tcPr>
          <w:p w14:paraId="2E5566D3">
            <w:pPr>
              <w:rPr>
                <w:rFonts w:ascii="Arial"/>
                <w:sz w:val="21"/>
              </w:rPr>
            </w:pPr>
          </w:p>
        </w:tc>
        <w:tc>
          <w:tcPr>
            <w:tcW w:w="1596" w:type="dxa"/>
            <w:vAlign w:val="top"/>
          </w:tcPr>
          <w:p w14:paraId="1C3CFA3E">
            <w:pPr>
              <w:rPr>
                <w:rFonts w:ascii="Arial"/>
                <w:sz w:val="21"/>
              </w:rPr>
            </w:pPr>
          </w:p>
        </w:tc>
        <w:tc>
          <w:tcPr>
            <w:tcW w:w="1148" w:type="dxa"/>
            <w:vAlign w:val="top"/>
          </w:tcPr>
          <w:p w14:paraId="518C37D4">
            <w:pPr>
              <w:rPr>
                <w:rFonts w:ascii="Arial"/>
                <w:sz w:val="21"/>
              </w:rPr>
            </w:pPr>
          </w:p>
        </w:tc>
        <w:tc>
          <w:tcPr>
            <w:tcW w:w="1362" w:type="dxa"/>
            <w:vAlign w:val="top"/>
          </w:tcPr>
          <w:p w14:paraId="4BA61977">
            <w:pPr>
              <w:rPr>
                <w:rFonts w:ascii="Arial"/>
                <w:sz w:val="21"/>
              </w:rPr>
            </w:pPr>
          </w:p>
        </w:tc>
        <w:tc>
          <w:tcPr>
            <w:tcW w:w="1392" w:type="dxa"/>
            <w:tcBorders>
              <w:right w:val="single" w:color="000000" w:sz="6" w:space="0"/>
            </w:tcBorders>
            <w:vAlign w:val="top"/>
          </w:tcPr>
          <w:p w14:paraId="2CCAFB0E">
            <w:pPr>
              <w:rPr>
                <w:rFonts w:ascii="Arial"/>
                <w:sz w:val="21"/>
              </w:rPr>
            </w:pPr>
          </w:p>
        </w:tc>
      </w:tr>
      <w:tr w14:paraId="2BAB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3FC3BF8A">
            <w:pPr>
              <w:rPr>
                <w:rFonts w:ascii="Arial"/>
                <w:sz w:val="21"/>
              </w:rPr>
            </w:pPr>
          </w:p>
        </w:tc>
        <w:tc>
          <w:tcPr>
            <w:tcW w:w="2401" w:type="dxa"/>
            <w:vAlign w:val="top"/>
          </w:tcPr>
          <w:p w14:paraId="6A847BB8">
            <w:pPr>
              <w:rPr>
                <w:rFonts w:ascii="Arial"/>
                <w:sz w:val="21"/>
              </w:rPr>
            </w:pPr>
          </w:p>
        </w:tc>
        <w:tc>
          <w:tcPr>
            <w:tcW w:w="1596" w:type="dxa"/>
            <w:vAlign w:val="top"/>
          </w:tcPr>
          <w:p w14:paraId="5B526AD2">
            <w:pPr>
              <w:rPr>
                <w:rFonts w:ascii="Arial"/>
                <w:sz w:val="21"/>
              </w:rPr>
            </w:pPr>
          </w:p>
        </w:tc>
        <w:tc>
          <w:tcPr>
            <w:tcW w:w="1148" w:type="dxa"/>
            <w:vAlign w:val="top"/>
          </w:tcPr>
          <w:p w14:paraId="2F6BE8DE">
            <w:pPr>
              <w:rPr>
                <w:rFonts w:ascii="Arial"/>
                <w:sz w:val="21"/>
              </w:rPr>
            </w:pPr>
          </w:p>
        </w:tc>
        <w:tc>
          <w:tcPr>
            <w:tcW w:w="1362" w:type="dxa"/>
            <w:vAlign w:val="top"/>
          </w:tcPr>
          <w:p w14:paraId="02CD42E3">
            <w:pPr>
              <w:rPr>
                <w:rFonts w:ascii="Arial"/>
                <w:sz w:val="21"/>
              </w:rPr>
            </w:pPr>
          </w:p>
        </w:tc>
        <w:tc>
          <w:tcPr>
            <w:tcW w:w="1392" w:type="dxa"/>
            <w:tcBorders>
              <w:right w:val="single" w:color="000000" w:sz="6" w:space="0"/>
            </w:tcBorders>
            <w:vAlign w:val="top"/>
          </w:tcPr>
          <w:p w14:paraId="283F54AF">
            <w:pPr>
              <w:rPr>
                <w:rFonts w:ascii="Arial"/>
                <w:sz w:val="21"/>
              </w:rPr>
            </w:pPr>
          </w:p>
        </w:tc>
      </w:tr>
      <w:tr w14:paraId="161B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0DADF89D">
            <w:pPr>
              <w:rPr>
                <w:rFonts w:ascii="Arial"/>
                <w:sz w:val="21"/>
              </w:rPr>
            </w:pPr>
          </w:p>
        </w:tc>
        <w:tc>
          <w:tcPr>
            <w:tcW w:w="2401" w:type="dxa"/>
            <w:vAlign w:val="top"/>
          </w:tcPr>
          <w:p w14:paraId="2F1EB7CC">
            <w:pPr>
              <w:rPr>
                <w:rFonts w:ascii="Arial"/>
                <w:sz w:val="21"/>
              </w:rPr>
            </w:pPr>
          </w:p>
        </w:tc>
        <w:tc>
          <w:tcPr>
            <w:tcW w:w="1596" w:type="dxa"/>
            <w:vAlign w:val="top"/>
          </w:tcPr>
          <w:p w14:paraId="2400585A">
            <w:pPr>
              <w:rPr>
                <w:rFonts w:ascii="Arial"/>
                <w:sz w:val="21"/>
              </w:rPr>
            </w:pPr>
          </w:p>
        </w:tc>
        <w:tc>
          <w:tcPr>
            <w:tcW w:w="1148" w:type="dxa"/>
            <w:vAlign w:val="top"/>
          </w:tcPr>
          <w:p w14:paraId="6601460D">
            <w:pPr>
              <w:rPr>
                <w:rFonts w:ascii="Arial"/>
                <w:sz w:val="21"/>
              </w:rPr>
            </w:pPr>
          </w:p>
        </w:tc>
        <w:tc>
          <w:tcPr>
            <w:tcW w:w="1362" w:type="dxa"/>
            <w:vAlign w:val="top"/>
          </w:tcPr>
          <w:p w14:paraId="507A0BC0">
            <w:pPr>
              <w:rPr>
                <w:rFonts w:ascii="Arial"/>
                <w:sz w:val="21"/>
              </w:rPr>
            </w:pPr>
          </w:p>
        </w:tc>
        <w:tc>
          <w:tcPr>
            <w:tcW w:w="1392" w:type="dxa"/>
            <w:tcBorders>
              <w:right w:val="single" w:color="000000" w:sz="6" w:space="0"/>
            </w:tcBorders>
            <w:vAlign w:val="top"/>
          </w:tcPr>
          <w:p w14:paraId="08CEF6B9">
            <w:pPr>
              <w:rPr>
                <w:rFonts w:ascii="Arial"/>
                <w:sz w:val="21"/>
              </w:rPr>
            </w:pPr>
          </w:p>
        </w:tc>
      </w:tr>
      <w:tr w14:paraId="7C44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68D168D4">
            <w:pPr>
              <w:rPr>
                <w:rFonts w:ascii="Arial"/>
                <w:sz w:val="21"/>
              </w:rPr>
            </w:pPr>
          </w:p>
        </w:tc>
        <w:tc>
          <w:tcPr>
            <w:tcW w:w="2401" w:type="dxa"/>
            <w:vAlign w:val="top"/>
          </w:tcPr>
          <w:p w14:paraId="13D7A058">
            <w:pPr>
              <w:rPr>
                <w:rFonts w:ascii="Arial"/>
                <w:sz w:val="21"/>
              </w:rPr>
            </w:pPr>
          </w:p>
        </w:tc>
        <w:tc>
          <w:tcPr>
            <w:tcW w:w="1596" w:type="dxa"/>
            <w:vAlign w:val="top"/>
          </w:tcPr>
          <w:p w14:paraId="7706FA79">
            <w:pPr>
              <w:rPr>
                <w:rFonts w:ascii="Arial"/>
                <w:sz w:val="21"/>
              </w:rPr>
            </w:pPr>
          </w:p>
        </w:tc>
        <w:tc>
          <w:tcPr>
            <w:tcW w:w="1148" w:type="dxa"/>
            <w:vAlign w:val="top"/>
          </w:tcPr>
          <w:p w14:paraId="6D951719">
            <w:pPr>
              <w:rPr>
                <w:rFonts w:ascii="Arial"/>
                <w:sz w:val="21"/>
              </w:rPr>
            </w:pPr>
          </w:p>
        </w:tc>
        <w:tc>
          <w:tcPr>
            <w:tcW w:w="1362" w:type="dxa"/>
            <w:vAlign w:val="top"/>
          </w:tcPr>
          <w:p w14:paraId="7451272C">
            <w:pPr>
              <w:rPr>
                <w:rFonts w:ascii="Arial"/>
                <w:sz w:val="21"/>
              </w:rPr>
            </w:pPr>
          </w:p>
        </w:tc>
        <w:tc>
          <w:tcPr>
            <w:tcW w:w="1392" w:type="dxa"/>
            <w:tcBorders>
              <w:right w:val="single" w:color="000000" w:sz="6" w:space="0"/>
            </w:tcBorders>
            <w:vAlign w:val="top"/>
          </w:tcPr>
          <w:p w14:paraId="7E993632">
            <w:pPr>
              <w:rPr>
                <w:rFonts w:ascii="Arial"/>
                <w:sz w:val="21"/>
              </w:rPr>
            </w:pPr>
          </w:p>
        </w:tc>
      </w:tr>
      <w:tr w14:paraId="5C06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3F702B53">
            <w:pPr>
              <w:rPr>
                <w:rFonts w:ascii="Arial"/>
                <w:sz w:val="21"/>
              </w:rPr>
            </w:pPr>
          </w:p>
        </w:tc>
        <w:tc>
          <w:tcPr>
            <w:tcW w:w="2401" w:type="dxa"/>
            <w:vAlign w:val="top"/>
          </w:tcPr>
          <w:p w14:paraId="1D969458">
            <w:pPr>
              <w:rPr>
                <w:rFonts w:ascii="Arial"/>
                <w:sz w:val="21"/>
              </w:rPr>
            </w:pPr>
          </w:p>
        </w:tc>
        <w:tc>
          <w:tcPr>
            <w:tcW w:w="1596" w:type="dxa"/>
            <w:vAlign w:val="top"/>
          </w:tcPr>
          <w:p w14:paraId="2FE7D2F5">
            <w:pPr>
              <w:rPr>
                <w:rFonts w:ascii="Arial"/>
                <w:sz w:val="21"/>
              </w:rPr>
            </w:pPr>
          </w:p>
        </w:tc>
        <w:tc>
          <w:tcPr>
            <w:tcW w:w="1148" w:type="dxa"/>
            <w:vAlign w:val="top"/>
          </w:tcPr>
          <w:p w14:paraId="43142204">
            <w:pPr>
              <w:rPr>
                <w:rFonts w:ascii="Arial"/>
                <w:sz w:val="21"/>
              </w:rPr>
            </w:pPr>
          </w:p>
        </w:tc>
        <w:tc>
          <w:tcPr>
            <w:tcW w:w="1362" w:type="dxa"/>
            <w:vAlign w:val="top"/>
          </w:tcPr>
          <w:p w14:paraId="375389D3">
            <w:pPr>
              <w:rPr>
                <w:rFonts w:ascii="Arial"/>
                <w:sz w:val="21"/>
              </w:rPr>
            </w:pPr>
          </w:p>
        </w:tc>
        <w:tc>
          <w:tcPr>
            <w:tcW w:w="1392" w:type="dxa"/>
            <w:tcBorders>
              <w:right w:val="single" w:color="000000" w:sz="6" w:space="0"/>
            </w:tcBorders>
            <w:vAlign w:val="top"/>
          </w:tcPr>
          <w:p w14:paraId="58E8EF5E">
            <w:pPr>
              <w:rPr>
                <w:rFonts w:ascii="Arial"/>
                <w:sz w:val="21"/>
              </w:rPr>
            </w:pPr>
          </w:p>
        </w:tc>
      </w:tr>
      <w:tr w14:paraId="6C8F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7516DB94">
            <w:pPr>
              <w:rPr>
                <w:rFonts w:ascii="Arial"/>
                <w:sz w:val="21"/>
              </w:rPr>
            </w:pPr>
          </w:p>
        </w:tc>
        <w:tc>
          <w:tcPr>
            <w:tcW w:w="2401" w:type="dxa"/>
            <w:vAlign w:val="top"/>
          </w:tcPr>
          <w:p w14:paraId="3924912C">
            <w:pPr>
              <w:rPr>
                <w:rFonts w:ascii="Arial"/>
                <w:sz w:val="21"/>
              </w:rPr>
            </w:pPr>
          </w:p>
        </w:tc>
        <w:tc>
          <w:tcPr>
            <w:tcW w:w="1596" w:type="dxa"/>
            <w:vAlign w:val="top"/>
          </w:tcPr>
          <w:p w14:paraId="5799BC80">
            <w:pPr>
              <w:rPr>
                <w:rFonts w:ascii="Arial"/>
                <w:sz w:val="21"/>
              </w:rPr>
            </w:pPr>
          </w:p>
        </w:tc>
        <w:tc>
          <w:tcPr>
            <w:tcW w:w="1148" w:type="dxa"/>
            <w:vAlign w:val="top"/>
          </w:tcPr>
          <w:p w14:paraId="585D9EB0">
            <w:pPr>
              <w:rPr>
                <w:rFonts w:ascii="Arial"/>
                <w:sz w:val="21"/>
              </w:rPr>
            </w:pPr>
          </w:p>
        </w:tc>
        <w:tc>
          <w:tcPr>
            <w:tcW w:w="1362" w:type="dxa"/>
            <w:vAlign w:val="top"/>
          </w:tcPr>
          <w:p w14:paraId="680B4E82">
            <w:pPr>
              <w:rPr>
                <w:rFonts w:ascii="Arial"/>
                <w:sz w:val="21"/>
              </w:rPr>
            </w:pPr>
          </w:p>
        </w:tc>
        <w:tc>
          <w:tcPr>
            <w:tcW w:w="1392" w:type="dxa"/>
            <w:tcBorders>
              <w:right w:val="single" w:color="000000" w:sz="6" w:space="0"/>
            </w:tcBorders>
            <w:vAlign w:val="top"/>
          </w:tcPr>
          <w:p w14:paraId="17B9BFE0">
            <w:pPr>
              <w:rPr>
                <w:rFonts w:ascii="Arial"/>
                <w:sz w:val="21"/>
              </w:rPr>
            </w:pPr>
          </w:p>
        </w:tc>
      </w:tr>
      <w:tr w14:paraId="7110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77" w:type="dxa"/>
            <w:tcBorders>
              <w:left w:val="single" w:color="000000" w:sz="6" w:space="0"/>
            </w:tcBorders>
            <w:vAlign w:val="top"/>
          </w:tcPr>
          <w:p w14:paraId="1ADCD8AC">
            <w:pPr>
              <w:rPr>
                <w:rFonts w:ascii="Arial"/>
                <w:sz w:val="21"/>
              </w:rPr>
            </w:pPr>
          </w:p>
        </w:tc>
        <w:tc>
          <w:tcPr>
            <w:tcW w:w="2401" w:type="dxa"/>
            <w:vAlign w:val="top"/>
          </w:tcPr>
          <w:p w14:paraId="4F86A25B">
            <w:pPr>
              <w:rPr>
                <w:rFonts w:ascii="Arial"/>
                <w:sz w:val="21"/>
              </w:rPr>
            </w:pPr>
          </w:p>
        </w:tc>
        <w:tc>
          <w:tcPr>
            <w:tcW w:w="1596" w:type="dxa"/>
            <w:vAlign w:val="top"/>
          </w:tcPr>
          <w:p w14:paraId="0E7544C0">
            <w:pPr>
              <w:rPr>
                <w:rFonts w:ascii="Arial"/>
                <w:sz w:val="21"/>
              </w:rPr>
            </w:pPr>
          </w:p>
        </w:tc>
        <w:tc>
          <w:tcPr>
            <w:tcW w:w="1148" w:type="dxa"/>
            <w:vAlign w:val="top"/>
          </w:tcPr>
          <w:p w14:paraId="02C81933">
            <w:pPr>
              <w:rPr>
                <w:rFonts w:ascii="Arial"/>
                <w:sz w:val="21"/>
              </w:rPr>
            </w:pPr>
          </w:p>
        </w:tc>
        <w:tc>
          <w:tcPr>
            <w:tcW w:w="1362" w:type="dxa"/>
            <w:vAlign w:val="top"/>
          </w:tcPr>
          <w:p w14:paraId="0A885B25">
            <w:pPr>
              <w:rPr>
                <w:rFonts w:ascii="Arial"/>
                <w:sz w:val="21"/>
              </w:rPr>
            </w:pPr>
          </w:p>
        </w:tc>
        <w:tc>
          <w:tcPr>
            <w:tcW w:w="1392" w:type="dxa"/>
            <w:tcBorders>
              <w:right w:val="single" w:color="000000" w:sz="6" w:space="0"/>
            </w:tcBorders>
            <w:vAlign w:val="top"/>
          </w:tcPr>
          <w:p w14:paraId="0397BDCF">
            <w:pPr>
              <w:rPr>
                <w:rFonts w:ascii="Arial"/>
                <w:sz w:val="21"/>
              </w:rPr>
            </w:pPr>
          </w:p>
        </w:tc>
      </w:tr>
      <w:tr w14:paraId="192A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0B5E0957">
            <w:pPr>
              <w:rPr>
                <w:rFonts w:ascii="Arial"/>
                <w:sz w:val="21"/>
              </w:rPr>
            </w:pPr>
          </w:p>
        </w:tc>
        <w:tc>
          <w:tcPr>
            <w:tcW w:w="2401" w:type="dxa"/>
            <w:vAlign w:val="top"/>
          </w:tcPr>
          <w:p w14:paraId="697F064D">
            <w:pPr>
              <w:rPr>
                <w:rFonts w:ascii="Arial"/>
                <w:sz w:val="21"/>
              </w:rPr>
            </w:pPr>
          </w:p>
        </w:tc>
        <w:tc>
          <w:tcPr>
            <w:tcW w:w="1596" w:type="dxa"/>
            <w:vAlign w:val="top"/>
          </w:tcPr>
          <w:p w14:paraId="2EAAA39A">
            <w:pPr>
              <w:rPr>
                <w:rFonts w:ascii="Arial"/>
                <w:sz w:val="21"/>
              </w:rPr>
            </w:pPr>
          </w:p>
        </w:tc>
        <w:tc>
          <w:tcPr>
            <w:tcW w:w="1148" w:type="dxa"/>
            <w:vAlign w:val="top"/>
          </w:tcPr>
          <w:p w14:paraId="3FB37B8B">
            <w:pPr>
              <w:rPr>
                <w:rFonts w:ascii="Arial"/>
                <w:sz w:val="21"/>
              </w:rPr>
            </w:pPr>
          </w:p>
        </w:tc>
        <w:tc>
          <w:tcPr>
            <w:tcW w:w="1362" w:type="dxa"/>
            <w:vAlign w:val="top"/>
          </w:tcPr>
          <w:p w14:paraId="5D3306D1">
            <w:pPr>
              <w:rPr>
                <w:rFonts w:ascii="Arial"/>
                <w:sz w:val="21"/>
              </w:rPr>
            </w:pPr>
          </w:p>
        </w:tc>
        <w:tc>
          <w:tcPr>
            <w:tcW w:w="1392" w:type="dxa"/>
            <w:tcBorders>
              <w:right w:val="single" w:color="000000" w:sz="6" w:space="0"/>
            </w:tcBorders>
            <w:vAlign w:val="top"/>
          </w:tcPr>
          <w:p w14:paraId="7E97EB78">
            <w:pPr>
              <w:rPr>
                <w:rFonts w:ascii="Arial"/>
                <w:sz w:val="21"/>
              </w:rPr>
            </w:pPr>
          </w:p>
        </w:tc>
      </w:tr>
      <w:tr w14:paraId="29740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738FC6EB">
            <w:pPr>
              <w:rPr>
                <w:rFonts w:ascii="Arial"/>
                <w:sz w:val="21"/>
              </w:rPr>
            </w:pPr>
          </w:p>
        </w:tc>
        <w:tc>
          <w:tcPr>
            <w:tcW w:w="2401" w:type="dxa"/>
            <w:vAlign w:val="top"/>
          </w:tcPr>
          <w:p w14:paraId="1D7584F3">
            <w:pPr>
              <w:rPr>
                <w:rFonts w:ascii="Arial"/>
                <w:sz w:val="21"/>
              </w:rPr>
            </w:pPr>
          </w:p>
        </w:tc>
        <w:tc>
          <w:tcPr>
            <w:tcW w:w="1596" w:type="dxa"/>
            <w:vAlign w:val="top"/>
          </w:tcPr>
          <w:p w14:paraId="7B2697CD">
            <w:pPr>
              <w:rPr>
                <w:rFonts w:ascii="Arial"/>
                <w:sz w:val="21"/>
              </w:rPr>
            </w:pPr>
          </w:p>
        </w:tc>
        <w:tc>
          <w:tcPr>
            <w:tcW w:w="1148" w:type="dxa"/>
            <w:vAlign w:val="top"/>
          </w:tcPr>
          <w:p w14:paraId="6E590B9A">
            <w:pPr>
              <w:rPr>
                <w:rFonts w:ascii="Arial"/>
                <w:sz w:val="21"/>
              </w:rPr>
            </w:pPr>
          </w:p>
        </w:tc>
        <w:tc>
          <w:tcPr>
            <w:tcW w:w="1362" w:type="dxa"/>
            <w:vAlign w:val="top"/>
          </w:tcPr>
          <w:p w14:paraId="6A41CBC1">
            <w:pPr>
              <w:rPr>
                <w:rFonts w:ascii="Arial"/>
                <w:sz w:val="21"/>
              </w:rPr>
            </w:pPr>
          </w:p>
        </w:tc>
        <w:tc>
          <w:tcPr>
            <w:tcW w:w="1392" w:type="dxa"/>
            <w:tcBorders>
              <w:right w:val="single" w:color="000000" w:sz="6" w:space="0"/>
            </w:tcBorders>
            <w:vAlign w:val="top"/>
          </w:tcPr>
          <w:p w14:paraId="2CDFEE63">
            <w:pPr>
              <w:rPr>
                <w:rFonts w:ascii="Arial"/>
                <w:sz w:val="21"/>
              </w:rPr>
            </w:pPr>
          </w:p>
        </w:tc>
      </w:tr>
      <w:tr w14:paraId="1BA6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2631D8D0">
            <w:pPr>
              <w:rPr>
                <w:rFonts w:ascii="Arial"/>
                <w:sz w:val="21"/>
              </w:rPr>
            </w:pPr>
          </w:p>
        </w:tc>
        <w:tc>
          <w:tcPr>
            <w:tcW w:w="2401" w:type="dxa"/>
            <w:vAlign w:val="top"/>
          </w:tcPr>
          <w:p w14:paraId="1A52CA0B">
            <w:pPr>
              <w:rPr>
                <w:rFonts w:ascii="Arial"/>
                <w:sz w:val="21"/>
              </w:rPr>
            </w:pPr>
          </w:p>
        </w:tc>
        <w:tc>
          <w:tcPr>
            <w:tcW w:w="1596" w:type="dxa"/>
            <w:vAlign w:val="top"/>
          </w:tcPr>
          <w:p w14:paraId="016770E5">
            <w:pPr>
              <w:rPr>
                <w:rFonts w:ascii="Arial"/>
                <w:sz w:val="21"/>
              </w:rPr>
            </w:pPr>
          </w:p>
        </w:tc>
        <w:tc>
          <w:tcPr>
            <w:tcW w:w="1148" w:type="dxa"/>
            <w:vAlign w:val="top"/>
          </w:tcPr>
          <w:p w14:paraId="6EE17A9D">
            <w:pPr>
              <w:rPr>
                <w:rFonts w:ascii="Arial"/>
                <w:sz w:val="21"/>
              </w:rPr>
            </w:pPr>
          </w:p>
        </w:tc>
        <w:tc>
          <w:tcPr>
            <w:tcW w:w="1362" w:type="dxa"/>
            <w:vAlign w:val="top"/>
          </w:tcPr>
          <w:p w14:paraId="31145663">
            <w:pPr>
              <w:rPr>
                <w:rFonts w:ascii="Arial"/>
                <w:sz w:val="21"/>
              </w:rPr>
            </w:pPr>
          </w:p>
        </w:tc>
        <w:tc>
          <w:tcPr>
            <w:tcW w:w="1392" w:type="dxa"/>
            <w:tcBorders>
              <w:right w:val="single" w:color="000000" w:sz="6" w:space="0"/>
            </w:tcBorders>
            <w:vAlign w:val="top"/>
          </w:tcPr>
          <w:p w14:paraId="7F0CDD7E">
            <w:pPr>
              <w:rPr>
                <w:rFonts w:ascii="Arial"/>
                <w:sz w:val="21"/>
              </w:rPr>
            </w:pPr>
          </w:p>
        </w:tc>
      </w:tr>
      <w:tr w14:paraId="7BE5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4D00A410">
            <w:pPr>
              <w:rPr>
                <w:rFonts w:ascii="Arial"/>
                <w:sz w:val="21"/>
              </w:rPr>
            </w:pPr>
          </w:p>
        </w:tc>
        <w:tc>
          <w:tcPr>
            <w:tcW w:w="2401" w:type="dxa"/>
            <w:vAlign w:val="top"/>
          </w:tcPr>
          <w:p w14:paraId="61B9B479">
            <w:pPr>
              <w:rPr>
                <w:rFonts w:ascii="Arial"/>
                <w:sz w:val="21"/>
              </w:rPr>
            </w:pPr>
          </w:p>
        </w:tc>
        <w:tc>
          <w:tcPr>
            <w:tcW w:w="1596" w:type="dxa"/>
            <w:vAlign w:val="top"/>
          </w:tcPr>
          <w:p w14:paraId="2455FADD">
            <w:pPr>
              <w:rPr>
                <w:rFonts w:ascii="Arial"/>
                <w:sz w:val="21"/>
              </w:rPr>
            </w:pPr>
          </w:p>
        </w:tc>
        <w:tc>
          <w:tcPr>
            <w:tcW w:w="1148" w:type="dxa"/>
            <w:vAlign w:val="top"/>
          </w:tcPr>
          <w:p w14:paraId="73468312">
            <w:pPr>
              <w:rPr>
                <w:rFonts w:ascii="Arial"/>
                <w:sz w:val="21"/>
              </w:rPr>
            </w:pPr>
          </w:p>
        </w:tc>
        <w:tc>
          <w:tcPr>
            <w:tcW w:w="1362" w:type="dxa"/>
            <w:vAlign w:val="top"/>
          </w:tcPr>
          <w:p w14:paraId="3F2C7484">
            <w:pPr>
              <w:rPr>
                <w:rFonts w:ascii="Arial"/>
                <w:sz w:val="21"/>
              </w:rPr>
            </w:pPr>
          </w:p>
        </w:tc>
        <w:tc>
          <w:tcPr>
            <w:tcW w:w="1392" w:type="dxa"/>
            <w:tcBorders>
              <w:right w:val="single" w:color="000000" w:sz="6" w:space="0"/>
            </w:tcBorders>
            <w:vAlign w:val="top"/>
          </w:tcPr>
          <w:p w14:paraId="3FE7BDE2">
            <w:pPr>
              <w:rPr>
                <w:rFonts w:ascii="Arial"/>
                <w:sz w:val="21"/>
              </w:rPr>
            </w:pPr>
          </w:p>
        </w:tc>
      </w:tr>
      <w:tr w14:paraId="13EB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6013341D">
            <w:pPr>
              <w:rPr>
                <w:rFonts w:ascii="Arial"/>
                <w:sz w:val="21"/>
              </w:rPr>
            </w:pPr>
          </w:p>
        </w:tc>
        <w:tc>
          <w:tcPr>
            <w:tcW w:w="2401" w:type="dxa"/>
            <w:vAlign w:val="top"/>
          </w:tcPr>
          <w:p w14:paraId="298EADF9">
            <w:pPr>
              <w:rPr>
                <w:rFonts w:ascii="Arial"/>
                <w:sz w:val="21"/>
              </w:rPr>
            </w:pPr>
          </w:p>
        </w:tc>
        <w:tc>
          <w:tcPr>
            <w:tcW w:w="1596" w:type="dxa"/>
            <w:vAlign w:val="top"/>
          </w:tcPr>
          <w:p w14:paraId="3A67C6E0">
            <w:pPr>
              <w:rPr>
                <w:rFonts w:ascii="Arial"/>
                <w:sz w:val="21"/>
              </w:rPr>
            </w:pPr>
          </w:p>
        </w:tc>
        <w:tc>
          <w:tcPr>
            <w:tcW w:w="1148" w:type="dxa"/>
            <w:vAlign w:val="top"/>
          </w:tcPr>
          <w:p w14:paraId="68287A9A">
            <w:pPr>
              <w:rPr>
                <w:rFonts w:ascii="Arial"/>
                <w:sz w:val="21"/>
              </w:rPr>
            </w:pPr>
          </w:p>
        </w:tc>
        <w:tc>
          <w:tcPr>
            <w:tcW w:w="1362" w:type="dxa"/>
            <w:vAlign w:val="top"/>
          </w:tcPr>
          <w:p w14:paraId="1B6A271F">
            <w:pPr>
              <w:rPr>
                <w:rFonts w:ascii="Arial"/>
                <w:sz w:val="21"/>
              </w:rPr>
            </w:pPr>
          </w:p>
        </w:tc>
        <w:tc>
          <w:tcPr>
            <w:tcW w:w="1392" w:type="dxa"/>
            <w:tcBorders>
              <w:right w:val="single" w:color="000000" w:sz="6" w:space="0"/>
            </w:tcBorders>
            <w:vAlign w:val="top"/>
          </w:tcPr>
          <w:p w14:paraId="4DCDFDD2">
            <w:pPr>
              <w:rPr>
                <w:rFonts w:ascii="Arial"/>
                <w:sz w:val="21"/>
              </w:rPr>
            </w:pPr>
          </w:p>
        </w:tc>
      </w:tr>
      <w:tr w14:paraId="7764C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2755880A">
            <w:pPr>
              <w:rPr>
                <w:rFonts w:ascii="Arial"/>
                <w:sz w:val="21"/>
              </w:rPr>
            </w:pPr>
          </w:p>
        </w:tc>
        <w:tc>
          <w:tcPr>
            <w:tcW w:w="2401" w:type="dxa"/>
            <w:vAlign w:val="top"/>
          </w:tcPr>
          <w:p w14:paraId="04430724">
            <w:pPr>
              <w:rPr>
                <w:rFonts w:ascii="Arial"/>
                <w:sz w:val="21"/>
              </w:rPr>
            </w:pPr>
          </w:p>
        </w:tc>
        <w:tc>
          <w:tcPr>
            <w:tcW w:w="1596" w:type="dxa"/>
            <w:vAlign w:val="top"/>
          </w:tcPr>
          <w:p w14:paraId="397F44C1">
            <w:pPr>
              <w:rPr>
                <w:rFonts w:ascii="Arial"/>
                <w:sz w:val="21"/>
              </w:rPr>
            </w:pPr>
          </w:p>
        </w:tc>
        <w:tc>
          <w:tcPr>
            <w:tcW w:w="1148" w:type="dxa"/>
            <w:vAlign w:val="top"/>
          </w:tcPr>
          <w:p w14:paraId="203F0C56">
            <w:pPr>
              <w:rPr>
                <w:rFonts w:ascii="Arial"/>
                <w:sz w:val="21"/>
              </w:rPr>
            </w:pPr>
          </w:p>
        </w:tc>
        <w:tc>
          <w:tcPr>
            <w:tcW w:w="1362" w:type="dxa"/>
            <w:vAlign w:val="top"/>
          </w:tcPr>
          <w:p w14:paraId="302089AC">
            <w:pPr>
              <w:rPr>
                <w:rFonts w:ascii="Arial"/>
                <w:sz w:val="21"/>
              </w:rPr>
            </w:pPr>
          </w:p>
        </w:tc>
        <w:tc>
          <w:tcPr>
            <w:tcW w:w="1392" w:type="dxa"/>
            <w:tcBorders>
              <w:right w:val="single" w:color="000000" w:sz="6" w:space="0"/>
            </w:tcBorders>
            <w:vAlign w:val="top"/>
          </w:tcPr>
          <w:p w14:paraId="3B72D558">
            <w:pPr>
              <w:rPr>
                <w:rFonts w:ascii="Arial"/>
                <w:sz w:val="21"/>
              </w:rPr>
            </w:pPr>
          </w:p>
        </w:tc>
      </w:tr>
      <w:tr w14:paraId="4B85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1BB47752">
            <w:pPr>
              <w:rPr>
                <w:rFonts w:ascii="Arial"/>
                <w:sz w:val="21"/>
              </w:rPr>
            </w:pPr>
          </w:p>
        </w:tc>
        <w:tc>
          <w:tcPr>
            <w:tcW w:w="2401" w:type="dxa"/>
            <w:vAlign w:val="top"/>
          </w:tcPr>
          <w:p w14:paraId="69C0FCA8">
            <w:pPr>
              <w:rPr>
                <w:rFonts w:ascii="Arial"/>
                <w:sz w:val="21"/>
              </w:rPr>
            </w:pPr>
          </w:p>
        </w:tc>
        <w:tc>
          <w:tcPr>
            <w:tcW w:w="1596" w:type="dxa"/>
            <w:vAlign w:val="top"/>
          </w:tcPr>
          <w:p w14:paraId="2623116B">
            <w:pPr>
              <w:rPr>
                <w:rFonts w:ascii="Arial"/>
                <w:sz w:val="21"/>
              </w:rPr>
            </w:pPr>
          </w:p>
        </w:tc>
        <w:tc>
          <w:tcPr>
            <w:tcW w:w="1148" w:type="dxa"/>
            <w:vAlign w:val="top"/>
          </w:tcPr>
          <w:p w14:paraId="7AE2E751">
            <w:pPr>
              <w:rPr>
                <w:rFonts w:ascii="Arial"/>
                <w:sz w:val="21"/>
              </w:rPr>
            </w:pPr>
          </w:p>
        </w:tc>
        <w:tc>
          <w:tcPr>
            <w:tcW w:w="1362" w:type="dxa"/>
            <w:vAlign w:val="top"/>
          </w:tcPr>
          <w:p w14:paraId="5F6190E6">
            <w:pPr>
              <w:rPr>
                <w:rFonts w:ascii="Arial"/>
                <w:sz w:val="21"/>
              </w:rPr>
            </w:pPr>
          </w:p>
        </w:tc>
        <w:tc>
          <w:tcPr>
            <w:tcW w:w="1392" w:type="dxa"/>
            <w:tcBorders>
              <w:right w:val="single" w:color="000000" w:sz="6" w:space="0"/>
            </w:tcBorders>
            <w:vAlign w:val="top"/>
          </w:tcPr>
          <w:p w14:paraId="398B0C65">
            <w:pPr>
              <w:rPr>
                <w:rFonts w:ascii="Arial"/>
                <w:sz w:val="21"/>
              </w:rPr>
            </w:pPr>
          </w:p>
        </w:tc>
      </w:tr>
      <w:tr w14:paraId="24705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1137A4E3">
            <w:pPr>
              <w:rPr>
                <w:rFonts w:ascii="Arial"/>
                <w:sz w:val="21"/>
              </w:rPr>
            </w:pPr>
          </w:p>
        </w:tc>
        <w:tc>
          <w:tcPr>
            <w:tcW w:w="2401" w:type="dxa"/>
            <w:vAlign w:val="top"/>
          </w:tcPr>
          <w:p w14:paraId="7D891CE5">
            <w:pPr>
              <w:rPr>
                <w:rFonts w:ascii="Arial"/>
                <w:sz w:val="21"/>
              </w:rPr>
            </w:pPr>
          </w:p>
        </w:tc>
        <w:tc>
          <w:tcPr>
            <w:tcW w:w="1596" w:type="dxa"/>
            <w:vAlign w:val="top"/>
          </w:tcPr>
          <w:p w14:paraId="1C46DAC2">
            <w:pPr>
              <w:rPr>
                <w:rFonts w:ascii="Arial"/>
                <w:sz w:val="21"/>
              </w:rPr>
            </w:pPr>
          </w:p>
        </w:tc>
        <w:tc>
          <w:tcPr>
            <w:tcW w:w="1148" w:type="dxa"/>
            <w:vAlign w:val="top"/>
          </w:tcPr>
          <w:p w14:paraId="01CCACB9">
            <w:pPr>
              <w:rPr>
                <w:rFonts w:ascii="Arial"/>
                <w:sz w:val="21"/>
              </w:rPr>
            </w:pPr>
          </w:p>
        </w:tc>
        <w:tc>
          <w:tcPr>
            <w:tcW w:w="1362" w:type="dxa"/>
            <w:vAlign w:val="top"/>
          </w:tcPr>
          <w:p w14:paraId="53376D65">
            <w:pPr>
              <w:rPr>
                <w:rFonts w:ascii="Arial"/>
                <w:sz w:val="21"/>
              </w:rPr>
            </w:pPr>
          </w:p>
        </w:tc>
        <w:tc>
          <w:tcPr>
            <w:tcW w:w="1392" w:type="dxa"/>
            <w:tcBorders>
              <w:right w:val="single" w:color="000000" w:sz="6" w:space="0"/>
            </w:tcBorders>
            <w:vAlign w:val="top"/>
          </w:tcPr>
          <w:p w14:paraId="073C61D0">
            <w:pPr>
              <w:rPr>
                <w:rFonts w:ascii="Arial"/>
                <w:sz w:val="21"/>
              </w:rPr>
            </w:pPr>
          </w:p>
        </w:tc>
      </w:tr>
      <w:tr w14:paraId="244B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77" w:type="dxa"/>
            <w:tcBorders>
              <w:left w:val="single" w:color="000000" w:sz="6" w:space="0"/>
            </w:tcBorders>
            <w:vAlign w:val="top"/>
          </w:tcPr>
          <w:p w14:paraId="6EEED349">
            <w:pPr>
              <w:rPr>
                <w:rFonts w:ascii="Arial"/>
                <w:sz w:val="21"/>
              </w:rPr>
            </w:pPr>
          </w:p>
        </w:tc>
        <w:tc>
          <w:tcPr>
            <w:tcW w:w="2401" w:type="dxa"/>
            <w:vAlign w:val="top"/>
          </w:tcPr>
          <w:p w14:paraId="446AF563">
            <w:pPr>
              <w:rPr>
                <w:rFonts w:ascii="Arial"/>
                <w:sz w:val="21"/>
              </w:rPr>
            </w:pPr>
          </w:p>
        </w:tc>
        <w:tc>
          <w:tcPr>
            <w:tcW w:w="1596" w:type="dxa"/>
            <w:vAlign w:val="top"/>
          </w:tcPr>
          <w:p w14:paraId="54EAB78A">
            <w:pPr>
              <w:rPr>
                <w:rFonts w:ascii="Arial"/>
                <w:sz w:val="21"/>
              </w:rPr>
            </w:pPr>
          </w:p>
        </w:tc>
        <w:tc>
          <w:tcPr>
            <w:tcW w:w="1148" w:type="dxa"/>
            <w:vAlign w:val="top"/>
          </w:tcPr>
          <w:p w14:paraId="237599E4">
            <w:pPr>
              <w:rPr>
                <w:rFonts w:ascii="Arial"/>
                <w:sz w:val="21"/>
              </w:rPr>
            </w:pPr>
          </w:p>
        </w:tc>
        <w:tc>
          <w:tcPr>
            <w:tcW w:w="1362" w:type="dxa"/>
            <w:vAlign w:val="top"/>
          </w:tcPr>
          <w:p w14:paraId="6A2B7DF0">
            <w:pPr>
              <w:rPr>
                <w:rFonts w:ascii="Arial"/>
                <w:sz w:val="21"/>
              </w:rPr>
            </w:pPr>
          </w:p>
        </w:tc>
        <w:tc>
          <w:tcPr>
            <w:tcW w:w="1392" w:type="dxa"/>
            <w:tcBorders>
              <w:right w:val="single" w:color="000000" w:sz="6" w:space="0"/>
            </w:tcBorders>
            <w:vAlign w:val="top"/>
          </w:tcPr>
          <w:p w14:paraId="4C51B89B">
            <w:pPr>
              <w:rPr>
                <w:rFonts w:ascii="Arial"/>
                <w:sz w:val="21"/>
              </w:rPr>
            </w:pPr>
          </w:p>
        </w:tc>
      </w:tr>
      <w:tr w14:paraId="04E94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77" w:type="dxa"/>
            <w:tcBorders>
              <w:left w:val="single" w:color="000000" w:sz="6" w:space="0"/>
            </w:tcBorders>
            <w:vAlign w:val="top"/>
          </w:tcPr>
          <w:p w14:paraId="5712E75E">
            <w:pPr>
              <w:rPr>
                <w:rFonts w:ascii="Arial"/>
                <w:sz w:val="21"/>
              </w:rPr>
            </w:pPr>
          </w:p>
        </w:tc>
        <w:tc>
          <w:tcPr>
            <w:tcW w:w="2401" w:type="dxa"/>
            <w:vAlign w:val="top"/>
          </w:tcPr>
          <w:p w14:paraId="561F8EE7">
            <w:pPr>
              <w:rPr>
                <w:rFonts w:ascii="Arial"/>
                <w:sz w:val="21"/>
              </w:rPr>
            </w:pPr>
          </w:p>
        </w:tc>
        <w:tc>
          <w:tcPr>
            <w:tcW w:w="1596" w:type="dxa"/>
            <w:vAlign w:val="top"/>
          </w:tcPr>
          <w:p w14:paraId="47084121">
            <w:pPr>
              <w:rPr>
                <w:rFonts w:ascii="Arial"/>
                <w:sz w:val="21"/>
              </w:rPr>
            </w:pPr>
          </w:p>
        </w:tc>
        <w:tc>
          <w:tcPr>
            <w:tcW w:w="1148" w:type="dxa"/>
            <w:vAlign w:val="top"/>
          </w:tcPr>
          <w:p w14:paraId="774A23AA">
            <w:pPr>
              <w:rPr>
                <w:rFonts w:ascii="Arial"/>
                <w:sz w:val="21"/>
              </w:rPr>
            </w:pPr>
          </w:p>
        </w:tc>
        <w:tc>
          <w:tcPr>
            <w:tcW w:w="1362" w:type="dxa"/>
            <w:vAlign w:val="top"/>
          </w:tcPr>
          <w:p w14:paraId="3A612E57">
            <w:pPr>
              <w:rPr>
                <w:rFonts w:ascii="Arial"/>
                <w:sz w:val="21"/>
              </w:rPr>
            </w:pPr>
          </w:p>
        </w:tc>
        <w:tc>
          <w:tcPr>
            <w:tcW w:w="1392" w:type="dxa"/>
            <w:tcBorders>
              <w:right w:val="single" w:color="000000" w:sz="6" w:space="0"/>
            </w:tcBorders>
            <w:vAlign w:val="top"/>
          </w:tcPr>
          <w:p w14:paraId="1F9CFB53">
            <w:pPr>
              <w:rPr>
                <w:rFonts w:ascii="Arial"/>
                <w:sz w:val="21"/>
              </w:rPr>
            </w:pPr>
          </w:p>
        </w:tc>
      </w:tr>
      <w:tr w14:paraId="7BD8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77" w:type="dxa"/>
            <w:tcBorders>
              <w:left w:val="single" w:color="000000" w:sz="6" w:space="0"/>
              <w:bottom w:val="single" w:color="000000" w:sz="6" w:space="0"/>
            </w:tcBorders>
            <w:vAlign w:val="top"/>
          </w:tcPr>
          <w:p w14:paraId="124059DA">
            <w:pPr>
              <w:rPr>
                <w:rFonts w:ascii="Arial"/>
                <w:sz w:val="21"/>
              </w:rPr>
            </w:pPr>
          </w:p>
        </w:tc>
        <w:tc>
          <w:tcPr>
            <w:tcW w:w="2401" w:type="dxa"/>
            <w:tcBorders>
              <w:bottom w:val="single" w:color="000000" w:sz="6" w:space="0"/>
            </w:tcBorders>
            <w:vAlign w:val="top"/>
          </w:tcPr>
          <w:p w14:paraId="2B274EF9">
            <w:pPr>
              <w:rPr>
                <w:rFonts w:ascii="Arial"/>
                <w:sz w:val="21"/>
              </w:rPr>
            </w:pPr>
          </w:p>
        </w:tc>
        <w:tc>
          <w:tcPr>
            <w:tcW w:w="1596" w:type="dxa"/>
            <w:tcBorders>
              <w:bottom w:val="single" w:color="000000" w:sz="6" w:space="0"/>
            </w:tcBorders>
            <w:vAlign w:val="top"/>
          </w:tcPr>
          <w:p w14:paraId="3357E01B">
            <w:pPr>
              <w:rPr>
                <w:rFonts w:ascii="Arial"/>
                <w:sz w:val="21"/>
              </w:rPr>
            </w:pPr>
          </w:p>
        </w:tc>
        <w:tc>
          <w:tcPr>
            <w:tcW w:w="1148" w:type="dxa"/>
            <w:tcBorders>
              <w:bottom w:val="single" w:color="000000" w:sz="6" w:space="0"/>
            </w:tcBorders>
            <w:vAlign w:val="top"/>
          </w:tcPr>
          <w:p w14:paraId="19ADD1D8">
            <w:pPr>
              <w:rPr>
                <w:rFonts w:ascii="Arial"/>
                <w:sz w:val="21"/>
              </w:rPr>
            </w:pPr>
          </w:p>
        </w:tc>
        <w:tc>
          <w:tcPr>
            <w:tcW w:w="1362" w:type="dxa"/>
            <w:tcBorders>
              <w:bottom w:val="single" w:color="000000" w:sz="6" w:space="0"/>
            </w:tcBorders>
            <w:vAlign w:val="top"/>
          </w:tcPr>
          <w:p w14:paraId="5B8423B5">
            <w:pPr>
              <w:rPr>
                <w:rFonts w:ascii="Arial"/>
                <w:sz w:val="21"/>
              </w:rPr>
            </w:pPr>
          </w:p>
        </w:tc>
        <w:tc>
          <w:tcPr>
            <w:tcW w:w="1392" w:type="dxa"/>
            <w:tcBorders>
              <w:bottom w:val="single" w:color="000000" w:sz="6" w:space="0"/>
              <w:right w:val="single" w:color="000000" w:sz="6" w:space="0"/>
            </w:tcBorders>
            <w:vAlign w:val="top"/>
          </w:tcPr>
          <w:p w14:paraId="6CC4C97A">
            <w:pPr>
              <w:rPr>
                <w:rFonts w:ascii="Arial"/>
                <w:sz w:val="21"/>
              </w:rPr>
            </w:pPr>
          </w:p>
        </w:tc>
      </w:tr>
    </w:tbl>
    <w:p w14:paraId="59CA6955">
      <w:pPr>
        <w:spacing w:before="59" w:line="220" w:lineRule="auto"/>
        <w:ind w:left="6306"/>
        <w:rPr>
          <w:rFonts w:ascii="宋体" w:hAnsi="宋体" w:eastAsia="宋体" w:cs="宋体"/>
          <w:sz w:val="18"/>
          <w:szCs w:val="18"/>
        </w:rPr>
      </w:pPr>
      <w:r>
        <w:rPr>
          <w:rFonts w:ascii="宋体" w:hAnsi="宋体" w:eastAsia="宋体" w:cs="宋体"/>
          <w:spacing w:val="-2"/>
          <w:sz w:val="18"/>
          <w:szCs w:val="18"/>
        </w:rPr>
        <w:t>法定代表人</w:t>
      </w:r>
    </w:p>
    <w:p w14:paraId="638D2AF5">
      <w:pPr>
        <w:spacing w:before="81" w:line="213" w:lineRule="auto"/>
        <w:ind w:left="6036"/>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4"/>
          <w:sz w:val="18"/>
          <w:szCs w:val="18"/>
        </w:rPr>
        <w:t>）：</w:t>
      </w:r>
      <w:r>
        <w:rPr>
          <w:rFonts w:ascii="宋体" w:hAnsi="宋体" w:eastAsia="宋体" w:cs="宋体"/>
          <w:spacing w:val="-2"/>
          <w:sz w:val="18"/>
          <w:szCs w:val="18"/>
        </w:rPr>
        <w:t>____（签字）</w:t>
      </w:r>
    </w:p>
    <w:p w14:paraId="622A4131">
      <w:pPr>
        <w:spacing w:line="213" w:lineRule="auto"/>
        <w:rPr>
          <w:rFonts w:ascii="宋体" w:hAnsi="宋体" w:eastAsia="宋体" w:cs="宋体"/>
          <w:sz w:val="18"/>
          <w:szCs w:val="18"/>
        </w:rPr>
        <w:sectPr>
          <w:footerReference r:id="rId168" w:type="default"/>
          <w:pgSz w:w="11905" w:h="16843"/>
          <w:pgMar w:top="969" w:right="1355" w:bottom="1026" w:left="1480" w:header="0" w:footer="754" w:gutter="0"/>
          <w:cols w:space="0" w:num="1"/>
          <w:rtlGutter w:val="0"/>
          <w:docGrid w:linePitch="0" w:charSpace="0"/>
        </w:sectPr>
      </w:pPr>
    </w:p>
    <w:p w14:paraId="41F77852">
      <w:pPr>
        <w:pStyle w:val="5"/>
        <w:spacing w:line="283" w:lineRule="auto"/>
      </w:pPr>
    </w:p>
    <w:p w14:paraId="3A946B3C">
      <w:pPr>
        <w:pStyle w:val="5"/>
        <w:spacing w:line="283" w:lineRule="auto"/>
      </w:pPr>
    </w:p>
    <w:p w14:paraId="11FC4AD8">
      <w:pPr>
        <w:spacing w:before="78" w:line="233" w:lineRule="auto"/>
        <w:ind w:left="19"/>
        <w:outlineLvl w:val="2"/>
        <w:rPr>
          <w:rFonts w:ascii="黑体" w:hAnsi="黑体" w:eastAsia="黑体" w:cs="黑体"/>
          <w:sz w:val="24"/>
          <w:szCs w:val="24"/>
        </w:rPr>
      </w:pPr>
      <w:bookmarkStart w:id="1283" w:name="bookmark394"/>
      <w:bookmarkEnd w:id="1283"/>
      <w:r>
        <w:rPr>
          <w:rFonts w:ascii="Times New Roman" w:hAnsi="Times New Roman" w:eastAsia="Times New Roman" w:cs="Times New Roman"/>
          <w:spacing w:val="-1"/>
          <w:sz w:val="24"/>
          <w:szCs w:val="24"/>
        </w:rPr>
        <w:t xml:space="preserve">3.19 </w:t>
      </w:r>
      <w:r>
        <w:rPr>
          <w:rFonts w:ascii="黑体" w:hAnsi="黑体" w:eastAsia="黑体" w:cs="黑体"/>
          <w:spacing w:val="-1"/>
          <w:sz w:val="24"/>
          <w:szCs w:val="24"/>
        </w:rPr>
        <w:t>招标人供应材料价格汇总表</w:t>
      </w:r>
    </w:p>
    <w:p w14:paraId="56F4B582">
      <w:pPr>
        <w:pStyle w:val="5"/>
        <w:spacing w:line="272" w:lineRule="auto"/>
      </w:pPr>
    </w:p>
    <w:p w14:paraId="2BB4932F">
      <w:pPr>
        <w:spacing w:before="130" w:line="219" w:lineRule="auto"/>
        <w:ind w:left="3144"/>
        <w:rPr>
          <w:rFonts w:ascii="宋体" w:hAnsi="宋体" w:eastAsia="宋体" w:cs="宋体"/>
          <w:sz w:val="40"/>
          <w:szCs w:val="40"/>
        </w:rPr>
      </w:pPr>
      <w:bookmarkStart w:id="1284" w:name="bookmark627"/>
      <w:bookmarkEnd w:id="1284"/>
      <w:r>
        <w:rPr>
          <w:rFonts w:ascii="宋体" w:hAnsi="宋体" w:eastAsia="宋体" w:cs="宋体"/>
          <w:b/>
          <w:bCs/>
          <w:spacing w:val="-4"/>
          <w:sz w:val="40"/>
          <w:szCs w:val="40"/>
        </w:rPr>
        <w:t>招标人提供施工机械台时（班）费汇总表</w:t>
      </w:r>
    </w:p>
    <w:p w14:paraId="02754784">
      <w:pPr>
        <w:pStyle w:val="5"/>
        <w:spacing w:line="249" w:lineRule="auto"/>
      </w:pPr>
    </w:p>
    <w:p w14:paraId="771E21E8">
      <w:pPr>
        <w:pStyle w:val="5"/>
        <w:spacing w:line="249" w:lineRule="auto"/>
      </w:pPr>
    </w:p>
    <w:p w14:paraId="7A9B3D22">
      <w:pPr>
        <w:spacing w:before="58"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34E09F97">
      <w:pPr>
        <w:spacing w:before="191" w:line="220" w:lineRule="auto"/>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  1</w:t>
      </w:r>
      <w:r>
        <w:rPr>
          <w:rFonts w:ascii="宋体" w:hAnsi="宋体" w:eastAsia="宋体" w:cs="宋体"/>
          <w:spacing w:val="6"/>
          <w:sz w:val="18"/>
          <w:szCs w:val="18"/>
        </w:rPr>
        <w:t xml:space="preserve">  </w:t>
      </w:r>
      <w:r>
        <w:rPr>
          <w:rFonts w:ascii="宋体" w:hAnsi="宋体" w:eastAsia="宋体" w:cs="宋体"/>
          <w:spacing w:val="-3"/>
          <w:sz w:val="18"/>
          <w:szCs w:val="18"/>
        </w:rPr>
        <w:t>页、共</w:t>
      </w:r>
      <w:r>
        <w:rPr>
          <w:rFonts w:ascii="宋体" w:hAnsi="宋体" w:eastAsia="宋体" w:cs="宋体"/>
          <w:spacing w:val="9"/>
          <w:sz w:val="18"/>
          <w:szCs w:val="18"/>
        </w:rPr>
        <w:t xml:space="preserve">  </w:t>
      </w:r>
      <w:r>
        <w:rPr>
          <w:rFonts w:ascii="宋体" w:hAnsi="宋体" w:eastAsia="宋体" w:cs="宋体"/>
          <w:spacing w:val="-3"/>
          <w:sz w:val="18"/>
          <w:szCs w:val="18"/>
        </w:rPr>
        <w:t>1</w:t>
      </w:r>
      <w:r>
        <w:rPr>
          <w:rFonts w:ascii="宋体" w:hAnsi="宋体" w:eastAsia="宋体" w:cs="宋体"/>
          <w:spacing w:val="6"/>
          <w:sz w:val="18"/>
          <w:szCs w:val="18"/>
        </w:rPr>
        <w:t xml:space="preserve">  </w:t>
      </w:r>
      <w:r>
        <w:rPr>
          <w:rFonts w:ascii="宋体" w:hAnsi="宋体" w:eastAsia="宋体" w:cs="宋体"/>
          <w:spacing w:val="-3"/>
          <w:sz w:val="18"/>
          <w:szCs w:val="18"/>
        </w:rPr>
        <w:t>页</w:t>
      </w:r>
    </w:p>
    <w:p w14:paraId="252305C3">
      <w:pPr>
        <w:spacing w:before="191" w:line="220" w:lineRule="auto"/>
        <w:ind w:left="11666"/>
        <w:rPr>
          <w:rFonts w:ascii="宋体" w:hAnsi="宋体" w:eastAsia="宋体" w:cs="宋体"/>
          <w:sz w:val="18"/>
          <w:szCs w:val="18"/>
        </w:rPr>
      </w:pPr>
      <w:r>
        <w:rPr>
          <w:rFonts w:ascii="宋体" w:hAnsi="宋体" w:eastAsia="宋体" w:cs="宋体"/>
          <w:spacing w:val="-2"/>
          <w:sz w:val="18"/>
          <w:szCs w:val="18"/>
        </w:rPr>
        <w:t>单位：元/台时（班）</w:t>
      </w:r>
    </w:p>
    <w:p w14:paraId="114B976B">
      <w:pPr>
        <w:spacing w:line="22" w:lineRule="exact"/>
      </w:pPr>
    </w:p>
    <w:tbl>
      <w:tblPr>
        <w:tblStyle w:val="10"/>
        <w:tblW w:w="1347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746"/>
        <w:gridCol w:w="748"/>
        <w:gridCol w:w="1494"/>
        <w:gridCol w:w="748"/>
        <w:gridCol w:w="748"/>
        <w:gridCol w:w="746"/>
        <w:gridCol w:w="748"/>
        <w:gridCol w:w="748"/>
        <w:gridCol w:w="746"/>
        <w:gridCol w:w="748"/>
        <w:gridCol w:w="1496"/>
        <w:gridCol w:w="746"/>
        <w:gridCol w:w="748"/>
        <w:gridCol w:w="748"/>
        <w:gridCol w:w="757"/>
      </w:tblGrid>
      <w:tr w14:paraId="107F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757" w:type="dxa"/>
            <w:vMerge w:val="restart"/>
            <w:tcBorders>
              <w:top w:val="single" w:color="000000" w:sz="6" w:space="0"/>
              <w:left w:val="single" w:color="000000" w:sz="6" w:space="0"/>
              <w:bottom w:val="nil"/>
            </w:tcBorders>
            <w:vAlign w:val="top"/>
          </w:tcPr>
          <w:p w14:paraId="5207643F">
            <w:pPr>
              <w:spacing w:line="243" w:lineRule="auto"/>
              <w:rPr>
                <w:rFonts w:ascii="Arial"/>
                <w:sz w:val="21"/>
              </w:rPr>
            </w:pPr>
          </w:p>
          <w:p w14:paraId="5311DE35">
            <w:pPr>
              <w:pStyle w:val="11"/>
              <w:spacing w:before="58" w:line="221" w:lineRule="auto"/>
              <w:ind w:left="195"/>
              <w:rPr>
                <w:sz w:val="18"/>
                <w:szCs w:val="18"/>
              </w:rPr>
            </w:pPr>
            <w:r>
              <w:rPr>
                <w:spacing w:val="-2"/>
                <w:sz w:val="18"/>
                <w:szCs w:val="18"/>
              </w:rPr>
              <w:t>序号</w:t>
            </w:r>
          </w:p>
        </w:tc>
        <w:tc>
          <w:tcPr>
            <w:tcW w:w="746" w:type="dxa"/>
            <w:vMerge w:val="restart"/>
            <w:tcBorders>
              <w:top w:val="single" w:color="000000" w:sz="6" w:space="0"/>
              <w:bottom w:val="nil"/>
            </w:tcBorders>
            <w:vAlign w:val="top"/>
          </w:tcPr>
          <w:p w14:paraId="06B6DABF">
            <w:pPr>
              <w:pStyle w:val="11"/>
              <w:spacing w:before="185" w:line="242" w:lineRule="auto"/>
              <w:ind w:left="191" w:right="197" w:hanging="2"/>
              <w:rPr>
                <w:sz w:val="18"/>
                <w:szCs w:val="18"/>
              </w:rPr>
            </w:pPr>
            <w:r>
              <w:rPr>
                <w:spacing w:val="-4"/>
                <w:sz w:val="18"/>
                <w:szCs w:val="18"/>
              </w:rPr>
              <w:t>机械</w:t>
            </w:r>
            <w:r>
              <w:rPr>
                <w:spacing w:val="-5"/>
                <w:sz w:val="18"/>
                <w:szCs w:val="18"/>
              </w:rPr>
              <w:t>名称</w:t>
            </w:r>
          </w:p>
        </w:tc>
        <w:tc>
          <w:tcPr>
            <w:tcW w:w="748" w:type="dxa"/>
            <w:vMerge w:val="restart"/>
            <w:tcBorders>
              <w:top w:val="single" w:color="000000" w:sz="6" w:space="0"/>
              <w:bottom w:val="nil"/>
            </w:tcBorders>
            <w:vAlign w:val="top"/>
          </w:tcPr>
          <w:p w14:paraId="41203ABD">
            <w:pPr>
              <w:pStyle w:val="11"/>
              <w:spacing w:before="185" w:line="241" w:lineRule="auto"/>
              <w:ind w:left="193" w:right="196" w:firstLine="4"/>
              <w:rPr>
                <w:sz w:val="18"/>
                <w:szCs w:val="18"/>
              </w:rPr>
            </w:pPr>
            <w:r>
              <w:rPr>
                <w:spacing w:val="-7"/>
                <w:sz w:val="18"/>
                <w:szCs w:val="18"/>
              </w:rPr>
              <w:t>型号</w:t>
            </w:r>
            <w:r>
              <w:rPr>
                <w:spacing w:val="-4"/>
                <w:sz w:val="18"/>
                <w:szCs w:val="18"/>
              </w:rPr>
              <w:t>规格</w:t>
            </w:r>
          </w:p>
        </w:tc>
        <w:tc>
          <w:tcPr>
            <w:tcW w:w="3736" w:type="dxa"/>
            <w:gridSpan w:val="4"/>
            <w:tcBorders>
              <w:top w:val="single" w:color="000000" w:sz="6" w:space="0"/>
            </w:tcBorders>
            <w:vAlign w:val="top"/>
          </w:tcPr>
          <w:p w14:paraId="4B4AB048">
            <w:pPr>
              <w:pStyle w:val="11"/>
              <w:spacing w:before="57" w:line="220" w:lineRule="auto"/>
              <w:ind w:left="1512"/>
              <w:rPr>
                <w:sz w:val="18"/>
                <w:szCs w:val="18"/>
              </w:rPr>
            </w:pPr>
            <w:r>
              <w:rPr>
                <w:spacing w:val="-3"/>
                <w:sz w:val="18"/>
                <w:szCs w:val="18"/>
              </w:rPr>
              <w:t>一类费用</w:t>
            </w:r>
          </w:p>
        </w:tc>
        <w:tc>
          <w:tcPr>
            <w:tcW w:w="6728" w:type="dxa"/>
            <w:gridSpan w:val="8"/>
            <w:tcBorders>
              <w:top w:val="single" w:color="000000" w:sz="6" w:space="0"/>
            </w:tcBorders>
            <w:vAlign w:val="top"/>
          </w:tcPr>
          <w:p w14:paraId="046BFEF5">
            <w:pPr>
              <w:pStyle w:val="11"/>
              <w:spacing w:before="57" w:line="220" w:lineRule="auto"/>
              <w:ind w:left="3011"/>
              <w:rPr>
                <w:sz w:val="18"/>
                <w:szCs w:val="18"/>
              </w:rPr>
            </w:pPr>
            <w:r>
              <w:rPr>
                <w:spacing w:val="-2"/>
                <w:sz w:val="18"/>
                <w:szCs w:val="18"/>
              </w:rPr>
              <w:t>二类费用</w:t>
            </w:r>
          </w:p>
        </w:tc>
        <w:tc>
          <w:tcPr>
            <w:tcW w:w="757" w:type="dxa"/>
            <w:vMerge w:val="restart"/>
            <w:tcBorders>
              <w:top w:val="single" w:color="000000" w:sz="6" w:space="0"/>
              <w:bottom w:val="nil"/>
              <w:right w:val="single" w:color="000000" w:sz="6" w:space="0"/>
            </w:tcBorders>
            <w:vAlign w:val="top"/>
          </w:tcPr>
          <w:p w14:paraId="60A2A0DC">
            <w:pPr>
              <w:spacing w:line="243" w:lineRule="auto"/>
              <w:rPr>
                <w:rFonts w:ascii="Arial"/>
                <w:sz w:val="21"/>
              </w:rPr>
            </w:pPr>
          </w:p>
          <w:p w14:paraId="62C6EAA1">
            <w:pPr>
              <w:pStyle w:val="11"/>
              <w:spacing w:before="58" w:line="221" w:lineRule="auto"/>
              <w:ind w:left="203"/>
              <w:rPr>
                <w:sz w:val="18"/>
                <w:szCs w:val="18"/>
              </w:rPr>
            </w:pPr>
            <w:r>
              <w:rPr>
                <w:spacing w:val="-2"/>
                <w:sz w:val="18"/>
                <w:szCs w:val="18"/>
              </w:rPr>
              <w:t>合计</w:t>
            </w:r>
          </w:p>
        </w:tc>
      </w:tr>
      <w:tr w14:paraId="03F0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57" w:type="dxa"/>
            <w:vMerge w:val="continue"/>
            <w:tcBorders>
              <w:top w:val="nil"/>
              <w:left w:val="single" w:color="000000" w:sz="6" w:space="0"/>
            </w:tcBorders>
            <w:vAlign w:val="top"/>
          </w:tcPr>
          <w:p w14:paraId="2A84F02E">
            <w:pPr>
              <w:rPr>
                <w:rFonts w:ascii="Arial"/>
                <w:sz w:val="21"/>
              </w:rPr>
            </w:pPr>
          </w:p>
        </w:tc>
        <w:tc>
          <w:tcPr>
            <w:tcW w:w="746" w:type="dxa"/>
            <w:vMerge w:val="continue"/>
            <w:tcBorders>
              <w:top w:val="nil"/>
            </w:tcBorders>
            <w:vAlign w:val="top"/>
          </w:tcPr>
          <w:p w14:paraId="3CA071CE">
            <w:pPr>
              <w:rPr>
                <w:rFonts w:ascii="Arial"/>
                <w:sz w:val="21"/>
              </w:rPr>
            </w:pPr>
          </w:p>
        </w:tc>
        <w:tc>
          <w:tcPr>
            <w:tcW w:w="748" w:type="dxa"/>
            <w:vMerge w:val="continue"/>
            <w:tcBorders>
              <w:top w:val="nil"/>
            </w:tcBorders>
            <w:vAlign w:val="top"/>
          </w:tcPr>
          <w:p w14:paraId="1807A229">
            <w:pPr>
              <w:rPr>
                <w:rFonts w:ascii="Arial"/>
                <w:sz w:val="21"/>
              </w:rPr>
            </w:pPr>
          </w:p>
        </w:tc>
        <w:tc>
          <w:tcPr>
            <w:tcW w:w="1494" w:type="dxa"/>
            <w:vAlign w:val="top"/>
          </w:tcPr>
          <w:p w14:paraId="2EACFAA3">
            <w:pPr>
              <w:pStyle w:val="11"/>
              <w:spacing w:before="154" w:line="220" w:lineRule="auto"/>
              <w:ind w:left="478"/>
              <w:rPr>
                <w:sz w:val="18"/>
                <w:szCs w:val="18"/>
              </w:rPr>
            </w:pPr>
            <w:r>
              <w:rPr>
                <w:spacing w:val="-2"/>
                <w:sz w:val="18"/>
                <w:szCs w:val="18"/>
              </w:rPr>
              <w:t>折旧费</w:t>
            </w:r>
          </w:p>
        </w:tc>
        <w:tc>
          <w:tcPr>
            <w:tcW w:w="748" w:type="dxa"/>
            <w:vAlign w:val="top"/>
          </w:tcPr>
          <w:p w14:paraId="27A17B49">
            <w:pPr>
              <w:pStyle w:val="11"/>
              <w:spacing w:before="38" w:line="222" w:lineRule="auto"/>
              <w:ind w:left="293" w:right="194" w:hanging="95"/>
              <w:rPr>
                <w:sz w:val="18"/>
                <w:szCs w:val="18"/>
              </w:rPr>
            </w:pPr>
            <w:r>
              <w:rPr>
                <w:spacing w:val="-5"/>
                <w:sz w:val="18"/>
                <w:szCs w:val="18"/>
              </w:rPr>
              <w:t>维修</w:t>
            </w:r>
            <w:r>
              <w:rPr>
                <w:sz w:val="18"/>
                <w:szCs w:val="18"/>
              </w:rPr>
              <w:t>费</w:t>
            </w:r>
          </w:p>
        </w:tc>
        <w:tc>
          <w:tcPr>
            <w:tcW w:w="748" w:type="dxa"/>
            <w:vAlign w:val="top"/>
          </w:tcPr>
          <w:p w14:paraId="6181A154">
            <w:pPr>
              <w:pStyle w:val="11"/>
              <w:spacing w:before="38" w:line="222" w:lineRule="auto"/>
              <w:ind w:left="295" w:right="193" w:hanging="95"/>
              <w:rPr>
                <w:sz w:val="18"/>
                <w:szCs w:val="18"/>
              </w:rPr>
            </w:pPr>
            <w:r>
              <w:rPr>
                <w:spacing w:val="-6"/>
                <w:sz w:val="18"/>
                <w:szCs w:val="18"/>
              </w:rPr>
              <w:t>安拆</w:t>
            </w:r>
            <w:r>
              <w:rPr>
                <w:sz w:val="18"/>
                <w:szCs w:val="18"/>
              </w:rPr>
              <w:t>费</w:t>
            </w:r>
          </w:p>
        </w:tc>
        <w:tc>
          <w:tcPr>
            <w:tcW w:w="746" w:type="dxa"/>
            <w:vAlign w:val="top"/>
          </w:tcPr>
          <w:p w14:paraId="2A2163D5">
            <w:pPr>
              <w:pStyle w:val="11"/>
              <w:spacing w:before="153" w:line="221" w:lineRule="auto"/>
              <w:ind w:left="199"/>
              <w:rPr>
                <w:sz w:val="18"/>
                <w:szCs w:val="18"/>
              </w:rPr>
            </w:pPr>
            <w:r>
              <w:rPr>
                <w:spacing w:val="-3"/>
                <w:sz w:val="18"/>
                <w:szCs w:val="18"/>
              </w:rPr>
              <w:t>小计</w:t>
            </w:r>
          </w:p>
        </w:tc>
        <w:tc>
          <w:tcPr>
            <w:tcW w:w="748" w:type="dxa"/>
            <w:vAlign w:val="top"/>
          </w:tcPr>
          <w:p w14:paraId="5EE51BEE">
            <w:pPr>
              <w:pStyle w:val="11"/>
              <w:spacing w:before="154" w:line="222" w:lineRule="auto"/>
              <w:ind w:left="199"/>
              <w:rPr>
                <w:sz w:val="18"/>
                <w:szCs w:val="18"/>
              </w:rPr>
            </w:pPr>
            <w:r>
              <w:rPr>
                <w:spacing w:val="-3"/>
                <w:sz w:val="18"/>
                <w:szCs w:val="18"/>
              </w:rPr>
              <w:t>人工</w:t>
            </w:r>
          </w:p>
        </w:tc>
        <w:tc>
          <w:tcPr>
            <w:tcW w:w="748" w:type="dxa"/>
            <w:vAlign w:val="top"/>
          </w:tcPr>
          <w:p w14:paraId="6900CB08">
            <w:pPr>
              <w:pStyle w:val="11"/>
              <w:spacing w:before="153" w:line="223" w:lineRule="auto"/>
              <w:ind w:left="198"/>
              <w:rPr>
                <w:sz w:val="18"/>
                <w:szCs w:val="18"/>
              </w:rPr>
            </w:pPr>
            <w:r>
              <w:rPr>
                <w:spacing w:val="-2"/>
                <w:sz w:val="18"/>
                <w:szCs w:val="18"/>
              </w:rPr>
              <w:t>汽油</w:t>
            </w:r>
          </w:p>
        </w:tc>
        <w:tc>
          <w:tcPr>
            <w:tcW w:w="746" w:type="dxa"/>
            <w:vAlign w:val="top"/>
          </w:tcPr>
          <w:p w14:paraId="2B2CAC86">
            <w:pPr>
              <w:pStyle w:val="11"/>
              <w:spacing w:before="154" w:line="220" w:lineRule="auto"/>
              <w:ind w:left="197"/>
              <w:rPr>
                <w:sz w:val="18"/>
                <w:szCs w:val="18"/>
              </w:rPr>
            </w:pPr>
            <w:r>
              <w:rPr>
                <w:spacing w:val="-2"/>
                <w:sz w:val="18"/>
                <w:szCs w:val="18"/>
              </w:rPr>
              <w:t>柴油</w:t>
            </w:r>
          </w:p>
        </w:tc>
        <w:tc>
          <w:tcPr>
            <w:tcW w:w="748" w:type="dxa"/>
            <w:vAlign w:val="top"/>
          </w:tcPr>
          <w:p w14:paraId="572B5537">
            <w:pPr>
              <w:pStyle w:val="11"/>
              <w:spacing w:before="154" w:line="225" w:lineRule="auto"/>
              <w:ind w:left="310"/>
              <w:rPr>
                <w:sz w:val="18"/>
                <w:szCs w:val="18"/>
              </w:rPr>
            </w:pPr>
            <w:r>
              <w:rPr>
                <w:sz w:val="18"/>
                <w:szCs w:val="18"/>
              </w:rPr>
              <w:t>电</w:t>
            </w:r>
          </w:p>
        </w:tc>
        <w:tc>
          <w:tcPr>
            <w:tcW w:w="1496" w:type="dxa"/>
            <w:vAlign w:val="top"/>
          </w:tcPr>
          <w:p w14:paraId="4C89795B">
            <w:pPr>
              <w:pStyle w:val="11"/>
              <w:spacing w:before="154" w:line="220" w:lineRule="auto"/>
              <w:ind w:left="665"/>
              <w:rPr>
                <w:sz w:val="18"/>
                <w:szCs w:val="18"/>
              </w:rPr>
            </w:pPr>
            <w:r>
              <w:rPr>
                <w:sz w:val="18"/>
                <w:szCs w:val="18"/>
              </w:rPr>
              <w:t>风</w:t>
            </w:r>
          </w:p>
        </w:tc>
        <w:tc>
          <w:tcPr>
            <w:tcW w:w="746" w:type="dxa"/>
            <w:vAlign w:val="top"/>
          </w:tcPr>
          <w:p w14:paraId="5FADC3DD">
            <w:pPr>
              <w:pStyle w:val="11"/>
              <w:spacing w:before="153" w:line="220" w:lineRule="auto"/>
              <w:ind w:left="291"/>
              <w:rPr>
                <w:sz w:val="18"/>
                <w:szCs w:val="18"/>
              </w:rPr>
            </w:pPr>
            <w:r>
              <w:rPr>
                <w:sz w:val="18"/>
                <w:szCs w:val="18"/>
              </w:rPr>
              <w:t>水</w:t>
            </w:r>
          </w:p>
        </w:tc>
        <w:tc>
          <w:tcPr>
            <w:tcW w:w="748" w:type="dxa"/>
            <w:vAlign w:val="top"/>
          </w:tcPr>
          <w:p w14:paraId="6EC866CF">
            <w:pPr>
              <w:pStyle w:val="11"/>
              <w:spacing w:before="154" w:line="220" w:lineRule="auto"/>
              <w:ind w:left="293"/>
              <w:rPr>
                <w:sz w:val="18"/>
                <w:szCs w:val="18"/>
              </w:rPr>
            </w:pPr>
            <w:r>
              <w:rPr>
                <w:sz w:val="18"/>
                <w:szCs w:val="18"/>
              </w:rPr>
              <w:t>煤</w:t>
            </w:r>
          </w:p>
        </w:tc>
        <w:tc>
          <w:tcPr>
            <w:tcW w:w="748" w:type="dxa"/>
            <w:vAlign w:val="top"/>
          </w:tcPr>
          <w:p w14:paraId="095EE6BF">
            <w:pPr>
              <w:pStyle w:val="11"/>
              <w:spacing w:before="153" w:line="221" w:lineRule="auto"/>
              <w:ind w:left="209"/>
              <w:rPr>
                <w:sz w:val="18"/>
                <w:szCs w:val="18"/>
              </w:rPr>
            </w:pPr>
            <w:r>
              <w:rPr>
                <w:spacing w:val="-3"/>
                <w:sz w:val="18"/>
                <w:szCs w:val="18"/>
              </w:rPr>
              <w:t>小计</w:t>
            </w:r>
          </w:p>
        </w:tc>
        <w:tc>
          <w:tcPr>
            <w:tcW w:w="757" w:type="dxa"/>
            <w:vMerge w:val="continue"/>
            <w:tcBorders>
              <w:top w:val="nil"/>
              <w:right w:val="single" w:color="000000" w:sz="6" w:space="0"/>
            </w:tcBorders>
            <w:vAlign w:val="top"/>
          </w:tcPr>
          <w:p w14:paraId="172C6E6C">
            <w:pPr>
              <w:rPr>
                <w:rFonts w:ascii="Arial"/>
                <w:sz w:val="21"/>
              </w:rPr>
            </w:pPr>
          </w:p>
        </w:tc>
      </w:tr>
      <w:tr w14:paraId="67DC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757" w:type="dxa"/>
            <w:tcBorders>
              <w:left w:val="single" w:color="000000" w:sz="6" w:space="0"/>
            </w:tcBorders>
            <w:vAlign w:val="top"/>
          </w:tcPr>
          <w:p w14:paraId="6FDF91CA">
            <w:pPr>
              <w:pStyle w:val="11"/>
              <w:spacing w:before="56" w:line="235" w:lineRule="auto"/>
              <w:ind w:left="564"/>
              <w:rPr>
                <w:sz w:val="18"/>
                <w:szCs w:val="18"/>
              </w:rPr>
            </w:pPr>
            <w:r>
              <w:rPr>
                <w:sz w:val="18"/>
                <w:szCs w:val="18"/>
              </w:rPr>
              <w:t>1</w:t>
            </w:r>
          </w:p>
        </w:tc>
        <w:tc>
          <w:tcPr>
            <w:tcW w:w="746" w:type="dxa"/>
            <w:vAlign w:val="top"/>
          </w:tcPr>
          <w:p w14:paraId="439EE103">
            <w:pPr>
              <w:rPr>
                <w:rFonts w:ascii="Arial"/>
                <w:sz w:val="21"/>
              </w:rPr>
            </w:pPr>
          </w:p>
        </w:tc>
        <w:tc>
          <w:tcPr>
            <w:tcW w:w="748" w:type="dxa"/>
            <w:vAlign w:val="top"/>
          </w:tcPr>
          <w:p w14:paraId="52D6F063">
            <w:pPr>
              <w:rPr>
                <w:rFonts w:ascii="Arial"/>
                <w:sz w:val="21"/>
              </w:rPr>
            </w:pPr>
          </w:p>
        </w:tc>
        <w:tc>
          <w:tcPr>
            <w:tcW w:w="1494" w:type="dxa"/>
            <w:vAlign w:val="top"/>
          </w:tcPr>
          <w:p w14:paraId="38C8F462">
            <w:pPr>
              <w:rPr>
                <w:rFonts w:ascii="Arial"/>
                <w:sz w:val="21"/>
              </w:rPr>
            </w:pPr>
          </w:p>
        </w:tc>
        <w:tc>
          <w:tcPr>
            <w:tcW w:w="748" w:type="dxa"/>
            <w:vAlign w:val="top"/>
          </w:tcPr>
          <w:p w14:paraId="4704D187">
            <w:pPr>
              <w:rPr>
                <w:rFonts w:ascii="Arial"/>
                <w:sz w:val="21"/>
              </w:rPr>
            </w:pPr>
          </w:p>
        </w:tc>
        <w:tc>
          <w:tcPr>
            <w:tcW w:w="748" w:type="dxa"/>
            <w:vAlign w:val="top"/>
          </w:tcPr>
          <w:p w14:paraId="55FD8E09">
            <w:pPr>
              <w:rPr>
                <w:rFonts w:ascii="Arial"/>
                <w:sz w:val="21"/>
              </w:rPr>
            </w:pPr>
          </w:p>
        </w:tc>
        <w:tc>
          <w:tcPr>
            <w:tcW w:w="746" w:type="dxa"/>
            <w:vAlign w:val="top"/>
          </w:tcPr>
          <w:p w14:paraId="170AF04D">
            <w:pPr>
              <w:rPr>
                <w:rFonts w:ascii="Arial"/>
                <w:sz w:val="21"/>
              </w:rPr>
            </w:pPr>
          </w:p>
        </w:tc>
        <w:tc>
          <w:tcPr>
            <w:tcW w:w="748" w:type="dxa"/>
            <w:vAlign w:val="top"/>
          </w:tcPr>
          <w:p w14:paraId="7A630F9D">
            <w:pPr>
              <w:rPr>
                <w:rFonts w:ascii="Arial"/>
                <w:sz w:val="21"/>
              </w:rPr>
            </w:pPr>
          </w:p>
        </w:tc>
        <w:tc>
          <w:tcPr>
            <w:tcW w:w="748" w:type="dxa"/>
            <w:vAlign w:val="top"/>
          </w:tcPr>
          <w:p w14:paraId="69A70C4E">
            <w:pPr>
              <w:rPr>
                <w:rFonts w:ascii="Arial"/>
                <w:sz w:val="21"/>
              </w:rPr>
            </w:pPr>
          </w:p>
        </w:tc>
        <w:tc>
          <w:tcPr>
            <w:tcW w:w="746" w:type="dxa"/>
            <w:vAlign w:val="top"/>
          </w:tcPr>
          <w:p w14:paraId="0F458835">
            <w:pPr>
              <w:rPr>
                <w:rFonts w:ascii="Arial"/>
                <w:sz w:val="21"/>
              </w:rPr>
            </w:pPr>
          </w:p>
        </w:tc>
        <w:tc>
          <w:tcPr>
            <w:tcW w:w="748" w:type="dxa"/>
            <w:vAlign w:val="top"/>
          </w:tcPr>
          <w:p w14:paraId="18D71139">
            <w:pPr>
              <w:rPr>
                <w:rFonts w:ascii="Arial"/>
                <w:sz w:val="21"/>
              </w:rPr>
            </w:pPr>
          </w:p>
        </w:tc>
        <w:tc>
          <w:tcPr>
            <w:tcW w:w="1496" w:type="dxa"/>
            <w:vAlign w:val="top"/>
          </w:tcPr>
          <w:p w14:paraId="6576631F">
            <w:pPr>
              <w:rPr>
                <w:rFonts w:ascii="Arial"/>
                <w:sz w:val="21"/>
              </w:rPr>
            </w:pPr>
          </w:p>
        </w:tc>
        <w:tc>
          <w:tcPr>
            <w:tcW w:w="746" w:type="dxa"/>
            <w:vAlign w:val="top"/>
          </w:tcPr>
          <w:p w14:paraId="292FF9C8">
            <w:pPr>
              <w:rPr>
                <w:rFonts w:ascii="Arial"/>
                <w:sz w:val="21"/>
              </w:rPr>
            </w:pPr>
          </w:p>
        </w:tc>
        <w:tc>
          <w:tcPr>
            <w:tcW w:w="748" w:type="dxa"/>
            <w:vAlign w:val="top"/>
          </w:tcPr>
          <w:p w14:paraId="11AF3CC8">
            <w:pPr>
              <w:rPr>
                <w:rFonts w:ascii="Arial"/>
                <w:sz w:val="21"/>
              </w:rPr>
            </w:pPr>
          </w:p>
        </w:tc>
        <w:tc>
          <w:tcPr>
            <w:tcW w:w="748" w:type="dxa"/>
            <w:vAlign w:val="top"/>
          </w:tcPr>
          <w:p w14:paraId="269ADCA0">
            <w:pPr>
              <w:rPr>
                <w:rFonts w:ascii="Arial"/>
                <w:sz w:val="21"/>
              </w:rPr>
            </w:pPr>
          </w:p>
        </w:tc>
        <w:tc>
          <w:tcPr>
            <w:tcW w:w="757" w:type="dxa"/>
            <w:tcBorders>
              <w:right w:val="single" w:color="000000" w:sz="6" w:space="0"/>
            </w:tcBorders>
            <w:vAlign w:val="top"/>
          </w:tcPr>
          <w:p w14:paraId="596D7DF7">
            <w:pPr>
              <w:rPr>
                <w:rFonts w:ascii="Arial"/>
                <w:sz w:val="21"/>
              </w:rPr>
            </w:pPr>
          </w:p>
        </w:tc>
      </w:tr>
      <w:tr w14:paraId="4608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757" w:type="dxa"/>
            <w:tcBorders>
              <w:left w:val="single" w:color="000000" w:sz="6" w:space="0"/>
            </w:tcBorders>
            <w:vAlign w:val="top"/>
          </w:tcPr>
          <w:p w14:paraId="4CB57F03">
            <w:pPr>
              <w:pStyle w:val="11"/>
              <w:spacing w:before="57" w:line="232" w:lineRule="auto"/>
              <w:ind w:left="553"/>
              <w:rPr>
                <w:sz w:val="18"/>
                <w:szCs w:val="18"/>
              </w:rPr>
            </w:pPr>
            <w:r>
              <w:rPr>
                <w:sz w:val="18"/>
                <w:szCs w:val="18"/>
              </w:rPr>
              <w:t>2</w:t>
            </w:r>
          </w:p>
        </w:tc>
        <w:tc>
          <w:tcPr>
            <w:tcW w:w="746" w:type="dxa"/>
            <w:vAlign w:val="top"/>
          </w:tcPr>
          <w:p w14:paraId="41899C4D">
            <w:pPr>
              <w:rPr>
                <w:rFonts w:ascii="Arial"/>
                <w:sz w:val="21"/>
              </w:rPr>
            </w:pPr>
          </w:p>
        </w:tc>
        <w:tc>
          <w:tcPr>
            <w:tcW w:w="748" w:type="dxa"/>
            <w:vAlign w:val="top"/>
          </w:tcPr>
          <w:p w14:paraId="464C157C">
            <w:pPr>
              <w:rPr>
                <w:rFonts w:ascii="Arial"/>
                <w:sz w:val="21"/>
              </w:rPr>
            </w:pPr>
          </w:p>
        </w:tc>
        <w:tc>
          <w:tcPr>
            <w:tcW w:w="1494" w:type="dxa"/>
            <w:vAlign w:val="top"/>
          </w:tcPr>
          <w:p w14:paraId="6B7C911D">
            <w:pPr>
              <w:rPr>
                <w:rFonts w:ascii="Arial"/>
                <w:sz w:val="21"/>
              </w:rPr>
            </w:pPr>
          </w:p>
        </w:tc>
        <w:tc>
          <w:tcPr>
            <w:tcW w:w="748" w:type="dxa"/>
            <w:vAlign w:val="top"/>
          </w:tcPr>
          <w:p w14:paraId="76BC7BEF">
            <w:pPr>
              <w:rPr>
                <w:rFonts w:ascii="Arial"/>
                <w:sz w:val="21"/>
              </w:rPr>
            </w:pPr>
          </w:p>
        </w:tc>
        <w:tc>
          <w:tcPr>
            <w:tcW w:w="748" w:type="dxa"/>
            <w:vAlign w:val="top"/>
          </w:tcPr>
          <w:p w14:paraId="3C40F6FA">
            <w:pPr>
              <w:rPr>
                <w:rFonts w:ascii="Arial"/>
                <w:sz w:val="21"/>
              </w:rPr>
            </w:pPr>
          </w:p>
        </w:tc>
        <w:tc>
          <w:tcPr>
            <w:tcW w:w="746" w:type="dxa"/>
            <w:vAlign w:val="top"/>
          </w:tcPr>
          <w:p w14:paraId="354201EC">
            <w:pPr>
              <w:rPr>
                <w:rFonts w:ascii="Arial"/>
                <w:sz w:val="21"/>
              </w:rPr>
            </w:pPr>
          </w:p>
        </w:tc>
        <w:tc>
          <w:tcPr>
            <w:tcW w:w="748" w:type="dxa"/>
            <w:vAlign w:val="top"/>
          </w:tcPr>
          <w:p w14:paraId="186D42D7">
            <w:pPr>
              <w:rPr>
                <w:rFonts w:ascii="Arial"/>
                <w:sz w:val="21"/>
              </w:rPr>
            </w:pPr>
          </w:p>
        </w:tc>
        <w:tc>
          <w:tcPr>
            <w:tcW w:w="748" w:type="dxa"/>
            <w:vAlign w:val="top"/>
          </w:tcPr>
          <w:p w14:paraId="34A2C71E">
            <w:pPr>
              <w:rPr>
                <w:rFonts w:ascii="Arial"/>
                <w:sz w:val="21"/>
              </w:rPr>
            </w:pPr>
          </w:p>
        </w:tc>
        <w:tc>
          <w:tcPr>
            <w:tcW w:w="746" w:type="dxa"/>
            <w:vAlign w:val="top"/>
          </w:tcPr>
          <w:p w14:paraId="3E5FDE24">
            <w:pPr>
              <w:rPr>
                <w:rFonts w:ascii="Arial"/>
                <w:sz w:val="21"/>
              </w:rPr>
            </w:pPr>
          </w:p>
        </w:tc>
        <w:tc>
          <w:tcPr>
            <w:tcW w:w="748" w:type="dxa"/>
            <w:vAlign w:val="top"/>
          </w:tcPr>
          <w:p w14:paraId="34C2823F">
            <w:pPr>
              <w:rPr>
                <w:rFonts w:ascii="Arial"/>
                <w:sz w:val="21"/>
              </w:rPr>
            </w:pPr>
          </w:p>
        </w:tc>
        <w:tc>
          <w:tcPr>
            <w:tcW w:w="1496" w:type="dxa"/>
            <w:vAlign w:val="top"/>
          </w:tcPr>
          <w:p w14:paraId="32090C12">
            <w:pPr>
              <w:rPr>
                <w:rFonts w:ascii="Arial"/>
                <w:sz w:val="21"/>
              </w:rPr>
            </w:pPr>
          </w:p>
        </w:tc>
        <w:tc>
          <w:tcPr>
            <w:tcW w:w="746" w:type="dxa"/>
            <w:vAlign w:val="top"/>
          </w:tcPr>
          <w:p w14:paraId="3BD1F73E">
            <w:pPr>
              <w:rPr>
                <w:rFonts w:ascii="Arial"/>
                <w:sz w:val="21"/>
              </w:rPr>
            </w:pPr>
          </w:p>
        </w:tc>
        <w:tc>
          <w:tcPr>
            <w:tcW w:w="748" w:type="dxa"/>
            <w:vAlign w:val="top"/>
          </w:tcPr>
          <w:p w14:paraId="1746BE49">
            <w:pPr>
              <w:rPr>
                <w:rFonts w:ascii="Arial"/>
                <w:sz w:val="21"/>
              </w:rPr>
            </w:pPr>
          </w:p>
        </w:tc>
        <w:tc>
          <w:tcPr>
            <w:tcW w:w="748" w:type="dxa"/>
            <w:vAlign w:val="top"/>
          </w:tcPr>
          <w:p w14:paraId="29C9B0BC">
            <w:pPr>
              <w:rPr>
                <w:rFonts w:ascii="Arial"/>
                <w:sz w:val="21"/>
              </w:rPr>
            </w:pPr>
          </w:p>
        </w:tc>
        <w:tc>
          <w:tcPr>
            <w:tcW w:w="757" w:type="dxa"/>
            <w:tcBorders>
              <w:right w:val="single" w:color="000000" w:sz="6" w:space="0"/>
            </w:tcBorders>
            <w:vAlign w:val="top"/>
          </w:tcPr>
          <w:p w14:paraId="74D390E7">
            <w:pPr>
              <w:rPr>
                <w:rFonts w:ascii="Arial"/>
                <w:sz w:val="21"/>
              </w:rPr>
            </w:pPr>
          </w:p>
        </w:tc>
      </w:tr>
      <w:tr w14:paraId="7FAFF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57" w:type="dxa"/>
            <w:tcBorders>
              <w:left w:val="single" w:color="000000" w:sz="6" w:space="0"/>
            </w:tcBorders>
            <w:vAlign w:val="top"/>
          </w:tcPr>
          <w:p w14:paraId="2243ACB5">
            <w:pPr>
              <w:pStyle w:val="11"/>
              <w:spacing w:before="174"/>
              <w:ind w:left="554"/>
              <w:rPr>
                <w:sz w:val="18"/>
                <w:szCs w:val="18"/>
              </w:rPr>
            </w:pPr>
            <w:r>
              <w:rPr>
                <w:sz w:val="18"/>
                <w:szCs w:val="18"/>
              </w:rPr>
              <w:t>3</w:t>
            </w:r>
          </w:p>
        </w:tc>
        <w:tc>
          <w:tcPr>
            <w:tcW w:w="746" w:type="dxa"/>
            <w:vAlign w:val="top"/>
          </w:tcPr>
          <w:p w14:paraId="48BED595">
            <w:pPr>
              <w:rPr>
                <w:rFonts w:ascii="Arial"/>
                <w:sz w:val="21"/>
              </w:rPr>
            </w:pPr>
          </w:p>
        </w:tc>
        <w:tc>
          <w:tcPr>
            <w:tcW w:w="748" w:type="dxa"/>
            <w:vAlign w:val="top"/>
          </w:tcPr>
          <w:p w14:paraId="0CA340D2">
            <w:pPr>
              <w:rPr>
                <w:rFonts w:ascii="Arial"/>
                <w:sz w:val="21"/>
              </w:rPr>
            </w:pPr>
          </w:p>
        </w:tc>
        <w:tc>
          <w:tcPr>
            <w:tcW w:w="1494" w:type="dxa"/>
            <w:vAlign w:val="top"/>
          </w:tcPr>
          <w:p w14:paraId="40401170">
            <w:pPr>
              <w:rPr>
                <w:rFonts w:ascii="Arial"/>
                <w:sz w:val="21"/>
              </w:rPr>
            </w:pPr>
          </w:p>
        </w:tc>
        <w:tc>
          <w:tcPr>
            <w:tcW w:w="748" w:type="dxa"/>
            <w:vAlign w:val="top"/>
          </w:tcPr>
          <w:p w14:paraId="00E5C1E7">
            <w:pPr>
              <w:rPr>
                <w:rFonts w:ascii="Arial"/>
                <w:sz w:val="21"/>
              </w:rPr>
            </w:pPr>
          </w:p>
        </w:tc>
        <w:tc>
          <w:tcPr>
            <w:tcW w:w="748" w:type="dxa"/>
            <w:vAlign w:val="top"/>
          </w:tcPr>
          <w:p w14:paraId="7E369F7F">
            <w:pPr>
              <w:rPr>
                <w:rFonts w:ascii="Arial"/>
                <w:sz w:val="21"/>
              </w:rPr>
            </w:pPr>
          </w:p>
        </w:tc>
        <w:tc>
          <w:tcPr>
            <w:tcW w:w="746" w:type="dxa"/>
            <w:vAlign w:val="top"/>
          </w:tcPr>
          <w:p w14:paraId="54BA5A7F">
            <w:pPr>
              <w:rPr>
                <w:rFonts w:ascii="Arial"/>
                <w:sz w:val="21"/>
              </w:rPr>
            </w:pPr>
          </w:p>
        </w:tc>
        <w:tc>
          <w:tcPr>
            <w:tcW w:w="748" w:type="dxa"/>
            <w:vAlign w:val="top"/>
          </w:tcPr>
          <w:p w14:paraId="348ED2AB">
            <w:pPr>
              <w:rPr>
                <w:rFonts w:ascii="Arial"/>
                <w:sz w:val="21"/>
              </w:rPr>
            </w:pPr>
          </w:p>
        </w:tc>
        <w:tc>
          <w:tcPr>
            <w:tcW w:w="748" w:type="dxa"/>
            <w:vAlign w:val="top"/>
          </w:tcPr>
          <w:p w14:paraId="6560A728">
            <w:pPr>
              <w:rPr>
                <w:rFonts w:ascii="Arial"/>
                <w:sz w:val="21"/>
              </w:rPr>
            </w:pPr>
          </w:p>
        </w:tc>
        <w:tc>
          <w:tcPr>
            <w:tcW w:w="746" w:type="dxa"/>
            <w:vAlign w:val="top"/>
          </w:tcPr>
          <w:p w14:paraId="52D793A4">
            <w:pPr>
              <w:rPr>
                <w:rFonts w:ascii="Arial"/>
                <w:sz w:val="21"/>
              </w:rPr>
            </w:pPr>
          </w:p>
        </w:tc>
        <w:tc>
          <w:tcPr>
            <w:tcW w:w="748" w:type="dxa"/>
            <w:vAlign w:val="top"/>
          </w:tcPr>
          <w:p w14:paraId="3916E565">
            <w:pPr>
              <w:rPr>
                <w:rFonts w:ascii="Arial"/>
                <w:sz w:val="21"/>
              </w:rPr>
            </w:pPr>
          </w:p>
        </w:tc>
        <w:tc>
          <w:tcPr>
            <w:tcW w:w="1496" w:type="dxa"/>
            <w:vAlign w:val="top"/>
          </w:tcPr>
          <w:p w14:paraId="1AA20C87">
            <w:pPr>
              <w:rPr>
                <w:rFonts w:ascii="Arial"/>
                <w:sz w:val="21"/>
              </w:rPr>
            </w:pPr>
          </w:p>
        </w:tc>
        <w:tc>
          <w:tcPr>
            <w:tcW w:w="746" w:type="dxa"/>
            <w:vAlign w:val="top"/>
          </w:tcPr>
          <w:p w14:paraId="2ED39E98">
            <w:pPr>
              <w:rPr>
                <w:rFonts w:ascii="Arial"/>
                <w:sz w:val="21"/>
              </w:rPr>
            </w:pPr>
          </w:p>
        </w:tc>
        <w:tc>
          <w:tcPr>
            <w:tcW w:w="748" w:type="dxa"/>
            <w:vAlign w:val="top"/>
          </w:tcPr>
          <w:p w14:paraId="7689348E">
            <w:pPr>
              <w:rPr>
                <w:rFonts w:ascii="Arial"/>
                <w:sz w:val="21"/>
              </w:rPr>
            </w:pPr>
          </w:p>
        </w:tc>
        <w:tc>
          <w:tcPr>
            <w:tcW w:w="748" w:type="dxa"/>
            <w:vAlign w:val="top"/>
          </w:tcPr>
          <w:p w14:paraId="73E3DDB7">
            <w:pPr>
              <w:rPr>
                <w:rFonts w:ascii="Arial"/>
                <w:sz w:val="21"/>
              </w:rPr>
            </w:pPr>
          </w:p>
        </w:tc>
        <w:tc>
          <w:tcPr>
            <w:tcW w:w="757" w:type="dxa"/>
            <w:tcBorders>
              <w:right w:val="single" w:color="000000" w:sz="6" w:space="0"/>
            </w:tcBorders>
            <w:vAlign w:val="top"/>
          </w:tcPr>
          <w:p w14:paraId="752EFB98">
            <w:pPr>
              <w:rPr>
                <w:rFonts w:ascii="Arial"/>
                <w:sz w:val="21"/>
              </w:rPr>
            </w:pPr>
          </w:p>
        </w:tc>
      </w:tr>
      <w:tr w14:paraId="23E6C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10719498">
            <w:pPr>
              <w:rPr>
                <w:rFonts w:ascii="Arial"/>
                <w:sz w:val="21"/>
              </w:rPr>
            </w:pPr>
          </w:p>
        </w:tc>
        <w:tc>
          <w:tcPr>
            <w:tcW w:w="746" w:type="dxa"/>
            <w:vAlign w:val="top"/>
          </w:tcPr>
          <w:p w14:paraId="0ADCDA20">
            <w:pPr>
              <w:rPr>
                <w:rFonts w:ascii="Arial"/>
                <w:sz w:val="21"/>
              </w:rPr>
            </w:pPr>
          </w:p>
        </w:tc>
        <w:tc>
          <w:tcPr>
            <w:tcW w:w="748" w:type="dxa"/>
            <w:vAlign w:val="top"/>
          </w:tcPr>
          <w:p w14:paraId="3CC6B233">
            <w:pPr>
              <w:rPr>
                <w:rFonts w:ascii="Arial"/>
                <w:sz w:val="21"/>
              </w:rPr>
            </w:pPr>
          </w:p>
        </w:tc>
        <w:tc>
          <w:tcPr>
            <w:tcW w:w="1494" w:type="dxa"/>
            <w:vAlign w:val="top"/>
          </w:tcPr>
          <w:p w14:paraId="78574191">
            <w:pPr>
              <w:rPr>
                <w:rFonts w:ascii="Arial"/>
                <w:sz w:val="21"/>
              </w:rPr>
            </w:pPr>
          </w:p>
        </w:tc>
        <w:tc>
          <w:tcPr>
            <w:tcW w:w="748" w:type="dxa"/>
            <w:vAlign w:val="top"/>
          </w:tcPr>
          <w:p w14:paraId="15CCB9B3">
            <w:pPr>
              <w:rPr>
                <w:rFonts w:ascii="Arial"/>
                <w:sz w:val="21"/>
              </w:rPr>
            </w:pPr>
          </w:p>
        </w:tc>
        <w:tc>
          <w:tcPr>
            <w:tcW w:w="748" w:type="dxa"/>
            <w:vAlign w:val="top"/>
          </w:tcPr>
          <w:p w14:paraId="1FC4F1BF">
            <w:pPr>
              <w:rPr>
                <w:rFonts w:ascii="Arial"/>
                <w:sz w:val="21"/>
              </w:rPr>
            </w:pPr>
          </w:p>
        </w:tc>
        <w:tc>
          <w:tcPr>
            <w:tcW w:w="746" w:type="dxa"/>
            <w:vAlign w:val="top"/>
          </w:tcPr>
          <w:p w14:paraId="2F0F7C74">
            <w:pPr>
              <w:rPr>
                <w:rFonts w:ascii="Arial"/>
                <w:sz w:val="21"/>
              </w:rPr>
            </w:pPr>
          </w:p>
        </w:tc>
        <w:tc>
          <w:tcPr>
            <w:tcW w:w="748" w:type="dxa"/>
            <w:vAlign w:val="top"/>
          </w:tcPr>
          <w:p w14:paraId="090AC0CC">
            <w:pPr>
              <w:rPr>
                <w:rFonts w:ascii="Arial"/>
                <w:sz w:val="21"/>
              </w:rPr>
            </w:pPr>
          </w:p>
        </w:tc>
        <w:tc>
          <w:tcPr>
            <w:tcW w:w="748" w:type="dxa"/>
            <w:vAlign w:val="top"/>
          </w:tcPr>
          <w:p w14:paraId="04266B17">
            <w:pPr>
              <w:rPr>
                <w:rFonts w:ascii="Arial"/>
                <w:sz w:val="21"/>
              </w:rPr>
            </w:pPr>
          </w:p>
        </w:tc>
        <w:tc>
          <w:tcPr>
            <w:tcW w:w="746" w:type="dxa"/>
            <w:vAlign w:val="top"/>
          </w:tcPr>
          <w:p w14:paraId="3434FC9E">
            <w:pPr>
              <w:rPr>
                <w:rFonts w:ascii="Arial"/>
                <w:sz w:val="21"/>
              </w:rPr>
            </w:pPr>
          </w:p>
        </w:tc>
        <w:tc>
          <w:tcPr>
            <w:tcW w:w="748" w:type="dxa"/>
            <w:vAlign w:val="top"/>
          </w:tcPr>
          <w:p w14:paraId="2F125C9C">
            <w:pPr>
              <w:rPr>
                <w:rFonts w:ascii="Arial"/>
                <w:sz w:val="21"/>
              </w:rPr>
            </w:pPr>
          </w:p>
        </w:tc>
        <w:tc>
          <w:tcPr>
            <w:tcW w:w="1496" w:type="dxa"/>
            <w:vAlign w:val="top"/>
          </w:tcPr>
          <w:p w14:paraId="531C8640">
            <w:pPr>
              <w:rPr>
                <w:rFonts w:ascii="Arial"/>
                <w:sz w:val="21"/>
              </w:rPr>
            </w:pPr>
          </w:p>
        </w:tc>
        <w:tc>
          <w:tcPr>
            <w:tcW w:w="746" w:type="dxa"/>
            <w:vAlign w:val="top"/>
          </w:tcPr>
          <w:p w14:paraId="09A82175">
            <w:pPr>
              <w:rPr>
                <w:rFonts w:ascii="Arial"/>
                <w:sz w:val="21"/>
              </w:rPr>
            </w:pPr>
          </w:p>
        </w:tc>
        <w:tc>
          <w:tcPr>
            <w:tcW w:w="748" w:type="dxa"/>
            <w:vAlign w:val="top"/>
          </w:tcPr>
          <w:p w14:paraId="42CB745A">
            <w:pPr>
              <w:rPr>
                <w:rFonts w:ascii="Arial"/>
                <w:sz w:val="21"/>
              </w:rPr>
            </w:pPr>
          </w:p>
        </w:tc>
        <w:tc>
          <w:tcPr>
            <w:tcW w:w="748" w:type="dxa"/>
            <w:vAlign w:val="top"/>
          </w:tcPr>
          <w:p w14:paraId="138C0B8C">
            <w:pPr>
              <w:rPr>
                <w:rFonts w:ascii="Arial"/>
                <w:sz w:val="21"/>
              </w:rPr>
            </w:pPr>
          </w:p>
        </w:tc>
        <w:tc>
          <w:tcPr>
            <w:tcW w:w="757" w:type="dxa"/>
            <w:tcBorders>
              <w:right w:val="single" w:color="000000" w:sz="6" w:space="0"/>
            </w:tcBorders>
            <w:vAlign w:val="top"/>
          </w:tcPr>
          <w:p w14:paraId="3D2E3075">
            <w:pPr>
              <w:rPr>
                <w:rFonts w:ascii="Arial"/>
                <w:sz w:val="21"/>
              </w:rPr>
            </w:pPr>
          </w:p>
        </w:tc>
      </w:tr>
      <w:tr w14:paraId="3255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57" w:type="dxa"/>
            <w:tcBorders>
              <w:left w:val="single" w:color="000000" w:sz="6" w:space="0"/>
            </w:tcBorders>
            <w:vAlign w:val="top"/>
          </w:tcPr>
          <w:p w14:paraId="361E846D">
            <w:pPr>
              <w:rPr>
                <w:rFonts w:ascii="Arial"/>
                <w:sz w:val="21"/>
              </w:rPr>
            </w:pPr>
          </w:p>
        </w:tc>
        <w:tc>
          <w:tcPr>
            <w:tcW w:w="746" w:type="dxa"/>
            <w:vAlign w:val="top"/>
          </w:tcPr>
          <w:p w14:paraId="230A98D7">
            <w:pPr>
              <w:rPr>
                <w:rFonts w:ascii="Arial"/>
                <w:sz w:val="21"/>
              </w:rPr>
            </w:pPr>
          </w:p>
        </w:tc>
        <w:tc>
          <w:tcPr>
            <w:tcW w:w="748" w:type="dxa"/>
            <w:vAlign w:val="top"/>
          </w:tcPr>
          <w:p w14:paraId="2DA8DC6B">
            <w:pPr>
              <w:rPr>
                <w:rFonts w:ascii="Arial"/>
                <w:sz w:val="21"/>
              </w:rPr>
            </w:pPr>
          </w:p>
        </w:tc>
        <w:tc>
          <w:tcPr>
            <w:tcW w:w="1494" w:type="dxa"/>
            <w:vAlign w:val="top"/>
          </w:tcPr>
          <w:p w14:paraId="1CFA3CA1">
            <w:pPr>
              <w:rPr>
                <w:rFonts w:ascii="Arial"/>
                <w:sz w:val="21"/>
              </w:rPr>
            </w:pPr>
          </w:p>
        </w:tc>
        <w:tc>
          <w:tcPr>
            <w:tcW w:w="748" w:type="dxa"/>
            <w:vAlign w:val="top"/>
          </w:tcPr>
          <w:p w14:paraId="7CEF8938">
            <w:pPr>
              <w:rPr>
                <w:rFonts w:ascii="Arial"/>
                <w:sz w:val="21"/>
              </w:rPr>
            </w:pPr>
          </w:p>
        </w:tc>
        <w:tc>
          <w:tcPr>
            <w:tcW w:w="748" w:type="dxa"/>
            <w:vAlign w:val="top"/>
          </w:tcPr>
          <w:p w14:paraId="1F7E93BB">
            <w:pPr>
              <w:rPr>
                <w:rFonts w:ascii="Arial"/>
                <w:sz w:val="21"/>
              </w:rPr>
            </w:pPr>
          </w:p>
        </w:tc>
        <w:tc>
          <w:tcPr>
            <w:tcW w:w="746" w:type="dxa"/>
            <w:vAlign w:val="top"/>
          </w:tcPr>
          <w:p w14:paraId="5022B4D5">
            <w:pPr>
              <w:rPr>
                <w:rFonts w:ascii="Arial"/>
                <w:sz w:val="21"/>
              </w:rPr>
            </w:pPr>
          </w:p>
        </w:tc>
        <w:tc>
          <w:tcPr>
            <w:tcW w:w="748" w:type="dxa"/>
            <w:vAlign w:val="top"/>
          </w:tcPr>
          <w:p w14:paraId="441ACCCB">
            <w:pPr>
              <w:rPr>
                <w:rFonts w:ascii="Arial"/>
                <w:sz w:val="21"/>
              </w:rPr>
            </w:pPr>
          </w:p>
        </w:tc>
        <w:tc>
          <w:tcPr>
            <w:tcW w:w="748" w:type="dxa"/>
            <w:vAlign w:val="top"/>
          </w:tcPr>
          <w:p w14:paraId="40DB9D13">
            <w:pPr>
              <w:rPr>
                <w:rFonts w:ascii="Arial"/>
                <w:sz w:val="21"/>
              </w:rPr>
            </w:pPr>
          </w:p>
        </w:tc>
        <w:tc>
          <w:tcPr>
            <w:tcW w:w="746" w:type="dxa"/>
            <w:vAlign w:val="top"/>
          </w:tcPr>
          <w:p w14:paraId="3C6B9981">
            <w:pPr>
              <w:rPr>
                <w:rFonts w:ascii="Arial"/>
                <w:sz w:val="21"/>
              </w:rPr>
            </w:pPr>
          </w:p>
        </w:tc>
        <w:tc>
          <w:tcPr>
            <w:tcW w:w="748" w:type="dxa"/>
            <w:vAlign w:val="top"/>
          </w:tcPr>
          <w:p w14:paraId="6F8ECD04">
            <w:pPr>
              <w:rPr>
                <w:rFonts w:ascii="Arial"/>
                <w:sz w:val="21"/>
              </w:rPr>
            </w:pPr>
          </w:p>
        </w:tc>
        <w:tc>
          <w:tcPr>
            <w:tcW w:w="1496" w:type="dxa"/>
            <w:vAlign w:val="top"/>
          </w:tcPr>
          <w:p w14:paraId="24AA9E95">
            <w:pPr>
              <w:rPr>
                <w:rFonts w:ascii="Arial"/>
                <w:sz w:val="21"/>
              </w:rPr>
            </w:pPr>
          </w:p>
        </w:tc>
        <w:tc>
          <w:tcPr>
            <w:tcW w:w="746" w:type="dxa"/>
            <w:vAlign w:val="top"/>
          </w:tcPr>
          <w:p w14:paraId="2B5D96A5">
            <w:pPr>
              <w:rPr>
                <w:rFonts w:ascii="Arial"/>
                <w:sz w:val="21"/>
              </w:rPr>
            </w:pPr>
          </w:p>
        </w:tc>
        <w:tc>
          <w:tcPr>
            <w:tcW w:w="748" w:type="dxa"/>
            <w:vAlign w:val="top"/>
          </w:tcPr>
          <w:p w14:paraId="244CDE9B">
            <w:pPr>
              <w:rPr>
                <w:rFonts w:ascii="Arial"/>
                <w:sz w:val="21"/>
              </w:rPr>
            </w:pPr>
          </w:p>
        </w:tc>
        <w:tc>
          <w:tcPr>
            <w:tcW w:w="748" w:type="dxa"/>
            <w:vAlign w:val="top"/>
          </w:tcPr>
          <w:p w14:paraId="13950BC8">
            <w:pPr>
              <w:rPr>
                <w:rFonts w:ascii="Arial"/>
                <w:sz w:val="21"/>
              </w:rPr>
            </w:pPr>
          </w:p>
        </w:tc>
        <w:tc>
          <w:tcPr>
            <w:tcW w:w="757" w:type="dxa"/>
            <w:tcBorders>
              <w:right w:val="single" w:color="000000" w:sz="6" w:space="0"/>
            </w:tcBorders>
            <w:vAlign w:val="top"/>
          </w:tcPr>
          <w:p w14:paraId="6040894B">
            <w:pPr>
              <w:rPr>
                <w:rFonts w:ascii="Arial"/>
                <w:sz w:val="21"/>
              </w:rPr>
            </w:pPr>
          </w:p>
        </w:tc>
      </w:tr>
      <w:tr w14:paraId="375A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2A1A0992">
            <w:pPr>
              <w:rPr>
                <w:rFonts w:ascii="Arial"/>
                <w:sz w:val="21"/>
              </w:rPr>
            </w:pPr>
          </w:p>
        </w:tc>
        <w:tc>
          <w:tcPr>
            <w:tcW w:w="746" w:type="dxa"/>
            <w:vAlign w:val="top"/>
          </w:tcPr>
          <w:p w14:paraId="348BA776">
            <w:pPr>
              <w:rPr>
                <w:rFonts w:ascii="Arial"/>
                <w:sz w:val="21"/>
              </w:rPr>
            </w:pPr>
          </w:p>
        </w:tc>
        <w:tc>
          <w:tcPr>
            <w:tcW w:w="748" w:type="dxa"/>
            <w:vAlign w:val="top"/>
          </w:tcPr>
          <w:p w14:paraId="73041736">
            <w:pPr>
              <w:rPr>
                <w:rFonts w:ascii="Arial"/>
                <w:sz w:val="21"/>
              </w:rPr>
            </w:pPr>
          </w:p>
        </w:tc>
        <w:tc>
          <w:tcPr>
            <w:tcW w:w="1494" w:type="dxa"/>
            <w:vAlign w:val="top"/>
          </w:tcPr>
          <w:p w14:paraId="58B63FFC">
            <w:pPr>
              <w:rPr>
                <w:rFonts w:ascii="Arial"/>
                <w:sz w:val="21"/>
              </w:rPr>
            </w:pPr>
          </w:p>
        </w:tc>
        <w:tc>
          <w:tcPr>
            <w:tcW w:w="748" w:type="dxa"/>
            <w:vAlign w:val="top"/>
          </w:tcPr>
          <w:p w14:paraId="16A436D6">
            <w:pPr>
              <w:rPr>
                <w:rFonts w:ascii="Arial"/>
                <w:sz w:val="21"/>
              </w:rPr>
            </w:pPr>
          </w:p>
        </w:tc>
        <w:tc>
          <w:tcPr>
            <w:tcW w:w="748" w:type="dxa"/>
            <w:vAlign w:val="top"/>
          </w:tcPr>
          <w:p w14:paraId="6F7050CB">
            <w:pPr>
              <w:rPr>
                <w:rFonts w:ascii="Arial"/>
                <w:sz w:val="21"/>
              </w:rPr>
            </w:pPr>
          </w:p>
        </w:tc>
        <w:tc>
          <w:tcPr>
            <w:tcW w:w="746" w:type="dxa"/>
            <w:vAlign w:val="top"/>
          </w:tcPr>
          <w:p w14:paraId="34034CB1">
            <w:pPr>
              <w:rPr>
                <w:rFonts w:ascii="Arial"/>
                <w:sz w:val="21"/>
              </w:rPr>
            </w:pPr>
          </w:p>
        </w:tc>
        <w:tc>
          <w:tcPr>
            <w:tcW w:w="748" w:type="dxa"/>
            <w:vAlign w:val="top"/>
          </w:tcPr>
          <w:p w14:paraId="052E5071">
            <w:pPr>
              <w:rPr>
                <w:rFonts w:ascii="Arial"/>
                <w:sz w:val="21"/>
              </w:rPr>
            </w:pPr>
          </w:p>
        </w:tc>
        <w:tc>
          <w:tcPr>
            <w:tcW w:w="748" w:type="dxa"/>
            <w:vAlign w:val="top"/>
          </w:tcPr>
          <w:p w14:paraId="084CC70A">
            <w:pPr>
              <w:rPr>
                <w:rFonts w:ascii="Arial"/>
                <w:sz w:val="21"/>
              </w:rPr>
            </w:pPr>
          </w:p>
        </w:tc>
        <w:tc>
          <w:tcPr>
            <w:tcW w:w="746" w:type="dxa"/>
            <w:vAlign w:val="top"/>
          </w:tcPr>
          <w:p w14:paraId="751DD3A2">
            <w:pPr>
              <w:rPr>
                <w:rFonts w:ascii="Arial"/>
                <w:sz w:val="21"/>
              </w:rPr>
            </w:pPr>
          </w:p>
        </w:tc>
        <w:tc>
          <w:tcPr>
            <w:tcW w:w="748" w:type="dxa"/>
            <w:vAlign w:val="top"/>
          </w:tcPr>
          <w:p w14:paraId="535AAE62">
            <w:pPr>
              <w:rPr>
                <w:rFonts w:ascii="Arial"/>
                <w:sz w:val="21"/>
              </w:rPr>
            </w:pPr>
          </w:p>
        </w:tc>
        <w:tc>
          <w:tcPr>
            <w:tcW w:w="1496" w:type="dxa"/>
            <w:vAlign w:val="top"/>
          </w:tcPr>
          <w:p w14:paraId="37B303B5">
            <w:pPr>
              <w:rPr>
                <w:rFonts w:ascii="Arial"/>
                <w:sz w:val="21"/>
              </w:rPr>
            </w:pPr>
          </w:p>
        </w:tc>
        <w:tc>
          <w:tcPr>
            <w:tcW w:w="746" w:type="dxa"/>
            <w:vAlign w:val="top"/>
          </w:tcPr>
          <w:p w14:paraId="04C0FFA6">
            <w:pPr>
              <w:rPr>
                <w:rFonts w:ascii="Arial"/>
                <w:sz w:val="21"/>
              </w:rPr>
            </w:pPr>
          </w:p>
        </w:tc>
        <w:tc>
          <w:tcPr>
            <w:tcW w:w="748" w:type="dxa"/>
            <w:vAlign w:val="top"/>
          </w:tcPr>
          <w:p w14:paraId="6DECFDF3">
            <w:pPr>
              <w:rPr>
                <w:rFonts w:ascii="Arial"/>
                <w:sz w:val="21"/>
              </w:rPr>
            </w:pPr>
          </w:p>
        </w:tc>
        <w:tc>
          <w:tcPr>
            <w:tcW w:w="748" w:type="dxa"/>
            <w:vAlign w:val="top"/>
          </w:tcPr>
          <w:p w14:paraId="54443BD2">
            <w:pPr>
              <w:rPr>
                <w:rFonts w:ascii="Arial"/>
                <w:sz w:val="21"/>
              </w:rPr>
            </w:pPr>
          </w:p>
        </w:tc>
        <w:tc>
          <w:tcPr>
            <w:tcW w:w="757" w:type="dxa"/>
            <w:tcBorders>
              <w:right w:val="single" w:color="000000" w:sz="6" w:space="0"/>
            </w:tcBorders>
            <w:vAlign w:val="top"/>
          </w:tcPr>
          <w:p w14:paraId="0183A75C">
            <w:pPr>
              <w:rPr>
                <w:rFonts w:ascii="Arial"/>
                <w:sz w:val="21"/>
              </w:rPr>
            </w:pPr>
          </w:p>
        </w:tc>
      </w:tr>
      <w:tr w14:paraId="14A6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7A6F263E">
            <w:pPr>
              <w:rPr>
                <w:rFonts w:ascii="Arial"/>
                <w:sz w:val="21"/>
              </w:rPr>
            </w:pPr>
          </w:p>
        </w:tc>
        <w:tc>
          <w:tcPr>
            <w:tcW w:w="746" w:type="dxa"/>
            <w:vAlign w:val="top"/>
          </w:tcPr>
          <w:p w14:paraId="4FB7BF4B">
            <w:pPr>
              <w:rPr>
                <w:rFonts w:ascii="Arial"/>
                <w:sz w:val="21"/>
              </w:rPr>
            </w:pPr>
          </w:p>
        </w:tc>
        <w:tc>
          <w:tcPr>
            <w:tcW w:w="748" w:type="dxa"/>
            <w:vAlign w:val="top"/>
          </w:tcPr>
          <w:p w14:paraId="3B826F71">
            <w:pPr>
              <w:rPr>
                <w:rFonts w:ascii="Arial"/>
                <w:sz w:val="21"/>
              </w:rPr>
            </w:pPr>
          </w:p>
        </w:tc>
        <w:tc>
          <w:tcPr>
            <w:tcW w:w="1494" w:type="dxa"/>
            <w:vAlign w:val="top"/>
          </w:tcPr>
          <w:p w14:paraId="566FA391">
            <w:pPr>
              <w:rPr>
                <w:rFonts w:ascii="Arial"/>
                <w:sz w:val="21"/>
              </w:rPr>
            </w:pPr>
          </w:p>
        </w:tc>
        <w:tc>
          <w:tcPr>
            <w:tcW w:w="748" w:type="dxa"/>
            <w:vAlign w:val="top"/>
          </w:tcPr>
          <w:p w14:paraId="59A4E147">
            <w:pPr>
              <w:rPr>
                <w:rFonts w:ascii="Arial"/>
                <w:sz w:val="21"/>
              </w:rPr>
            </w:pPr>
          </w:p>
        </w:tc>
        <w:tc>
          <w:tcPr>
            <w:tcW w:w="748" w:type="dxa"/>
            <w:vAlign w:val="top"/>
          </w:tcPr>
          <w:p w14:paraId="7687E3A0">
            <w:pPr>
              <w:rPr>
                <w:rFonts w:ascii="Arial"/>
                <w:sz w:val="21"/>
              </w:rPr>
            </w:pPr>
          </w:p>
        </w:tc>
        <w:tc>
          <w:tcPr>
            <w:tcW w:w="746" w:type="dxa"/>
            <w:vAlign w:val="top"/>
          </w:tcPr>
          <w:p w14:paraId="06CB8CB2">
            <w:pPr>
              <w:rPr>
                <w:rFonts w:ascii="Arial"/>
                <w:sz w:val="21"/>
              </w:rPr>
            </w:pPr>
          </w:p>
        </w:tc>
        <w:tc>
          <w:tcPr>
            <w:tcW w:w="748" w:type="dxa"/>
            <w:vAlign w:val="top"/>
          </w:tcPr>
          <w:p w14:paraId="67CD8C2C">
            <w:pPr>
              <w:rPr>
                <w:rFonts w:ascii="Arial"/>
                <w:sz w:val="21"/>
              </w:rPr>
            </w:pPr>
          </w:p>
        </w:tc>
        <w:tc>
          <w:tcPr>
            <w:tcW w:w="748" w:type="dxa"/>
            <w:vAlign w:val="top"/>
          </w:tcPr>
          <w:p w14:paraId="3CA58C67">
            <w:pPr>
              <w:rPr>
                <w:rFonts w:ascii="Arial"/>
                <w:sz w:val="21"/>
              </w:rPr>
            </w:pPr>
          </w:p>
        </w:tc>
        <w:tc>
          <w:tcPr>
            <w:tcW w:w="746" w:type="dxa"/>
            <w:vAlign w:val="top"/>
          </w:tcPr>
          <w:p w14:paraId="3E7C52E1">
            <w:pPr>
              <w:rPr>
                <w:rFonts w:ascii="Arial"/>
                <w:sz w:val="21"/>
              </w:rPr>
            </w:pPr>
          </w:p>
        </w:tc>
        <w:tc>
          <w:tcPr>
            <w:tcW w:w="748" w:type="dxa"/>
            <w:vAlign w:val="top"/>
          </w:tcPr>
          <w:p w14:paraId="74135464">
            <w:pPr>
              <w:rPr>
                <w:rFonts w:ascii="Arial"/>
                <w:sz w:val="21"/>
              </w:rPr>
            </w:pPr>
          </w:p>
        </w:tc>
        <w:tc>
          <w:tcPr>
            <w:tcW w:w="1496" w:type="dxa"/>
            <w:vAlign w:val="top"/>
          </w:tcPr>
          <w:p w14:paraId="5A521AFD">
            <w:pPr>
              <w:rPr>
                <w:rFonts w:ascii="Arial"/>
                <w:sz w:val="21"/>
              </w:rPr>
            </w:pPr>
          </w:p>
        </w:tc>
        <w:tc>
          <w:tcPr>
            <w:tcW w:w="746" w:type="dxa"/>
            <w:vAlign w:val="top"/>
          </w:tcPr>
          <w:p w14:paraId="58F95405">
            <w:pPr>
              <w:rPr>
                <w:rFonts w:ascii="Arial"/>
                <w:sz w:val="21"/>
              </w:rPr>
            </w:pPr>
          </w:p>
        </w:tc>
        <w:tc>
          <w:tcPr>
            <w:tcW w:w="748" w:type="dxa"/>
            <w:vAlign w:val="top"/>
          </w:tcPr>
          <w:p w14:paraId="54464048">
            <w:pPr>
              <w:rPr>
                <w:rFonts w:ascii="Arial"/>
                <w:sz w:val="21"/>
              </w:rPr>
            </w:pPr>
          </w:p>
        </w:tc>
        <w:tc>
          <w:tcPr>
            <w:tcW w:w="748" w:type="dxa"/>
            <w:vAlign w:val="top"/>
          </w:tcPr>
          <w:p w14:paraId="78A2B7E6">
            <w:pPr>
              <w:rPr>
                <w:rFonts w:ascii="Arial"/>
                <w:sz w:val="21"/>
              </w:rPr>
            </w:pPr>
          </w:p>
        </w:tc>
        <w:tc>
          <w:tcPr>
            <w:tcW w:w="757" w:type="dxa"/>
            <w:tcBorders>
              <w:right w:val="single" w:color="000000" w:sz="6" w:space="0"/>
            </w:tcBorders>
            <w:vAlign w:val="top"/>
          </w:tcPr>
          <w:p w14:paraId="7100148E">
            <w:pPr>
              <w:rPr>
                <w:rFonts w:ascii="Arial"/>
                <w:sz w:val="21"/>
              </w:rPr>
            </w:pPr>
          </w:p>
        </w:tc>
      </w:tr>
      <w:tr w14:paraId="3562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2C54B1D9">
            <w:pPr>
              <w:rPr>
                <w:rFonts w:ascii="Arial"/>
                <w:sz w:val="21"/>
              </w:rPr>
            </w:pPr>
          </w:p>
        </w:tc>
        <w:tc>
          <w:tcPr>
            <w:tcW w:w="746" w:type="dxa"/>
            <w:vAlign w:val="top"/>
          </w:tcPr>
          <w:p w14:paraId="0E478305">
            <w:pPr>
              <w:rPr>
                <w:rFonts w:ascii="Arial"/>
                <w:sz w:val="21"/>
              </w:rPr>
            </w:pPr>
          </w:p>
        </w:tc>
        <w:tc>
          <w:tcPr>
            <w:tcW w:w="748" w:type="dxa"/>
            <w:vAlign w:val="top"/>
          </w:tcPr>
          <w:p w14:paraId="26233907">
            <w:pPr>
              <w:rPr>
                <w:rFonts w:ascii="Arial"/>
                <w:sz w:val="21"/>
              </w:rPr>
            </w:pPr>
          </w:p>
        </w:tc>
        <w:tc>
          <w:tcPr>
            <w:tcW w:w="1494" w:type="dxa"/>
            <w:vAlign w:val="top"/>
          </w:tcPr>
          <w:p w14:paraId="72FEBDCD">
            <w:pPr>
              <w:rPr>
                <w:rFonts w:ascii="Arial"/>
                <w:sz w:val="21"/>
              </w:rPr>
            </w:pPr>
          </w:p>
        </w:tc>
        <w:tc>
          <w:tcPr>
            <w:tcW w:w="748" w:type="dxa"/>
            <w:vAlign w:val="top"/>
          </w:tcPr>
          <w:p w14:paraId="680E239B">
            <w:pPr>
              <w:rPr>
                <w:rFonts w:ascii="Arial"/>
                <w:sz w:val="21"/>
              </w:rPr>
            </w:pPr>
          </w:p>
        </w:tc>
        <w:tc>
          <w:tcPr>
            <w:tcW w:w="748" w:type="dxa"/>
            <w:vAlign w:val="top"/>
          </w:tcPr>
          <w:p w14:paraId="4927ECA1">
            <w:pPr>
              <w:rPr>
                <w:rFonts w:ascii="Arial"/>
                <w:sz w:val="21"/>
              </w:rPr>
            </w:pPr>
          </w:p>
        </w:tc>
        <w:tc>
          <w:tcPr>
            <w:tcW w:w="746" w:type="dxa"/>
            <w:vAlign w:val="top"/>
          </w:tcPr>
          <w:p w14:paraId="78D8D7C6">
            <w:pPr>
              <w:rPr>
                <w:rFonts w:ascii="Arial"/>
                <w:sz w:val="21"/>
              </w:rPr>
            </w:pPr>
          </w:p>
        </w:tc>
        <w:tc>
          <w:tcPr>
            <w:tcW w:w="748" w:type="dxa"/>
            <w:vAlign w:val="top"/>
          </w:tcPr>
          <w:p w14:paraId="33044C95">
            <w:pPr>
              <w:rPr>
                <w:rFonts w:ascii="Arial"/>
                <w:sz w:val="21"/>
              </w:rPr>
            </w:pPr>
          </w:p>
        </w:tc>
        <w:tc>
          <w:tcPr>
            <w:tcW w:w="748" w:type="dxa"/>
            <w:vAlign w:val="top"/>
          </w:tcPr>
          <w:p w14:paraId="2CB4FF97">
            <w:pPr>
              <w:rPr>
                <w:rFonts w:ascii="Arial"/>
                <w:sz w:val="21"/>
              </w:rPr>
            </w:pPr>
          </w:p>
        </w:tc>
        <w:tc>
          <w:tcPr>
            <w:tcW w:w="746" w:type="dxa"/>
            <w:vAlign w:val="top"/>
          </w:tcPr>
          <w:p w14:paraId="5F29CD77">
            <w:pPr>
              <w:rPr>
                <w:rFonts w:ascii="Arial"/>
                <w:sz w:val="21"/>
              </w:rPr>
            </w:pPr>
          </w:p>
        </w:tc>
        <w:tc>
          <w:tcPr>
            <w:tcW w:w="748" w:type="dxa"/>
            <w:vAlign w:val="top"/>
          </w:tcPr>
          <w:p w14:paraId="7966C37F">
            <w:pPr>
              <w:rPr>
                <w:rFonts w:ascii="Arial"/>
                <w:sz w:val="21"/>
              </w:rPr>
            </w:pPr>
          </w:p>
        </w:tc>
        <w:tc>
          <w:tcPr>
            <w:tcW w:w="1496" w:type="dxa"/>
            <w:vAlign w:val="top"/>
          </w:tcPr>
          <w:p w14:paraId="7C16A85D">
            <w:pPr>
              <w:rPr>
                <w:rFonts w:ascii="Arial"/>
                <w:sz w:val="21"/>
              </w:rPr>
            </w:pPr>
          </w:p>
        </w:tc>
        <w:tc>
          <w:tcPr>
            <w:tcW w:w="746" w:type="dxa"/>
            <w:vAlign w:val="top"/>
          </w:tcPr>
          <w:p w14:paraId="28F04F62">
            <w:pPr>
              <w:rPr>
                <w:rFonts w:ascii="Arial"/>
                <w:sz w:val="21"/>
              </w:rPr>
            </w:pPr>
          </w:p>
        </w:tc>
        <w:tc>
          <w:tcPr>
            <w:tcW w:w="748" w:type="dxa"/>
            <w:vAlign w:val="top"/>
          </w:tcPr>
          <w:p w14:paraId="6ED17869">
            <w:pPr>
              <w:rPr>
                <w:rFonts w:ascii="Arial"/>
                <w:sz w:val="21"/>
              </w:rPr>
            </w:pPr>
          </w:p>
        </w:tc>
        <w:tc>
          <w:tcPr>
            <w:tcW w:w="748" w:type="dxa"/>
            <w:vAlign w:val="top"/>
          </w:tcPr>
          <w:p w14:paraId="57309DD9">
            <w:pPr>
              <w:rPr>
                <w:rFonts w:ascii="Arial"/>
                <w:sz w:val="21"/>
              </w:rPr>
            </w:pPr>
          </w:p>
        </w:tc>
        <w:tc>
          <w:tcPr>
            <w:tcW w:w="757" w:type="dxa"/>
            <w:tcBorders>
              <w:right w:val="single" w:color="000000" w:sz="6" w:space="0"/>
            </w:tcBorders>
            <w:vAlign w:val="top"/>
          </w:tcPr>
          <w:p w14:paraId="1CF68248">
            <w:pPr>
              <w:rPr>
                <w:rFonts w:ascii="Arial"/>
                <w:sz w:val="21"/>
              </w:rPr>
            </w:pPr>
          </w:p>
        </w:tc>
      </w:tr>
      <w:tr w14:paraId="52023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57" w:type="dxa"/>
            <w:tcBorders>
              <w:left w:val="single" w:color="000000" w:sz="6" w:space="0"/>
            </w:tcBorders>
            <w:vAlign w:val="top"/>
          </w:tcPr>
          <w:p w14:paraId="6C59F898">
            <w:pPr>
              <w:rPr>
                <w:rFonts w:ascii="Arial"/>
                <w:sz w:val="21"/>
              </w:rPr>
            </w:pPr>
          </w:p>
        </w:tc>
        <w:tc>
          <w:tcPr>
            <w:tcW w:w="746" w:type="dxa"/>
            <w:vAlign w:val="top"/>
          </w:tcPr>
          <w:p w14:paraId="40867242">
            <w:pPr>
              <w:rPr>
                <w:rFonts w:ascii="Arial"/>
                <w:sz w:val="21"/>
              </w:rPr>
            </w:pPr>
          </w:p>
        </w:tc>
        <w:tc>
          <w:tcPr>
            <w:tcW w:w="748" w:type="dxa"/>
            <w:vAlign w:val="top"/>
          </w:tcPr>
          <w:p w14:paraId="2CE7AA89">
            <w:pPr>
              <w:rPr>
                <w:rFonts w:ascii="Arial"/>
                <w:sz w:val="21"/>
              </w:rPr>
            </w:pPr>
          </w:p>
        </w:tc>
        <w:tc>
          <w:tcPr>
            <w:tcW w:w="1494" w:type="dxa"/>
            <w:vAlign w:val="top"/>
          </w:tcPr>
          <w:p w14:paraId="2B4318BF">
            <w:pPr>
              <w:rPr>
                <w:rFonts w:ascii="Arial"/>
                <w:sz w:val="21"/>
              </w:rPr>
            </w:pPr>
          </w:p>
        </w:tc>
        <w:tc>
          <w:tcPr>
            <w:tcW w:w="748" w:type="dxa"/>
            <w:vAlign w:val="top"/>
          </w:tcPr>
          <w:p w14:paraId="7987952A">
            <w:pPr>
              <w:rPr>
                <w:rFonts w:ascii="Arial"/>
                <w:sz w:val="21"/>
              </w:rPr>
            </w:pPr>
          </w:p>
        </w:tc>
        <w:tc>
          <w:tcPr>
            <w:tcW w:w="748" w:type="dxa"/>
            <w:vAlign w:val="top"/>
          </w:tcPr>
          <w:p w14:paraId="39E9D938">
            <w:pPr>
              <w:rPr>
                <w:rFonts w:ascii="Arial"/>
                <w:sz w:val="21"/>
              </w:rPr>
            </w:pPr>
          </w:p>
        </w:tc>
        <w:tc>
          <w:tcPr>
            <w:tcW w:w="746" w:type="dxa"/>
            <w:vAlign w:val="top"/>
          </w:tcPr>
          <w:p w14:paraId="4F8CAD24">
            <w:pPr>
              <w:rPr>
                <w:rFonts w:ascii="Arial"/>
                <w:sz w:val="21"/>
              </w:rPr>
            </w:pPr>
          </w:p>
        </w:tc>
        <w:tc>
          <w:tcPr>
            <w:tcW w:w="748" w:type="dxa"/>
            <w:vAlign w:val="top"/>
          </w:tcPr>
          <w:p w14:paraId="20D82503">
            <w:pPr>
              <w:rPr>
                <w:rFonts w:ascii="Arial"/>
                <w:sz w:val="21"/>
              </w:rPr>
            </w:pPr>
          </w:p>
        </w:tc>
        <w:tc>
          <w:tcPr>
            <w:tcW w:w="748" w:type="dxa"/>
            <w:vAlign w:val="top"/>
          </w:tcPr>
          <w:p w14:paraId="438442CE">
            <w:pPr>
              <w:rPr>
                <w:rFonts w:ascii="Arial"/>
                <w:sz w:val="21"/>
              </w:rPr>
            </w:pPr>
          </w:p>
        </w:tc>
        <w:tc>
          <w:tcPr>
            <w:tcW w:w="746" w:type="dxa"/>
            <w:vAlign w:val="top"/>
          </w:tcPr>
          <w:p w14:paraId="3401E4A4">
            <w:pPr>
              <w:rPr>
                <w:rFonts w:ascii="Arial"/>
                <w:sz w:val="21"/>
              </w:rPr>
            </w:pPr>
          </w:p>
        </w:tc>
        <w:tc>
          <w:tcPr>
            <w:tcW w:w="748" w:type="dxa"/>
            <w:vAlign w:val="top"/>
          </w:tcPr>
          <w:p w14:paraId="6247D129">
            <w:pPr>
              <w:rPr>
                <w:rFonts w:ascii="Arial"/>
                <w:sz w:val="21"/>
              </w:rPr>
            </w:pPr>
          </w:p>
        </w:tc>
        <w:tc>
          <w:tcPr>
            <w:tcW w:w="1496" w:type="dxa"/>
            <w:vAlign w:val="top"/>
          </w:tcPr>
          <w:p w14:paraId="4333C8DE">
            <w:pPr>
              <w:rPr>
                <w:rFonts w:ascii="Arial"/>
                <w:sz w:val="21"/>
              </w:rPr>
            </w:pPr>
          </w:p>
        </w:tc>
        <w:tc>
          <w:tcPr>
            <w:tcW w:w="746" w:type="dxa"/>
            <w:vAlign w:val="top"/>
          </w:tcPr>
          <w:p w14:paraId="1F953D29">
            <w:pPr>
              <w:rPr>
                <w:rFonts w:ascii="Arial"/>
                <w:sz w:val="21"/>
              </w:rPr>
            </w:pPr>
          </w:p>
        </w:tc>
        <w:tc>
          <w:tcPr>
            <w:tcW w:w="748" w:type="dxa"/>
            <w:vAlign w:val="top"/>
          </w:tcPr>
          <w:p w14:paraId="7561686B">
            <w:pPr>
              <w:rPr>
                <w:rFonts w:ascii="Arial"/>
                <w:sz w:val="21"/>
              </w:rPr>
            </w:pPr>
          </w:p>
        </w:tc>
        <w:tc>
          <w:tcPr>
            <w:tcW w:w="748" w:type="dxa"/>
            <w:vAlign w:val="top"/>
          </w:tcPr>
          <w:p w14:paraId="6B8F60A5">
            <w:pPr>
              <w:rPr>
                <w:rFonts w:ascii="Arial"/>
                <w:sz w:val="21"/>
              </w:rPr>
            </w:pPr>
          </w:p>
        </w:tc>
        <w:tc>
          <w:tcPr>
            <w:tcW w:w="757" w:type="dxa"/>
            <w:tcBorders>
              <w:right w:val="single" w:color="000000" w:sz="6" w:space="0"/>
            </w:tcBorders>
            <w:vAlign w:val="top"/>
          </w:tcPr>
          <w:p w14:paraId="7BA06C4A">
            <w:pPr>
              <w:rPr>
                <w:rFonts w:ascii="Arial"/>
                <w:sz w:val="21"/>
              </w:rPr>
            </w:pPr>
          </w:p>
        </w:tc>
      </w:tr>
      <w:tr w14:paraId="20AF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1EFEA8C3">
            <w:pPr>
              <w:rPr>
                <w:rFonts w:ascii="Arial"/>
                <w:sz w:val="21"/>
              </w:rPr>
            </w:pPr>
          </w:p>
        </w:tc>
        <w:tc>
          <w:tcPr>
            <w:tcW w:w="746" w:type="dxa"/>
            <w:vAlign w:val="top"/>
          </w:tcPr>
          <w:p w14:paraId="6A653C11">
            <w:pPr>
              <w:rPr>
                <w:rFonts w:ascii="Arial"/>
                <w:sz w:val="21"/>
              </w:rPr>
            </w:pPr>
          </w:p>
        </w:tc>
        <w:tc>
          <w:tcPr>
            <w:tcW w:w="748" w:type="dxa"/>
            <w:vAlign w:val="top"/>
          </w:tcPr>
          <w:p w14:paraId="0ED67E5A">
            <w:pPr>
              <w:rPr>
                <w:rFonts w:ascii="Arial"/>
                <w:sz w:val="21"/>
              </w:rPr>
            </w:pPr>
          </w:p>
        </w:tc>
        <w:tc>
          <w:tcPr>
            <w:tcW w:w="1494" w:type="dxa"/>
            <w:vAlign w:val="top"/>
          </w:tcPr>
          <w:p w14:paraId="6213E83A">
            <w:pPr>
              <w:rPr>
                <w:rFonts w:ascii="Arial"/>
                <w:sz w:val="21"/>
              </w:rPr>
            </w:pPr>
          </w:p>
        </w:tc>
        <w:tc>
          <w:tcPr>
            <w:tcW w:w="748" w:type="dxa"/>
            <w:vAlign w:val="top"/>
          </w:tcPr>
          <w:p w14:paraId="1CAE30B4">
            <w:pPr>
              <w:rPr>
                <w:rFonts w:ascii="Arial"/>
                <w:sz w:val="21"/>
              </w:rPr>
            </w:pPr>
          </w:p>
        </w:tc>
        <w:tc>
          <w:tcPr>
            <w:tcW w:w="748" w:type="dxa"/>
            <w:vAlign w:val="top"/>
          </w:tcPr>
          <w:p w14:paraId="020046A9">
            <w:pPr>
              <w:rPr>
                <w:rFonts w:ascii="Arial"/>
                <w:sz w:val="21"/>
              </w:rPr>
            </w:pPr>
          </w:p>
        </w:tc>
        <w:tc>
          <w:tcPr>
            <w:tcW w:w="746" w:type="dxa"/>
            <w:vAlign w:val="top"/>
          </w:tcPr>
          <w:p w14:paraId="705E5DA3">
            <w:pPr>
              <w:rPr>
                <w:rFonts w:ascii="Arial"/>
                <w:sz w:val="21"/>
              </w:rPr>
            </w:pPr>
          </w:p>
        </w:tc>
        <w:tc>
          <w:tcPr>
            <w:tcW w:w="748" w:type="dxa"/>
            <w:vAlign w:val="top"/>
          </w:tcPr>
          <w:p w14:paraId="242671A4">
            <w:pPr>
              <w:rPr>
                <w:rFonts w:ascii="Arial"/>
                <w:sz w:val="21"/>
              </w:rPr>
            </w:pPr>
          </w:p>
        </w:tc>
        <w:tc>
          <w:tcPr>
            <w:tcW w:w="748" w:type="dxa"/>
            <w:vAlign w:val="top"/>
          </w:tcPr>
          <w:p w14:paraId="7FFDE577">
            <w:pPr>
              <w:rPr>
                <w:rFonts w:ascii="Arial"/>
                <w:sz w:val="21"/>
              </w:rPr>
            </w:pPr>
          </w:p>
        </w:tc>
        <w:tc>
          <w:tcPr>
            <w:tcW w:w="746" w:type="dxa"/>
            <w:vAlign w:val="top"/>
          </w:tcPr>
          <w:p w14:paraId="4CDD9E29">
            <w:pPr>
              <w:rPr>
                <w:rFonts w:ascii="Arial"/>
                <w:sz w:val="21"/>
              </w:rPr>
            </w:pPr>
          </w:p>
        </w:tc>
        <w:tc>
          <w:tcPr>
            <w:tcW w:w="748" w:type="dxa"/>
            <w:vAlign w:val="top"/>
          </w:tcPr>
          <w:p w14:paraId="290A4F75">
            <w:pPr>
              <w:rPr>
                <w:rFonts w:ascii="Arial"/>
                <w:sz w:val="21"/>
              </w:rPr>
            </w:pPr>
          </w:p>
        </w:tc>
        <w:tc>
          <w:tcPr>
            <w:tcW w:w="1496" w:type="dxa"/>
            <w:vAlign w:val="top"/>
          </w:tcPr>
          <w:p w14:paraId="432E6FA1">
            <w:pPr>
              <w:rPr>
                <w:rFonts w:ascii="Arial"/>
                <w:sz w:val="21"/>
              </w:rPr>
            </w:pPr>
          </w:p>
        </w:tc>
        <w:tc>
          <w:tcPr>
            <w:tcW w:w="746" w:type="dxa"/>
            <w:vAlign w:val="top"/>
          </w:tcPr>
          <w:p w14:paraId="3AF55131">
            <w:pPr>
              <w:rPr>
                <w:rFonts w:ascii="Arial"/>
                <w:sz w:val="21"/>
              </w:rPr>
            </w:pPr>
          </w:p>
        </w:tc>
        <w:tc>
          <w:tcPr>
            <w:tcW w:w="748" w:type="dxa"/>
            <w:vAlign w:val="top"/>
          </w:tcPr>
          <w:p w14:paraId="4C7F90B4">
            <w:pPr>
              <w:rPr>
                <w:rFonts w:ascii="Arial"/>
                <w:sz w:val="21"/>
              </w:rPr>
            </w:pPr>
          </w:p>
        </w:tc>
        <w:tc>
          <w:tcPr>
            <w:tcW w:w="748" w:type="dxa"/>
            <w:vAlign w:val="top"/>
          </w:tcPr>
          <w:p w14:paraId="627743D6">
            <w:pPr>
              <w:rPr>
                <w:rFonts w:ascii="Arial"/>
                <w:sz w:val="21"/>
              </w:rPr>
            </w:pPr>
          </w:p>
        </w:tc>
        <w:tc>
          <w:tcPr>
            <w:tcW w:w="757" w:type="dxa"/>
            <w:tcBorders>
              <w:right w:val="single" w:color="000000" w:sz="6" w:space="0"/>
            </w:tcBorders>
            <w:vAlign w:val="top"/>
          </w:tcPr>
          <w:p w14:paraId="21E2BB1B">
            <w:pPr>
              <w:rPr>
                <w:rFonts w:ascii="Arial"/>
                <w:sz w:val="21"/>
              </w:rPr>
            </w:pPr>
          </w:p>
        </w:tc>
      </w:tr>
      <w:tr w14:paraId="3A7A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25D8C7F8">
            <w:pPr>
              <w:rPr>
                <w:rFonts w:ascii="Arial"/>
                <w:sz w:val="21"/>
              </w:rPr>
            </w:pPr>
          </w:p>
        </w:tc>
        <w:tc>
          <w:tcPr>
            <w:tcW w:w="746" w:type="dxa"/>
            <w:vAlign w:val="top"/>
          </w:tcPr>
          <w:p w14:paraId="43755B58">
            <w:pPr>
              <w:rPr>
                <w:rFonts w:ascii="Arial"/>
                <w:sz w:val="21"/>
              </w:rPr>
            </w:pPr>
          </w:p>
        </w:tc>
        <w:tc>
          <w:tcPr>
            <w:tcW w:w="748" w:type="dxa"/>
            <w:vAlign w:val="top"/>
          </w:tcPr>
          <w:p w14:paraId="48F8C67A">
            <w:pPr>
              <w:rPr>
                <w:rFonts w:ascii="Arial"/>
                <w:sz w:val="21"/>
              </w:rPr>
            </w:pPr>
          </w:p>
        </w:tc>
        <w:tc>
          <w:tcPr>
            <w:tcW w:w="1494" w:type="dxa"/>
            <w:vAlign w:val="top"/>
          </w:tcPr>
          <w:p w14:paraId="2CE7084A">
            <w:pPr>
              <w:rPr>
                <w:rFonts w:ascii="Arial"/>
                <w:sz w:val="21"/>
              </w:rPr>
            </w:pPr>
          </w:p>
        </w:tc>
        <w:tc>
          <w:tcPr>
            <w:tcW w:w="748" w:type="dxa"/>
            <w:vAlign w:val="top"/>
          </w:tcPr>
          <w:p w14:paraId="7D493358">
            <w:pPr>
              <w:rPr>
                <w:rFonts w:ascii="Arial"/>
                <w:sz w:val="21"/>
              </w:rPr>
            </w:pPr>
          </w:p>
        </w:tc>
        <w:tc>
          <w:tcPr>
            <w:tcW w:w="748" w:type="dxa"/>
            <w:vAlign w:val="top"/>
          </w:tcPr>
          <w:p w14:paraId="3876A5A5">
            <w:pPr>
              <w:rPr>
                <w:rFonts w:ascii="Arial"/>
                <w:sz w:val="21"/>
              </w:rPr>
            </w:pPr>
          </w:p>
        </w:tc>
        <w:tc>
          <w:tcPr>
            <w:tcW w:w="746" w:type="dxa"/>
            <w:vAlign w:val="top"/>
          </w:tcPr>
          <w:p w14:paraId="5D58587C">
            <w:pPr>
              <w:rPr>
                <w:rFonts w:ascii="Arial"/>
                <w:sz w:val="21"/>
              </w:rPr>
            </w:pPr>
          </w:p>
        </w:tc>
        <w:tc>
          <w:tcPr>
            <w:tcW w:w="748" w:type="dxa"/>
            <w:vAlign w:val="top"/>
          </w:tcPr>
          <w:p w14:paraId="63C80A13">
            <w:pPr>
              <w:rPr>
                <w:rFonts w:ascii="Arial"/>
                <w:sz w:val="21"/>
              </w:rPr>
            </w:pPr>
          </w:p>
        </w:tc>
        <w:tc>
          <w:tcPr>
            <w:tcW w:w="748" w:type="dxa"/>
            <w:vAlign w:val="top"/>
          </w:tcPr>
          <w:p w14:paraId="75B8834D">
            <w:pPr>
              <w:rPr>
                <w:rFonts w:ascii="Arial"/>
                <w:sz w:val="21"/>
              </w:rPr>
            </w:pPr>
          </w:p>
        </w:tc>
        <w:tc>
          <w:tcPr>
            <w:tcW w:w="746" w:type="dxa"/>
            <w:vAlign w:val="top"/>
          </w:tcPr>
          <w:p w14:paraId="477AF56B">
            <w:pPr>
              <w:rPr>
                <w:rFonts w:ascii="Arial"/>
                <w:sz w:val="21"/>
              </w:rPr>
            </w:pPr>
          </w:p>
        </w:tc>
        <w:tc>
          <w:tcPr>
            <w:tcW w:w="748" w:type="dxa"/>
            <w:vAlign w:val="top"/>
          </w:tcPr>
          <w:p w14:paraId="3AA5B6FF">
            <w:pPr>
              <w:rPr>
                <w:rFonts w:ascii="Arial"/>
                <w:sz w:val="21"/>
              </w:rPr>
            </w:pPr>
          </w:p>
        </w:tc>
        <w:tc>
          <w:tcPr>
            <w:tcW w:w="1496" w:type="dxa"/>
            <w:vAlign w:val="top"/>
          </w:tcPr>
          <w:p w14:paraId="27773696">
            <w:pPr>
              <w:rPr>
                <w:rFonts w:ascii="Arial"/>
                <w:sz w:val="21"/>
              </w:rPr>
            </w:pPr>
          </w:p>
        </w:tc>
        <w:tc>
          <w:tcPr>
            <w:tcW w:w="746" w:type="dxa"/>
            <w:vAlign w:val="top"/>
          </w:tcPr>
          <w:p w14:paraId="008A066C">
            <w:pPr>
              <w:rPr>
                <w:rFonts w:ascii="Arial"/>
                <w:sz w:val="21"/>
              </w:rPr>
            </w:pPr>
          </w:p>
        </w:tc>
        <w:tc>
          <w:tcPr>
            <w:tcW w:w="748" w:type="dxa"/>
            <w:vAlign w:val="top"/>
          </w:tcPr>
          <w:p w14:paraId="74811CAA">
            <w:pPr>
              <w:rPr>
                <w:rFonts w:ascii="Arial"/>
                <w:sz w:val="21"/>
              </w:rPr>
            </w:pPr>
          </w:p>
        </w:tc>
        <w:tc>
          <w:tcPr>
            <w:tcW w:w="748" w:type="dxa"/>
            <w:vAlign w:val="top"/>
          </w:tcPr>
          <w:p w14:paraId="430CB6C1">
            <w:pPr>
              <w:rPr>
                <w:rFonts w:ascii="Arial"/>
                <w:sz w:val="21"/>
              </w:rPr>
            </w:pPr>
          </w:p>
        </w:tc>
        <w:tc>
          <w:tcPr>
            <w:tcW w:w="757" w:type="dxa"/>
            <w:tcBorders>
              <w:right w:val="single" w:color="000000" w:sz="6" w:space="0"/>
            </w:tcBorders>
            <w:vAlign w:val="top"/>
          </w:tcPr>
          <w:p w14:paraId="00DF5F3D">
            <w:pPr>
              <w:rPr>
                <w:rFonts w:ascii="Arial"/>
                <w:sz w:val="21"/>
              </w:rPr>
            </w:pPr>
          </w:p>
        </w:tc>
      </w:tr>
      <w:tr w14:paraId="7150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57" w:type="dxa"/>
            <w:tcBorders>
              <w:left w:val="single" w:color="000000" w:sz="6" w:space="0"/>
            </w:tcBorders>
            <w:vAlign w:val="top"/>
          </w:tcPr>
          <w:p w14:paraId="5596A488">
            <w:pPr>
              <w:rPr>
                <w:rFonts w:ascii="Arial"/>
                <w:sz w:val="21"/>
              </w:rPr>
            </w:pPr>
          </w:p>
        </w:tc>
        <w:tc>
          <w:tcPr>
            <w:tcW w:w="746" w:type="dxa"/>
            <w:vAlign w:val="top"/>
          </w:tcPr>
          <w:p w14:paraId="244CE1F9">
            <w:pPr>
              <w:rPr>
                <w:rFonts w:ascii="Arial"/>
                <w:sz w:val="21"/>
              </w:rPr>
            </w:pPr>
          </w:p>
        </w:tc>
        <w:tc>
          <w:tcPr>
            <w:tcW w:w="748" w:type="dxa"/>
            <w:vAlign w:val="top"/>
          </w:tcPr>
          <w:p w14:paraId="4D2CC5D3">
            <w:pPr>
              <w:rPr>
                <w:rFonts w:ascii="Arial"/>
                <w:sz w:val="21"/>
              </w:rPr>
            </w:pPr>
          </w:p>
        </w:tc>
        <w:tc>
          <w:tcPr>
            <w:tcW w:w="1494" w:type="dxa"/>
            <w:vAlign w:val="top"/>
          </w:tcPr>
          <w:p w14:paraId="6A4A5576">
            <w:pPr>
              <w:rPr>
                <w:rFonts w:ascii="Arial"/>
                <w:sz w:val="21"/>
              </w:rPr>
            </w:pPr>
          </w:p>
        </w:tc>
        <w:tc>
          <w:tcPr>
            <w:tcW w:w="748" w:type="dxa"/>
            <w:vAlign w:val="top"/>
          </w:tcPr>
          <w:p w14:paraId="19AAA0C0">
            <w:pPr>
              <w:rPr>
                <w:rFonts w:ascii="Arial"/>
                <w:sz w:val="21"/>
              </w:rPr>
            </w:pPr>
          </w:p>
        </w:tc>
        <w:tc>
          <w:tcPr>
            <w:tcW w:w="748" w:type="dxa"/>
            <w:vAlign w:val="top"/>
          </w:tcPr>
          <w:p w14:paraId="275B5AA0">
            <w:pPr>
              <w:rPr>
                <w:rFonts w:ascii="Arial"/>
                <w:sz w:val="21"/>
              </w:rPr>
            </w:pPr>
          </w:p>
        </w:tc>
        <w:tc>
          <w:tcPr>
            <w:tcW w:w="746" w:type="dxa"/>
            <w:vAlign w:val="top"/>
          </w:tcPr>
          <w:p w14:paraId="2403CFB2">
            <w:pPr>
              <w:rPr>
                <w:rFonts w:ascii="Arial"/>
                <w:sz w:val="21"/>
              </w:rPr>
            </w:pPr>
          </w:p>
        </w:tc>
        <w:tc>
          <w:tcPr>
            <w:tcW w:w="748" w:type="dxa"/>
            <w:vAlign w:val="top"/>
          </w:tcPr>
          <w:p w14:paraId="05714BDD">
            <w:pPr>
              <w:rPr>
                <w:rFonts w:ascii="Arial"/>
                <w:sz w:val="21"/>
              </w:rPr>
            </w:pPr>
          </w:p>
        </w:tc>
        <w:tc>
          <w:tcPr>
            <w:tcW w:w="748" w:type="dxa"/>
            <w:vAlign w:val="top"/>
          </w:tcPr>
          <w:p w14:paraId="72BA1B00">
            <w:pPr>
              <w:rPr>
                <w:rFonts w:ascii="Arial"/>
                <w:sz w:val="21"/>
              </w:rPr>
            </w:pPr>
          </w:p>
        </w:tc>
        <w:tc>
          <w:tcPr>
            <w:tcW w:w="746" w:type="dxa"/>
            <w:vAlign w:val="top"/>
          </w:tcPr>
          <w:p w14:paraId="5B33F733">
            <w:pPr>
              <w:rPr>
                <w:rFonts w:ascii="Arial"/>
                <w:sz w:val="21"/>
              </w:rPr>
            </w:pPr>
          </w:p>
        </w:tc>
        <w:tc>
          <w:tcPr>
            <w:tcW w:w="748" w:type="dxa"/>
            <w:vAlign w:val="top"/>
          </w:tcPr>
          <w:p w14:paraId="4F4D5962">
            <w:pPr>
              <w:rPr>
                <w:rFonts w:ascii="Arial"/>
                <w:sz w:val="21"/>
              </w:rPr>
            </w:pPr>
          </w:p>
        </w:tc>
        <w:tc>
          <w:tcPr>
            <w:tcW w:w="1496" w:type="dxa"/>
            <w:vAlign w:val="top"/>
          </w:tcPr>
          <w:p w14:paraId="6E0CFA45">
            <w:pPr>
              <w:rPr>
                <w:rFonts w:ascii="Arial"/>
                <w:sz w:val="21"/>
              </w:rPr>
            </w:pPr>
          </w:p>
        </w:tc>
        <w:tc>
          <w:tcPr>
            <w:tcW w:w="746" w:type="dxa"/>
            <w:vAlign w:val="top"/>
          </w:tcPr>
          <w:p w14:paraId="617ADE4F">
            <w:pPr>
              <w:rPr>
                <w:rFonts w:ascii="Arial"/>
                <w:sz w:val="21"/>
              </w:rPr>
            </w:pPr>
          </w:p>
        </w:tc>
        <w:tc>
          <w:tcPr>
            <w:tcW w:w="748" w:type="dxa"/>
            <w:vAlign w:val="top"/>
          </w:tcPr>
          <w:p w14:paraId="576F5AF5">
            <w:pPr>
              <w:rPr>
                <w:rFonts w:ascii="Arial"/>
                <w:sz w:val="21"/>
              </w:rPr>
            </w:pPr>
          </w:p>
        </w:tc>
        <w:tc>
          <w:tcPr>
            <w:tcW w:w="748" w:type="dxa"/>
            <w:vAlign w:val="top"/>
          </w:tcPr>
          <w:p w14:paraId="1D260DF4">
            <w:pPr>
              <w:rPr>
                <w:rFonts w:ascii="Arial"/>
                <w:sz w:val="21"/>
              </w:rPr>
            </w:pPr>
          </w:p>
        </w:tc>
        <w:tc>
          <w:tcPr>
            <w:tcW w:w="757" w:type="dxa"/>
            <w:tcBorders>
              <w:right w:val="single" w:color="000000" w:sz="6" w:space="0"/>
            </w:tcBorders>
            <w:vAlign w:val="top"/>
          </w:tcPr>
          <w:p w14:paraId="21D272E3">
            <w:pPr>
              <w:rPr>
                <w:rFonts w:ascii="Arial"/>
                <w:sz w:val="21"/>
              </w:rPr>
            </w:pPr>
          </w:p>
        </w:tc>
      </w:tr>
      <w:tr w14:paraId="549D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757" w:type="dxa"/>
            <w:tcBorders>
              <w:left w:val="single" w:color="000000" w:sz="6" w:space="0"/>
              <w:bottom w:val="single" w:color="000000" w:sz="6" w:space="0"/>
            </w:tcBorders>
            <w:vAlign w:val="top"/>
          </w:tcPr>
          <w:p w14:paraId="5987072A">
            <w:pPr>
              <w:rPr>
                <w:rFonts w:ascii="Arial"/>
                <w:sz w:val="21"/>
              </w:rPr>
            </w:pPr>
          </w:p>
        </w:tc>
        <w:tc>
          <w:tcPr>
            <w:tcW w:w="746" w:type="dxa"/>
            <w:tcBorders>
              <w:bottom w:val="single" w:color="000000" w:sz="6" w:space="0"/>
            </w:tcBorders>
            <w:vAlign w:val="top"/>
          </w:tcPr>
          <w:p w14:paraId="308C6F9D">
            <w:pPr>
              <w:rPr>
                <w:rFonts w:ascii="Arial"/>
                <w:sz w:val="21"/>
              </w:rPr>
            </w:pPr>
          </w:p>
        </w:tc>
        <w:tc>
          <w:tcPr>
            <w:tcW w:w="748" w:type="dxa"/>
            <w:tcBorders>
              <w:bottom w:val="single" w:color="000000" w:sz="6" w:space="0"/>
            </w:tcBorders>
            <w:vAlign w:val="top"/>
          </w:tcPr>
          <w:p w14:paraId="39192B8B">
            <w:pPr>
              <w:rPr>
                <w:rFonts w:ascii="Arial"/>
                <w:sz w:val="21"/>
              </w:rPr>
            </w:pPr>
          </w:p>
        </w:tc>
        <w:tc>
          <w:tcPr>
            <w:tcW w:w="1494" w:type="dxa"/>
            <w:tcBorders>
              <w:bottom w:val="single" w:color="000000" w:sz="6" w:space="0"/>
            </w:tcBorders>
            <w:vAlign w:val="top"/>
          </w:tcPr>
          <w:p w14:paraId="43C71495">
            <w:pPr>
              <w:rPr>
                <w:rFonts w:ascii="Arial"/>
                <w:sz w:val="21"/>
              </w:rPr>
            </w:pPr>
          </w:p>
        </w:tc>
        <w:tc>
          <w:tcPr>
            <w:tcW w:w="748" w:type="dxa"/>
            <w:tcBorders>
              <w:bottom w:val="single" w:color="000000" w:sz="6" w:space="0"/>
            </w:tcBorders>
            <w:vAlign w:val="top"/>
          </w:tcPr>
          <w:p w14:paraId="7C55CF6B">
            <w:pPr>
              <w:rPr>
                <w:rFonts w:ascii="Arial"/>
                <w:sz w:val="21"/>
              </w:rPr>
            </w:pPr>
          </w:p>
        </w:tc>
        <w:tc>
          <w:tcPr>
            <w:tcW w:w="748" w:type="dxa"/>
            <w:tcBorders>
              <w:bottom w:val="single" w:color="000000" w:sz="6" w:space="0"/>
            </w:tcBorders>
            <w:vAlign w:val="top"/>
          </w:tcPr>
          <w:p w14:paraId="5FEFCEF7">
            <w:pPr>
              <w:rPr>
                <w:rFonts w:ascii="Arial"/>
                <w:sz w:val="21"/>
              </w:rPr>
            </w:pPr>
          </w:p>
        </w:tc>
        <w:tc>
          <w:tcPr>
            <w:tcW w:w="746" w:type="dxa"/>
            <w:tcBorders>
              <w:bottom w:val="single" w:color="000000" w:sz="6" w:space="0"/>
            </w:tcBorders>
            <w:vAlign w:val="top"/>
          </w:tcPr>
          <w:p w14:paraId="3AC9F695">
            <w:pPr>
              <w:rPr>
                <w:rFonts w:ascii="Arial"/>
                <w:sz w:val="21"/>
              </w:rPr>
            </w:pPr>
          </w:p>
        </w:tc>
        <w:tc>
          <w:tcPr>
            <w:tcW w:w="748" w:type="dxa"/>
            <w:tcBorders>
              <w:bottom w:val="single" w:color="000000" w:sz="6" w:space="0"/>
            </w:tcBorders>
            <w:vAlign w:val="top"/>
          </w:tcPr>
          <w:p w14:paraId="1AB51D34">
            <w:pPr>
              <w:rPr>
                <w:rFonts w:ascii="Arial"/>
                <w:sz w:val="21"/>
              </w:rPr>
            </w:pPr>
          </w:p>
        </w:tc>
        <w:tc>
          <w:tcPr>
            <w:tcW w:w="748" w:type="dxa"/>
            <w:tcBorders>
              <w:bottom w:val="single" w:color="000000" w:sz="6" w:space="0"/>
            </w:tcBorders>
            <w:vAlign w:val="top"/>
          </w:tcPr>
          <w:p w14:paraId="4382FAD3">
            <w:pPr>
              <w:rPr>
                <w:rFonts w:ascii="Arial"/>
                <w:sz w:val="21"/>
              </w:rPr>
            </w:pPr>
          </w:p>
        </w:tc>
        <w:tc>
          <w:tcPr>
            <w:tcW w:w="746" w:type="dxa"/>
            <w:tcBorders>
              <w:bottom w:val="single" w:color="000000" w:sz="6" w:space="0"/>
            </w:tcBorders>
            <w:vAlign w:val="top"/>
          </w:tcPr>
          <w:p w14:paraId="38D29FA3">
            <w:pPr>
              <w:rPr>
                <w:rFonts w:ascii="Arial"/>
                <w:sz w:val="21"/>
              </w:rPr>
            </w:pPr>
          </w:p>
        </w:tc>
        <w:tc>
          <w:tcPr>
            <w:tcW w:w="748" w:type="dxa"/>
            <w:tcBorders>
              <w:bottom w:val="single" w:color="000000" w:sz="6" w:space="0"/>
            </w:tcBorders>
            <w:vAlign w:val="top"/>
          </w:tcPr>
          <w:p w14:paraId="3EBDB6CC">
            <w:pPr>
              <w:rPr>
                <w:rFonts w:ascii="Arial"/>
                <w:sz w:val="21"/>
              </w:rPr>
            </w:pPr>
          </w:p>
        </w:tc>
        <w:tc>
          <w:tcPr>
            <w:tcW w:w="1496" w:type="dxa"/>
            <w:tcBorders>
              <w:bottom w:val="single" w:color="000000" w:sz="6" w:space="0"/>
            </w:tcBorders>
            <w:vAlign w:val="top"/>
          </w:tcPr>
          <w:p w14:paraId="1EE5BD23">
            <w:pPr>
              <w:rPr>
                <w:rFonts w:ascii="Arial"/>
                <w:sz w:val="21"/>
              </w:rPr>
            </w:pPr>
          </w:p>
        </w:tc>
        <w:tc>
          <w:tcPr>
            <w:tcW w:w="746" w:type="dxa"/>
            <w:tcBorders>
              <w:bottom w:val="single" w:color="000000" w:sz="6" w:space="0"/>
            </w:tcBorders>
            <w:vAlign w:val="top"/>
          </w:tcPr>
          <w:p w14:paraId="2F91A44D">
            <w:pPr>
              <w:rPr>
                <w:rFonts w:ascii="Arial"/>
                <w:sz w:val="21"/>
              </w:rPr>
            </w:pPr>
          </w:p>
        </w:tc>
        <w:tc>
          <w:tcPr>
            <w:tcW w:w="748" w:type="dxa"/>
            <w:tcBorders>
              <w:bottom w:val="single" w:color="000000" w:sz="6" w:space="0"/>
            </w:tcBorders>
            <w:vAlign w:val="top"/>
          </w:tcPr>
          <w:p w14:paraId="20287CE6">
            <w:pPr>
              <w:rPr>
                <w:rFonts w:ascii="Arial"/>
                <w:sz w:val="21"/>
              </w:rPr>
            </w:pPr>
          </w:p>
        </w:tc>
        <w:tc>
          <w:tcPr>
            <w:tcW w:w="748" w:type="dxa"/>
            <w:tcBorders>
              <w:bottom w:val="single" w:color="000000" w:sz="6" w:space="0"/>
            </w:tcBorders>
            <w:vAlign w:val="top"/>
          </w:tcPr>
          <w:p w14:paraId="0D4E56B5">
            <w:pPr>
              <w:rPr>
                <w:rFonts w:ascii="Arial"/>
                <w:sz w:val="21"/>
              </w:rPr>
            </w:pPr>
          </w:p>
        </w:tc>
        <w:tc>
          <w:tcPr>
            <w:tcW w:w="757" w:type="dxa"/>
            <w:tcBorders>
              <w:bottom w:val="single" w:color="000000" w:sz="6" w:space="0"/>
              <w:right w:val="single" w:color="000000" w:sz="6" w:space="0"/>
            </w:tcBorders>
            <w:vAlign w:val="top"/>
          </w:tcPr>
          <w:p w14:paraId="61695370">
            <w:pPr>
              <w:rPr>
                <w:rFonts w:ascii="Arial"/>
                <w:sz w:val="21"/>
              </w:rPr>
            </w:pPr>
          </w:p>
        </w:tc>
      </w:tr>
    </w:tbl>
    <w:p w14:paraId="516A54BD">
      <w:pPr>
        <w:spacing w:before="56" w:line="220" w:lineRule="auto"/>
        <w:ind w:left="10125"/>
        <w:rPr>
          <w:rFonts w:ascii="宋体" w:hAnsi="宋体" w:eastAsia="宋体" w:cs="宋体"/>
          <w:sz w:val="18"/>
          <w:szCs w:val="18"/>
        </w:rPr>
      </w:pPr>
      <w:r>
        <w:rPr>
          <w:rFonts w:ascii="宋体" w:hAnsi="宋体" w:eastAsia="宋体" w:cs="宋体"/>
          <w:spacing w:val="-2"/>
          <w:sz w:val="18"/>
          <w:szCs w:val="18"/>
        </w:rPr>
        <w:t>法定代表人</w:t>
      </w:r>
    </w:p>
    <w:p w14:paraId="3EF01091">
      <w:pPr>
        <w:spacing w:before="76" w:line="213" w:lineRule="auto"/>
        <w:ind w:left="9855"/>
        <w:rPr>
          <w:rFonts w:ascii="宋体" w:hAnsi="宋体" w:eastAsia="宋体" w:cs="宋体"/>
          <w:sz w:val="18"/>
          <w:szCs w:val="18"/>
        </w:rPr>
      </w:pPr>
      <w:r>
        <w:rPr>
          <w:rFonts w:ascii="宋体" w:hAnsi="宋体" w:eastAsia="宋体" w:cs="宋体"/>
          <w:spacing w:val="-1"/>
          <w:sz w:val="18"/>
          <w:szCs w:val="18"/>
        </w:rPr>
        <w:t>（或委托代理人</w:t>
      </w:r>
      <w:r>
        <w:rPr>
          <w:rFonts w:ascii="宋体" w:hAnsi="宋体" w:eastAsia="宋体" w:cs="宋体"/>
          <w:spacing w:val="1"/>
          <w:sz w:val="18"/>
          <w:szCs w:val="18"/>
        </w:rPr>
        <w:t>）：</w:t>
      </w:r>
      <w:r>
        <w:rPr>
          <w:rFonts w:ascii="宋体" w:hAnsi="宋体" w:eastAsia="宋体" w:cs="宋体"/>
          <w:spacing w:val="-1"/>
          <w:sz w:val="18"/>
          <w:szCs w:val="18"/>
        </w:rPr>
        <w:t>___________（签字）</w:t>
      </w:r>
    </w:p>
    <w:p w14:paraId="7D28E82D">
      <w:pPr>
        <w:spacing w:line="213" w:lineRule="auto"/>
        <w:rPr>
          <w:rFonts w:ascii="宋体" w:hAnsi="宋体" w:eastAsia="宋体" w:cs="宋体"/>
          <w:sz w:val="18"/>
          <w:szCs w:val="18"/>
        </w:rPr>
        <w:sectPr>
          <w:footerReference r:id="rId169" w:type="default"/>
          <w:pgSz w:w="16843" w:h="11905" w:orient="landscape"/>
          <w:pgMar w:top="1480" w:right="969" w:bottom="1355" w:left="1026" w:header="0" w:footer="754" w:gutter="0"/>
          <w:cols w:space="0" w:num="1"/>
          <w:rtlGutter w:val="0"/>
          <w:docGrid w:linePitch="0" w:charSpace="0"/>
        </w:sectPr>
      </w:pPr>
    </w:p>
    <w:p w14:paraId="54977AEB">
      <w:pPr>
        <w:pStyle w:val="5"/>
        <w:spacing w:line="276" w:lineRule="auto"/>
      </w:pPr>
    </w:p>
    <w:p w14:paraId="50314A8E">
      <w:pPr>
        <w:pStyle w:val="5"/>
        <w:spacing w:line="277" w:lineRule="auto"/>
      </w:pPr>
    </w:p>
    <w:p w14:paraId="6BE67C78">
      <w:pPr>
        <w:spacing w:before="78" w:line="233" w:lineRule="auto"/>
        <w:ind w:left="19"/>
        <w:outlineLvl w:val="2"/>
        <w:rPr>
          <w:rFonts w:ascii="黑体" w:hAnsi="黑体" w:eastAsia="黑体" w:cs="黑体"/>
          <w:sz w:val="24"/>
          <w:szCs w:val="24"/>
        </w:rPr>
      </w:pPr>
      <w:bookmarkStart w:id="1285" w:name="bookmark395"/>
      <w:bookmarkEnd w:id="1285"/>
      <w:r>
        <w:rPr>
          <w:rFonts w:ascii="Times New Roman" w:hAnsi="Times New Roman" w:eastAsia="Times New Roman" w:cs="Times New Roman"/>
          <w:spacing w:val="-1"/>
          <w:sz w:val="24"/>
          <w:szCs w:val="24"/>
        </w:rPr>
        <w:t xml:space="preserve">3.20 </w:t>
      </w:r>
      <w:r>
        <w:rPr>
          <w:rFonts w:ascii="黑体" w:hAnsi="黑体" w:eastAsia="黑体" w:cs="黑体"/>
          <w:spacing w:val="-1"/>
          <w:sz w:val="24"/>
          <w:szCs w:val="24"/>
        </w:rPr>
        <w:t>投标人自备施工机械台时（班）费汇总表</w:t>
      </w:r>
    </w:p>
    <w:p w14:paraId="11F54FD5">
      <w:pPr>
        <w:spacing w:before="56" w:line="224" w:lineRule="auto"/>
        <w:ind w:left="3998"/>
        <w:rPr>
          <w:rFonts w:ascii="宋体" w:hAnsi="宋体" w:eastAsia="宋体" w:cs="宋体"/>
          <w:sz w:val="31"/>
          <w:szCs w:val="31"/>
        </w:rPr>
      </w:pPr>
      <w:r>
        <w:rPr>
          <w:rFonts w:ascii="宋体" w:hAnsi="宋体" w:eastAsia="宋体" w:cs="宋体"/>
          <w:b/>
          <w:bCs/>
          <w:spacing w:val="7"/>
          <w:sz w:val="31"/>
          <w:szCs w:val="31"/>
        </w:rPr>
        <w:t>投标人自备施工机械台时（班）费汇总表</w:t>
      </w:r>
    </w:p>
    <w:p w14:paraId="05348F42">
      <w:pPr>
        <w:spacing w:before="68"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3256A8F4">
      <w:pPr>
        <w:spacing w:before="186" w:line="220" w:lineRule="auto"/>
        <w:ind w:left="126"/>
        <w:rPr>
          <w:rFonts w:ascii="宋体" w:hAnsi="宋体" w:eastAsia="宋体" w:cs="宋体"/>
          <w:sz w:val="18"/>
          <w:szCs w:val="18"/>
        </w:rPr>
      </w:pPr>
      <w:r>
        <w:rPr>
          <w:rFonts w:ascii="宋体" w:hAnsi="宋体" w:eastAsia="宋体" w:cs="宋体"/>
          <w:spacing w:val="-2"/>
          <w:sz w:val="18"/>
          <w:szCs w:val="18"/>
        </w:rPr>
        <w:t xml:space="preserve">工程名称：                  </w:t>
      </w:r>
      <w:r>
        <w:rPr>
          <w:rFonts w:ascii="宋体" w:hAnsi="宋体" w:eastAsia="宋体" w:cs="宋体"/>
          <w:spacing w:val="-3"/>
          <w:sz w:val="18"/>
          <w:szCs w:val="18"/>
        </w:rPr>
        <w:t xml:space="preserve">                                                                                                          第  1</w:t>
      </w:r>
      <w:r>
        <w:rPr>
          <w:rFonts w:ascii="宋体" w:hAnsi="宋体" w:eastAsia="宋体" w:cs="宋体"/>
          <w:spacing w:val="6"/>
          <w:sz w:val="18"/>
          <w:szCs w:val="18"/>
        </w:rPr>
        <w:t xml:space="preserve">  </w:t>
      </w:r>
      <w:r>
        <w:rPr>
          <w:rFonts w:ascii="宋体" w:hAnsi="宋体" w:eastAsia="宋体" w:cs="宋体"/>
          <w:spacing w:val="-3"/>
          <w:sz w:val="18"/>
          <w:szCs w:val="18"/>
        </w:rPr>
        <w:t>页、共</w:t>
      </w:r>
      <w:r>
        <w:rPr>
          <w:rFonts w:ascii="宋体" w:hAnsi="宋体" w:eastAsia="宋体" w:cs="宋体"/>
          <w:spacing w:val="9"/>
          <w:sz w:val="18"/>
          <w:szCs w:val="18"/>
        </w:rPr>
        <w:t xml:space="preserve">  </w:t>
      </w:r>
      <w:r>
        <w:rPr>
          <w:rFonts w:ascii="宋体" w:hAnsi="宋体" w:eastAsia="宋体" w:cs="宋体"/>
          <w:spacing w:val="-3"/>
          <w:sz w:val="18"/>
          <w:szCs w:val="18"/>
        </w:rPr>
        <w:t>1</w:t>
      </w:r>
      <w:r>
        <w:rPr>
          <w:rFonts w:ascii="宋体" w:hAnsi="宋体" w:eastAsia="宋体" w:cs="宋体"/>
          <w:spacing w:val="6"/>
          <w:sz w:val="18"/>
          <w:szCs w:val="18"/>
        </w:rPr>
        <w:t xml:space="preserve">  </w:t>
      </w:r>
      <w:r>
        <w:rPr>
          <w:rFonts w:ascii="宋体" w:hAnsi="宋体" w:eastAsia="宋体" w:cs="宋体"/>
          <w:spacing w:val="-3"/>
          <w:sz w:val="18"/>
          <w:szCs w:val="18"/>
        </w:rPr>
        <w:t>页</w:t>
      </w:r>
    </w:p>
    <w:p w14:paraId="0E30D2F0">
      <w:pPr>
        <w:spacing w:before="187" w:line="220" w:lineRule="auto"/>
        <w:ind w:left="11923"/>
        <w:rPr>
          <w:rFonts w:ascii="宋体" w:hAnsi="宋体" w:eastAsia="宋体" w:cs="宋体"/>
          <w:sz w:val="18"/>
          <w:szCs w:val="18"/>
        </w:rPr>
      </w:pPr>
      <w:r>
        <w:rPr>
          <w:rFonts w:ascii="宋体" w:hAnsi="宋体" w:eastAsia="宋体" w:cs="宋体"/>
          <w:spacing w:val="-2"/>
          <w:sz w:val="18"/>
          <w:szCs w:val="18"/>
        </w:rPr>
        <w:t>单位：元/台时（班）</w:t>
      </w:r>
    </w:p>
    <w:p w14:paraId="36BB7D96">
      <w:pPr>
        <w:spacing w:line="21" w:lineRule="exact"/>
      </w:pPr>
    </w:p>
    <w:tbl>
      <w:tblPr>
        <w:tblStyle w:val="10"/>
        <w:tblW w:w="1373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283"/>
        <w:gridCol w:w="1285"/>
        <w:gridCol w:w="851"/>
        <w:gridCol w:w="650"/>
        <w:gridCol w:w="870"/>
        <w:gridCol w:w="832"/>
        <w:gridCol w:w="724"/>
        <w:gridCol w:w="580"/>
        <w:gridCol w:w="633"/>
        <w:gridCol w:w="707"/>
        <w:gridCol w:w="705"/>
        <w:gridCol w:w="724"/>
        <w:gridCol w:w="688"/>
        <w:gridCol w:w="633"/>
        <w:gridCol w:w="813"/>
      </w:tblGrid>
      <w:tr w14:paraId="0E577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753" w:type="dxa"/>
            <w:vMerge w:val="restart"/>
            <w:tcBorders>
              <w:top w:val="single" w:color="000000" w:sz="6" w:space="0"/>
              <w:left w:val="single" w:color="000000" w:sz="6" w:space="0"/>
              <w:bottom w:val="nil"/>
            </w:tcBorders>
            <w:vAlign w:val="top"/>
          </w:tcPr>
          <w:p w14:paraId="75F809A4">
            <w:pPr>
              <w:spacing w:line="241" w:lineRule="auto"/>
              <w:rPr>
                <w:rFonts w:ascii="Arial"/>
                <w:sz w:val="21"/>
              </w:rPr>
            </w:pPr>
          </w:p>
          <w:p w14:paraId="758D6176">
            <w:pPr>
              <w:pStyle w:val="11"/>
              <w:spacing w:before="58" w:line="221" w:lineRule="auto"/>
              <w:ind w:left="192"/>
              <w:rPr>
                <w:sz w:val="18"/>
                <w:szCs w:val="18"/>
              </w:rPr>
            </w:pPr>
            <w:r>
              <w:rPr>
                <w:spacing w:val="-2"/>
                <w:sz w:val="18"/>
                <w:szCs w:val="18"/>
              </w:rPr>
              <w:t>序号</w:t>
            </w:r>
          </w:p>
        </w:tc>
        <w:tc>
          <w:tcPr>
            <w:tcW w:w="2283" w:type="dxa"/>
            <w:vMerge w:val="restart"/>
            <w:tcBorders>
              <w:top w:val="single" w:color="000000" w:sz="6" w:space="0"/>
              <w:bottom w:val="nil"/>
            </w:tcBorders>
            <w:vAlign w:val="top"/>
          </w:tcPr>
          <w:p w14:paraId="0CF5E36E">
            <w:pPr>
              <w:spacing w:line="241" w:lineRule="auto"/>
              <w:rPr>
                <w:rFonts w:ascii="Arial"/>
                <w:sz w:val="21"/>
              </w:rPr>
            </w:pPr>
          </w:p>
          <w:p w14:paraId="3F6CFCEF">
            <w:pPr>
              <w:pStyle w:val="11"/>
              <w:spacing w:before="58" w:line="219" w:lineRule="auto"/>
              <w:ind w:left="779"/>
              <w:rPr>
                <w:sz w:val="18"/>
                <w:szCs w:val="18"/>
              </w:rPr>
            </w:pPr>
            <w:r>
              <w:rPr>
                <w:spacing w:val="-2"/>
                <w:sz w:val="18"/>
                <w:szCs w:val="18"/>
              </w:rPr>
              <w:t>机械名称</w:t>
            </w:r>
          </w:p>
        </w:tc>
        <w:tc>
          <w:tcPr>
            <w:tcW w:w="1285" w:type="dxa"/>
            <w:vMerge w:val="restart"/>
            <w:tcBorders>
              <w:top w:val="single" w:color="000000" w:sz="6" w:space="0"/>
              <w:bottom w:val="nil"/>
            </w:tcBorders>
            <w:vAlign w:val="top"/>
          </w:tcPr>
          <w:p w14:paraId="5ED15465">
            <w:pPr>
              <w:rPr>
                <w:rFonts w:ascii="Arial"/>
                <w:sz w:val="21"/>
              </w:rPr>
            </w:pPr>
          </w:p>
          <w:p w14:paraId="1ABC79CC">
            <w:pPr>
              <w:pStyle w:val="11"/>
              <w:spacing w:before="59" w:line="220" w:lineRule="auto"/>
              <w:ind w:left="286"/>
              <w:rPr>
                <w:sz w:val="18"/>
                <w:szCs w:val="18"/>
              </w:rPr>
            </w:pPr>
            <w:r>
              <w:rPr>
                <w:spacing w:val="-3"/>
                <w:sz w:val="18"/>
                <w:szCs w:val="18"/>
              </w:rPr>
              <w:t>型号规格</w:t>
            </w:r>
          </w:p>
        </w:tc>
        <w:tc>
          <w:tcPr>
            <w:tcW w:w="3203" w:type="dxa"/>
            <w:gridSpan w:val="4"/>
            <w:tcBorders>
              <w:top w:val="single" w:color="000000" w:sz="6" w:space="0"/>
            </w:tcBorders>
            <w:vAlign w:val="top"/>
          </w:tcPr>
          <w:p w14:paraId="145D7EDF">
            <w:pPr>
              <w:pStyle w:val="11"/>
              <w:spacing w:before="55" w:line="220" w:lineRule="auto"/>
              <w:ind w:left="1247"/>
              <w:rPr>
                <w:sz w:val="18"/>
                <w:szCs w:val="18"/>
              </w:rPr>
            </w:pPr>
            <w:r>
              <w:rPr>
                <w:spacing w:val="-3"/>
                <w:sz w:val="18"/>
                <w:szCs w:val="18"/>
              </w:rPr>
              <w:t>一类费用</w:t>
            </w:r>
          </w:p>
        </w:tc>
        <w:tc>
          <w:tcPr>
            <w:tcW w:w="5394" w:type="dxa"/>
            <w:gridSpan w:val="8"/>
            <w:tcBorders>
              <w:top w:val="single" w:color="000000" w:sz="6" w:space="0"/>
            </w:tcBorders>
            <w:vAlign w:val="top"/>
          </w:tcPr>
          <w:p w14:paraId="3A84FA81">
            <w:pPr>
              <w:pStyle w:val="11"/>
              <w:spacing w:before="55" w:line="220" w:lineRule="auto"/>
              <w:ind w:left="2348"/>
              <w:rPr>
                <w:sz w:val="18"/>
                <w:szCs w:val="18"/>
              </w:rPr>
            </w:pPr>
            <w:r>
              <w:rPr>
                <w:spacing w:val="-2"/>
                <w:sz w:val="18"/>
                <w:szCs w:val="18"/>
              </w:rPr>
              <w:t>二类费用</w:t>
            </w:r>
          </w:p>
        </w:tc>
        <w:tc>
          <w:tcPr>
            <w:tcW w:w="813" w:type="dxa"/>
            <w:vMerge w:val="restart"/>
            <w:tcBorders>
              <w:top w:val="single" w:color="000000" w:sz="6" w:space="0"/>
              <w:bottom w:val="nil"/>
              <w:right w:val="single" w:color="000000" w:sz="6" w:space="0"/>
            </w:tcBorders>
            <w:vAlign w:val="top"/>
          </w:tcPr>
          <w:p w14:paraId="72E6B7E2">
            <w:pPr>
              <w:spacing w:line="241" w:lineRule="auto"/>
              <w:rPr>
                <w:rFonts w:ascii="Arial"/>
                <w:sz w:val="21"/>
              </w:rPr>
            </w:pPr>
          </w:p>
          <w:p w14:paraId="073A9006">
            <w:pPr>
              <w:pStyle w:val="11"/>
              <w:spacing w:before="58" w:line="221" w:lineRule="auto"/>
              <w:ind w:left="233"/>
              <w:rPr>
                <w:sz w:val="18"/>
                <w:szCs w:val="18"/>
              </w:rPr>
            </w:pPr>
            <w:r>
              <w:rPr>
                <w:spacing w:val="-2"/>
                <w:sz w:val="18"/>
                <w:szCs w:val="18"/>
              </w:rPr>
              <w:t>合计</w:t>
            </w:r>
          </w:p>
        </w:tc>
      </w:tr>
      <w:tr w14:paraId="7033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53" w:type="dxa"/>
            <w:vMerge w:val="continue"/>
            <w:tcBorders>
              <w:top w:val="nil"/>
              <w:left w:val="single" w:color="000000" w:sz="6" w:space="0"/>
            </w:tcBorders>
            <w:vAlign w:val="top"/>
          </w:tcPr>
          <w:p w14:paraId="0FA46B49">
            <w:pPr>
              <w:rPr>
                <w:rFonts w:ascii="Arial"/>
                <w:sz w:val="21"/>
              </w:rPr>
            </w:pPr>
          </w:p>
        </w:tc>
        <w:tc>
          <w:tcPr>
            <w:tcW w:w="2283" w:type="dxa"/>
            <w:vMerge w:val="continue"/>
            <w:tcBorders>
              <w:top w:val="nil"/>
            </w:tcBorders>
            <w:vAlign w:val="top"/>
          </w:tcPr>
          <w:p w14:paraId="34934CE6">
            <w:pPr>
              <w:rPr>
                <w:rFonts w:ascii="Arial"/>
                <w:sz w:val="21"/>
              </w:rPr>
            </w:pPr>
          </w:p>
        </w:tc>
        <w:tc>
          <w:tcPr>
            <w:tcW w:w="1285" w:type="dxa"/>
            <w:vMerge w:val="continue"/>
            <w:tcBorders>
              <w:top w:val="nil"/>
            </w:tcBorders>
            <w:vAlign w:val="top"/>
          </w:tcPr>
          <w:p w14:paraId="5ADA8BA8">
            <w:pPr>
              <w:rPr>
                <w:rFonts w:ascii="Arial"/>
                <w:sz w:val="21"/>
              </w:rPr>
            </w:pPr>
          </w:p>
        </w:tc>
        <w:tc>
          <w:tcPr>
            <w:tcW w:w="851" w:type="dxa"/>
            <w:vAlign w:val="top"/>
          </w:tcPr>
          <w:p w14:paraId="260279B2">
            <w:pPr>
              <w:pStyle w:val="11"/>
              <w:spacing w:before="150" w:line="220" w:lineRule="auto"/>
              <w:ind w:left="158"/>
              <w:rPr>
                <w:sz w:val="18"/>
                <w:szCs w:val="18"/>
              </w:rPr>
            </w:pPr>
            <w:r>
              <w:rPr>
                <w:spacing w:val="-2"/>
                <w:sz w:val="18"/>
                <w:szCs w:val="18"/>
              </w:rPr>
              <w:t>折旧费</w:t>
            </w:r>
          </w:p>
        </w:tc>
        <w:tc>
          <w:tcPr>
            <w:tcW w:w="650" w:type="dxa"/>
            <w:vAlign w:val="top"/>
          </w:tcPr>
          <w:p w14:paraId="7957B2EC">
            <w:pPr>
              <w:pStyle w:val="11"/>
              <w:spacing w:before="36" w:line="222" w:lineRule="auto"/>
              <w:ind w:left="244" w:right="145" w:hanging="95"/>
              <w:rPr>
                <w:sz w:val="18"/>
                <w:szCs w:val="18"/>
              </w:rPr>
            </w:pPr>
            <w:r>
              <w:rPr>
                <w:spacing w:val="-5"/>
                <w:sz w:val="18"/>
                <w:szCs w:val="18"/>
              </w:rPr>
              <w:t>维修</w:t>
            </w:r>
            <w:r>
              <w:rPr>
                <w:sz w:val="18"/>
                <w:szCs w:val="18"/>
              </w:rPr>
              <w:t>费</w:t>
            </w:r>
          </w:p>
        </w:tc>
        <w:tc>
          <w:tcPr>
            <w:tcW w:w="870" w:type="dxa"/>
            <w:vAlign w:val="top"/>
          </w:tcPr>
          <w:p w14:paraId="26EE37D8">
            <w:pPr>
              <w:pStyle w:val="11"/>
              <w:spacing w:before="150" w:line="220" w:lineRule="auto"/>
              <w:ind w:left="169"/>
              <w:rPr>
                <w:sz w:val="18"/>
                <w:szCs w:val="18"/>
              </w:rPr>
            </w:pPr>
            <w:r>
              <w:rPr>
                <w:spacing w:val="-3"/>
                <w:sz w:val="18"/>
                <w:szCs w:val="18"/>
              </w:rPr>
              <w:t>安拆费</w:t>
            </w:r>
          </w:p>
        </w:tc>
        <w:tc>
          <w:tcPr>
            <w:tcW w:w="832" w:type="dxa"/>
            <w:vAlign w:val="top"/>
          </w:tcPr>
          <w:p w14:paraId="6FB29A8C">
            <w:pPr>
              <w:pStyle w:val="11"/>
              <w:spacing w:before="150" w:line="221" w:lineRule="auto"/>
              <w:ind w:left="242"/>
              <w:rPr>
                <w:sz w:val="18"/>
                <w:szCs w:val="18"/>
              </w:rPr>
            </w:pPr>
            <w:r>
              <w:rPr>
                <w:spacing w:val="-3"/>
                <w:sz w:val="18"/>
                <w:szCs w:val="18"/>
              </w:rPr>
              <w:t>小计</w:t>
            </w:r>
          </w:p>
        </w:tc>
        <w:tc>
          <w:tcPr>
            <w:tcW w:w="724" w:type="dxa"/>
            <w:vAlign w:val="top"/>
          </w:tcPr>
          <w:p w14:paraId="19872605">
            <w:pPr>
              <w:pStyle w:val="11"/>
              <w:spacing w:before="150" w:line="222" w:lineRule="auto"/>
              <w:ind w:left="188"/>
              <w:rPr>
                <w:sz w:val="18"/>
                <w:szCs w:val="18"/>
              </w:rPr>
            </w:pPr>
            <w:r>
              <w:rPr>
                <w:spacing w:val="-3"/>
                <w:sz w:val="18"/>
                <w:szCs w:val="18"/>
              </w:rPr>
              <w:t>人工</w:t>
            </w:r>
          </w:p>
        </w:tc>
        <w:tc>
          <w:tcPr>
            <w:tcW w:w="580" w:type="dxa"/>
            <w:vAlign w:val="top"/>
          </w:tcPr>
          <w:p w14:paraId="07C3DA77">
            <w:pPr>
              <w:pStyle w:val="11"/>
              <w:spacing w:before="150" w:line="223" w:lineRule="auto"/>
              <w:ind w:left="116"/>
              <w:rPr>
                <w:sz w:val="18"/>
                <w:szCs w:val="18"/>
              </w:rPr>
            </w:pPr>
            <w:r>
              <w:rPr>
                <w:spacing w:val="-2"/>
                <w:sz w:val="18"/>
                <w:szCs w:val="18"/>
              </w:rPr>
              <w:t>汽油</w:t>
            </w:r>
          </w:p>
        </w:tc>
        <w:tc>
          <w:tcPr>
            <w:tcW w:w="633" w:type="dxa"/>
            <w:vAlign w:val="top"/>
          </w:tcPr>
          <w:p w14:paraId="2BFB1974">
            <w:pPr>
              <w:pStyle w:val="11"/>
              <w:spacing w:before="150" w:line="220" w:lineRule="auto"/>
              <w:ind w:left="143"/>
              <w:rPr>
                <w:sz w:val="18"/>
                <w:szCs w:val="18"/>
              </w:rPr>
            </w:pPr>
            <w:r>
              <w:rPr>
                <w:spacing w:val="-2"/>
                <w:sz w:val="18"/>
                <w:szCs w:val="18"/>
              </w:rPr>
              <w:t>柴油</w:t>
            </w:r>
          </w:p>
        </w:tc>
        <w:tc>
          <w:tcPr>
            <w:tcW w:w="707" w:type="dxa"/>
            <w:vAlign w:val="top"/>
          </w:tcPr>
          <w:p w14:paraId="501D998C">
            <w:pPr>
              <w:pStyle w:val="11"/>
              <w:spacing w:before="150" w:line="225" w:lineRule="auto"/>
              <w:ind w:left="292"/>
              <w:rPr>
                <w:sz w:val="18"/>
                <w:szCs w:val="18"/>
              </w:rPr>
            </w:pPr>
            <w:r>
              <w:rPr>
                <w:sz w:val="18"/>
                <w:szCs w:val="18"/>
              </w:rPr>
              <w:t>电</w:t>
            </w:r>
          </w:p>
        </w:tc>
        <w:tc>
          <w:tcPr>
            <w:tcW w:w="705" w:type="dxa"/>
            <w:vAlign w:val="top"/>
          </w:tcPr>
          <w:p w14:paraId="25695E88">
            <w:pPr>
              <w:pStyle w:val="11"/>
              <w:spacing w:before="150" w:line="220" w:lineRule="auto"/>
              <w:ind w:left="268"/>
              <w:rPr>
                <w:sz w:val="18"/>
                <w:szCs w:val="18"/>
              </w:rPr>
            </w:pPr>
            <w:r>
              <w:rPr>
                <w:sz w:val="18"/>
                <w:szCs w:val="18"/>
              </w:rPr>
              <w:t>风</w:t>
            </w:r>
          </w:p>
        </w:tc>
        <w:tc>
          <w:tcPr>
            <w:tcW w:w="724" w:type="dxa"/>
            <w:vAlign w:val="top"/>
          </w:tcPr>
          <w:p w14:paraId="66AF1BCE">
            <w:pPr>
              <w:pStyle w:val="11"/>
              <w:spacing w:before="150" w:line="220" w:lineRule="auto"/>
              <w:ind w:left="280"/>
              <w:rPr>
                <w:sz w:val="18"/>
                <w:szCs w:val="18"/>
              </w:rPr>
            </w:pPr>
            <w:r>
              <w:rPr>
                <w:sz w:val="18"/>
                <w:szCs w:val="18"/>
              </w:rPr>
              <w:t>水</w:t>
            </w:r>
          </w:p>
        </w:tc>
        <w:tc>
          <w:tcPr>
            <w:tcW w:w="688" w:type="dxa"/>
            <w:vAlign w:val="top"/>
          </w:tcPr>
          <w:p w14:paraId="109A8939">
            <w:pPr>
              <w:pStyle w:val="11"/>
              <w:spacing w:before="150" w:line="220" w:lineRule="auto"/>
              <w:ind w:left="265"/>
              <w:rPr>
                <w:sz w:val="18"/>
                <w:szCs w:val="18"/>
              </w:rPr>
            </w:pPr>
            <w:r>
              <w:rPr>
                <w:sz w:val="18"/>
                <w:szCs w:val="18"/>
              </w:rPr>
              <w:t>煤</w:t>
            </w:r>
          </w:p>
        </w:tc>
        <w:tc>
          <w:tcPr>
            <w:tcW w:w="633" w:type="dxa"/>
            <w:vAlign w:val="top"/>
          </w:tcPr>
          <w:p w14:paraId="58424329">
            <w:pPr>
              <w:pStyle w:val="11"/>
              <w:spacing w:before="150" w:line="221" w:lineRule="auto"/>
              <w:ind w:left="150"/>
              <w:rPr>
                <w:sz w:val="18"/>
                <w:szCs w:val="18"/>
              </w:rPr>
            </w:pPr>
            <w:r>
              <w:rPr>
                <w:spacing w:val="-3"/>
                <w:sz w:val="18"/>
                <w:szCs w:val="18"/>
              </w:rPr>
              <w:t>小计</w:t>
            </w:r>
          </w:p>
        </w:tc>
        <w:tc>
          <w:tcPr>
            <w:tcW w:w="813" w:type="dxa"/>
            <w:vMerge w:val="continue"/>
            <w:tcBorders>
              <w:top w:val="nil"/>
              <w:right w:val="single" w:color="000000" w:sz="6" w:space="0"/>
            </w:tcBorders>
            <w:vAlign w:val="top"/>
          </w:tcPr>
          <w:p w14:paraId="204E9574">
            <w:pPr>
              <w:rPr>
                <w:rFonts w:ascii="Arial"/>
                <w:sz w:val="21"/>
              </w:rPr>
            </w:pPr>
          </w:p>
        </w:tc>
      </w:tr>
      <w:tr w14:paraId="5E8E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753" w:type="dxa"/>
            <w:tcBorders>
              <w:left w:val="single" w:color="000000" w:sz="6" w:space="0"/>
            </w:tcBorders>
            <w:vAlign w:val="top"/>
          </w:tcPr>
          <w:p w14:paraId="6310D9B3">
            <w:pPr>
              <w:pStyle w:val="11"/>
              <w:spacing w:before="55" w:line="232" w:lineRule="auto"/>
              <w:ind w:left="559"/>
              <w:rPr>
                <w:sz w:val="18"/>
                <w:szCs w:val="18"/>
              </w:rPr>
            </w:pPr>
            <w:r>
              <w:rPr>
                <w:sz w:val="18"/>
                <w:szCs w:val="18"/>
              </w:rPr>
              <w:t>1</w:t>
            </w:r>
          </w:p>
        </w:tc>
        <w:tc>
          <w:tcPr>
            <w:tcW w:w="2283" w:type="dxa"/>
            <w:vAlign w:val="top"/>
          </w:tcPr>
          <w:p w14:paraId="174311B7">
            <w:pPr>
              <w:rPr>
                <w:rFonts w:ascii="Arial"/>
                <w:sz w:val="21"/>
              </w:rPr>
            </w:pPr>
          </w:p>
        </w:tc>
        <w:tc>
          <w:tcPr>
            <w:tcW w:w="1285" w:type="dxa"/>
            <w:vAlign w:val="top"/>
          </w:tcPr>
          <w:p w14:paraId="7B843388">
            <w:pPr>
              <w:rPr>
                <w:rFonts w:ascii="Arial"/>
                <w:sz w:val="21"/>
              </w:rPr>
            </w:pPr>
          </w:p>
        </w:tc>
        <w:tc>
          <w:tcPr>
            <w:tcW w:w="851" w:type="dxa"/>
            <w:vAlign w:val="top"/>
          </w:tcPr>
          <w:p w14:paraId="50042EA5">
            <w:pPr>
              <w:rPr>
                <w:rFonts w:ascii="Arial"/>
                <w:sz w:val="21"/>
              </w:rPr>
            </w:pPr>
          </w:p>
        </w:tc>
        <w:tc>
          <w:tcPr>
            <w:tcW w:w="650" w:type="dxa"/>
            <w:vAlign w:val="top"/>
          </w:tcPr>
          <w:p w14:paraId="71398CC9">
            <w:pPr>
              <w:rPr>
                <w:rFonts w:ascii="Arial"/>
                <w:sz w:val="21"/>
              </w:rPr>
            </w:pPr>
          </w:p>
        </w:tc>
        <w:tc>
          <w:tcPr>
            <w:tcW w:w="870" w:type="dxa"/>
            <w:vAlign w:val="top"/>
          </w:tcPr>
          <w:p w14:paraId="4B172B13">
            <w:pPr>
              <w:rPr>
                <w:rFonts w:ascii="Arial"/>
                <w:sz w:val="21"/>
              </w:rPr>
            </w:pPr>
          </w:p>
        </w:tc>
        <w:tc>
          <w:tcPr>
            <w:tcW w:w="832" w:type="dxa"/>
            <w:vAlign w:val="top"/>
          </w:tcPr>
          <w:p w14:paraId="7803C643">
            <w:pPr>
              <w:rPr>
                <w:rFonts w:ascii="Arial"/>
                <w:sz w:val="21"/>
              </w:rPr>
            </w:pPr>
          </w:p>
        </w:tc>
        <w:tc>
          <w:tcPr>
            <w:tcW w:w="724" w:type="dxa"/>
            <w:vAlign w:val="top"/>
          </w:tcPr>
          <w:p w14:paraId="0E6A5200">
            <w:pPr>
              <w:rPr>
                <w:rFonts w:ascii="Arial"/>
                <w:sz w:val="21"/>
              </w:rPr>
            </w:pPr>
          </w:p>
        </w:tc>
        <w:tc>
          <w:tcPr>
            <w:tcW w:w="580" w:type="dxa"/>
            <w:vAlign w:val="top"/>
          </w:tcPr>
          <w:p w14:paraId="48B9A4AD">
            <w:pPr>
              <w:rPr>
                <w:rFonts w:ascii="Arial"/>
                <w:sz w:val="21"/>
              </w:rPr>
            </w:pPr>
          </w:p>
        </w:tc>
        <w:tc>
          <w:tcPr>
            <w:tcW w:w="633" w:type="dxa"/>
            <w:vAlign w:val="top"/>
          </w:tcPr>
          <w:p w14:paraId="4898B743">
            <w:pPr>
              <w:rPr>
                <w:rFonts w:ascii="Arial"/>
                <w:sz w:val="21"/>
              </w:rPr>
            </w:pPr>
          </w:p>
        </w:tc>
        <w:tc>
          <w:tcPr>
            <w:tcW w:w="707" w:type="dxa"/>
            <w:vAlign w:val="top"/>
          </w:tcPr>
          <w:p w14:paraId="1F30BB8C">
            <w:pPr>
              <w:rPr>
                <w:rFonts w:ascii="Arial"/>
                <w:sz w:val="21"/>
              </w:rPr>
            </w:pPr>
          </w:p>
        </w:tc>
        <w:tc>
          <w:tcPr>
            <w:tcW w:w="705" w:type="dxa"/>
            <w:vAlign w:val="top"/>
          </w:tcPr>
          <w:p w14:paraId="38FD0CDE">
            <w:pPr>
              <w:rPr>
                <w:rFonts w:ascii="Arial"/>
                <w:sz w:val="21"/>
              </w:rPr>
            </w:pPr>
          </w:p>
        </w:tc>
        <w:tc>
          <w:tcPr>
            <w:tcW w:w="724" w:type="dxa"/>
            <w:vAlign w:val="top"/>
          </w:tcPr>
          <w:p w14:paraId="5FB2A177">
            <w:pPr>
              <w:rPr>
                <w:rFonts w:ascii="Arial"/>
                <w:sz w:val="21"/>
              </w:rPr>
            </w:pPr>
          </w:p>
        </w:tc>
        <w:tc>
          <w:tcPr>
            <w:tcW w:w="688" w:type="dxa"/>
            <w:vAlign w:val="top"/>
          </w:tcPr>
          <w:p w14:paraId="113736C9">
            <w:pPr>
              <w:rPr>
                <w:rFonts w:ascii="Arial"/>
                <w:sz w:val="21"/>
              </w:rPr>
            </w:pPr>
          </w:p>
        </w:tc>
        <w:tc>
          <w:tcPr>
            <w:tcW w:w="633" w:type="dxa"/>
            <w:vAlign w:val="top"/>
          </w:tcPr>
          <w:p w14:paraId="35DDFB6B">
            <w:pPr>
              <w:rPr>
                <w:rFonts w:ascii="Arial"/>
                <w:sz w:val="21"/>
              </w:rPr>
            </w:pPr>
          </w:p>
        </w:tc>
        <w:tc>
          <w:tcPr>
            <w:tcW w:w="813" w:type="dxa"/>
            <w:tcBorders>
              <w:right w:val="single" w:color="000000" w:sz="6" w:space="0"/>
            </w:tcBorders>
            <w:vAlign w:val="top"/>
          </w:tcPr>
          <w:p w14:paraId="2889126F">
            <w:pPr>
              <w:rPr>
                <w:rFonts w:ascii="Arial"/>
                <w:sz w:val="21"/>
              </w:rPr>
            </w:pPr>
          </w:p>
        </w:tc>
      </w:tr>
      <w:tr w14:paraId="3DDDB7FC">
        <w:tblPrEx>
          <w:tblCellMar>
            <w:top w:w="0" w:type="dxa"/>
            <w:left w:w="0" w:type="dxa"/>
            <w:bottom w:w="0" w:type="dxa"/>
            <w:right w:w="0" w:type="dxa"/>
          </w:tblCellMar>
        </w:tblPrEx>
        <w:trPr>
          <w:trHeight w:val="292" w:hRule="atLeast"/>
        </w:trPr>
        <w:tc>
          <w:tcPr>
            <w:tcW w:w="753" w:type="dxa"/>
            <w:tcBorders>
              <w:left w:val="single" w:color="000000" w:sz="6" w:space="0"/>
            </w:tcBorders>
            <w:vAlign w:val="top"/>
          </w:tcPr>
          <w:p w14:paraId="3DD7C152">
            <w:pPr>
              <w:pStyle w:val="11"/>
              <w:spacing w:before="53" w:line="234" w:lineRule="auto"/>
              <w:ind w:left="548"/>
              <w:rPr>
                <w:sz w:val="18"/>
                <w:szCs w:val="18"/>
              </w:rPr>
            </w:pPr>
            <w:r>
              <w:rPr>
                <w:sz w:val="18"/>
                <w:szCs w:val="18"/>
              </w:rPr>
              <w:t>2</w:t>
            </w:r>
          </w:p>
        </w:tc>
        <w:tc>
          <w:tcPr>
            <w:tcW w:w="2283" w:type="dxa"/>
            <w:vAlign w:val="top"/>
          </w:tcPr>
          <w:p w14:paraId="552D32CA">
            <w:pPr>
              <w:rPr>
                <w:rFonts w:ascii="Arial"/>
                <w:sz w:val="21"/>
              </w:rPr>
            </w:pPr>
          </w:p>
        </w:tc>
        <w:tc>
          <w:tcPr>
            <w:tcW w:w="1285" w:type="dxa"/>
            <w:vAlign w:val="top"/>
          </w:tcPr>
          <w:p w14:paraId="49D4E4D8">
            <w:pPr>
              <w:rPr>
                <w:rFonts w:ascii="Arial"/>
                <w:sz w:val="21"/>
              </w:rPr>
            </w:pPr>
          </w:p>
        </w:tc>
        <w:tc>
          <w:tcPr>
            <w:tcW w:w="851" w:type="dxa"/>
            <w:vAlign w:val="top"/>
          </w:tcPr>
          <w:p w14:paraId="498CDCBE">
            <w:pPr>
              <w:rPr>
                <w:rFonts w:ascii="Arial"/>
                <w:sz w:val="21"/>
              </w:rPr>
            </w:pPr>
          </w:p>
        </w:tc>
        <w:tc>
          <w:tcPr>
            <w:tcW w:w="650" w:type="dxa"/>
            <w:vAlign w:val="top"/>
          </w:tcPr>
          <w:p w14:paraId="120F19AF">
            <w:pPr>
              <w:rPr>
                <w:rFonts w:ascii="Arial"/>
                <w:sz w:val="21"/>
              </w:rPr>
            </w:pPr>
          </w:p>
        </w:tc>
        <w:tc>
          <w:tcPr>
            <w:tcW w:w="870" w:type="dxa"/>
            <w:vAlign w:val="top"/>
          </w:tcPr>
          <w:p w14:paraId="21B30F4F">
            <w:pPr>
              <w:rPr>
                <w:rFonts w:ascii="Arial"/>
                <w:sz w:val="21"/>
              </w:rPr>
            </w:pPr>
          </w:p>
        </w:tc>
        <w:tc>
          <w:tcPr>
            <w:tcW w:w="832" w:type="dxa"/>
            <w:vAlign w:val="top"/>
          </w:tcPr>
          <w:p w14:paraId="5F6D3DDA">
            <w:pPr>
              <w:rPr>
                <w:rFonts w:ascii="Arial"/>
                <w:sz w:val="21"/>
              </w:rPr>
            </w:pPr>
          </w:p>
        </w:tc>
        <w:tc>
          <w:tcPr>
            <w:tcW w:w="724" w:type="dxa"/>
            <w:vAlign w:val="top"/>
          </w:tcPr>
          <w:p w14:paraId="0C3BE90F">
            <w:pPr>
              <w:rPr>
                <w:rFonts w:ascii="Arial"/>
                <w:sz w:val="21"/>
              </w:rPr>
            </w:pPr>
          </w:p>
        </w:tc>
        <w:tc>
          <w:tcPr>
            <w:tcW w:w="580" w:type="dxa"/>
            <w:vAlign w:val="top"/>
          </w:tcPr>
          <w:p w14:paraId="2913C602">
            <w:pPr>
              <w:rPr>
                <w:rFonts w:ascii="Arial"/>
                <w:sz w:val="21"/>
              </w:rPr>
            </w:pPr>
          </w:p>
        </w:tc>
        <w:tc>
          <w:tcPr>
            <w:tcW w:w="633" w:type="dxa"/>
            <w:vAlign w:val="top"/>
          </w:tcPr>
          <w:p w14:paraId="500C8F36">
            <w:pPr>
              <w:rPr>
                <w:rFonts w:ascii="Arial"/>
                <w:sz w:val="21"/>
              </w:rPr>
            </w:pPr>
          </w:p>
        </w:tc>
        <w:tc>
          <w:tcPr>
            <w:tcW w:w="707" w:type="dxa"/>
            <w:vAlign w:val="top"/>
          </w:tcPr>
          <w:p w14:paraId="172DB055">
            <w:pPr>
              <w:rPr>
                <w:rFonts w:ascii="Arial"/>
                <w:sz w:val="21"/>
              </w:rPr>
            </w:pPr>
          </w:p>
        </w:tc>
        <w:tc>
          <w:tcPr>
            <w:tcW w:w="705" w:type="dxa"/>
            <w:vAlign w:val="top"/>
          </w:tcPr>
          <w:p w14:paraId="7E4DE448">
            <w:pPr>
              <w:rPr>
                <w:rFonts w:ascii="Arial"/>
                <w:sz w:val="21"/>
              </w:rPr>
            </w:pPr>
          </w:p>
        </w:tc>
        <w:tc>
          <w:tcPr>
            <w:tcW w:w="724" w:type="dxa"/>
            <w:vAlign w:val="top"/>
          </w:tcPr>
          <w:p w14:paraId="7FAC0DDA">
            <w:pPr>
              <w:rPr>
                <w:rFonts w:ascii="Arial"/>
                <w:sz w:val="21"/>
              </w:rPr>
            </w:pPr>
          </w:p>
        </w:tc>
        <w:tc>
          <w:tcPr>
            <w:tcW w:w="688" w:type="dxa"/>
            <w:vAlign w:val="top"/>
          </w:tcPr>
          <w:p w14:paraId="49A42DE9">
            <w:pPr>
              <w:rPr>
                <w:rFonts w:ascii="Arial"/>
                <w:sz w:val="21"/>
              </w:rPr>
            </w:pPr>
          </w:p>
        </w:tc>
        <w:tc>
          <w:tcPr>
            <w:tcW w:w="633" w:type="dxa"/>
            <w:vAlign w:val="top"/>
          </w:tcPr>
          <w:p w14:paraId="434DC12A">
            <w:pPr>
              <w:rPr>
                <w:rFonts w:ascii="Arial"/>
                <w:sz w:val="21"/>
              </w:rPr>
            </w:pPr>
          </w:p>
        </w:tc>
        <w:tc>
          <w:tcPr>
            <w:tcW w:w="813" w:type="dxa"/>
            <w:tcBorders>
              <w:right w:val="single" w:color="000000" w:sz="6" w:space="0"/>
            </w:tcBorders>
            <w:vAlign w:val="top"/>
          </w:tcPr>
          <w:p w14:paraId="40E5A193">
            <w:pPr>
              <w:rPr>
                <w:rFonts w:ascii="Arial"/>
                <w:sz w:val="21"/>
              </w:rPr>
            </w:pPr>
          </w:p>
        </w:tc>
      </w:tr>
      <w:tr w14:paraId="13C00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753" w:type="dxa"/>
            <w:tcBorders>
              <w:left w:val="single" w:color="000000" w:sz="6" w:space="0"/>
            </w:tcBorders>
            <w:vAlign w:val="top"/>
          </w:tcPr>
          <w:p w14:paraId="707AD1C0">
            <w:pPr>
              <w:pStyle w:val="11"/>
              <w:spacing w:before="166"/>
              <w:ind w:left="549"/>
              <w:rPr>
                <w:sz w:val="18"/>
                <w:szCs w:val="18"/>
              </w:rPr>
            </w:pPr>
            <w:r>
              <w:rPr>
                <w:sz w:val="18"/>
                <w:szCs w:val="18"/>
              </w:rPr>
              <w:t>3</w:t>
            </w:r>
          </w:p>
        </w:tc>
        <w:tc>
          <w:tcPr>
            <w:tcW w:w="2283" w:type="dxa"/>
            <w:vAlign w:val="top"/>
          </w:tcPr>
          <w:p w14:paraId="486287F7">
            <w:pPr>
              <w:rPr>
                <w:rFonts w:ascii="Arial"/>
                <w:sz w:val="21"/>
              </w:rPr>
            </w:pPr>
          </w:p>
        </w:tc>
        <w:tc>
          <w:tcPr>
            <w:tcW w:w="1285" w:type="dxa"/>
            <w:vAlign w:val="top"/>
          </w:tcPr>
          <w:p w14:paraId="31A40DD3">
            <w:pPr>
              <w:rPr>
                <w:rFonts w:ascii="Arial"/>
                <w:sz w:val="21"/>
              </w:rPr>
            </w:pPr>
          </w:p>
        </w:tc>
        <w:tc>
          <w:tcPr>
            <w:tcW w:w="851" w:type="dxa"/>
            <w:vAlign w:val="top"/>
          </w:tcPr>
          <w:p w14:paraId="4681CC34">
            <w:pPr>
              <w:rPr>
                <w:rFonts w:ascii="Arial"/>
                <w:sz w:val="21"/>
              </w:rPr>
            </w:pPr>
          </w:p>
        </w:tc>
        <w:tc>
          <w:tcPr>
            <w:tcW w:w="650" w:type="dxa"/>
            <w:vAlign w:val="top"/>
          </w:tcPr>
          <w:p w14:paraId="3C513CE8">
            <w:pPr>
              <w:rPr>
                <w:rFonts w:ascii="Arial"/>
                <w:sz w:val="21"/>
              </w:rPr>
            </w:pPr>
          </w:p>
        </w:tc>
        <w:tc>
          <w:tcPr>
            <w:tcW w:w="870" w:type="dxa"/>
            <w:vAlign w:val="top"/>
          </w:tcPr>
          <w:p w14:paraId="2DCF4736">
            <w:pPr>
              <w:rPr>
                <w:rFonts w:ascii="Arial"/>
                <w:sz w:val="21"/>
              </w:rPr>
            </w:pPr>
          </w:p>
        </w:tc>
        <w:tc>
          <w:tcPr>
            <w:tcW w:w="832" w:type="dxa"/>
            <w:vAlign w:val="top"/>
          </w:tcPr>
          <w:p w14:paraId="2F721063">
            <w:pPr>
              <w:rPr>
                <w:rFonts w:ascii="Arial"/>
                <w:sz w:val="21"/>
              </w:rPr>
            </w:pPr>
          </w:p>
        </w:tc>
        <w:tc>
          <w:tcPr>
            <w:tcW w:w="724" w:type="dxa"/>
            <w:vAlign w:val="top"/>
          </w:tcPr>
          <w:p w14:paraId="58EC0B3B">
            <w:pPr>
              <w:rPr>
                <w:rFonts w:ascii="Arial"/>
                <w:sz w:val="21"/>
              </w:rPr>
            </w:pPr>
          </w:p>
        </w:tc>
        <w:tc>
          <w:tcPr>
            <w:tcW w:w="580" w:type="dxa"/>
            <w:vAlign w:val="top"/>
          </w:tcPr>
          <w:p w14:paraId="2E9BFD2A">
            <w:pPr>
              <w:rPr>
                <w:rFonts w:ascii="Arial"/>
                <w:sz w:val="21"/>
              </w:rPr>
            </w:pPr>
          </w:p>
        </w:tc>
        <w:tc>
          <w:tcPr>
            <w:tcW w:w="633" w:type="dxa"/>
            <w:vAlign w:val="top"/>
          </w:tcPr>
          <w:p w14:paraId="7FB04DDD">
            <w:pPr>
              <w:rPr>
                <w:rFonts w:ascii="Arial"/>
                <w:sz w:val="21"/>
              </w:rPr>
            </w:pPr>
          </w:p>
        </w:tc>
        <w:tc>
          <w:tcPr>
            <w:tcW w:w="707" w:type="dxa"/>
            <w:vAlign w:val="top"/>
          </w:tcPr>
          <w:p w14:paraId="19A1D4AE">
            <w:pPr>
              <w:rPr>
                <w:rFonts w:ascii="Arial"/>
                <w:sz w:val="21"/>
              </w:rPr>
            </w:pPr>
          </w:p>
        </w:tc>
        <w:tc>
          <w:tcPr>
            <w:tcW w:w="705" w:type="dxa"/>
            <w:vAlign w:val="top"/>
          </w:tcPr>
          <w:p w14:paraId="4C93D5DB">
            <w:pPr>
              <w:rPr>
                <w:rFonts w:ascii="Arial"/>
                <w:sz w:val="21"/>
              </w:rPr>
            </w:pPr>
          </w:p>
        </w:tc>
        <w:tc>
          <w:tcPr>
            <w:tcW w:w="724" w:type="dxa"/>
            <w:vAlign w:val="top"/>
          </w:tcPr>
          <w:p w14:paraId="206C239E">
            <w:pPr>
              <w:rPr>
                <w:rFonts w:ascii="Arial"/>
                <w:sz w:val="21"/>
              </w:rPr>
            </w:pPr>
          </w:p>
        </w:tc>
        <w:tc>
          <w:tcPr>
            <w:tcW w:w="688" w:type="dxa"/>
            <w:vAlign w:val="top"/>
          </w:tcPr>
          <w:p w14:paraId="6C9B702F">
            <w:pPr>
              <w:rPr>
                <w:rFonts w:ascii="Arial"/>
                <w:sz w:val="21"/>
              </w:rPr>
            </w:pPr>
          </w:p>
        </w:tc>
        <w:tc>
          <w:tcPr>
            <w:tcW w:w="633" w:type="dxa"/>
            <w:vAlign w:val="top"/>
          </w:tcPr>
          <w:p w14:paraId="520A5920">
            <w:pPr>
              <w:rPr>
                <w:rFonts w:ascii="Arial"/>
                <w:sz w:val="21"/>
              </w:rPr>
            </w:pPr>
          </w:p>
        </w:tc>
        <w:tc>
          <w:tcPr>
            <w:tcW w:w="813" w:type="dxa"/>
            <w:tcBorders>
              <w:right w:val="single" w:color="000000" w:sz="6" w:space="0"/>
            </w:tcBorders>
            <w:vAlign w:val="top"/>
          </w:tcPr>
          <w:p w14:paraId="3145496C">
            <w:pPr>
              <w:rPr>
                <w:rFonts w:ascii="Arial"/>
                <w:sz w:val="21"/>
              </w:rPr>
            </w:pPr>
          </w:p>
        </w:tc>
      </w:tr>
      <w:tr w14:paraId="62E6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53" w:type="dxa"/>
            <w:tcBorders>
              <w:left w:val="single" w:color="000000" w:sz="6" w:space="0"/>
            </w:tcBorders>
            <w:vAlign w:val="top"/>
          </w:tcPr>
          <w:p w14:paraId="2FB594A7">
            <w:pPr>
              <w:rPr>
                <w:rFonts w:ascii="Arial"/>
                <w:sz w:val="21"/>
              </w:rPr>
            </w:pPr>
          </w:p>
        </w:tc>
        <w:tc>
          <w:tcPr>
            <w:tcW w:w="2283" w:type="dxa"/>
            <w:vAlign w:val="top"/>
          </w:tcPr>
          <w:p w14:paraId="3DFB4347">
            <w:pPr>
              <w:rPr>
                <w:rFonts w:ascii="Arial"/>
                <w:sz w:val="21"/>
              </w:rPr>
            </w:pPr>
          </w:p>
        </w:tc>
        <w:tc>
          <w:tcPr>
            <w:tcW w:w="1285" w:type="dxa"/>
            <w:vAlign w:val="top"/>
          </w:tcPr>
          <w:p w14:paraId="2B3DD415">
            <w:pPr>
              <w:rPr>
                <w:rFonts w:ascii="Arial"/>
                <w:sz w:val="21"/>
              </w:rPr>
            </w:pPr>
          </w:p>
        </w:tc>
        <w:tc>
          <w:tcPr>
            <w:tcW w:w="851" w:type="dxa"/>
            <w:vAlign w:val="top"/>
          </w:tcPr>
          <w:p w14:paraId="3E58DDA3">
            <w:pPr>
              <w:rPr>
                <w:rFonts w:ascii="Arial"/>
                <w:sz w:val="21"/>
              </w:rPr>
            </w:pPr>
          </w:p>
        </w:tc>
        <w:tc>
          <w:tcPr>
            <w:tcW w:w="650" w:type="dxa"/>
            <w:vAlign w:val="top"/>
          </w:tcPr>
          <w:p w14:paraId="1CA0FEBB">
            <w:pPr>
              <w:rPr>
                <w:rFonts w:ascii="Arial"/>
                <w:sz w:val="21"/>
              </w:rPr>
            </w:pPr>
          </w:p>
        </w:tc>
        <w:tc>
          <w:tcPr>
            <w:tcW w:w="870" w:type="dxa"/>
            <w:vAlign w:val="top"/>
          </w:tcPr>
          <w:p w14:paraId="26C5FE32">
            <w:pPr>
              <w:rPr>
                <w:rFonts w:ascii="Arial"/>
                <w:sz w:val="21"/>
              </w:rPr>
            </w:pPr>
          </w:p>
        </w:tc>
        <w:tc>
          <w:tcPr>
            <w:tcW w:w="832" w:type="dxa"/>
            <w:vAlign w:val="top"/>
          </w:tcPr>
          <w:p w14:paraId="54B3E83E">
            <w:pPr>
              <w:rPr>
                <w:rFonts w:ascii="Arial"/>
                <w:sz w:val="21"/>
              </w:rPr>
            </w:pPr>
          </w:p>
        </w:tc>
        <w:tc>
          <w:tcPr>
            <w:tcW w:w="724" w:type="dxa"/>
            <w:vAlign w:val="top"/>
          </w:tcPr>
          <w:p w14:paraId="1E6BB1A1">
            <w:pPr>
              <w:rPr>
                <w:rFonts w:ascii="Arial"/>
                <w:sz w:val="21"/>
              </w:rPr>
            </w:pPr>
          </w:p>
        </w:tc>
        <w:tc>
          <w:tcPr>
            <w:tcW w:w="580" w:type="dxa"/>
            <w:vAlign w:val="top"/>
          </w:tcPr>
          <w:p w14:paraId="22C827D1">
            <w:pPr>
              <w:rPr>
                <w:rFonts w:ascii="Arial"/>
                <w:sz w:val="21"/>
              </w:rPr>
            </w:pPr>
          </w:p>
        </w:tc>
        <w:tc>
          <w:tcPr>
            <w:tcW w:w="633" w:type="dxa"/>
            <w:vAlign w:val="top"/>
          </w:tcPr>
          <w:p w14:paraId="2E36B14A">
            <w:pPr>
              <w:rPr>
                <w:rFonts w:ascii="Arial"/>
                <w:sz w:val="21"/>
              </w:rPr>
            </w:pPr>
          </w:p>
        </w:tc>
        <w:tc>
          <w:tcPr>
            <w:tcW w:w="707" w:type="dxa"/>
            <w:vAlign w:val="top"/>
          </w:tcPr>
          <w:p w14:paraId="02D19AA4">
            <w:pPr>
              <w:rPr>
                <w:rFonts w:ascii="Arial"/>
                <w:sz w:val="21"/>
              </w:rPr>
            </w:pPr>
          </w:p>
        </w:tc>
        <w:tc>
          <w:tcPr>
            <w:tcW w:w="705" w:type="dxa"/>
            <w:vAlign w:val="top"/>
          </w:tcPr>
          <w:p w14:paraId="53FAE8CC">
            <w:pPr>
              <w:rPr>
                <w:rFonts w:ascii="Arial"/>
                <w:sz w:val="21"/>
              </w:rPr>
            </w:pPr>
          </w:p>
        </w:tc>
        <w:tc>
          <w:tcPr>
            <w:tcW w:w="724" w:type="dxa"/>
            <w:vAlign w:val="top"/>
          </w:tcPr>
          <w:p w14:paraId="3479F5CA">
            <w:pPr>
              <w:rPr>
                <w:rFonts w:ascii="Arial"/>
                <w:sz w:val="21"/>
              </w:rPr>
            </w:pPr>
          </w:p>
        </w:tc>
        <w:tc>
          <w:tcPr>
            <w:tcW w:w="688" w:type="dxa"/>
            <w:vAlign w:val="top"/>
          </w:tcPr>
          <w:p w14:paraId="00E0A768">
            <w:pPr>
              <w:rPr>
                <w:rFonts w:ascii="Arial"/>
                <w:sz w:val="21"/>
              </w:rPr>
            </w:pPr>
          </w:p>
        </w:tc>
        <w:tc>
          <w:tcPr>
            <w:tcW w:w="633" w:type="dxa"/>
            <w:vAlign w:val="top"/>
          </w:tcPr>
          <w:p w14:paraId="615B2CD4">
            <w:pPr>
              <w:rPr>
                <w:rFonts w:ascii="Arial"/>
                <w:sz w:val="21"/>
              </w:rPr>
            </w:pPr>
          </w:p>
        </w:tc>
        <w:tc>
          <w:tcPr>
            <w:tcW w:w="813" w:type="dxa"/>
            <w:tcBorders>
              <w:right w:val="single" w:color="000000" w:sz="6" w:space="0"/>
            </w:tcBorders>
            <w:vAlign w:val="top"/>
          </w:tcPr>
          <w:p w14:paraId="3B93FF84">
            <w:pPr>
              <w:rPr>
                <w:rFonts w:ascii="Arial"/>
                <w:sz w:val="21"/>
              </w:rPr>
            </w:pPr>
          </w:p>
        </w:tc>
      </w:tr>
      <w:tr w14:paraId="6121F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3" w:type="dxa"/>
            <w:tcBorders>
              <w:left w:val="single" w:color="000000" w:sz="6" w:space="0"/>
            </w:tcBorders>
            <w:vAlign w:val="top"/>
          </w:tcPr>
          <w:p w14:paraId="4ADF570C">
            <w:pPr>
              <w:rPr>
                <w:rFonts w:ascii="Arial"/>
                <w:sz w:val="21"/>
              </w:rPr>
            </w:pPr>
          </w:p>
        </w:tc>
        <w:tc>
          <w:tcPr>
            <w:tcW w:w="2283" w:type="dxa"/>
            <w:vAlign w:val="top"/>
          </w:tcPr>
          <w:p w14:paraId="6FA5F000">
            <w:pPr>
              <w:rPr>
                <w:rFonts w:ascii="Arial"/>
                <w:sz w:val="21"/>
              </w:rPr>
            </w:pPr>
          </w:p>
        </w:tc>
        <w:tc>
          <w:tcPr>
            <w:tcW w:w="1285" w:type="dxa"/>
            <w:vAlign w:val="top"/>
          </w:tcPr>
          <w:p w14:paraId="3D0ECFB1">
            <w:pPr>
              <w:rPr>
                <w:rFonts w:ascii="Arial"/>
                <w:sz w:val="21"/>
              </w:rPr>
            </w:pPr>
          </w:p>
        </w:tc>
        <w:tc>
          <w:tcPr>
            <w:tcW w:w="851" w:type="dxa"/>
            <w:vAlign w:val="top"/>
          </w:tcPr>
          <w:p w14:paraId="298C5680">
            <w:pPr>
              <w:rPr>
                <w:rFonts w:ascii="Arial"/>
                <w:sz w:val="21"/>
              </w:rPr>
            </w:pPr>
          </w:p>
        </w:tc>
        <w:tc>
          <w:tcPr>
            <w:tcW w:w="650" w:type="dxa"/>
            <w:vAlign w:val="top"/>
          </w:tcPr>
          <w:p w14:paraId="40BB1924">
            <w:pPr>
              <w:rPr>
                <w:rFonts w:ascii="Arial"/>
                <w:sz w:val="21"/>
              </w:rPr>
            </w:pPr>
          </w:p>
        </w:tc>
        <w:tc>
          <w:tcPr>
            <w:tcW w:w="870" w:type="dxa"/>
            <w:vAlign w:val="top"/>
          </w:tcPr>
          <w:p w14:paraId="0ED5F6E0">
            <w:pPr>
              <w:rPr>
                <w:rFonts w:ascii="Arial"/>
                <w:sz w:val="21"/>
              </w:rPr>
            </w:pPr>
          </w:p>
        </w:tc>
        <w:tc>
          <w:tcPr>
            <w:tcW w:w="832" w:type="dxa"/>
            <w:vAlign w:val="top"/>
          </w:tcPr>
          <w:p w14:paraId="3775B8FE">
            <w:pPr>
              <w:rPr>
                <w:rFonts w:ascii="Arial"/>
                <w:sz w:val="21"/>
              </w:rPr>
            </w:pPr>
          </w:p>
        </w:tc>
        <w:tc>
          <w:tcPr>
            <w:tcW w:w="724" w:type="dxa"/>
            <w:vAlign w:val="top"/>
          </w:tcPr>
          <w:p w14:paraId="4578D5EE">
            <w:pPr>
              <w:rPr>
                <w:rFonts w:ascii="Arial"/>
                <w:sz w:val="21"/>
              </w:rPr>
            </w:pPr>
          </w:p>
        </w:tc>
        <w:tc>
          <w:tcPr>
            <w:tcW w:w="580" w:type="dxa"/>
            <w:vAlign w:val="top"/>
          </w:tcPr>
          <w:p w14:paraId="12CD0B19">
            <w:pPr>
              <w:rPr>
                <w:rFonts w:ascii="Arial"/>
                <w:sz w:val="21"/>
              </w:rPr>
            </w:pPr>
          </w:p>
        </w:tc>
        <w:tc>
          <w:tcPr>
            <w:tcW w:w="633" w:type="dxa"/>
            <w:vAlign w:val="top"/>
          </w:tcPr>
          <w:p w14:paraId="728E8C71">
            <w:pPr>
              <w:rPr>
                <w:rFonts w:ascii="Arial"/>
                <w:sz w:val="21"/>
              </w:rPr>
            </w:pPr>
          </w:p>
        </w:tc>
        <w:tc>
          <w:tcPr>
            <w:tcW w:w="707" w:type="dxa"/>
            <w:vAlign w:val="top"/>
          </w:tcPr>
          <w:p w14:paraId="4B7F580E">
            <w:pPr>
              <w:rPr>
                <w:rFonts w:ascii="Arial"/>
                <w:sz w:val="21"/>
              </w:rPr>
            </w:pPr>
          </w:p>
        </w:tc>
        <w:tc>
          <w:tcPr>
            <w:tcW w:w="705" w:type="dxa"/>
            <w:vAlign w:val="top"/>
          </w:tcPr>
          <w:p w14:paraId="39FCC8AF">
            <w:pPr>
              <w:rPr>
                <w:rFonts w:ascii="Arial"/>
                <w:sz w:val="21"/>
              </w:rPr>
            </w:pPr>
          </w:p>
        </w:tc>
        <w:tc>
          <w:tcPr>
            <w:tcW w:w="724" w:type="dxa"/>
            <w:vAlign w:val="top"/>
          </w:tcPr>
          <w:p w14:paraId="441C8521">
            <w:pPr>
              <w:rPr>
                <w:rFonts w:ascii="Arial"/>
                <w:sz w:val="21"/>
              </w:rPr>
            </w:pPr>
          </w:p>
        </w:tc>
        <w:tc>
          <w:tcPr>
            <w:tcW w:w="688" w:type="dxa"/>
            <w:vAlign w:val="top"/>
          </w:tcPr>
          <w:p w14:paraId="19081F2C">
            <w:pPr>
              <w:rPr>
                <w:rFonts w:ascii="Arial"/>
                <w:sz w:val="21"/>
              </w:rPr>
            </w:pPr>
          </w:p>
        </w:tc>
        <w:tc>
          <w:tcPr>
            <w:tcW w:w="633" w:type="dxa"/>
            <w:vAlign w:val="top"/>
          </w:tcPr>
          <w:p w14:paraId="187CA26C">
            <w:pPr>
              <w:rPr>
                <w:rFonts w:ascii="Arial"/>
                <w:sz w:val="21"/>
              </w:rPr>
            </w:pPr>
          </w:p>
        </w:tc>
        <w:tc>
          <w:tcPr>
            <w:tcW w:w="813" w:type="dxa"/>
            <w:tcBorders>
              <w:right w:val="single" w:color="000000" w:sz="6" w:space="0"/>
            </w:tcBorders>
            <w:vAlign w:val="top"/>
          </w:tcPr>
          <w:p w14:paraId="15175168">
            <w:pPr>
              <w:rPr>
                <w:rFonts w:ascii="Arial"/>
                <w:sz w:val="21"/>
              </w:rPr>
            </w:pPr>
          </w:p>
        </w:tc>
      </w:tr>
      <w:tr w14:paraId="4085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53" w:type="dxa"/>
            <w:tcBorders>
              <w:left w:val="single" w:color="000000" w:sz="6" w:space="0"/>
            </w:tcBorders>
            <w:vAlign w:val="top"/>
          </w:tcPr>
          <w:p w14:paraId="1CCDC2B0">
            <w:pPr>
              <w:rPr>
                <w:rFonts w:ascii="Arial"/>
                <w:sz w:val="21"/>
              </w:rPr>
            </w:pPr>
          </w:p>
        </w:tc>
        <w:tc>
          <w:tcPr>
            <w:tcW w:w="2283" w:type="dxa"/>
            <w:vAlign w:val="top"/>
          </w:tcPr>
          <w:p w14:paraId="489FF59F">
            <w:pPr>
              <w:rPr>
                <w:rFonts w:ascii="Arial"/>
                <w:sz w:val="21"/>
              </w:rPr>
            </w:pPr>
          </w:p>
        </w:tc>
        <w:tc>
          <w:tcPr>
            <w:tcW w:w="1285" w:type="dxa"/>
            <w:vAlign w:val="top"/>
          </w:tcPr>
          <w:p w14:paraId="17EE8EB3">
            <w:pPr>
              <w:rPr>
                <w:rFonts w:ascii="Arial"/>
                <w:sz w:val="21"/>
              </w:rPr>
            </w:pPr>
          </w:p>
        </w:tc>
        <w:tc>
          <w:tcPr>
            <w:tcW w:w="851" w:type="dxa"/>
            <w:vAlign w:val="top"/>
          </w:tcPr>
          <w:p w14:paraId="1D4B14C3">
            <w:pPr>
              <w:rPr>
                <w:rFonts w:ascii="Arial"/>
                <w:sz w:val="21"/>
              </w:rPr>
            </w:pPr>
          </w:p>
        </w:tc>
        <w:tc>
          <w:tcPr>
            <w:tcW w:w="650" w:type="dxa"/>
            <w:vAlign w:val="top"/>
          </w:tcPr>
          <w:p w14:paraId="6B8E5966">
            <w:pPr>
              <w:rPr>
                <w:rFonts w:ascii="Arial"/>
                <w:sz w:val="21"/>
              </w:rPr>
            </w:pPr>
          </w:p>
        </w:tc>
        <w:tc>
          <w:tcPr>
            <w:tcW w:w="870" w:type="dxa"/>
            <w:vAlign w:val="top"/>
          </w:tcPr>
          <w:p w14:paraId="69693A64">
            <w:pPr>
              <w:rPr>
                <w:rFonts w:ascii="Arial"/>
                <w:sz w:val="21"/>
              </w:rPr>
            </w:pPr>
          </w:p>
        </w:tc>
        <w:tc>
          <w:tcPr>
            <w:tcW w:w="832" w:type="dxa"/>
            <w:vAlign w:val="top"/>
          </w:tcPr>
          <w:p w14:paraId="1226523D">
            <w:pPr>
              <w:rPr>
                <w:rFonts w:ascii="Arial"/>
                <w:sz w:val="21"/>
              </w:rPr>
            </w:pPr>
          </w:p>
        </w:tc>
        <w:tc>
          <w:tcPr>
            <w:tcW w:w="724" w:type="dxa"/>
            <w:vAlign w:val="top"/>
          </w:tcPr>
          <w:p w14:paraId="61648F9C">
            <w:pPr>
              <w:rPr>
                <w:rFonts w:ascii="Arial"/>
                <w:sz w:val="21"/>
              </w:rPr>
            </w:pPr>
          </w:p>
        </w:tc>
        <w:tc>
          <w:tcPr>
            <w:tcW w:w="580" w:type="dxa"/>
            <w:vAlign w:val="top"/>
          </w:tcPr>
          <w:p w14:paraId="3407533B">
            <w:pPr>
              <w:rPr>
                <w:rFonts w:ascii="Arial"/>
                <w:sz w:val="21"/>
              </w:rPr>
            </w:pPr>
          </w:p>
        </w:tc>
        <w:tc>
          <w:tcPr>
            <w:tcW w:w="633" w:type="dxa"/>
            <w:vAlign w:val="top"/>
          </w:tcPr>
          <w:p w14:paraId="31B3A51B">
            <w:pPr>
              <w:rPr>
                <w:rFonts w:ascii="Arial"/>
                <w:sz w:val="21"/>
              </w:rPr>
            </w:pPr>
          </w:p>
        </w:tc>
        <w:tc>
          <w:tcPr>
            <w:tcW w:w="707" w:type="dxa"/>
            <w:vAlign w:val="top"/>
          </w:tcPr>
          <w:p w14:paraId="5F6372BB">
            <w:pPr>
              <w:rPr>
                <w:rFonts w:ascii="Arial"/>
                <w:sz w:val="21"/>
              </w:rPr>
            </w:pPr>
          </w:p>
        </w:tc>
        <w:tc>
          <w:tcPr>
            <w:tcW w:w="705" w:type="dxa"/>
            <w:vAlign w:val="top"/>
          </w:tcPr>
          <w:p w14:paraId="12185DD9">
            <w:pPr>
              <w:rPr>
                <w:rFonts w:ascii="Arial"/>
                <w:sz w:val="21"/>
              </w:rPr>
            </w:pPr>
          </w:p>
        </w:tc>
        <w:tc>
          <w:tcPr>
            <w:tcW w:w="724" w:type="dxa"/>
            <w:vAlign w:val="top"/>
          </w:tcPr>
          <w:p w14:paraId="226B62F2">
            <w:pPr>
              <w:rPr>
                <w:rFonts w:ascii="Arial"/>
                <w:sz w:val="21"/>
              </w:rPr>
            </w:pPr>
          </w:p>
        </w:tc>
        <w:tc>
          <w:tcPr>
            <w:tcW w:w="688" w:type="dxa"/>
            <w:vAlign w:val="top"/>
          </w:tcPr>
          <w:p w14:paraId="09AE370D">
            <w:pPr>
              <w:rPr>
                <w:rFonts w:ascii="Arial"/>
                <w:sz w:val="21"/>
              </w:rPr>
            </w:pPr>
          </w:p>
        </w:tc>
        <w:tc>
          <w:tcPr>
            <w:tcW w:w="633" w:type="dxa"/>
            <w:vAlign w:val="top"/>
          </w:tcPr>
          <w:p w14:paraId="41EA57E0">
            <w:pPr>
              <w:rPr>
                <w:rFonts w:ascii="Arial"/>
                <w:sz w:val="21"/>
              </w:rPr>
            </w:pPr>
          </w:p>
        </w:tc>
        <w:tc>
          <w:tcPr>
            <w:tcW w:w="813" w:type="dxa"/>
            <w:tcBorders>
              <w:right w:val="single" w:color="000000" w:sz="6" w:space="0"/>
            </w:tcBorders>
            <w:vAlign w:val="top"/>
          </w:tcPr>
          <w:p w14:paraId="1412625A">
            <w:pPr>
              <w:rPr>
                <w:rFonts w:ascii="Arial"/>
                <w:sz w:val="21"/>
              </w:rPr>
            </w:pPr>
          </w:p>
        </w:tc>
      </w:tr>
      <w:tr w14:paraId="7701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53" w:type="dxa"/>
            <w:tcBorders>
              <w:left w:val="single" w:color="000000" w:sz="6" w:space="0"/>
            </w:tcBorders>
            <w:vAlign w:val="top"/>
          </w:tcPr>
          <w:p w14:paraId="11823F3B">
            <w:pPr>
              <w:rPr>
                <w:rFonts w:ascii="Arial"/>
                <w:sz w:val="21"/>
              </w:rPr>
            </w:pPr>
          </w:p>
        </w:tc>
        <w:tc>
          <w:tcPr>
            <w:tcW w:w="2283" w:type="dxa"/>
            <w:vAlign w:val="top"/>
          </w:tcPr>
          <w:p w14:paraId="6EB96785">
            <w:pPr>
              <w:rPr>
                <w:rFonts w:ascii="Arial"/>
                <w:sz w:val="21"/>
              </w:rPr>
            </w:pPr>
          </w:p>
        </w:tc>
        <w:tc>
          <w:tcPr>
            <w:tcW w:w="1285" w:type="dxa"/>
            <w:vAlign w:val="top"/>
          </w:tcPr>
          <w:p w14:paraId="51C3B69C">
            <w:pPr>
              <w:rPr>
                <w:rFonts w:ascii="Arial"/>
                <w:sz w:val="21"/>
              </w:rPr>
            </w:pPr>
          </w:p>
        </w:tc>
        <w:tc>
          <w:tcPr>
            <w:tcW w:w="851" w:type="dxa"/>
            <w:vAlign w:val="top"/>
          </w:tcPr>
          <w:p w14:paraId="74FE0C15">
            <w:pPr>
              <w:rPr>
                <w:rFonts w:ascii="Arial"/>
                <w:sz w:val="21"/>
              </w:rPr>
            </w:pPr>
          </w:p>
        </w:tc>
        <w:tc>
          <w:tcPr>
            <w:tcW w:w="650" w:type="dxa"/>
            <w:vAlign w:val="top"/>
          </w:tcPr>
          <w:p w14:paraId="21B7D304">
            <w:pPr>
              <w:rPr>
                <w:rFonts w:ascii="Arial"/>
                <w:sz w:val="21"/>
              </w:rPr>
            </w:pPr>
          </w:p>
        </w:tc>
        <w:tc>
          <w:tcPr>
            <w:tcW w:w="870" w:type="dxa"/>
            <w:vAlign w:val="top"/>
          </w:tcPr>
          <w:p w14:paraId="06717AD2">
            <w:pPr>
              <w:rPr>
                <w:rFonts w:ascii="Arial"/>
                <w:sz w:val="21"/>
              </w:rPr>
            </w:pPr>
          </w:p>
        </w:tc>
        <w:tc>
          <w:tcPr>
            <w:tcW w:w="832" w:type="dxa"/>
            <w:vAlign w:val="top"/>
          </w:tcPr>
          <w:p w14:paraId="1B5E5CA0">
            <w:pPr>
              <w:rPr>
                <w:rFonts w:ascii="Arial"/>
                <w:sz w:val="21"/>
              </w:rPr>
            </w:pPr>
          </w:p>
        </w:tc>
        <w:tc>
          <w:tcPr>
            <w:tcW w:w="724" w:type="dxa"/>
            <w:vAlign w:val="top"/>
          </w:tcPr>
          <w:p w14:paraId="432E0BAE">
            <w:pPr>
              <w:rPr>
                <w:rFonts w:ascii="Arial"/>
                <w:sz w:val="21"/>
              </w:rPr>
            </w:pPr>
          </w:p>
        </w:tc>
        <w:tc>
          <w:tcPr>
            <w:tcW w:w="580" w:type="dxa"/>
            <w:vAlign w:val="top"/>
          </w:tcPr>
          <w:p w14:paraId="69638497">
            <w:pPr>
              <w:rPr>
                <w:rFonts w:ascii="Arial"/>
                <w:sz w:val="21"/>
              </w:rPr>
            </w:pPr>
          </w:p>
        </w:tc>
        <w:tc>
          <w:tcPr>
            <w:tcW w:w="633" w:type="dxa"/>
            <w:vAlign w:val="top"/>
          </w:tcPr>
          <w:p w14:paraId="654BD428">
            <w:pPr>
              <w:rPr>
                <w:rFonts w:ascii="Arial"/>
                <w:sz w:val="21"/>
              </w:rPr>
            </w:pPr>
          </w:p>
        </w:tc>
        <w:tc>
          <w:tcPr>
            <w:tcW w:w="707" w:type="dxa"/>
            <w:vAlign w:val="top"/>
          </w:tcPr>
          <w:p w14:paraId="2A683330">
            <w:pPr>
              <w:rPr>
                <w:rFonts w:ascii="Arial"/>
                <w:sz w:val="21"/>
              </w:rPr>
            </w:pPr>
          </w:p>
        </w:tc>
        <w:tc>
          <w:tcPr>
            <w:tcW w:w="705" w:type="dxa"/>
            <w:vAlign w:val="top"/>
          </w:tcPr>
          <w:p w14:paraId="0661BE3F">
            <w:pPr>
              <w:rPr>
                <w:rFonts w:ascii="Arial"/>
                <w:sz w:val="21"/>
              </w:rPr>
            </w:pPr>
          </w:p>
        </w:tc>
        <w:tc>
          <w:tcPr>
            <w:tcW w:w="724" w:type="dxa"/>
            <w:vAlign w:val="top"/>
          </w:tcPr>
          <w:p w14:paraId="587AEAD1">
            <w:pPr>
              <w:rPr>
                <w:rFonts w:ascii="Arial"/>
                <w:sz w:val="21"/>
              </w:rPr>
            </w:pPr>
          </w:p>
        </w:tc>
        <w:tc>
          <w:tcPr>
            <w:tcW w:w="688" w:type="dxa"/>
            <w:vAlign w:val="top"/>
          </w:tcPr>
          <w:p w14:paraId="5C838FA0">
            <w:pPr>
              <w:rPr>
                <w:rFonts w:ascii="Arial"/>
                <w:sz w:val="21"/>
              </w:rPr>
            </w:pPr>
          </w:p>
        </w:tc>
        <w:tc>
          <w:tcPr>
            <w:tcW w:w="633" w:type="dxa"/>
            <w:vAlign w:val="top"/>
          </w:tcPr>
          <w:p w14:paraId="59F7979D">
            <w:pPr>
              <w:rPr>
                <w:rFonts w:ascii="Arial"/>
                <w:sz w:val="21"/>
              </w:rPr>
            </w:pPr>
          </w:p>
        </w:tc>
        <w:tc>
          <w:tcPr>
            <w:tcW w:w="813" w:type="dxa"/>
            <w:tcBorders>
              <w:right w:val="single" w:color="000000" w:sz="6" w:space="0"/>
            </w:tcBorders>
            <w:vAlign w:val="top"/>
          </w:tcPr>
          <w:p w14:paraId="1DAEED42">
            <w:pPr>
              <w:rPr>
                <w:rFonts w:ascii="Arial"/>
                <w:sz w:val="21"/>
              </w:rPr>
            </w:pPr>
          </w:p>
        </w:tc>
      </w:tr>
      <w:tr w14:paraId="53A7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53" w:type="dxa"/>
            <w:tcBorders>
              <w:left w:val="single" w:color="000000" w:sz="6" w:space="0"/>
            </w:tcBorders>
            <w:vAlign w:val="top"/>
          </w:tcPr>
          <w:p w14:paraId="17DC8210">
            <w:pPr>
              <w:rPr>
                <w:rFonts w:ascii="Arial"/>
                <w:sz w:val="21"/>
              </w:rPr>
            </w:pPr>
          </w:p>
        </w:tc>
        <w:tc>
          <w:tcPr>
            <w:tcW w:w="2283" w:type="dxa"/>
            <w:vAlign w:val="top"/>
          </w:tcPr>
          <w:p w14:paraId="6027745A">
            <w:pPr>
              <w:rPr>
                <w:rFonts w:ascii="Arial"/>
                <w:sz w:val="21"/>
              </w:rPr>
            </w:pPr>
          </w:p>
        </w:tc>
        <w:tc>
          <w:tcPr>
            <w:tcW w:w="1285" w:type="dxa"/>
            <w:vAlign w:val="top"/>
          </w:tcPr>
          <w:p w14:paraId="3A4AC8EA">
            <w:pPr>
              <w:rPr>
                <w:rFonts w:ascii="Arial"/>
                <w:sz w:val="21"/>
              </w:rPr>
            </w:pPr>
          </w:p>
        </w:tc>
        <w:tc>
          <w:tcPr>
            <w:tcW w:w="851" w:type="dxa"/>
            <w:vAlign w:val="top"/>
          </w:tcPr>
          <w:p w14:paraId="0DA6951A">
            <w:pPr>
              <w:rPr>
                <w:rFonts w:ascii="Arial"/>
                <w:sz w:val="21"/>
              </w:rPr>
            </w:pPr>
          </w:p>
        </w:tc>
        <w:tc>
          <w:tcPr>
            <w:tcW w:w="650" w:type="dxa"/>
            <w:vAlign w:val="top"/>
          </w:tcPr>
          <w:p w14:paraId="40613EAF">
            <w:pPr>
              <w:rPr>
                <w:rFonts w:ascii="Arial"/>
                <w:sz w:val="21"/>
              </w:rPr>
            </w:pPr>
          </w:p>
        </w:tc>
        <w:tc>
          <w:tcPr>
            <w:tcW w:w="870" w:type="dxa"/>
            <w:vAlign w:val="top"/>
          </w:tcPr>
          <w:p w14:paraId="3C48B2C1">
            <w:pPr>
              <w:rPr>
                <w:rFonts w:ascii="Arial"/>
                <w:sz w:val="21"/>
              </w:rPr>
            </w:pPr>
          </w:p>
        </w:tc>
        <w:tc>
          <w:tcPr>
            <w:tcW w:w="832" w:type="dxa"/>
            <w:vAlign w:val="top"/>
          </w:tcPr>
          <w:p w14:paraId="2B629D0E">
            <w:pPr>
              <w:rPr>
                <w:rFonts w:ascii="Arial"/>
                <w:sz w:val="21"/>
              </w:rPr>
            </w:pPr>
          </w:p>
        </w:tc>
        <w:tc>
          <w:tcPr>
            <w:tcW w:w="724" w:type="dxa"/>
            <w:vAlign w:val="top"/>
          </w:tcPr>
          <w:p w14:paraId="2F64333D">
            <w:pPr>
              <w:rPr>
                <w:rFonts w:ascii="Arial"/>
                <w:sz w:val="21"/>
              </w:rPr>
            </w:pPr>
          </w:p>
        </w:tc>
        <w:tc>
          <w:tcPr>
            <w:tcW w:w="580" w:type="dxa"/>
            <w:vAlign w:val="top"/>
          </w:tcPr>
          <w:p w14:paraId="023CB3E3">
            <w:pPr>
              <w:rPr>
                <w:rFonts w:ascii="Arial"/>
                <w:sz w:val="21"/>
              </w:rPr>
            </w:pPr>
          </w:p>
        </w:tc>
        <w:tc>
          <w:tcPr>
            <w:tcW w:w="633" w:type="dxa"/>
            <w:vAlign w:val="top"/>
          </w:tcPr>
          <w:p w14:paraId="5FA20C16">
            <w:pPr>
              <w:rPr>
                <w:rFonts w:ascii="Arial"/>
                <w:sz w:val="21"/>
              </w:rPr>
            </w:pPr>
          </w:p>
        </w:tc>
        <w:tc>
          <w:tcPr>
            <w:tcW w:w="707" w:type="dxa"/>
            <w:vAlign w:val="top"/>
          </w:tcPr>
          <w:p w14:paraId="065142CA">
            <w:pPr>
              <w:rPr>
                <w:rFonts w:ascii="Arial"/>
                <w:sz w:val="21"/>
              </w:rPr>
            </w:pPr>
          </w:p>
        </w:tc>
        <w:tc>
          <w:tcPr>
            <w:tcW w:w="705" w:type="dxa"/>
            <w:vAlign w:val="top"/>
          </w:tcPr>
          <w:p w14:paraId="1EB17E75">
            <w:pPr>
              <w:rPr>
                <w:rFonts w:ascii="Arial"/>
                <w:sz w:val="21"/>
              </w:rPr>
            </w:pPr>
          </w:p>
        </w:tc>
        <w:tc>
          <w:tcPr>
            <w:tcW w:w="724" w:type="dxa"/>
            <w:vAlign w:val="top"/>
          </w:tcPr>
          <w:p w14:paraId="58B7E890">
            <w:pPr>
              <w:rPr>
                <w:rFonts w:ascii="Arial"/>
                <w:sz w:val="21"/>
              </w:rPr>
            </w:pPr>
          </w:p>
        </w:tc>
        <w:tc>
          <w:tcPr>
            <w:tcW w:w="688" w:type="dxa"/>
            <w:vAlign w:val="top"/>
          </w:tcPr>
          <w:p w14:paraId="0C19B29B">
            <w:pPr>
              <w:rPr>
                <w:rFonts w:ascii="Arial"/>
                <w:sz w:val="21"/>
              </w:rPr>
            </w:pPr>
          </w:p>
        </w:tc>
        <w:tc>
          <w:tcPr>
            <w:tcW w:w="633" w:type="dxa"/>
            <w:vAlign w:val="top"/>
          </w:tcPr>
          <w:p w14:paraId="422B1F0F">
            <w:pPr>
              <w:rPr>
                <w:rFonts w:ascii="Arial"/>
                <w:sz w:val="21"/>
              </w:rPr>
            </w:pPr>
          </w:p>
        </w:tc>
        <w:tc>
          <w:tcPr>
            <w:tcW w:w="813" w:type="dxa"/>
            <w:tcBorders>
              <w:right w:val="single" w:color="000000" w:sz="6" w:space="0"/>
            </w:tcBorders>
            <w:vAlign w:val="top"/>
          </w:tcPr>
          <w:p w14:paraId="2725DD42">
            <w:pPr>
              <w:rPr>
                <w:rFonts w:ascii="Arial"/>
                <w:sz w:val="21"/>
              </w:rPr>
            </w:pPr>
          </w:p>
        </w:tc>
      </w:tr>
      <w:tr w14:paraId="7EFB9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753" w:type="dxa"/>
            <w:tcBorders>
              <w:left w:val="single" w:color="000000" w:sz="6" w:space="0"/>
            </w:tcBorders>
            <w:vAlign w:val="top"/>
          </w:tcPr>
          <w:p w14:paraId="7B888018">
            <w:pPr>
              <w:rPr>
                <w:rFonts w:ascii="Arial"/>
                <w:sz w:val="21"/>
              </w:rPr>
            </w:pPr>
          </w:p>
        </w:tc>
        <w:tc>
          <w:tcPr>
            <w:tcW w:w="2283" w:type="dxa"/>
            <w:vAlign w:val="top"/>
          </w:tcPr>
          <w:p w14:paraId="08D4E12C">
            <w:pPr>
              <w:rPr>
                <w:rFonts w:ascii="Arial"/>
                <w:sz w:val="21"/>
              </w:rPr>
            </w:pPr>
          </w:p>
        </w:tc>
        <w:tc>
          <w:tcPr>
            <w:tcW w:w="1285" w:type="dxa"/>
            <w:vAlign w:val="top"/>
          </w:tcPr>
          <w:p w14:paraId="73CCEACF">
            <w:pPr>
              <w:rPr>
                <w:rFonts w:ascii="Arial"/>
                <w:sz w:val="21"/>
              </w:rPr>
            </w:pPr>
          </w:p>
        </w:tc>
        <w:tc>
          <w:tcPr>
            <w:tcW w:w="851" w:type="dxa"/>
            <w:vAlign w:val="top"/>
          </w:tcPr>
          <w:p w14:paraId="68BAD429">
            <w:pPr>
              <w:rPr>
                <w:rFonts w:ascii="Arial"/>
                <w:sz w:val="21"/>
              </w:rPr>
            </w:pPr>
          </w:p>
        </w:tc>
        <w:tc>
          <w:tcPr>
            <w:tcW w:w="650" w:type="dxa"/>
            <w:vAlign w:val="top"/>
          </w:tcPr>
          <w:p w14:paraId="3CE00A4A">
            <w:pPr>
              <w:rPr>
                <w:rFonts w:ascii="Arial"/>
                <w:sz w:val="21"/>
              </w:rPr>
            </w:pPr>
          </w:p>
        </w:tc>
        <w:tc>
          <w:tcPr>
            <w:tcW w:w="870" w:type="dxa"/>
            <w:vAlign w:val="top"/>
          </w:tcPr>
          <w:p w14:paraId="596FB281">
            <w:pPr>
              <w:rPr>
                <w:rFonts w:ascii="Arial"/>
                <w:sz w:val="21"/>
              </w:rPr>
            </w:pPr>
          </w:p>
        </w:tc>
        <w:tc>
          <w:tcPr>
            <w:tcW w:w="832" w:type="dxa"/>
            <w:vAlign w:val="top"/>
          </w:tcPr>
          <w:p w14:paraId="6C0C92AF">
            <w:pPr>
              <w:rPr>
                <w:rFonts w:ascii="Arial"/>
                <w:sz w:val="21"/>
              </w:rPr>
            </w:pPr>
          </w:p>
        </w:tc>
        <w:tc>
          <w:tcPr>
            <w:tcW w:w="724" w:type="dxa"/>
            <w:vAlign w:val="top"/>
          </w:tcPr>
          <w:p w14:paraId="6C32B8F6">
            <w:pPr>
              <w:rPr>
                <w:rFonts w:ascii="Arial"/>
                <w:sz w:val="21"/>
              </w:rPr>
            </w:pPr>
          </w:p>
        </w:tc>
        <w:tc>
          <w:tcPr>
            <w:tcW w:w="580" w:type="dxa"/>
            <w:vAlign w:val="top"/>
          </w:tcPr>
          <w:p w14:paraId="28364845">
            <w:pPr>
              <w:rPr>
                <w:rFonts w:ascii="Arial"/>
                <w:sz w:val="21"/>
              </w:rPr>
            </w:pPr>
          </w:p>
        </w:tc>
        <w:tc>
          <w:tcPr>
            <w:tcW w:w="633" w:type="dxa"/>
            <w:vAlign w:val="top"/>
          </w:tcPr>
          <w:p w14:paraId="521A29C9">
            <w:pPr>
              <w:rPr>
                <w:rFonts w:ascii="Arial"/>
                <w:sz w:val="21"/>
              </w:rPr>
            </w:pPr>
          </w:p>
        </w:tc>
        <w:tc>
          <w:tcPr>
            <w:tcW w:w="707" w:type="dxa"/>
            <w:vAlign w:val="top"/>
          </w:tcPr>
          <w:p w14:paraId="3EC503AD">
            <w:pPr>
              <w:rPr>
                <w:rFonts w:ascii="Arial"/>
                <w:sz w:val="21"/>
              </w:rPr>
            </w:pPr>
          </w:p>
        </w:tc>
        <w:tc>
          <w:tcPr>
            <w:tcW w:w="705" w:type="dxa"/>
            <w:vAlign w:val="top"/>
          </w:tcPr>
          <w:p w14:paraId="588B25F2">
            <w:pPr>
              <w:rPr>
                <w:rFonts w:ascii="Arial"/>
                <w:sz w:val="21"/>
              </w:rPr>
            </w:pPr>
          </w:p>
        </w:tc>
        <w:tc>
          <w:tcPr>
            <w:tcW w:w="724" w:type="dxa"/>
            <w:vAlign w:val="top"/>
          </w:tcPr>
          <w:p w14:paraId="4289D008">
            <w:pPr>
              <w:rPr>
                <w:rFonts w:ascii="Arial"/>
                <w:sz w:val="21"/>
              </w:rPr>
            </w:pPr>
          </w:p>
        </w:tc>
        <w:tc>
          <w:tcPr>
            <w:tcW w:w="688" w:type="dxa"/>
            <w:vAlign w:val="top"/>
          </w:tcPr>
          <w:p w14:paraId="7160BC5F">
            <w:pPr>
              <w:rPr>
                <w:rFonts w:ascii="Arial"/>
                <w:sz w:val="21"/>
              </w:rPr>
            </w:pPr>
          </w:p>
        </w:tc>
        <w:tc>
          <w:tcPr>
            <w:tcW w:w="633" w:type="dxa"/>
            <w:vAlign w:val="top"/>
          </w:tcPr>
          <w:p w14:paraId="78FAE82D">
            <w:pPr>
              <w:rPr>
                <w:rFonts w:ascii="Arial"/>
                <w:sz w:val="21"/>
              </w:rPr>
            </w:pPr>
          </w:p>
        </w:tc>
        <w:tc>
          <w:tcPr>
            <w:tcW w:w="813" w:type="dxa"/>
            <w:tcBorders>
              <w:right w:val="single" w:color="000000" w:sz="6" w:space="0"/>
            </w:tcBorders>
            <w:vAlign w:val="top"/>
          </w:tcPr>
          <w:p w14:paraId="0259E6B4">
            <w:pPr>
              <w:rPr>
                <w:rFonts w:ascii="Arial"/>
                <w:sz w:val="21"/>
              </w:rPr>
            </w:pPr>
          </w:p>
        </w:tc>
      </w:tr>
      <w:tr w14:paraId="3734D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53" w:type="dxa"/>
            <w:tcBorders>
              <w:left w:val="single" w:color="000000" w:sz="6" w:space="0"/>
            </w:tcBorders>
            <w:vAlign w:val="top"/>
          </w:tcPr>
          <w:p w14:paraId="08E1FE4C">
            <w:pPr>
              <w:rPr>
                <w:rFonts w:ascii="Arial"/>
                <w:sz w:val="21"/>
              </w:rPr>
            </w:pPr>
          </w:p>
        </w:tc>
        <w:tc>
          <w:tcPr>
            <w:tcW w:w="2283" w:type="dxa"/>
            <w:vAlign w:val="top"/>
          </w:tcPr>
          <w:p w14:paraId="026500F0">
            <w:pPr>
              <w:rPr>
                <w:rFonts w:ascii="Arial"/>
                <w:sz w:val="21"/>
              </w:rPr>
            </w:pPr>
          </w:p>
        </w:tc>
        <w:tc>
          <w:tcPr>
            <w:tcW w:w="1285" w:type="dxa"/>
            <w:vAlign w:val="top"/>
          </w:tcPr>
          <w:p w14:paraId="60BFF4CD">
            <w:pPr>
              <w:rPr>
                <w:rFonts w:ascii="Arial"/>
                <w:sz w:val="21"/>
              </w:rPr>
            </w:pPr>
          </w:p>
        </w:tc>
        <w:tc>
          <w:tcPr>
            <w:tcW w:w="851" w:type="dxa"/>
            <w:vAlign w:val="top"/>
          </w:tcPr>
          <w:p w14:paraId="25347C9F">
            <w:pPr>
              <w:rPr>
                <w:rFonts w:ascii="Arial"/>
                <w:sz w:val="21"/>
              </w:rPr>
            </w:pPr>
          </w:p>
        </w:tc>
        <w:tc>
          <w:tcPr>
            <w:tcW w:w="650" w:type="dxa"/>
            <w:vAlign w:val="top"/>
          </w:tcPr>
          <w:p w14:paraId="7FCD10F8">
            <w:pPr>
              <w:rPr>
                <w:rFonts w:ascii="Arial"/>
                <w:sz w:val="21"/>
              </w:rPr>
            </w:pPr>
          </w:p>
        </w:tc>
        <w:tc>
          <w:tcPr>
            <w:tcW w:w="870" w:type="dxa"/>
            <w:vAlign w:val="top"/>
          </w:tcPr>
          <w:p w14:paraId="07D6F687">
            <w:pPr>
              <w:rPr>
                <w:rFonts w:ascii="Arial"/>
                <w:sz w:val="21"/>
              </w:rPr>
            </w:pPr>
          </w:p>
        </w:tc>
        <w:tc>
          <w:tcPr>
            <w:tcW w:w="832" w:type="dxa"/>
            <w:vAlign w:val="top"/>
          </w:tcPr>
          <w:p w14:paraId="4AA6E5FB">
            <w:pPr>
              <w:rPr>
                <w:rFonts w:ascii="Arial"/>
                <w:sz w:val="21"/>
              </w:rPr>
            </w:pPr>
          </w:p>
        </w:tc>
        <w:tc>
          <w:tcPr>
            <w:tcW w:w="724" w:type="dxa"/>
            <w:vAlign w:val="top"/>
          </w:tcPr>
          <w:p w14:paraId="56DA34A7">
            <w:pPr>
              <w:rPr>
                <w:rFonts w:ascii="Arial"/>
                <w:sz w:val="21"/>
              </w:rPr>
            </w:pPr>
          </w:p>
        </w:tc>
        <w:tc>
          <w:tcPr>
            <w:tcW w:w="580" w:type="dxa"/>
            <w:vAlign w:val="top"/>
          </w:tcPr>
          <w:p w14:paraId="3B884C60">
            <w:pPr>
              <w:rPr>
                <w:rFonts w:ascii="Arial"/>
                <w:sz w:val="21"/>
              </w:rPr>
            </w:pPr>
          </w:p>
        </w:tc>
        <w:tc>
          <w:tcPr>
            <w:tcW w:w="633" w:type="dxa"/>
            <w:vAlign w:val="top"/>
          </w:tcPr>
          <w:p w14:paraId="1F21BEE1">
            <w:pPr>
              <w:rPr>
                <w:rFonts w:ascii="Arial"/>
                <w:sz w:val="21"/>
              </w:rPr>
            </w:pPr>
          </w:p>
        </w:tc>
        <w:tc>
          <w:tcPr>
            <w:tcW w:w="707" w:type="dxa"/>
            <w:vAlign w:val="top"/>
          </w:tcPr>
          <w:p w14:paraId="288BC01B">
            <w:pPr>
              <w:rPr>
                <w:rFonts w:ascii="Arial"/>
                <w:sz w:val="21"/>
              </w:rPr>
            </w:pPr>
          </w:p>
        </w:tc>
        <w:tc>
          <w:tcPr>
            <w:tcW w:w="705" w:type="dxa"/>
            <w:vAlign w:val="top"/>
          </w:tcPr>
          <w:p w14:paraId="5FB6B311">
            <w:pPr>
              <w:rPr>
                <w:rFonts w:ascii="Arial"/>
                <w:sz w:val="21"/>
              </w:rPr>
            </w:pPr>
          </w:p>
        </w:tc>
        <w:tc>
          <w:tcPr>
            <w:tcW w:w="724" w:type="dxa"/>
            <w:vAlign w:val="top"/>
          </w:tcPr>
          <w:p w14:paraId="26CBF71D">
            <w:pPr>
              <w:rPr>
                <w:rFonts w:ascii="Arial"/>
                <w:sz w:val="21"/>
              </w:rPr>
            </w:pPr>
          </w:p>
        </w:tc>
        <w:tc>
          <w:tcPr>
            <w:tcW w:w="688" w:type="dxa"/>
            <w:vAlign w:val="top"/>
          </w:tcPr>
          <w:p w14:paraId="37913FC3">
            <w:pPr>
              <w:rPr>
                <w:rFonts w:ascii="Arial"/>
                <w:sz w:val="21"/>
              </w:rPr>
            </w:pPr>
          </w:p>
        </w:tc>
        <w:tc>
          <w:tcPr>
            <w:tcW w:w="633" w:type="dxa"/>
            <w:vAlign w:val="top"/>
          </w:tcPr>
          <w:p w14:paraId="03455BE5">
            <w:pPr>
              <w:rPr>
                <w:rFonts w:ascii="Arial"/>
                <w:sz w:val="21"/>
              </w:rPr>
            </w:pPr>
          </w:p>
        </w:tc>
        <w:tc>
          <w:tcPr>
            <w:tcW w:w="813" w:type="dxa"/>
            <w:tcBorders>
              <w:right w:val="single" w:color="000000" w:sz="6" w:space="0"/>
            </w:tcBorders>
            <w:vAlign w:val="top"/>
          </w:tcPr>
          <w:p w14:paraId="3433F8E5">
            <w:pPr>
              <w:rPr>
                <w:rFonts w:ascii="Arial"/>
                <w:sz w:val="21"/>
              </w:rPr>
            </w:pPr>
          </w:p>
        </w:tc>
      </w:tr>
      <w:tr w14:paraId="4E68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753" w:type="dxa"/>
            <w:tcBorders>
              <w:left w:val="single" w:color="000000" w:sz="6" w:space="0"/>
            </w:tcBorders>
            <w:vAlign w:val="top"/>
          </w:tcPr>
          <w:p w14:paraId="1736B509">
            <w:pPr>
              <w:rPr>
                <w:rFonts w:ascii="Arial"/>
                <w:sz w:val="21"/>
              </w:rPr>
            </w:pPr>
          </w:p>
        </w:tc>
        <w:tc>
          <w:tcPr>
            <w:tcW w:w="2283" w:type="dxa"/>
            <w:vAlign w:val="top"/>
          </w:tcPr>
          <w:p w14:paraId="251B7144">
            <w:pPr>
              <w:rPr>
                <w:rFonts w:ascii="Arial"/>
                <w:sz w:val="21"/>
              </w:rPr>
            </w:pPr>
          </w:p>
        </w:tc>
        <w:tc>
          <w:tcPr>
            <w:tcW w:w="1285" w:type="dxa"/>
            <w:vAlign w:val="top"/>
          </w:tcPr>
          <w:p w14:paraId="0543D15E">
            <w:pPr>
              <w:rPr>
                <w:rFonts w:ascii="Arial"/>
                <w:sz w:val="21"/>
              </w:rPr>
            </w:pPr>
          </w:p>
        </w:tc>
        <w:tc>
          <w:tcPr>
            <w:tcW w:w="851" w:type="dxa"/>
            <w:vAlign w:val="top"/>
          </w:tcPr>
          <w:p w14:paraId="53CDB3AC">
            <w:pPr>
              <w:rPr>
                <w:rFonts w:ascii="Arial"/>
                <w:sz w:val="21"/>
              </w:rPr>
            </w:pPr>
          </w:p>
        </w:tc>
        <w:tc>
          <w:tcPr>
            <w:tcW w:w="650" w:type="dxa"/>
            <w:vAlign w:val="top"/>
          </w:tcPr>
          <w:p w14:paraId="6A0B978A">
            <w:pPr>
              <w:rPr>
                <w:rFonts w:ascii="Arial"/>
                <w:sz w:val="21"/>
              </w:rPr>
            </w:pPr>
          </w:p>
        </w:tc>
        <w:tc>
          <w:tcPr>
            <w:tcW w:w="870" w:type="dxa"/>
            <w:vAlign w:val="top"/>
          </w:tcPr>
          <w:p w14:paraId="12C4C44F">
            <w:pPr>
              <w:rPr>
                <w:rFonts w:ascii="Arial"/>
                <w:sz w:val="21"/>
              </w:rPr>
            </w:pPr>
          </w:p>
        </w:tc>
        <w:tc>
          <w:tcPr>
            <w:tcW w:w="832" w:type="dxa"/>
            <w:vAlign w:val="top"/>
          </w:tcPr>
          <w:p w14:paraId="230ADB61">
            <w:pPr>
              <w:rPr>
                <w:rFonts w:ascii="Arial"/>
                <w:sz w:val="21"/>
              </w:rPr>
            </w:pPr>
          </w:p>
        </w:tc>
        <w:tc>
          <w:tcPr>
            <w:tcW w:w="724" w:type="dxa"/>
            <w:vAlign w:val="top"/>
          </w:tcPr>
          <w:p w14:paraId="6FC2BE4F">
            <w:pPr>
              <w:rPr>
                <w:rFonts w:ascii="Arial"/>
                <w:sz w:val="21"/>
              </w:rPr>
            </w:pPr>
          </w:p>
        </w:tc>
        <w:tc>
          <w:tcPr>
            <w:tcW w:w="580" w:type="dxa"/>
            <w:vAlign w:val="top"/>
          </w:tcPr>
          <w:p w14:paraId="76B2172C">
            <w:pPr>
              <w:rPr>
                <w:rFonts w:ascii="Arial"/>
                <w:sz w:val="21"/>
              </w:rPr>
            </w:pPr>
          </w:p>
        </w:tc>
        <w:tc>
          <w:tcPr>
            <w:tcW w:w="633" w:type="dxa"/>
            <w:vAlign w:val="top"/>
          </w:tcPr>
          <w:p w14:paraId="699209E0">
            <w:pPr>
              <w:rPr>
                <w:rFonts w:ascii="Arial"/>
                <w:sz w:val="21"/>
              </w:rPr>
            </w:pPr>
          </w:p>
        </w:tc>
        <w:tc>
          <w:tcPr>
            <w:tcW w:w="707" w:type="dxa"/>
            <w:vAlign w:val="top"/>
          </w:tcPr>
          <w:p w14:paraId="3E8A4460">
            <w:pPr>
              <w:rPr>
                <w:rFonts w:ascii="Arial"/>
                <w:sz w:val="21"/>
              </w:rPr>
            </w:pPr>
          </w:p>
        </w:tc>
        <w:tc>
          <w:tcPr>
            <w:tcW w:w="705" w:type="dxa"/>
            <w:vAlign w:val="top"/>
          </w:tcPr>
          <w:p w14:paraId="118780DC">
            <w:pPr>
              <w:rPr>
                <w:rFonts w:ascii="Arial"/>
                <w:sz w:val="21"/>
              </w:rPr>
            </w:pPr>
          </w:p>
        </w:tc>
        <w:tc>
          <w:tcPr>
            <w:tcW w:w="724" w:type="dxa"/>
            <w:vAlign w:val="top"/>
          </w:tcPr>
          <w:p w14:paraId="11382BBD">
            <w:pPr>
              <w:rPr>
                <w:rFonts w:ascii="Arial"/>
                <w:sz w:val="21"/>
              </w:rPr>
            </w:pPr>
          </w:p>
        </w:tc>
        <w:tc>
          <w:tcPr>
            <w:tcW w:w="688" w:type="dxa"/>
            <w:vAlign w:val="top"/>
          </w:tcPr>
          <w:p w14:paraId="505DF189">
            <w:pPr>
              <w:rPr>
                <w:rFonts w:ascii="Arial"/>
                <w:sz w:val="21"/>
              </w:rPr>
            </w:pPr>
          </w:p>
        </w:tc>
        <w:tc>
          <w:tcPr>
            <w:tcW w:w="633" w:type="dxa"/>
            <w:vAlign w:val="top"/>
          </w:tcPr>
          <w:p w14:paraId="6DE21913">
            <w:pPr>
              <w:rPr>
                <w:rFonts w:ascii="Arial"/>
                <w:sz w:val="21"/>
              </w:rPr>
            </w:pPr>
          </w:p>
        </w:tc>
        <w:tc>
          <w:tcPr>
            <w:tcW w:w="813" w:type="dxa"/>
            <w:tcBorders>
              <w:right w:val="single" w:color="000000" w:sz="6" w:space="0"/>
            </w:tcBorders>
            <w:vAlign w:val="top"/>
          </w:tcPr>
          <w:p w14:paraId="5FDBADB4">
            <w:pPr>
              <w:rPr>
                <w:rFonts w:ascii="Arial"/>
                <w:sz w:val="21"/>
              </w:rPr>
            </w:pPr>
          </w:p>
        </w:tc>
      </w:tr>
      <w:tr w14:paraId="2782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53" w:type="dxa"/>
            <w:tcBorders>
              <w:left w:val="single" w:color="000000" w:sz="6" w:space="0"/>
            </w:tcBorders>
            <w:vAlign w:val="top"/>
          </w:tcPr>
          <w:p w14:paraId="69B52293">
            <w:pPr>
              <w:rPr>
                <w:rFonts w:ascii="Arial"/>
                <w:sz w:val="21"/>
              </w:rPr>
            </w:pPr>
          </w:p>
        </w:tc>
        <w:tc>
          <w:tcPr>
            <w:tcW w:w="2283" w:type="dxa"/>
            <w:vAlign w:val="top"/>
          </w:tcPr>
          <w:p w14:paraId="0E5C7B99">
            <w:pPr>
              <w:rPr>
                <w:rFonts w:ascii="Arial"/>
                <w:sz w:val="21"/>
              </w:rPr>
            </w:pPr>
          </w:p>
        </w:tc>
        <w:tc>
          <w:tcPr>
            <w:tcW w:w="1285" w:type="dxa"/>
            <w:vAlign w:val="top"/>
          </w:tcPr>
          <w:p w14:paraId="62715F76">
            <w:pPr>
              <w:rPr>
                <w:rFonts w:ascii="Arial"/>
                <w:sz w:val="21"/>
              </w:rPr>
            </w:pPr>
          </w:p>
        </w:tc>
        <w:tc>
          <w:tcPr>
            <w:tcW w:w="851" w:type="dxa"/>
            <w:vAlign w:val="top"/>
          </w:tcPr>
          <w:p w14:paraId="3AB43372">
            <w:pPr>
              <w:rPr>
                <w:rFonts w:ascii="Arial"/>
                <w:sz w:val="21"/>
              </w:rPr>
            </w:pPr>
          </w:p>
        </w:tc>
        <w:tc>
          <w:tcPr>
            <w:tcW w:w="650" w:type="dxa"/>
            <w:vAlign w:val="top"/>
          </w:tcPr>
          <w:p w14:paraId="22901C3F">
            <w:pPr>
              <w:rPr>
                <w:rFonts w:ascii="Arial"/>
                <w:sz w:val="21"/>
              </w:rPr>
            </w:pPr>
          </w:p>
        </w:tc>
        <w:tc>
          <w:tcPr>
            <w:tcW w:w="870" w:type="dxa"/>
            <w:vAlign w:val="top"/>
          </w:tcPr>
          <w:p w14:paraId="6B4C5CE4">
            <w:pPr>
              <w:rPr>
                <w:rFonts w:ascii="Arial"/>
                <w:sz w:val="21"/>
              </w:rPr>
            </w:pPr>
          </w:p>
        </w:tc>
        <w:tc>
          <w:tcPr>
            <w:tcW w:w="832" w:type="dxa"/>
            <w:vAlign w:val="top"/>
          </w:tcPr>
          <w:p w14:paraId="10A36D24">
            <w:pPr>
              <w:rPr>
                <w:rFonts w:ascii="Arial"/>
                <w:sz w:val="21"/>
              </w:rPr>
            </w:pPr>
          </w:p>
        </w:tc>
        <w:tc>
          <w:tcPr>
            <w:tcW w:w="724" w:type="dxa"/>
            <w:vAlign w:val="top"/>
          </w:tcPr>
          <w:p w14:paraId="751C96C3">
            <w:pPr>
              <w:rPr>
                <w:rFonts w:ascii="Arial"/>
                <w:sz w:val="21"/>
              </w:rPr>
            </w:pPr>
          </w:p>
        </w:tc>
        <w:tc>
          <w:tcPr>
            <w:tcW w:w="580" w:type="dxa"/>
            <w:vAlign w:val="top"/>
          </w:tcPr>
          <w:p w14:paraId="6F29464D">
            <w:pPr>
              <w:rPr>
                <w:rFonts w:ascii="Arial"/>
                <w:sz w:val="21"/>
              </w:rPr>
            </w:pPr>
          </w:p>
        </w:tc>
        <w:tc>
          <w:tcPr>
            <w:tcW w:w="633" w:type="dxa"/>
            <w:vAlign w:val="top"/>
          </w:tcPr>
          <w:p w14:paraId="4EE3E7DA">
            <w:pPr>
              <w:rPr>
                <w:rFonts w:ascii="Arial"/>
                <w:sz w:val="21"/>
              </w:rPr>
            </w:pPr>
          </w:p>
        </w:tc>
        <w:tc>
          <w:tcPr>
            <w:tcW w:w="707" w:type="dxa"/>
            <w:vAlign w:val="top"/>
          </w:tcPr>
          <w:p w14:paraId="03AE3CC7">
            <w:pPr>
              <w:rPr>
                <w:rFonts w:ascii="Arial"/>
                <w:sz w:val="21"/>
              </w:rPr>
            </w:pPr>
          </w:p>
        </w:tc>
        <w:tc>
          <w:tcPr>
            <w:tcW w:w="705" w:type="dxa"/>
            <w:vAlign w:val="top"/>
          </w:tcPr>
          <w:p w14:paraId="172A5165">
            <w:pPr>
              <w:rPr>
                <w:rFonts w:ascii="Arial"/>
                <w:sz w:val="21"/>
              </w:rPr>
            </w:pPr>
          </w:p>
        </w:tc>
        <w:tc>
          <w:tcPr>
            <w:tcW w:w="724" w:type="dxa"/>
            <w:vAlign w:val="top"/>
          </w:tcPr>
          <w:p w14:paraId="3A75C10F">
            <w:pPr>
              <w:rPr>
                <w:rFonts w:ascii="Arial"/>
                <w:sz w:val="21"/>
              </w:rPr>
            </w:pPr>
          </w:p>
        </w:tc>
        <w:tc>
          <w:tcPr>
            <w:tcW w:w="688" w:type="dxa"/>
            <w:vAlign w:val="top"/>
          </w:tcPr>
          <w:p w14:paraId="3BE27701">
            <w:pPr>
              <w:rPr>
                <w:rFonts w:ascii="Arial"/>
                <w:sz w:val="21"/>
              </w:rPr>
            </w:pPr>
          </w:p>
        </w:tc>
        <w:tc>
          <w:tcPr>
            <w:tcW w:w="633" w:type="dxa"/>
            <w:vAlign w:val="top"/>
          </w:tcPr>
          <w:p w14:paraId="0350D7B9">
            <w:pPr>
              <w:rPr>
                <w:rFonts w:ascii="Arial"/>
                <w:sz w:val="21"/>
              </w:rPr>
            </w:pPr>
          </w:p>
        </w:tc>
        <w:tc>
          <w:tcPr>
            <w:tcW w:w="813" w:type="dxa"/>
            <w:tcBorders>
              <w:right w:val="single" w:color="000000" w:sz="6" w:space="0"/>
            </w:tcBorders>
            <w:vAlign w:val="top"/>
          </w:tcPr>
          <w:p w14:paraId="539FFB97">
            <w:pPr>
              <w:rPr>
                <w:rFonts w:ascii="Arial"/>
                <w:sz w:val="21"/>
              </w:rPr>
            </w:pPr>
          </w:p>
        </w:tc>
      </w:tr>
      <w:tr w14:paraId="4D6DF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753" w:type="dxa"/>
            <w:tcBorders>
              <w:left w:val="single" w:color="000000" w:sz="6" w:space="0"/>
            </w:tcBorders>
            <w:vAlign w:val="top"/>
          </w:tcPr>
          <w:p w14:paraId="719929DB">
            <w:pPr>
              <w:rPr>
                <w:rFonts w:ascii="Arial"/>
                <w:sz w:val="21"/>
              </w:rPr>
            </w:pPr>
          </w:p>
        </w:tc>
        <w:tc>
          <w:tcPr>
            <w:tcW w:w="2283" w:type="dxa"/>
            <w:vAlign w:val="top"/>
          </w:tcPr>
          <w:p w14:paraId="6EAD5D6D">
            <w:pPr>
              <w:rPr>
                <w:rFonts w:ascii="Arial"/>
                <w:sz w:val="21"/>
              </w:rPr>
            </w:pPr>
          </w:p>
        </w:tc>
        <w:tc>
          <w:tcPr>
            <w:tcW w:w="1285" w:type="dxa"/>
            <w:vAlign w:val="top"/>
          </w:tcPr>
          <w:p w14:paraId="3F389F03">
            <w:pPr>
              <w:rPr>
                <w:rFonts w:ascii="Arial"/>
                <w:sz w:val="21"/>
              </w:rPr>
            </w:pPr>
          </w:p>
        </w:tc>
        <w:tc>
          <w:tcPr>
            <w:tcW w:w="851" w:type="dxa"/>
            <w:vAlign w:val="top"/>
          </w:tcPr>
          <w:p w14:paraId="1E9CF05F">
            <w:pPr>
              <w:rPr>
                <w:rFonts w:ascii="Arial"/>
                <w:sz w:val="21"/>
              </w:rPr>
            </w:pPr>
          </w:p>
        </w:tc>
        <w:tc>
          <w:tcPr>
            <w:tcW w:w="650" w:type="dxa"/>
            <w:vAlign w:val="top"/>
          </w:tcPr>
          <w:p w14:paraId="1BE6E996">
            <w:pPr>
              <w:rPr>
                <w:rFonts w:ascii="Arial"/>
                <w:sz w:val="21"/>
              </w:rPr>
            </w:pPr>
          </w:p>
        </w:tc>
        <w:tc>
          <w:tcPr>
            <w:tcW w:w="870" w:type="dxa"/>
            <w:vAlign w:val="top"/>
          </w:tcPr>
          <w:p w14:paraId="43916AFC">
            <w:pPr>
              <w:rPr>
                <w:rFonts w:ascii="Arial"/>
                <w:sz w:val="21"/>
              </w:rPr>
            </w:pPr>
          </w:p>
        </w:tc>
        <w:tc>
          <w:tcPr>
            <w:tcW w:w="832" w:type="dxa"/>
            <w:vAlign w:val="top"/>
          </w:tcPr>
          <w:p w14:paraId="13AAD609">
            <w:pPr>
              <w:rPr>
                <w:rFonts w:ascii="Arial"/>
                <w:sz w:val="21"/>
              </w:rPr>
            </w:pPr>
          </w:p>
        </w:tc>
        <w:tc>
          <w:tcPr>
            <w:tcW w:w="724" w:type="dxa"/>
            <w:vAlign w:val="top"/>
          </w:tcPr>
          <w:p w14:paraId="38BBF997">
            <w:pPr>
              <w:rPr>
                <w:rFonts w:ascii="Arial"/>
                <w:sz w:val="21"/>
              </w:rPr>
            </w:pPr>
          </w:p>
        </w:tc>
        <w:tc>
          <w:tcPr>
            <w:tcW w:w="580" w:type="dxa"/>
            <w:vAlign w:val="top"/>
          </w:tcPr>
          <w:p w14:paraId="0ED7D6B0">
            <w:pPr>
              <w:rPr>
                <w:rFonts w:ascii="Arial"/>
                <w:sz w:val="21"/>
              </w:rPr>
            </w:pPr>
          </w:p>
        </w:tc>
        <w:tc>
          <w:tcPr>
            <w:tcW w:w="633" w:type="dxa"/>
            <w:vAlign w:val="top"/>
          </w:tcPr>
          <w:p w14:paraId="5E48C88E">
            <w:pPr>
              <w:rPr>
                <w:rFonts w:ascii="Arial"/>
                <w:sz w:val="21"/>
              </w:rPr>
            </w:pPr>
          </w:p>
        </w:tc>
        <w:tc>
          <w:tcPr>
            <w:tcW w:w="707" w:type="dxa"/>
            <w:vAlign w:val="top"/>
          </w:tcPr>
          <w:p w14:paraId="16705FFF">
            <w:pPr>
              <w:rPr>
                <w:rFonts w:ascii="Arial"/>
                <w:sz w:val="21"/>
              </w:rPr>
            </w:pPr>
          </w:p>
        </w:tc>
        <w:tc>
          <w:tcPr>
            <w:tcW w:w="705" w:type="dxa"/>
            <w:vAlign w:val="top"/>
          </w:tcPr>
          <w:p w14:paraId="12D87288">
            <w:pPr>
              <w:rPr>
                <w:rFonts w:ascii="Arial"/>
                <w:sz w:val="21"/>
              </w:rPr>
            </w:pPr>
          </w:p>
        </w:tc>
        <w:tc>
          <w:tcPr>
            <w:tcW w:w="724" w:type="dxa"/>
            <w:vAlign w:val="top"/>
          </w:tcPr>
          <w:p w14:paraId="39CCCBFF">
            <w:pPr>
              <w:rPr>
                <w:rFonts w:ascii="Arial"/>
                <w:sz w:val="21"/>
              </w:rPr>
            </w:pPr>
          </w:p>
        </w:tc>
        <w:tc>
          <w:tcPr>
            <w:tcW w:w="688" w:type="dxa"/>
            <w:vAlign w:val="top"/>
          </w:tcPr>
          <w:p w14:paraId="07823B77">
            <w:pPr>
              <w:rPr>
                <w:rFonts w:ascii="Arial"/>
                <w:sz w:val="21"/>
              </w:rPr>
            </w:pPr>
          </w:p>
        </w:tc>
        <w:tc>
          <w:tcPr>
            <w:tcW w:w="633" w:type="dxa"/>
            <w:vAlign w:val="top"/>
          </w:tcPr>
          <w:p w14:paraId="550D2DDD">
            <w:pPr>
              <w:rPr>
                <w:rFonts w:ascii="Arial"/>
                <w:sz w:val="21"/>
              </w:rPr>
            </w:pPr>
          </w:p>
        </w:tc>
        <w:tc>
          <w:tcPr>
            <w:tcW w:w="813" w:type="dxa"/>
            <w:tcBorders>
              <w:right w:val="single" w:color="000000" w:sz="6" w:space="0"/>
            </w:tcBorders>
            <w:vAlign w:val="top"/>
          </w:tcPr>
          <w:p w14:paraId="4E6CA6A3">
            <w:pPr>
              <w:rPr>
                <w:rFonts w:ascii="Arial"/>
                <w:sz w:val="21"/>
              </w:rPr>
            </w:pPr>
          </w:p>
        </w:tc>
      </w:tr>
      <w:tr w14:paraId="456A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53" w:type="dxa"/>
            <w:tcBorders>
              <w:left w:val="single" w:color="000000" w:sz="6" w:space="0"/>
            </w:tcBorders>
            <w:vAlign w:val="top"/>
          </w:tcPr>
          <w:p w14:paraId="16052F2B">
            <w:pPr>
              <w:rPr>
                <w:rFonts w:ascii="Arial"/>
                <w:sz w:val="21"/>
              </w:rPr>
            </w:pPr>
          </w:p>
        </w:tc>
        <w:tc>
          <w:tcPr>
            <w:tcW w:w="2283" w:type="dxa"/>
            <w:vAlign w:val="top"/>
          </w:tcPr>
          <w:p w14:paraId="705A9AE8">
            <w:pPr>
              <w:rPr>
                <w:rFonts w:ascii="Arial"/>
                <w:sz w:val="21"/>
              </w:rPr>
            </w:pPr>
          </w:p>
        </w:tc>
        <w:tc>
          <w:tcPr>
            <w:tcW w:w="1285" w:type="dxa"/>
            <w:vAlign w:val="top"/>
          </w:tcPr>
          <w:p w14:paraId="2AB02DFC">
            <w:pPr>
              <w:rPr>
                <w:rFonts w:ascii="Arial"/>
                <w:sz w:val="21"/>
              </w:rPr>
            </w:pPr>
          </w:p>
        </w:tc>
        <w:tc>
          <w:tcPr>
            <w:tcW w:w="851" w:type="dxa"/>
            <w:vAlign w:val="top"/>
          </w:tcPr>
          <w:p w14:paraId="4511A423">
            <w:pPr>
              <w:rPr>
                <w:rFonts w:ascii="Arial"/>
                <w:sz w:val="21"/>
              </w:rPr>
            </w:pPr>
          </w:p>
        </w:tc>
        <w:tc>
          <w:tcPr>
            <w:tcW w:w="650" w:type="dxa"/>
            <w:vAlign w:val="top"/>
          </w:tcPr>
          <w:p w14:paraId="748B38DB">
            <w:pPr>
              <w:rPr>
                <w:rFonts w:ascii="Arial"/>
                <w:sz w:val="21"/>
              </w:rPr>
            </w:pPr>
          </w:p>
        </w:tc>
        <w:tc>
          <w:tcPr>
            <w:tcW w:w="870" w:type="dxa"/>
            <w:vAlign w:val="top"/>
          </w:tcPr>
          <w:p w14:paraId="5DE7DE13">
            <w:pPr>
              <w:rPr>
                <w:rFonts w:ascii="Arial"/>
                <w:sz w:val="21"/>
              </w:rPr>
            </w:pPr>
          </w:p>
        </w:tc>
        <w:tc>
          <w:tcPr>
            <w:tcW w:w="832" w:type="dxa"/>
            <w:vAlign w:val="top"/>
          </w:tcPr>
          <w:p w14:paraId="4B90EDE1">
            <w:pPr>
              <w:rPr>
                <w:rFonts w:ascii="Arial"/>
                <w:sz w:val="21"/>
              </w:rPr>
            </w:pPr>
          </w:p>
        </w:tc>
        <w:tc>
          <w:tcPr>
            <w:tcW w:w="724" w:type="dxa"/>
            <w:vAlign w:val="top"/>
          </w:tcPr>
          <w:p w14:paraId="2AC65F7C">
            <w:pPr>
              <w:rPr>
                <w:rFonts w:ascii="Arial"/>
                <w:sz w:val="21"/>
              </w:rPr>
            </w:pPr>
          </w:p>
        </w:tc>
        <w:tc>
          <w:tcPr>
            <w:tcW w:w="580" w:type="dxa"/>
            <w:vAlign w:val="top"/>
          </w:tcPr>
          <w:p w14:paraId="5CAD84A4">
            <w:pPr>
              <w:rPr>
                <w:rFonts w:ascii="Arial"/>
                <w:sz w:val="21"/>
              </w:rPr>
            </w:pPr>
          </w:p>
        </w:tc>
        <w:tc>
          <w:tcPr>
            <w:tcW w:w="633" w:type="dxa"/>
            <w:vAlign w:val="top"/>
          </w:tcPr>
          <w:p w14:paraId="0334108E">
            <w:pPr>
              <w:rPr>
                <w:rFonts w:ascii="Arial"/>
                <w:sz w:val="21"/>
              </w:rPr>
            </w:pPr>
          </w:p>
        </w:tc>
        <w:tc>
          <w:tcPr>
            <w:tcW w:w="707" w:type="dxa"/>
            <w:vAlign w:val="top"/>
          </w:tcPr>
          <w:p w14:paraId="1896E03C">
            <w:pPr>
              <w:rPr>
                <w:rFonts w:ascii="Arial"/>
                <w:sz w:val="21"/>
              </w:rPr>
            </w:pPr>
          </w:p>
        </w:tc>
        <w:tc>
          <w:tcPr>
            <w:tcW w:w="705" w:type="dxa"/>
            <w:vAlign w:val="top"/>
          </w:tcPr>
          <w:p w14:paraId="21EABCE4">
            <w:pPr>
              <w:rPr>
                <w:rFonts w:ascii="Arial"/>
                <w:sz w:val="21"/>
              </w:rPr>
            </w:pPr>
          </w:p>
        </w:tc>
        <w:tc>
          <w:tcPr>
            <w:tcW w:w="724" w:type="dxa"/>
            <w:vAlign w:val="top"/>
          </w:tcPr>
          <w:p w14:paraId="16026BE2">
            <w:pPr>
              <w:rPr>
                <w:rFonts w:ascii="Arial"/>
                <w:sz w:val="21"/>
              </w:rPr>
            </w:pPr>
          </w:p>
        </w:tc>
        <w:tc>
          <w:tcPr>
            <w:tcW w:w="688" w:type="dxa"/>
            <w:vAlign w:val="top"/>
          </w:tcPr>
          <w:p w14:paraId="5A06F1D1">
            <w:pPr>
              <w:rPr>
                <w:rFonts w:ascii="Arial"/>
                <w:sz w:val="21"/>
              </w:rPr>
            </w:pPr>
          </w:p>
        </w:tc>
        <w:tc>
          <w:tcPr>
            <w:tcW w:w="633" w:type="dxa"/>
            <w:vAlign w:val="top"/>
          </w:tcPr>
          <w:p w14:paraId="6ADC11A6">
            <w:pPr>
              <w:rPr>
                <w:rFonts w:ascii="Arial"/>
                <w:sz w:val="21"/>
              </w:rPr>
            </w:pPr>
          </w:p>
        </w:tc>
        <w:tc>
          <w:tcPr>
            <w:tcW w:w="813" w:type="dxa"/>
            <w:tcBorders>
              <w:right w:val="single" w:color="000000" w:sz="6" w:space="0"/>
            </w:tcBorders>
            <w:vAlign w:val="top"/>
          </w:tcPr>
          <w:p w14:paraId="2A48189C">
            <w:pPr>
              <w:rPr>
                <w:rFonts w:ascii="Arial"/>
                <w:sz w:val="21"/>
              </w:rPr>
            </w:pPr>
          </w:p>
        </w:tc>
      </w:tr>
      <w:tr w14:paraId="3A37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753" w:type="dxa"/>
            <w:tcBorders>
              <w:left w:val="single" w:color="000000" w:sz="6" w:space="0"/>
              <w:bottom w:val="single" w:color="000000" w:sz="6" w:space="0"/>
            </w:tcBorders>
            <w:vAlign w:val="top"/>
          </w:tcPr>
          <w:p w14:paraId="52360BBD">
            <w:pPr>
              <w:rPr>
                <w:rFonts w:ascii="Arial"/>
                <w:sz w:val="21"/>
              </w:rPr>
            </w:pPr>
          </w:p>
        </w:tc>
        <w:tc>
          <w:tcPr>
            <w:tcW w:w="2283" w:type="dxa"/>
            <w:tcBorders>
              <w:bottom w:val="single" w:color="000000" w:sz="6" w:space="0"/>
            </w:tcBorders>
            <w:vAlign w:val="top"/>
          </w:tcPr>
          <w:p w14:paraId="791C6F80">
            <w:pPr>
              <w:rPr>
                <w:rFonts w:ascii="Arial"/>
                <w:sz w:val="21"/>
              </w:rPr>
            </w:pPr>
          </w:p>
        </w:tc>
        <w:tc>
          <w:tcPr>
            <w:tcW w:w="1285" w:type="dxa"/>
            <w:tcBorders>
              <w:bottom w:val="single" w:color="000000" w:sz="6" w:space="0"/>
            </w:tcBorders>
            <w:vAlign w:val="top"/>
          </w:tcPr>
          <w:p w14:paraId="0011D338">
            <w:pPr>
              <w:rPr>
                <w:rFonts w:ascii="Arial"/>
                <w:sz w:val="21"/>
              </w:rPr>
            </w:pPr>
          </w:p>
        </w:tc>
        <w:tc>
          <w:tcPr>
            <w:tcW w:w="851" w:type="dxa"/>
            <w:tcBorders>
              <w:bottom w:val="single" w:color="000000" w:sz="6" w:space="0"/>
            </w:tcBorders>
            <w:vAlign w:val="top"/>
          </w:tcPr>
          <w:p w14:paraId="72A95FC5">
            <w:pPr>
              <w:rPr>
                <w:rFonts w:ascii="Arial"/>
                <w:sz w:val="21"/>
              </w:rPr>
            </w:pPr>
          </w:p>
        </w:tc>
        <w:tc>
          <w:tcPr>
            <w:tcW w:w="650" w:type="dxa"/>
            <w:tcBorders>
              <w:bottom w:val="single" w:color="000000" w:sz="6" w:space="0"/>
            </w:tcBorders>
            <w:vAlign w:val="top"/>
          </w:tcPr>
          <w:p w14:paraId="00374CC5">
            <w:pPr>
              <w:rPr>
                <w:rFonts w:ascii="Arial"/>
                <w:sz w:val="21"/>
              </w:rPr>
            </w:pPr>
          </w:p>
        </w:tc>
        <w:tc>
          <w:tcPr>
            <w:tcW w:w="870" w:type="dxa"/>
            <w:tcBorders>
              <w:bottom w:val="single" w:color="000000" w:sz="6" w:space="0"/>
            </w:tcBorders>
            <w:vAlign w:val="top"/>
          </w:tcPr>
          <w:p w14:paraId="4178C578">
            <w:pPr>
              <w:rPr>
                <w:rFonts w:ascii="Arial"/>
                <w:sz w:val="21"/>
              </w:rPr>
            </w:pPr>
          </w:p>
        </w:tc>
        <w:tc>
          <w:tcPr>
            <w:tcW w:w="832" w:type="dxa"/>
            <w:tcBorders>
              <w:bottom w:val="single" w:color="000000" w:sz="6" w:space="0"/>
            </w:tcBorders>
            <w:vAlign w:val="top"/>
          </w:tcPr>
          <w:p w14:paraId="2CAA2E81">
            <w:pPr>
              <w:rPr>
                <w:rFonts w:ascii="Arial"/>
                <w:sz w:val="21"/>
              </w:rPr>
            </w:pPr>
          </w:p>
        </w:tc>
        <w:tc>
          <w:tcPr>
            <w:tcW w:w="724" w:type="dxa"/>
            <w:tcBorders>
              <w:bottom w:val="single" w:color="000000" w:sz="6" w:space="0"/>
            </w:tcBorders>
            <w:vAlign w:val="top"/>
          </w:tcPr>
          <w:p w14:paraId="1DFB014E">
            <w:pPr>
              <w:rPr>
                <w:rFonts w:ascii="Arial"/>
                <w:sz w:val="21"/>
              </w:rPr>
            </w:pPr>
          </w:p>
        </w:tc>
        <w:tc>
          <w:tcPr>
            <w:tcW w:w="580" w:type="dxa"/>
            <w:tcBorders>
              <w:bottom w:val="single" w:color="000000" w:sz="6" w:space="0"/>
            </w:tcBorders>
            <w:vAlign w:val="top"/>
          </w:tcPr>
          <w:p w14:paraId="682FCC89">
            <w:pPr>
              <w:rPr>
                <w:rFonts w:ascii="Arial"/>
                <w:sz w:val="21"/>
              </w:rPr>
            </w:pPr>
          </w:p>
        </w:tc>
        <w:tc>
          <w:tcPr>
            <w:tcW w:w="633" w:type="dxa"/>
            <w:tcBorders>
              <w:bottom w:val="single" w:color="000000" w:sz="6" w:space="0"/>
            </w:tcBorders>
            <w:vAlign w:val="top"/>
          </w:tcPr>
          <w:p w14:paraId="43E29E1A">
            <w:pPr>
              <w:rPr>
                <w:rFonts w:ascii="Arial"/>
                <w:sz w:val="21"/>
              </w:rPr>
            </w:pPr>
          </w:p>
        </w:tc>
        <w:tc>
          <w:tcPr>
            <w:tcW w:w="707" w:type="dxa"/>
            <w:tcBorders>
              <w:bottom w:val="single" w:color="000000" w:sz="6" w:space="0"/>
            </w:tcBorders>
            <w:vAlign w:val="top"/>
          </w:tcPr>
          <w:p w14:paraId="6084C564">
            <w:pPr>
              <w:rPr>
                <w:rFonts w:ascii="Arial"/>
                <w:sz w:val="21"/>
              </w:rPr>
            </w:pPr>
          </w:p>
        </w:tc>
        <w:tc>
          <w:tcPr>
            <w:tcW w:w="705" w:type="dxa"/>
            <w:tcBorders>
              <w:bottom w:val="single" w:color="000000" w:sz="6" w:space="0"/>
            </w:tcBorders>
            <w:vAlign w:val="top"/>
          </w:tcPr>
          <w:p w14:paraId="34C77B86">
            <w:pPr>
              <w:rPr>
                <w:rFonts w:ascii="Arial"/>
                <w:sz w:val="21"/>
              </w:rPr>
            </w:pPr>
          </w:p>
        </w:tc>
        <w:tc>
          <w:tcPr>
            <w:tcW w:w="724" w:type="dxa"/>
            <w:tcBorders>
              <w:bottom w:val="single" w:color="000000" w:sz="6" w:space="0"/>
            </w:tcBorders>
            <w:vAlign w:val="top"/>
          </w:tcPr>
          <w:p w14:paraId="43699D62">
            <w:pPr>
              <w:rPr>
                <w:rFonts w:ascii="Arial"/>
                <w:sz w:val="21"/>
              </w:rPr>
            </w:pPr>
          </w:p>
        </w:tc>
        <w:tc>
          <w:tcPr>
            <w:tcW w:w="688" w:type="dxa"/>
            <w:tcBorders>
              <w:bottom w:val="single" w:color="000000" w:sz="6" w:space="0"/>
            </w:tcBorders>
            <w:vAlign w:val="top"/>
          </w:tcPr>
          <w:p w14:paraId="00855F67">
            <w:pPr>
              <w:rPr>
                <w:rFonts w:ascii="Arial"/>
                <w:sz w:val="21"/>
              </w:rPr>
            </w:pPr>
          </w:p>
        </w:tc>
        <w:tc>
          <w:tcPr>
            <w:tcW w:w="633" w:type="dxa"/>
            <w:tcBorders>
              <w:bottom w:val="single" w:color="000000" w:sz="6" w:space="0"/>
            </w:tcBorders>
            <w:vAlign w:val="top"/>
          </w:tcPr>
          <w:p w14:paraId="2B03FA4C">
            <w:pPr>
              <w:rPr>
                <w:rFonts w:ascii="Arial"/>
                <w:sz w:val="21"/>
              </w:rPr>
            </w:pPr>
          </w:p>
        </w:tc>
        <w:tc>
          <w:tcPr>
            <w:tcW w:w="813" w:type="dxa"/>
            <w:tcBorders>
              <w:bottom w:val="single" w:color="000000" w:sz="6" w:space="0"/>
              <w:right w:val="single" w:color="000000" w:sz="6" w:space="0"/>
            </w:tcBorders>
            <w:vAlign w:val="top"/>
          </w:tcPr>
          <w:p w14:paraId="4373A5CE">
            <w:pPr>
              <w:rPr>
                <w:rFonts w:ascii="Arial"/>
                <w:sz w:val="21"/>
              </w:rPr>
            </w:pPr>
          </w:p>
        </w:tc>
      </w:tr>
    </w:tbl>
    <w:p w14:paraId="01F179D9">
      <w:pPr>
        <w:spacing w:before="54" w:line="220" w:lineRule="auto"/>
        <w:ind w:left="10838"/>
        <w:rPr>
          <w:rFonts w:ascii="宋体" w:hAnsi="宋体" w:eastAsia="宋体" w:cs="宋体"/>
          <w:sz w:val="18"/>
          <w:szCs w:val="18"/>
        </w:rPr>
      </w:pPr>
      <w:r>
        <w:rPr>
          <w:rFonts w:ascii="宋体" w:hAnsi="宋体" w:eastAsia="宋体" w:cs="宋体"/>
          <w:spacing w:val="-2"/>
          <w:sz w:val="18"/>
          <w:szCs w:val="18"/>
        </w:rPr>
        <w:t>法定代表人</w:t>
      </w:r>
    </w:p>
    <w:p w14:paraId="3E131E18">
      <w:pPr>
        <w:spacing w:before="278" w:line="213" w:lineRule="auto"/>
        <w:ind w:left="10568"/>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6"/>
          <w:sz w:val="18"/>
          <w:szCs w:val="18"/>
        </w:rPr>
        <w:t>）：</w:t>
      </w:r>
      <w:r>
        <w:rPr>
          <w:rFonts w:ascii="宋体" w:hAnsi="宋体" w:eastAsia="宋体" w:cs="宋体"/>
          <w:spacing w:val="-2"/>
          <w:sz w:val="18"/>
          <w:szCs w:val="18"/>
        </w:rPr>
        <w:t>_______（签字）</w:t>
      </w:r>
    </w:p>
    <w:p w14:paraId="4FFEE12D">
      <w:pPr>
        <w:spacing w:line="213" w:lineRule="auto"/>
        <w:rPr>
          <w:rFonts w:ascii="宋体" w:hAnsi="宋体" w:eastAsia="宋体" w:cs="宋体"/>
          <w:sz w:val="18"/>
          <w:szCs w:val="18"/>
        </w:rPr>
        <w:sectPr>
          <w:footerReference r:id="rId170" w:type="default"/>
          <w:pgSz w:w="16843" w:h="11905" w:orient="landscape"/>
          <w:pgMar w:top="1480" w:right="969" w:bottom="1355" w:left="1026" w:header="0" w:footer="754" w:gutter="0"/>
          <w:cols w:space="0" w:num="1"/>
          <w:rtlGutter w:val="0"/>
          <w:docGrid w:linePitch="0" w:charSpace="0"/>
        </w:sectPr>
      </w:pPr>
    </w:p>
    <w:p w14:paraId="1B7F542F">
      <w:pPr>
        <w:pStyle w:val="5"/>
        <w:spacing w:line="265" w:lineRule="auto"/>
      </w:pPr>
    </w:p>
    <w:p w14:paraId="346F1A3E">
      <w:pPr>
        <w:pStyle w:val="5"/>
        <w:spacing w:line="265" w:lineRule="auto"/>
      </w:pPr>
    </w:p>
    <w:p w14:paraId="7066316E">
      <w:pPr>
        <w:pStyle w:val="5"/>
        <w:spacing w:line="266" w:lineRule="auto"/>
      </w:pPr>
    </w:p>
    <w:p w14:paraId="43CD7BDC">
      <w:pPr>
        <w:pStyle w:val="5"/>
        <w:spacing w:line="266" w:lineRule="auto"/>
      </w:pPr>
    </w:p>
    <w:p w14:paraId="27E90427">
      <w:pPr>
        <w:pStyle w:val="5"/>
        <w:spacing w:line="266" w:lineRule="auto"/>
      </w:pPr>
    </w:p>
    <w:p w14:paraId="3362B6C9">
      <w:pPr>
        <w:spacing w:before="78" w:line="233" w:lineRule="auto"/>
        <w:ind w:left="19"/>
        <w:outlineLvl w:val="2"/>
        <w:rPr>
          <w:rFonts w:ascii="黑体" w:hAnsi="黑体" w:eastAsia="黑体" w:cs="黑体"/>
          <w:sz w:val="24"/>
          <w:szCs w:val="24"/>
        </w:rPr>
      </w:pPr>
      <w:bookmarkStart w:id="1286" w:name="bookmark396"/>
      <w:bookmarkEnd w:id="1286"/>
      <w:r>
        <w:rPr>
          <w:rFonts w:ascii="Times New Roman" w:hAnsi="Times New Roman" w:eastAsia="Times New Roman" w:cs="Times New Roman"/>
          <w:spacing w:val="-1"/>
          <w:sz w:val="24"/>
          <w:szCs w:val="24"/>
        </w:rPr>
        <w:t xml:space="preserve">3.21 </w:t>
      </w:r>
      <w:r>
        <w:rPr>
          <w:rFonts w:ascii="黑体" w:hAnsi="黑体" w:eastAsia="黑体" w:cs="黑体"/>
          <w:spacing w:val="-1"/>
          <w:sz w:val="24"/>
          <w:szCs w:val="24"/>
        </w:rPr>
        <w:t>招标人提供施工设备表</w:t>
      </w:r>
    </w:p>
    <w:p w14:paraId="14431F06">
      <w:pPr>
        <w:spacing w:before="284" w:line="219" w:lineRule="auto"/>
        <w:ind w:left="2516"/>
        <w:rPr>
          <w:rFonts w:ascii="宋体" w:hAnsi="宋体" w:eastAsia="宋体" w:cs="宋体"/>
          <w:sz w:val="40"/>
          <w:szCs w:val="40"/>
        </w:rPr>
      </w:pPr>
      <w:r>
        <w:rPr>
          <w:rFonts w:ascii="宋体" w:hAnsi="宋体" w:eastAsia="宋体" w:cs="宋体"/>
          <w:b/>
          <w:bCs/>
          <w:spacing w:val="-5"/>
          <w:sz w:val="40"/>
          <w:szCs w:val="40"/>
        </w:rPr>
        <w:t>招标人提供施工设备表</w:t>
      </w:r>
    </w:p>
    <w:p w14:paraId="2CA089A6">
      <w:pPr>
        <w:spacing w:before="15" w:line="228" w:lineRule="auto"/>
        <w:ind w:left="126"/>
        <w:rPr>
          <w:rFonts w:ascii="宋体" w:hAnsi="宋体" w:eastAsia="宋体" w:cs="宋体"/>
          <w:sz w:val="19"/>
          <w:szCs w:val="19"/>
        </w:rPr>
      </w:pPr>
      <w:r>
        <w:rPr>
          <w:rFonts w:ascii="宋体" w:hAnsi="宋体" w:eastAsia="宋体" w:cs="宋体"/>
          <w:spacing w:val="5"/>
          <w:sz w:val="19"/>
          <w:szCs w:val="19"/>
        </w:rPr>
        <w:t>合同编号：</w:t>
      </w:r>
    </w:p>
    <w:p w14:paraId="4CBFF586">
      <w:pPr>
        <w:spacing w:before="24" w:line="222" w:lineRule="auto"/>
        <w:ind w:left="127"/>
        <w:rPr>
          <w:rFonts w:ascii="宋体" w:hAnsi="宋体" w:eastAsia="宋体" w:cs="宋体"/>
          <w:sz w:val="19"/>
          <w:szCs w:val="19"/>
        </w:rPr>
      </w:pPr>
      <w:r>
        <w:rPr>
          <w:rFonts w:ascii="宋体" w:hAnsi="宋体" w:eastAsia="宋体" w:cs="宋体"/>
          <w:spacing w:val="1"/>
          <w:sz w:val="19"/>
          <w:szCs w:val="19"/>
        </w:rPr>
        <w:t>工程名称：                                                                第</w:t>
      </w:r>
      <w:r>
        <w:rPr>
          <w:rFonts w:ascii="宋体" w:hAnsi="宋体" w:eastAsia="宋体" w:cs="宋体"/>
          <w:spacing w:val="29"/>
          <w:sz w:val="19"/>
          <w:szCs w:val="19"/>
        </w:rPr>
        <w:t xml:space="preserve"> </w:t>
      </w:r>
      <w:r>
        <w:rPr>
          <w:rFonts w:ascii="宋体" w:hAnsi="宋体" w:eastAsia="宋体" w:cs="宋体"/>
          <w:spacing w:val="1"/>
          <w:sz w:val="19"/>
          <w:szCs w:val="19"/>
        </w:rPr>
        <w:t>1 页、共</w:t>
      </w:r>
      <w:r>
        <w:rPr>
          <w:rFonts w:ascii="宋体" w:hAnsi="宋体" w:eastAsia="宋体" w:cs="宋体"/>
          <w:spacing w:val="29"/>
          <w:sz w:val="19"/>
          <w:szCs w:val="19"/>
        </w:rPr>
        <w:t xml:space="preserve"> </w:t>
      </w:r>
      <w:r>
        <w:rPr>
          <w:rFonts w:ascii="宋体" w:hAnsi="宋体" w:eastAsia="宋体" w:cs="宋体"/>
          <w:spacing w:val="1"/>
          <w:sz w:val="19"/>
          <w:szCs w:val="19"/>
        </w:rPr>
        <w:t>1</w:t>
      </w:r>
      <w:r>
        <w:rPr>
          <w:rFonts w:ascii="宋体" w:hAnsi="宋体" w:eastAsia="宋体" w:cs="宋体"/>
          <w:sz w:val="19"/>
          <w:szCs w:val="19"/>
        </w:rPr>
        <w:t xml:space="preserve"> 页</w:t>
      </w:r>
    </w:p>
    <w:tbl>
      <w:tblPr>
        <w:tblStyle w:val="10"/>
        <w:tblW w:w="900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961"/>
        <w:gridCol w:w="1618"/>
        <w:gridCol w:w="623"/>
        <w:gridCol w:w="1018"/>
        <w:gridCol w:w="810"/>
        <w:gridCol w:w="994"/>
        <w:gridCol w:w="952"/>
        <w:gridCol w:w="1054"/>
      </w:tblGrid>
      <w:tr w14:paraId="37CA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70" w:type="dxa"/>
            <w:tcBorders>
              <w:top w:val="single" w:color="000000" w:sz="6" w:space="0"/>
              <w:left w:val="single" w:color="000000" w:sz="6" w:space="0"/>
            </w:tcBorders>
            <w:vAlign w:val="top"/>
          </w:tcPr>
          <w:p w14:paraId="48A5F9F0">
            <w:pPr>
              <w:pStyle w:val="11"/>
              <w:spacing w:before="166" w:line="230" w:lineRule="auto"/>
              <w:ind w:left="282"/>
              <w:rPr>
                <w:sz w:val="19"/>
                <w:szCs w:val="19"/>
              </w:rPr>
            </w:pPr>
            <w:r>
              <w:rPr>
                <w:spacing w:val="5"/>
                <w:sz w:val="19"/>
                <w:szCs w:val="19"/>
              </w:rPr>
              <w:t>序号</w:t>
            </w:r>
          </w:p>
        </w:tc>
        <w:tc>
          <w:tcPr>
            <w:tcW w:w="961" w:type="dxa"/>
            <w:tcBorders>
              <w:top w:val="single" w:color="000000" w:sz="6" w:space="0"/>
            </w:tcBorders>
            <w:vAlign w:val="top"/>
          </w:tcPr>
          <w:p w14:paraId="0B0B52A7">
            <w:pPr>
              <w:pStyle w:val="11"/>
              <w:spacing w:before="167" w:line="228" w:lineRule="auto"/>
              <w:ind w:left="282"/>
              <w:rPr>
                <w:sz w:val="19"/>
                <w:szCs w:val="19"/>
              </w:rPr>
            </w:pPr>
            <w:r>
              <w:rPr>
                <w:spacing w:val="4"/>
                <w:sz w:val="19"/>
                <w:szCs w:val="19"/>
              </w:rPr>
              <w:t>编码</w:t>
            </w:r>
          </w:p>
        </w:tc>
        <w:tc>
          <w:tcPr>
            <w:tcW w:w="1618" w:type="dxa"/>
            <w:tcBorders>
              <w:top w:val="single" w:color="000000" w:sz="6" w:space="0"/>
            </w:tcBorders>
            <w:vAlign w:val="top"/>
          </w:tcPr>
          <w:p w14:paraId="62458447">
            <w:pPr>
              <w:pStyle w:val="11"/>
              <w:spacing w:before="166" w:line="230" w:lineRule="auto"/>
              <w:ind w:left="415"/>
              <w:rPr>
                <w:sz w:val="19"/>
                <w:szCs w:val="19"/>
              </w:rPr>
            </w:pPr>
            <w:r>
              <w:rPr>
                <w:spacing w:val="6"/>
                <w:sz w:val="19"/>
                <w:szCs w:val="19"/>
              </w:rPr>
              <w:t>设备名称</w:t>
            </w:r>
          </w:p>
        </w:tc>
        <w:tc>
          <w:tcPr>
            <w:tcW w:w="623" w:type="dxa"/>
            <w:tcBorders>
              <w:top w:val="single" w:color="000000" w:sz="6" w:space="0"/>
            </w:tcBorders>
            <w:vAlign w:val="top"/>
          </w:tcPr>
          <w:p w14:paraId="19BBDC4B">
            <w:pPr>
              <w:pStyle w:val="11"/>
              <w:spacing w:before="36" w:line="230" w:lineRule="auto"/>
              <w:ind w:left="120"/>
              <w:rPr>
                <w:sz w:val="19"/>
                <w:szCs w:val="19"/>
              </w:rPr>
            </w:pPr>
            <w:r>
              <w:rPr>
                <w:spacing w:val="2"/>
                <w:sz w:val="19"/>
                <w:szCs w:val="19"/>
              </w:rPr>
              <w:t>型号</w:t>
            </w:r>
          </w:p>
          <w:p w14:paraId="56F914BB">
            <w:pPr>
              <w:pStyle w:val="11"/>
              <w:spacing w:before="23" w:line="216" w:lineRule="auto"/>
              <w:ind w:left="114"/>
              <w:rPr>
                <w:sz w:val="19"/>
                <w:szCs w:val="19"/>
              </w:rPr>
            </w:pPr>
            <w:r>
              <w:rPr>
                <w:spacing w:val="4"/>
                <w:sz w:val="19"/>
                <w:szCs w:val="19"/>
              </w:rPr>
              <w:t>规格</w:t>
            </w:r>
          </w:p>
        </w:tc>
        <w:tc>
          <w:tcPr>
            <w:tcW w:w="1018" w:type="dxa"/>
            <w:tcBorders>
              <w:top w:val="single" w:color="000000" w:sz="6" w:space="0"/>
            </w:tcBorders>
            <w:vAlign w:val="top"/>
          </w:tcPr>
          <w:p w14:paraId="6B2985D4">
            <w:pPr>
              <w:pStyle w:val="11"/>
              <w:spacing w:before="166" w:line="229" w:lineRule="auto"/>
              <w:ind w:left="115"/>
              <w:rPr>
                <w:sz w:val="19"/>
                <w:szCs w:val="19"/>
              </w:rPr>
            </w:pPr>
            <w:r>
              <w:rPr>
                <w:spacing w:val="7"/>
                <w:sz w:val="19"/>
                <w:szCs w:val="19"/>
              </w:rPr>
              <w:t>计量单位</w:t>
            </w:r>
          </w:p>
        </w:tc>
        <w:tc>
          <w:tcPr>
            <w:tcW w:w="810" w:type="dxa"/>
            <w:tcBorders>
              <w:top w:val="single" w:color="000000" w:sz="6" w:space="0"/>
            </w:tcBorders>
            <w:vAlign w:val="top"/>
          </w:tcPr>
          <w:p w14:paraId="0D79FC13">
            <w:pPr>
              <w:pStyle w:val="11"/>
              <w:spacing w:before="167" w:line="228" w:lineRule="auto"/>
              <w:ind w:left="212"/>
              <w:rPr>
                <w:sz w:val="19"/>
                <w:szCs w:val="19"/>
              </w:rPr>
            </w:pPr>
            <w:r>
              <w:rPr>
                <w:spacing w:val="4"/>
                <w:sz w:val="19"/>
                <w:szCs w:val="19"/>
              </w:rPr>
              <w:t>数量</w:t>
            </w:r>
          </w:p>
        </w:tc>
        <w:tc>
          <w:tcPr>
            <w:tcW w:w="994" w:type="dxa"/>
            <w:tcBorders>
              <w:top w:val="single" w:color="000000" w:sz="6" w:space="0"/>
            </w:tcBorders>
            <w:vAlign w:val="top"/>
          </w:tcPr>
          <w:p w14:paraId="07132491">
            <w:pPr>
              <w:pStyle w:val="11"/>
              <w:spacing w:before="37" w:line="234" w:lineRule="auto"/>
              <w:ind w:left="410" w:right="191" w:hanging="199"/>
              <w:rPr>
                <w:sz w:val="19"/>
                <w:szCs w:val="19"/>
              </w:rPr>
            </w:pPr>
            <w:r>
              <w:rPr>
                <w:spacing w:val="5"/>
                <w:sz w:val="19"/>
                <w:szCs w:val="19"/>
              </w:rPr>
              <w:t>交货方</w:t>
            </w:r>
            <w:r>
              <w:rPr>
                <w:sz w:val="19"/>
                <w:szCs w:val="19"/>
              </w:rPr>
              <w:t>式</w:t>
            </w:r>
          </w:p>
        </w:tc>
        <w:tc>
          <w:tcPr>
            <w:tcW w:w="952" w:type="dxa"/>
            <w:tcBorders>
              <w:top w:val="single" w:color="000000" w:sz="6" w:space="0"/>
            </w:tcBorders>
            <w:vAlign w:val="top"/>
          </w:tcPr>
          <w:p w14:paraId="3B39402A">
            <w:pPr>
              <w:pStyle w:val="11"/>
              <w:spacing w:before="37" w:line="234" w:lineRule="auto"/>
              <w:ind w:left="397" w:right="169" w:hanging="211"/>
              <w:rPr>
                <w:sz w:val="19"/>
                <w:szCs w:val="19"/>
              </w:rPr>
            </w:pPr>
            <w:r>
              <w:rPr>
                <w:spacing w:val="7"/>
                <w:sz w:val="19"/>
                <w:szCs w:val="19"/>
              </w:rPr>
              <w:t>送达地</w:t>
            </w:r>
            <w:r>
              <w:rPr>
                <w:sz w:val="19"/>
                <w:szCs w:val="19"/>
              </w:rPr>
              <w:t>点</w:t>
            </w:r>
          </w:p>
        </w:tc>
        <w:tc>
          <w:tcPr>
            <w:tcW w:w="1054" w:type="dxa"/>
            <w:tcBorders>
              <w:top w:val="single" w:color="000000" w:sz="6" w:space="0"/>
              <w:right w:val="single" w:color="000000" w:sz="6" w:space="0"/>
            </w:tcBorders>
            <w:vAlign w:val="top"/>
          </w:tcPr>
          <w:p w14:paraId="43F382CF">
            <w:pPr>
              <w:pStyle w:val="11"/>
              <w:spacing w:before="166" w:line="230" w:lineRule="auto"/>
              <w:ind w:left="335"/>
              <w:rPr>
                <w:sz w:val="19"/>
                <w:szCs w:val="19"/>
              </w:rPr>
            </w:pPr>
            <w:r>
              <w:rPr>
                <w:spacing w:val="4"/>
                <w:sz w:val="19"/>
                <w:szCs w:val="19"/>
              </w:rPr>
              <w:t>备注</w:t>
            </w:r>
          </w:p>
        </w:tc>
      </w:tr>
      <w:tr w14:paraId="779C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7781425F">
            <w:pPr>
              <w:rPr>
                <w:rFonts w:ascii="Arial"/>
                <w:sz w:val="21"/>
              </w:rPr>
            </w:pPr>
          </w:p>
        </w:tc>
        <w:tc>
          <w:tcPr>
            <w:tcW w:w="961" w:type="dxa"/>
            <w:vAlign w:val="top"/>
          </w:tcPr>
          <w:p w14:paraId="61267147">
            <w:pPr>
              <w:rPr>
                <w:rFonts w:ascii="Arial"/>
                <w:sz w:val="21"/>
              </w:rPr>
            </w:pPr>
          </w:p>
        </w:tc>
        <w:tc>
          <w:tcPr>
            <w:tcW w:w="1618" w:type="dxa"/>
            <w:vAlign w:val="top"/>
          </w:tcPr>
          <w:p w14:paraId="7E0B6245">
            <w:pPr>
              <w:rPr>
                <w:rFonts w:ascii="Arial"/>
                <w:sz w:val="21"/>
              </w:rPr>
            </w:pPr>
          </w:p>
        </w:tc>
        <w:tc>
          <w:tcPr>
            <w:tcW w:w="623" w:type="dxa"/>
            <w:vAlign w:val="top"/>
          </w:tcPr>
          <w:p w14:paraId="1F989E8F">
            <w:pPr>
              <w:rPr>
                <w:rFonts w:ascii="Arial"/>
                <w:sz w:val="21"/>
              </w:rPr>
            </w:pPr>
          </w:p>
        </w:tc>
        <w:tc>
          <w:tcPr>
            <w:tcW w:w="1018" w:type="dxa"/>
            <w:vAlign w:val="top"/>
          </w:tcPr>
          <w:p w14:paraId="68E0DC2F">
            <w:pPr>
              <w:rPr>
                <w:rFonts w:ascii="Arial"/>
                <w:sz w:val="21"/>
              </w:rPr>
            </w:pPr>
          </w:p>
        </w:tc>
        <w:tc>
          <w:tcPr>
            <w:tcW w:w="810" w:type="dxa"/>
            <w:vAlign w:val="top"/>
          </w:tcPr>
          <w:p w14:paraId="2964ADC2">
            <w:pPr>
              <w:rPr>
                <w:rFonts w:ascii="Arial"/>
                <w:sz w:val="21"/>
              </w:rPr>
            </w:pPr>
          </w:p>
        </w:tc>
        <w:tc>
          <w:tcPr>
            <w:tcW w:w="994" w:type="dxa"/>
            <w:vAlign w:val="top"/>
          </w:tcPr>
          <w:p w14:paraId="1C0FE942">
            <w:pPr>
              <w:rPr>
                <w:rFonts w:ascii="Arial"/>
                <w:sz w:val="21"/>
              </w:rPr>
            </w:pPr>
          </w:p>
        </w:tc>
        <w:tc>
          <w:tcPr>
            <w:tcW w:w="952" w:type="dxa"/>
            <w:vAlign w:val="top"/>
          </w:tcPr>
          <w:p w14:paraId="259DFE23">
            <w:pPr>
              <w:rPr>
                <w:rFonts w:ascii="Arial"/>
                <w:sz w:val="21"/>
              </w:rPr>
            </w:pPr>
          </w:p>
        </w:tc>
        <w:tc>
          <w:tcPr>
            <w:tcW w:w="1054" w:type="dxa"/>
            <w:tcBorders>
              <w:right w:val="single" w:color="000000" w:sz="6" w:space="0"/>
            </w:tcBorders>
            <w:vAlign w:val="top"/>
          </w:tcPr>
          <w:p w14:paraId="23280B32">
            <w:pPr>
              <w:rPr>
                <w:rFonts w:ascii="Arial"/>
                <w:sz w:val="21"/>
              </w:rPr>
            </w:pPr>
          </w:p>
        </w:tc>
      </w:tr>
      <w:tr w14:paraId="7FD8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70" w:type="dxa"/>
            <w:tcBorders>
              <w:left w:val="single" w:color="000000" w:sz="6" w:space="0"/>
            </w:tcBorders>
            <w:vAlign w:val="top"/>
          </w:tcPr>
          <w:p w14:paraId="53F82959">
            <w:pPr>
              <w:rPr>
                <w:rFonts w:ascii="Arial"/>
                <w:sz w:val="21"/>
              </w:rPr>
            </w:pPr>
          </w:p>
        </w:tc>
        <w:tc>
          <w:tcPr>
            <w:tcW w:w="961" w:type="dxa"/>
            <w:vAlign w:val="top"/>
          </w:tcPr>
          <w:p w14:paraId="259279B4">
            <w:pPr>
              <w:rPr>
                <w:rFonts w:ascii="Arial"/>
                <w:sz w:val="21"/>
              </w:rPr>
            </w:pPr>
          </w:p>
        </w:tc>
        <w:tc>
          <w:tcPr>
            <w:tcW w:w="1618" w:type="dxa"/>
            <w:vAlign w:val="top"/>
          </w:tcPr>
          <w:p w14:paraId="6B6D4B74">
            <w:pPr>
              <w:rPr>
                <w:rFonts w:ascii="Arial"/>
                <w:sz w:val="21"/>
              </w:rPr>
            </w:pPr>
          </w:p>
        </w:tc>
        <w:tc>
          <w:tcPr>
            <w:tcW w:w="623" w:type="dxa"/>
            <w:vAlign w:val="top"/>
          </w:tcPr>
          <w:p w14:paraId="4675D9D0">
            <w:pPr>
              <w:rPr>
                <w:rFonts w:ascii="Arial"/>
                <w:sz w:val="21"/>
              </w:rPr>
            </w:pPr>
          </w:p>
        </w:tc>
        <w:tc>
          <w:tcPr>
            <w:tcW w:w="1018" w:type="dxa"/>
            <w:vAlign w:val="top"/>
          </w:tcPr>
          <w:p w14:paraId="0D446786">
            <w:pPr>
              <w:rPr>
                <w:rFonts w:ascii="Arial"/>
                <w:sz w:val="21"/>
              </w:rPr>
            </w:pPr>
          </w:p>
        </w:tc>
        <w:tc>
          <w:tcPr>
            <w:tcW w:w="810" w:type="dxa"/>
            <w:vAlign w:val="top"/>
          </w:tcPr>
          <w:p w14:paraId="132D2E55">
            <w:pPr>
              <w:rPr>
                <w:rFonts w:ascii="Arial"/>
                <w:sz w:val="21"/>
              </w:rPr>
            </w:pPr>
          </w:p>
        </w:tc>
        <w:tc>
          <w:tcPr>
            <w:tcW w:w="994" w:type="dxa"/>
            <w:vAlign w:val="top"/>
          </w:tcPr>
          <w:p w14:paraId="0451A34F">
            <w:pPr>
              <w:rPr>
                <w:rFonts w:ascii="Arial"/>
                <w:sz w:val="21"/>
              </w:rPr>
            </w:pPr>
          </w:p>
        </w:tc>
        <w:tc>
          <w:tcPr>
            <w:tcW w:w="952" w:type="dxa"/>
            <w:vAlign w:val="top"/>
          </w:tcPr>
          <w:p w14:paraId="3EBADC16">
            <w:pPr>
              <w:rPr>
                <w:rFonts w:ascii="Arial"/>
                <w:sz w:val="21"/>
              </w:rPr>
            </w:pPr>
          </w:p>
        </w:tc>
        <w:tc>
          <w:tcPr>
            <w:tcW w:w="1054" w:type="dxa"/>
            <w:tcBorders>
              <w:right w:val="single" w:color="000000" w:sz="6" w:space="0"/>
            </w:tcBorders>
            <w:vAlign w:val="top"/>
          </w:tcPr>
          <w:p w14:paraId="7D86D152">
            <w:pPr>
              <w:rPr>
                <w:rFonts w:ascii="Arial"/>
                <w:sz w:val="21"/>
              </w:rPr>
            </w:pPr>
          </w:p>
        </w:tc>
      </w:tr>
      <w:tr w14:paraId="0DD74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71CCC0EA">
            <w:pPr>
              <w:rPr>
                <w:rFonts w:ascii="Arial"/>
                <w:sz w:val="21"/>
              </w:rPr>
            </w:pPr>
          </w:p>
        </w:tc>
        <w:tc>
          <w:tcPr>
            <w:tcW w:w="961" w:type="dxa"/>
            <w:vAlign w:val="top"/>
          </w:tcPr>
          <w:p w14:paraId="17AB2AF7">
            <w:pPr>
              <w:rPr>
                <w:rFonts w:ascii="Arial"/>
                <w:sz w:val="21"/>
              </w:rPr>
            </w:pPr>
          </w:p>
        </w:tc>
        <w:tc>
          <w:tcPr>
            <w:tcW w:w="1618" w:type="dxa"/>
            <w:vAlign w:val="top"/>
          </w:tcPr>
          <w:p w14:paraId="654BC085">
            <w:pPr>
              <w:rPr>
                <w:rFonts w:ascii="Arial"/>
                <w:sz w:val="21"/>
              </w:rPr>
            </w:pPr>
          </w:p>
        </w:tc>
        <w:tc>
          <w:tcPr>
            <w:tcW w:w="623" w:type="dxa"/>
            <w:vAlign w:val="top"/>
          </w:tcPr>
          <w:p w14:paraId="289F689F">
            <w:pPr>
              <w:rPr>
                <w:rFonts w:ascii="Arial"/>
                <w:sz w:val="21"/>
              </w:rPr>
            </w:pPr>
          </w:p>
        </w:tc>
        <w:tc>
          <w:tcPr>
            <w:tcW w:w="1018" w:type="dxa"/>
            <w:vAlign w:val="top"/>
          </w:tcPr>
          <w:p w14:paraId="275DF1EE">
            <w:pPr>
              <w:rPr>
                <w:rFonts w:ascii="Arial"/>
                <w:sz w:val="21"/>
              </w:rPr>
            </w:pPr>
          </w:p>
        </w:tc>
        <w:tc>
          <w:tcPr>
            <w:tcW w:w="810" w:type="dxa"/>
            <w:vAlign w:val="top"/>
          </w:tcPr>
          <w:p w14:paraId="16D59D53">
            <w:pPr>
              <w:rPr>
                <w:rFonts w:ascii="Arial"/>
                <w:sz w:val="21"/>
              </w:rPr>
            </w:pPr>
          </w:p>
        </w:tc>
        <w:tc>
          <w:tcPr>
            <w:tcW w:w="994" w:type="dxa"/>
            <w:vAlign w:val="top"/>
          </w:tcPr>
          <w:p w14:paraId="00E22EA8">
            <w:pPr>
              <w:rPr>
                <w:rFonts w:ascii="Arial"/>
                <w:sz w:val="21"/>
              </w:rPr>
            </w:pPr>
          </w:p>
        </w:tc>
        <w:tc>
          <w:tcPr>
            <w:tcW w:w="952" w:type="dxa"/>
            <w:vAlign w:val="top"/>
          </w:tcPr>
          <w:p w14:paraId="3C942F60">
            <w:pPr>
              <w:rPr>
                <w:rFonts w:ascii="Arial"/>
                <w:sz w:val="21"/>
              </w:rPr>
            </w:pPr>
          </w:p>
        </w:tc>
        <w:tc>
          <w:tcPr>
            <w:tcW w:w="1054" w:type="dxa"/>
            <w:tcBorders>
              <w:right w:val="single" w:color="000000" w:sz="6" w:space="0"/>
            </w:tcBorders>
            <w:vAlign w:val="top"/>
          </w:tcPr>
          <w:p w14:paraId="130C1DBF">
            <w:pPr>
              <w:rPr>
                <w:rFonts w:ascii="Arial"/>
                <w:sz w:val="21"/>
              </w:rPr>
            </w:pPr>
          </w:p>
        </w:tc>
      </w:tr>
      <w:tr w14:paraId="046F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3C1B8729">
            <w:pPr>
              <w:rPr>
                <w:rFonts w:ascii="Arial"/>
                <w:sz w:val="21"/>
              </w:rPr>
            </w:pPr>
          </w:p>
        </w:tc>
        <w:tc>
          <w:tcPr>
            <w:tcW w:w="961" w:type="dxa"/>
            <w:vAlign w:val="top"/>
          </w:tcPr>
          <w:p w14:paraId="0BCDCABF">
            <w:pPr>
              <w:rPr>
                <w:rFonts w:ascii="Arial"/>
                <w:sz w:val="21"/>
              </w:rPr>
            </w:pPr>
          </w:p>
        </w:tc>
        <w:tc>
          <w:tcPr>
            <w:tcW w:w="1618" w:type="dxa"/>
            <w:vAlign w:val="top"/>
          </w:tcPr>
          <w:p w14:paraId="591612CA">
            <w:pPr>
              <w:rPr>
                <w:rFonts w:ascii="Arial"/>
                <w:sz w:val="21"/>
              </w:rPr>
            </w:pPr>
          </w:p>
        </w:tc>
        <w:tc>
          <w:tcPr>
            <w:tcW w:w="623" w:type="dxa"/>
            <w:vAlign w:val="top"/>
          </w:tcPr>
          <w:p w14:paraId="2D36C35E">
            <w:pPr>
              <w:rPr>
                <w:rFonts w:ascii="Arial"/>
                <w:sz w:val="21"/>
              </w:rPr>
            </w:pPr>
          </w:p>
        </w:tc>
        <w:tc>
          <w:tcPr>
            <w:tcW w:w="1018" w:type="dxa"/>
            <w:vAlign w:val="top"/>
          </w:tcPr>
          <w:p w14:paraId="35BCF5A7">
            <w:pPr>
              <w:rPr>
                <w:rFonts w:ascii="Arial"/>
                <w:sz w:val="21"/>
              </w:rPr>
            </w:pPr>
          </w:p>
        </w:tc>
        <w:tc>
          <w:tcPr>
            <w:tcW w:w="810" w:type="dxa"/>
            <w:vAlign w:val="top"/>
          </w:tcPr>
          <w:p w14:paraId="4CF94051">
            <w:pPr>
              <w:rPr>
                <w:rFonts w:ascii="Arial"/>
                <w:sz w:val="21"/>
              </w:rPr>
            </w:pPr>
          </w:p>
        </w:tc>
        <w:tc>
          <w:tcPr>
            <w:tcW w:w="994" w:type="dxa"/>
            <w:vAlign w:val="top"/>
          </w:tcPr>
          <w:p w14:paraId="155090D7">
            <w:pPr>
              <w:rPr>
                <w:rFonts w:ascii="Arial"/>
                <w:sz w:val="21"/>
              </w:rPr>
            </w:pPr>
          </w:p>
        </w:tc>
        <w:tc>
          <w:tcPr>
            <w:tcW w:w="952" w:type="dxa"/>
            <w:vAlign w:val="top"/>
          </w:tcPr>
          <w:p w14:paraId="0C4F4F93">
            <w:pPr>
              <w:rPr>
                <w:rFonts w:ascii="Arial"/>
                <w:sz w:val="21"/>
              </w:rPr>
            </w:pPr>
          </w:p>
        </w:tc>
        <w:tc>
          <w:tcPr>
            <w:tcW w:w="1054" w:type="dxa"/>
            <w:tcBorders>
              <w:right w:val="single" w:color="000000" w:sz="6" w:space="0"/>
            </w:tcBorders>
            <w:vAlign w:val="top"/>
          </w:tcPr>
          <w:p w14:paraId="7DA8B872">
            <w:pPr>
              <w:rPr>
                <w:rFonts w:ascii="Arial"/>
                <w:sz w:val="21"/>
              </w:rPr>
            </w:pPr>
          </w:p>
        </w:tc>
      </w:tr>
      <w:tr w14:paraId="006A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6F7E8964">
            <w:pPr>
              <w:rPr>
                <w:rFonts w:ascii="Arial"/>
                <w:sz w:val="21"/>
              </w:rPr>
            </w:pPr>
          </w:p>
        </w:tc>
        <w:tc>
          <w:tcPr>
            <w:tcW w:w="961" w:type="dxa"/>
            <w:vAlign w:val="top"/>
          </w:tcPr>
          <w:p w14:paraId="48B97ADF">
            <w:pPr>
              <w:rPr>
                <w:rFonts w:ascii="Arial"/>
                <w:sz w:val="21"/>
              </w:rPr>
            </w:pPr>
          </w:p>
        </w:tc>
        <w:tc>
          <w:tcPr>
            <w:tcW w:w="1618" w:type="dxa"/>
            <w:vAlign w:val="top"/>
          </w:tcPr>
          <w:p w14:paraId="375F5C6A">
            <w:pPr>
              <w:rPr>
                <w:rFonts w:ascii="Arial"/>
                <w:sz w:val="21"/>
              </w:rPr>
            </w:pPr>
          </w:p>
        </w:tc>
        <w:tc>
          <w:tcPr>
            <w:tcW w:w="623" w:type="dxa"/>
            <w:vAlign w:val="top"/>
          </w:tcPr>
          <w:p w14:paraId="529C7845">
            <w:pPr>
              <w:rPr>
                <w:rFonts w:ascii="Arial"/>
                <w:sz w:val="21"/>
              </w:rPr>
            </w:pPr>
          </w:p>
        </w:tc>
        <w:tc>
          <w:tcPr>
            <w:tcW w:w="1018" w:type="dxa"/>
            <w:vAlign w:val="top"/>
          </w:tcPr>
          <w:p w14:paraId="02AE430B">
            <w:pPr>
              <w:rPr>
                <w:rFonts w:ascii="Arial"/>
                <w:sz w:val="21"/>
              </w:rPr>
            </w:pPr>
          </w:p>
        </w:tc>
        <w:tc>
          <w:tcPr>
            <w:tcW w:w="810" w:type="dxa"/>
            <w:vAlign w:val="top"/>
          </w:tcPr>
          <w:p w14:paraId="4A489D00">
            <w:pPr>
              <w:rPr>
                <w:rFonts w:ascii="Arial"/>
                <w:sz w:val="21"/>
              </w:rPr>
            </w:pPr>
          </w:p>
        </w:tc>
        <w:tc>
          <w:tcPr>
            <w:tcW w:w="994" w:type="dxa"/>
            <w:vAlign w:val="top"/>
          </w:tcPr>
          <w:p w14:paraId="333DD83C">
            <w:pPr>
              <w:rPr>
                <w:rFonts w:ascii="Arial"/>
                <w:sz w:val="21"/>
              </w:rPr>
            </w:pPr>
          </w:p>
        </w:tc>
        <w:tc>
          <w:tcPr>
            <w:tcW w:w="952" w:type="dxa"/>
            <w:vAlign w:val="top"/>
          </w:tcPr>
          <w:p w14:paraId="2B8E5D3B">
            <w:pPr>
              <w:rPr>
                <w:rFonts w:ascii="Arial"/>
                <w:sz w:val="21"/>
              </w:rPr>
            </w:pPr>
          </w:p>
        </w:tc>
        <w:tc>
          <w:tcPr>
            <w:tcW w:w="1054" w:type="dxa"/>
            <w:tcBorders>
              <w:right w:val="single" w:color="000000" w:sz="6" w:space="0"/>
            </w:tcBorders>
            <w:vAlign w:val="top"/>
          </w:tcPr>
          <w:p w14:paraId="3AF3D922">
            <w:pPr>
              <w:rPr>
                <w:rFonts w:ascii="Arial"/>
                <w:sz w:val="21"/>
              </w:rPr>
            </w:pPr>
          </w:p>
        </w:tc>
      </w:tr>
      <w:tr w14:paraId="69CC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4E713ACA">
            <w:pPr>
              <w:rPr>
                <w:rFonts w:ascii="Arial"/>
                <w:sz w:val="21"/>
              </w:rPr>
            </w:pPr>
          </w:p>
        </w:tc>
        <w:tc>
          <w:tcPr>
            <w:tcW w:w="961" w:type="dxa"/>
            <w:vAlign w:val="top"/>
          </w:tcPr>
          <w:p w14:paraId="62B39F79">
            <w:pPr>
              <w:rPr>
                <w:rFonts w:ascii="Arial"/>
                <w:sz w:val="21"/>
              </w:rPr>
            </w:pPr>
          </w:p>
        </w:tc>
        <w:tc>
          <w:tcPr>
            <w:tcW w:w="1618" w:type="dxa"/>
            <w:vAlign w:val="top"/>
          </w:tcPr>
          <w:p w14:paraId="6AA5674D">
            <w:pPr>
              <w:rPr>
                <w:rFonts w:ascii="Arial"/>
                <w:sz w:val="21"/>
              </w:rPr>
            </w:pPr>
          </w:p>
        </w:tc>
        <w:tc>
          <w:tcPr>
            <w:tcW w:w="623" w:type="dxa"/>
            <w:vAlign w:val="top"/>
          </w:tcPr>
          <w:p w14:paraId="7ABBD446">
            <w:pPr>
              <w:rPr>
                <w:rFonts w:ascii="Arial"/>
                <w:sz w:val="21"/>
              </w:rPr>
            </w:pPr>
          </w:p>
        </w:tc>
        <w:tc>
          <w:tcPr>
            <w:tcW w:w="1018" w:type="dxa"/>
            <w:vAlign w:val="top"/>
          </w:tcPr>
          <w:p w14:paraId="5D44F02E">
            <w:pPr>
              <w:rPr>
                <w:rFonts w:ascii="Arial"/>
                <w:sz w:val="21"/>
              </w:rPr>
            </w:pPr>
          </w:p>
        </w:tc>
        <w:tc>
          <w:tcPr>
            <w:tcW w:w="810" w:type="dxa"/>
            <w:vAlign w:val="top"/>
          </w:tcPr>
          <w:p w14:paraId="20701927">
            <w:pPr>
              <w:rPr>
                <w:rFonts w:ascii="Arial"/>
                <w:sz w:val="21"/>
              </w:rPr>
            </w:pPr>
          </w:p>
        </w:tc>
        <w:tc>
          <w:tcPr>
            <w:tcW w:w="994" w:type="dxa"/>
            <w:vAlign w:val="top"/>
          </w:tcPr>
          <w:p w14:paraId="772D685A">
            <w:pPr>
              <w:rPr>
                <w:rFonts w:ascii="Arial"/>
                <w:sz w:val="21"/>
              </w:rPr>
            </w:pPr>
          </w:p>
        </w:tc>
        <w:tc>
          <w:tcPr>
            <w:tcW w:w="952" w:type="dxa"/>
            <w:vAlign w:val="top"/>
          </w:tcPr>
          <w:p w14:paraId="324E9050">
            <w:pPr>
              <w:rPr>
                <w:rFonts w:ascii="Arial"/>
                <w:sz w:val="21"/>
              </w:rPr>
            </w:pPr>
          </w:p>
        </w:tc>
        <w:tc>
          <w:tcPr>
            <w:tcW w:w="1054" w:type="dxa"/>
            <w:tcBorders>
              <w:right w:val="single" w:color="000000" w:sz="6" w:space="0"/>
            </w:tcBorders>
            <w:vAlign w:val="top"/>
          </w:tcPr>
          <w:p w14:paraId="6B44F97B">
            <w:pPr>
              <w:rPr>
                <w:rFonts w:ascii="Arial"/>
                <w:sz w:val="21"/>
              </w:rPr>
            </w:pPr>
          </w:p>
        </w:tc>
      </w:tr>
      <w:tr w14:paraId="6E1FD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7CF1D21F">
            <w:pPr>
              <w:rPr>
                <w:rFonts w:ascii="Arial"/>
                <w:sz w:val="21"/>
              </w:rPr>
            </w:pPr>
          </w:p>
        </w:tc>
        <w:tc>
          <w:tcPr>
            <w:tcW w:w="961" w:type="dxa"/>
            <w:vAlign w:val="top"/>
          </w:tcPr>
          <w:p w14:paraId="0DC62A89">
            <w:pPr>
              <w:rPr>
                <w:rFonts w:ascii="Arial"/>
                <w:sz w:val="21"/>
              </w:rPr>
            </w:pPr>
          </w:p>
        </w:tc>
        <w:tc>
          <w:tcPr>
            <w:tcW w:w="1618" w:type="dxa"/>
            <w:vAlign w:val="top"/>
          </w:tcPr>
          <w:p w14:paraId="744CB29A">
            <w:pPr>
              <w:rPr>
                <w:rFonts w:ascii="Arial"/>
                <w:sz w:val="21"/>
              </w:rPr>
            </w:pPr>
          </w:p>
        </w:tc>
        <w:tc>
          <w:tcPr>
            <w:tcW w:w="623" w:type="dxa"/>
            <w:vAlign w:val="top"/>
          </w:tcPr>
          <w:p w14:paraId="0FE393ED">
            <w:pPr>
              <w:rPr>
                <w:rFonts w:ascii="Arial"/>
                <w:sz w:val="21"/>
              </w:rPr>
            </w:pPr>
          </w:p>
        </w:tc>
        <w:tc>
          <w:tcPr>
            <w:tcW w:w="1018" w:type="dxa"/>
            <w:vAlign w:val="top"/>
          </w:tcPr>
          <w:p w14:paraId="4A61F9F5">
            <w:pPr>
              <w:rPr>
                <w:rFonts w:ascii="Arial"/>
                <w:sz w:val="21"/>
              </w:rPr>
            </w:pPr>
          </w:p>
        </w:tc>
        <w:tc>
          <w:tcPr>
            <w:tcW w:w="810" w:type="dxa"/>
            <w:vAlign w:val="top"/>
          </w:tcPr>
          <w:p w14:paraId="15C21260">
            <w:pPr>
              <w:rPr>
                <w:rFonts w:ascii="Arial"/>
                <w:sz w:val="21"/>
              </w:rPr>
            </w:pPr>
          </w:p>
        </w:tc>
        <w:tc>
          <w:tcPr>
            <w:tcW w:w="994" w:type="dxa"/>
            <w:vAlign w:val="top"/>
          </w:tcPr>
          <w:p w14:paraId="626FE18F">
            <w:pPr>
              <w:rPr>
                <w:rFonts w:ascii="Arial"/>
                <w:sz w:val="21"/>
              </w:rPr>
            </w:pPr>
          </w:p>
        </w:tc>
        <w:tc>
          <w:tcPr>
            <w:tcW w:w="952" w:type="dxa"/>
            <w:vAlign w:val="top"/>
          </w:tcPr>
          <w:p w14:paraId="575A6917">
            <w:pPr>
              <w:rPr>
                <w:rFonts w:ascii="Arial"/>
                <w:sz w:val="21"/>
              </w:rPr>
            </w:pPr>
          </w:p>
        </w:tc>
        <w:tc>
          <w:tcPr>
            <w:tcW w:w="1054" w:type="dxa"/>
            <w:tcBorders>
              <w:right w:val="single" w:color="000000" w:sz="6" w:space="0"/>
            </w:tcBorders>
            <w:vAlign w:val="top"/>
          </w:tcPr>
          <w:p w14:paraId="541DFF1A">
            <w:pPr>
              <w:rPr>
                <w:rFonts w:ascii="Arial"/>
                <w:sz w:val="21"/>
              </w:rPr>
            </w:pPr>
          </w:p>
        </w:tc>
      </w:tr>
      <w:tr w14:paraId="7F95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70" w:type="dxa"/>
            <w:tcBorders>
              <w:left w:val="single" w:color="000000" w:sz="6" w:space="0"/>
            </w:tcBorders>
            <w:vAlign w:val="top"/>
          </w:tcPr>
          <w:p w14:paraId="7C6260CD">
            <w:pPr>
              <w:rPr>
                <w:rFonts w:ascii="Arial"/>
                <w:sz w:val="21"/>
              </w:rPr>
            </w:pPr>
          </w:p>
        </w:tc>
        <w:tc>
          <w:tcPr>
            <w:tcW w:w="961" w:type="dxa"/>
            <w:vAlign w:val="top"/>
          </w:tcPr>
          <w:p w14:paraId="08BD14DC">
            <w:pPr>
              <w:rPr>
                <w:rFonts w:ascii="Arial"/>
                <w:sz w:val="21"/>
              </w:rPr>
            </w:pPr>
          </w:p>
        </w:tc>
        <w:tc>
          <w:tcPr>
            <w:tcW w:w="1618" w:type="dxa"/>
            <w:vAlign w:val="top"/>
          </w:tcPr>
          <w:p w14:paraId="56937C96">
            <w:pPr>
              <w:rPr>
                <w:rFonts w:ascii="Arial"/>
                <w:sz w:val="21"/>
              </w:rPr>
            </w:pPr>
          </w:p>
        </w:tc>
        <w:tc>
          <w:tcPr>
            <w:tcW w:w="623" w:type="dxa"/>
            <w:vAlign w:val="top"/>
          </w:tcPr>
          <w:p w14:paraId="00734CB4">
            <w:pPr>
              <w:rPr>
                <w:rFonts w:ascii="Arial"/>
                <w:sz w:val="21"/>
              </w:rPr>
            </w:pPr>
          </w:p>
        </w:tc>
        <w:tc>
          <w:tcPr>
            <w:tcW w:w="1018" w:type="dxa"/>
            <w:vAlign w:val="top"/>
          </w:tcPr>
          <w:p w14:paraId="7AF96D58">
            <w:pPr>
              <w:rPr>
                <w:rFonts w:ascii="Arial"/>
                <w:sz w:val="21"/>
              </w:rPr>
            </w:pPr>
          </w:p>
        </w:tc>
        <w:tc>
          <w:tcPr>
            <w:tcW w:w="810" w:type="dxa"/>
            <w:vAlign w:val="top"/>
          </w:tcPr>
          <w:p w14:paraId="49419DE2">
            <w:pPr>
              <w:rPr>
                <w:rFonts w:ascii="Arial"/>
                <w:sz w:val="21"/>
              </w:rPr>
            </w:pPr>
          </w:p>
        </w:tc>
        <w:tc>
          <w:tcPr>
            <w:tcW w:w="994" w:type="dxa"/>
            <w:vAlign w:val="top"/>
          </w:tcPr>
          <w:p w14:paraId="5F27B4BB">
            <w:pPr>
              <w:rPr>
                <w:rFonts w:ascii="Arial"/>
                <w:sz w:val="21"/>
              </w:rPr>
            </w:pPr>
          </w:p>
        </w:tc>
        <w:tc>
          <w:tcPr>
            <w:tcW w:w="952" w:type="dxa"/>
            <w:vAlign w:val="top"/>
          </w:tcPr>
          <w:p w14:paraId="024FDC57">
            <w:pPr>
              <w:rPr>
                <w:rFonts w:ascii="Arial"/>
                <w:sz w:val="21"/>
              </w:rPr>
            </w:pPr>
          </w:p>
        </w:tc>
        <w:tc>
          <w:tcPr>
            <w:tcW w:w="1054" w:type="dxa"/>
            <w:tcBorders>
              <w:right w:val="single" w:color="000000" w:sz="6" w:space="0"/>
            </w:tcBorders>
            <w:vAlign w:val="top"/>
          </w:tcPr>
          <w:p w14:paraId="3A8948D9">
            <w:pPr>
              <w:rPr>
                <w:rFonts w:ascii="Arial"/>
                <w:sz w:val="21"/>
              </w:rPr>
            </w:pPr>
          </w:p>
        </w:tc>
      </w:tr>
      <w:tr w14:paraId="63DB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37F220C4">
            <w:pPr>
              <w:rPr>
                <w:rFonts w:ascii="Arial"/>
                <w:sz w:val="21"/>
              </w:rPr>
            </w:pPr>
          </w:p>
        </w:tc>
        <w:tc>
          <w:tcPr>
            <w:tcW w:w="961" w:type="dxa"/>
            <w:vAlign w:val="top"/>
          </w:tcPr>
          <w:p w14:paraId="0DD9778B">
            <w:pPr>
              <w:rPr>
                <w:rFonts w:ascii="Arial"/>
                <w:sz w:val="21"/>
              </w:rPr>
            </w:pPr>
          </w:p>
        </w:tc>
        <w:tc>
          <w:tcPr>
            <w:tcW w:w="1618" w:type="dxa"/>
            <w:vAlign w:val="top"/>
          </w:tcPr>
          <w:p w14:paraId="13C226E9">
            <w:pPr>
              <w:rPr>
                <w:rFonts w:ascii="Arial"/>
                <w:sz w:val="21"/>
              </w:rPr>
            </w:pPr>
          </w:p>
        </w:tc>
        <w:tc>
          <w:tcPr>
            <w:tcW w:w="623" w:type="dxa"/>
            <w:vAlign w:val="top"/>
          </w:tcPr>
          <w:p w14:paraId="54DA6D2E">
            <w:pPr>
              <w:rPr>
                <w:rFonts w:ascii="Arial"/>
                <w:sz w:val="21"/>
              </w:rPr>
            </w:pPr>
          </w:p>
        </w:tc>
        <w:tc>
          <w:tcPr>
            <w:tcW w:w="1018" w:type="dxa"/>
            <w:vAlign w:val="top"/>
          </w:tcPr>
          <w:p w14:paraId="499B7F40">
            <w:pPr>
              <w:rPr>
                <w:rFonts w:ascii="Arial"/>
                <w:sz w:val="21"/>
              </w:rPr>
            </w:pPr>
          </w:p>
        </w:tc>
        <w:tc>
          <w:tcPr>
            <w:tcW w:w="810" w:type="dxa"/>
            <w:vAlign w:val="top"/>
          </w:tcPr>
          <w:p w14:paraId="7A7C336C">
            <w:pPr>
              <w:rPr>
                <w:rFonts w:ascii="Arial"/>
                <w:sz w:val="21"/>
              </w:rPr>
            </w:pPr>
          </w:p>
        </w:tc>
        <w:tc>
          <w:tcPr>
            <w:tcW w:w="994" w:type="dxa"/>
            <w:vAlign w:val="top"/>
          </w:tcPr>
          <w:p w14:paraId="2A643FF4">
            <w:pPr>
              <w:rPr>
                <w:rFonts w:ascii="Arial"/>
                <w:sz w:val="21"/>
              </w:rPr>
            </w:pPr>
          </w:p>
        </w:tc>
        <w:tc>
          <w:tcPr>
            <w:tcW w:w="952" w:type="dxa"/>
            <w:vAlign w:val="top"/>
          </w:tcPr>
          <w:p w14:paraId="577C192F">
            <w:pPr>
              <w:rPr>
                <w:rFonts w:ascii="Arial"/>
                <w:sz w:val="21"/>
              </w:rPr>
            </w:pPr>
          </w:p>
        </w:tc>
        <w:tc>
          <w:tcPr>
            <w:tcW w:w="1054" w:type="dxa"/>
            <w:tcBorders>
              <w:right w:val="single" w:color="000000" w:sz="6" w:space="0"/>
            </w:tcBorders>
            <w:vAlign w:val="top"/>
          </w:tcPr>
          <w:p w14:paraId="6C4EF325">
            <w:pPr>
              <w:rPr>
                <w:rFonts w:ascii="Arial"/>
                <w:sz w:val="21"/>
              </w:rPr>
            </w:pPr>
          </w:p>
        </w:tc>
      </w:tr>
      <w:tr w14:paraId="7066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63791D7A">
            <w:pPr>
              <w:rPr>
                <w:rFonts w:ascii="Arial"/>
                <w:sz w:val="21"/>
              </w:rPr>
            </w:pPr>
          </w:p>
        </w:tc>
        <w:tc>
          <w:tcPr>
            <w:tcW w:w="961" w:type="dxa"/>
            <w:vAlign w:val="top"/>
          </w:tcPr>
          <w:p w14:paraId="46C09658">
            <w:pPr>
              <w:rPr>
                <w:rFonts w:ascii="Arial"/>
                <w:sz w:val="21"/>
              </w:rPr>
            </w:pPr>
          </w:p>
        </w:tc>
        <w:tc>
          <w:tcPr>
            <w:tcW w:w="1618" w:type="dxa"/>
            <w:vAlign w:val="top"/>
          </w:tcPr>
          <w:p w14:paraId="3CA07B51">
            <w:pPr>
              <w:rPr>
                <w:rFonts w:ascii="Arial"/>
                <w:sz w:val="21"/>
              </w:rPr>
            </w:pPr>
          </w:p>
        </w:tc>
        <w:tc>
          <w:tcPr>
            <w:tcW w:w="623" w:type="dxa"/>
            <w:vAlign w:val="top"/>
          </w:tcPr>
          <w:p w14:paraId="03C8B9D6">
            <w:pPr>
              <w:rPr>
                <w:rFonts w:ascii="Arial"/>
                <w:sz w:val="21"/>
              </w:rPr>
            </w:pPr>
          </w:p>
        </w:tc>
        <w:tc>
          <w:tcPr>
            <w:tcW w:w="1018" w:type="dxa"/>
            <w:vAlign w:val="top"/>
          </w:tcPr>
          <w:p w14:paraId="33DB386A">
            <w:pPr>
              <w:rPr>
                <w:rFonts w:ascii="Arial"/>
                <w:sz w:val="21"/>
              </w:rPr>
            </w:pPr>
          </w:p>
        </w:tc>
        <w:tc>
          <w:tcPr>
            <w:tcW w:w="810" w:type="dxa"/>
            <w:vAlign w:val="top"/>
          </w:tcPr>
          <w:p w14:paraId="5A715CAF">
            <w:pPr>
              <w:rPr>
                <w:rFonts w:ascii="Arial"/>
                <w:sz w:val="21"/>
              </w:rPr>
            </w:pPr>
          </w:p>
        </w:tc>
        <w:tc>
          <w:tcPr>
            <w:tcW w:w="994" w:type="dxa"/>
            <w:vAlign w:val="top"/>
          </w:tcPr>
          <w:p w14:paraId="75ECAF15">
            <w:pPr>
              <w:rPr>
                <w:rFonts w:ascii="Arial"/>
                <w:sz w:val="21"/>
              </w:rPr>
            </w:pPr>
          </w:p>
        </w:tc>
        <w:tc>
          <w:tcPr>
            <w:tcW w:w="952" w:type="dxa"/>
            <w:vAlign w:val="top"/>
          </w:tcPr>
          <w:p w14:paraId="65A7EF95">
            <w:pPr>
              <w:rPr>
                <w:rFonts w:ascii="Arial"/>
                <w:sz w:val="21"/>
              </w:rPr>
            </w:pPr>
          </w:p>
        </w:tc>
        <w:tc>
          <w:tcPr>
            <w:tcW w:w="1054" w:type="dxa"/>
            <w:tcBorders>
              <w:right w:val="single" w:color="000000" w:sz="6" w:space="0"/>
            </w:tcBorders>
            <w:vAlign w:val="top"/>
          </w:tcPr>
          <w:p w14:paraId="3306F23B">
            <w:pPr>
              <w:rPr>
                <w:rFonts w:ascii="Arial"/>
                <w:sz w:val="21"/>
              </w:rPr>
            </w:pPr>
          </w:p>
        </w:tc>
      </w:tr>
      <w:tr w14:paraId="60361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3A3B80F4">
            <w:pPr>
              <w:rPr>
                <w:rFonts w:ascii="Arial"/>
                <w:sz w:val="21"/>
              </w:rPr>
            </w:pPr>
          </w:p>
        </w:tc>
        <w:tc>
          <w:tcPr>
            <w:tcW w:w="961" w:type="dxa"/>
            <w:vAlign w:val="top"/>
          </w:tcPr>
          <w:p w14:paraId="47CA427B">
            <w:pPr>
              <w:rPr>
                <w:rFonts w:ascii="Arial"/>
                <w:sz w:val="21"/>
              </w:rPr>
            </w:pPr>
          </w:p>
        </w:tc>
        <w:tc>
          <w:tcPr>
            <w:tcW w:w="1618" w:type="dxa"/>
            <w:vAlign w:val="top"/>
          </w:tcPr>
          <w:p w14:paraId="3443062A">
            <w:pPr>
              <w:rPr>
                <w:rFonts w:ascii="Arial"/>
                <w:sz w:val="21"/>
              </w:rPr>
            </w:pPr>
          </w:p>
        </w:tc>
        <w:tc>
          <w:tcPr>
            <w:tcW w:w="623" w:type="dxa"/>
            <w:vAlign w:val="top"/>
          </w:tcPr>
          <w:p w14:paraId="176B7B56">
            <w:pPr>
              <w:rPr>
                <w:rFonts w:ascii="Arial"/>
                <w:sz w:val="21"/>
              </w:rPr>
            </w:pPr>
          </w:p>
        </w:tc>
        <w:tc>
          <w:tcPr>
            <w:tcW w:w="1018" w:type="dxa"/>
            <w:vAlign w:val="top"/>
          </w:tcPr>
          <w:p w14:paraId="1F4A096D">
            <w:pPr>
              <w:rPr>
                <w:rFonts w:ascii="Arial"/>
                <w:sz w:val="21"/>
              </w:rPr>
            </w:pPr>
          </w:p>
        </w:tc>
        <w:tc>
          <w:tcPr>
            <w:tcW w:w="810" w:type="dxa"/>
            <w:vAlign w:val="top"/>
          </w:tcPr>
          <w:p w14:paraId="23E9F98D">
            <w:pPr>
              <w:rPr>
                <w:rFonts w:ascii="Arial"/>
                <w:sz w:val="21"/>
              </w:rPr>
            </w:pPr>
          </w:p>
        </w:tc>
        <w:tc>
          <w:tcPr>
            <w:tcW w:w="994" w:type="dxa"/>
            <w:vAlign w:val="top"/>
          </w:tcPr>
          <w:p w14:paraId="5A02E90B">
            <w:pPr>
              <w:rPr>
                <w:rFonts w:ascii="Arial"/>
                <w:sz w:val="21"/>
              </w:rPr>
            </w:pPr>
          </w:p>
        </w:tc>
        <w:tc>
          <w:tcPr>
            <w:tcW w:w="952" w:type="dxa"/>
            <w:vAlign w:val="top"/>
          </w:tcPr>
          <w:p w14:paraId="6B9E9A25">
            <w:pPr>
              <w:rPr>
                <w:rFonts w:ascii="Arial"/>
                <w:sz w:val="21"/>
              </w:rPr>
            </w:pPr>
          </w:p>
        </w:tc>
        <w:tc>
          <w:tcPr>
            <w:tcW w:w="1054" w:type="dxa"/>
            <w:tcBorders>
              <w:right w:val="single" w:color="000000" w:sz="6" w:space="0"/>
            </w:tcBorders>
            <w:vAlign w:val="top"/>
          </w:tcPr>
          <w:p w14:paraId="4F274C55">
            <w:pPr>
              <w:rPr>
                <w:rFonts w:ascii="Arial"/>
                <w:sz w:val="21"/>
              </w:rPr>
            </w:pPr>
          </w:p>
        </w:tc>
      </w:tr>
      <w:tr w14:paraId="6402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2752C509">
            <w:pPr>
              <w:rPr>
                <w:rFonts w:ascii="Arial"/>
                <w:sz w:val="21"/>
              </w:rPr>
            </w:pPr>
          </w:p>
        </w:tc>
        <w:tc>
          <w:tcPr>
            <w:tcW w:w="961" w:type="dxa"/>
            <w:vAlign w:val="top"/>
          </w:tcPr>
          <w:p w14:paraId="33898848">
            <w:pPr>
              <w:rPr>
                <w:rFonts w:ascii="Arial"/>
                <w:sz w:val="21"/>
              </w:rPr>
            </w:pPr>
          </w:p>
        </w:tc>
        <w:tc>
          <w:tcPr>
            <w:tcW w:w="1618" w:type="dxa"/>
            <w:vAlign w:val="top"/>
          </w:tcPr>
          <w:p w14:paraId="679650E1">
            <w:pPr>
              <w:rPr>
                <w:rFonts w:ascii="Arial"/>
                <w:sz w:val="21"/>
              </w:rPr>
            </w:pPr>
          </w:p>
        </w:tc>
        <w:tc>
          <w:tcPr>
            <w:tcW w:w="623" w:type="dxa"/>
            <w:vAlign w:val="top"/>
          </w:tcPr>
          <w:p w14:paraId="72284EE6">
            <w:pPr>
              <w:rPr>
                <w:rFonts w:ascii="Arial"/>
                <w:sz w:val="21"/>
              </w:rPr>
            </w:pPr>
          </w:p>
        </w:tc>
        <w:tc>
          <w:tcPr>
            <w:tcW w:w="1018" w:type="dxa"/>
            <w:vAlign w:val="top"/>
          </w:tcPr>
          <w:p w14:paraId="341DDC96">
            <w:pPr>
              <w:rPr>
                <w:rFonts w:ascii="Arial"/>
                <w:sz w:val="21"/>
              </w:rPr>
            </w:pPr>
          </w:p>
        </w:tc>
        <w:tc>
          <w:tcPr>
            <w:tcW w:w="810" w:type="dxa"/>
            <w:vAlign w:val="top"/>
          </w:tcPr>
          <w:p w14:paraId="18885506">
            <w:pPr>
              <w:rPr>
                <w:rFonts w:ascii="Arial"/>
                <w:sz w:val="21"/>
              </w:rPr>
            </w:pPr>
          </w:p>
        </w:tc>
        <w:tc>
          <w:tcPr>
            <w:tcW w:w="994" w:type="dxa"/>
            <w:vAlign w:val="top"/>
          </w:tcPr>
          <w:p w14:paraId="73C6B543">
            <w:pPr>
              <w:rPr>
                <w:rFonts w:ascii="Arial"/>
                <w:sz w:val="21"/>
              </w:rPr>
            </w:pPr>
          </w:p>
        </w:tc>
        <w:tc>
          <w:tcPr>
            <w:tcW w:w="952" w:type="dxa"/>
            <w:vAlign w:val="top"/>
          </w:tcPr>
          <w:p w14:paraId="3EAF889F">
            <w:pPr>
              <w:rPr>
                <w:rFonts w:ascii="Arial"/>
                <w:sz w:val="21"/>
              </w:rPr>
            </w:pPr>
          </w:p>
        </w:tc>
        <w:tc>
          <w:tcPr>
            <w:tcW w:w="1054" w:type="dxa"/>
            <w:tcBorders>
              <w:right w:val="single" w:color="000000" w:sz="6" w:space="0"/>
            </w:tcBorders>
            <w:vAlign w:val="top"/>
          </w:tcPr>
          <w:p w14:paraId="4FE846D4">
            <w:pPr>
              <w:rPr>
                <w:rFonts w:ascii="Arial"/>
                <w:sz w:val="21"/>
              </w:rPr>
            </w:pPr>
          </w:p>
        </w:tc>
      </w:tr>
      <w:tr w14:paraId="0212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70" w:type="dxa"/>
            <w:tcBorders>
              <w:left w:val="single" w:color="000000" w:sz="6" w:space="0"/>
            </w:tcBorders>
            <w:vAlign w:val="top"/>
          </w:tcPr>
          <w:p w14:paraId="34B044B0">
            <w:pPr>
              <w:rPr>
                <w:rFonts w:ascii="Arial"/>
                <w:sz w:val="21"/>
              </w:rPr>
            </w:pPr>
          </w:p>
        </w:tc>
        <w:tc>
          <w:tcPr>
            <w:tcW w:w="961" w:type="dxa"/>
            <w:vAlign w:val="top"/>
          </w:tcPr>
          <w:p w14:paraId="305552D6">
            <w:pPr>
              <w:rPr>
                <w:rFonts w:ascii="Arial"/>
                <w:sz w:val="21"/>
              </w:rPr>
            </w:pPr>
          </w:p>
        </w:tc>
        <w:tc>
          <w:tcPr>
            <w:tcW w:w="1618" w:type="dxa"/>
            <w:vAlign w:val="top"/>
          </w:tcPr>
          <w:p w14:paraId="1F166507">
            <w:pPr>
              <w:rPr>
                <w:rFonts w:ascii="Arial"/>
                <w:sz w:val="21"/>
              </w:rPr>
            </w:pPr>
          </w:p>
        </w:tc>
        <w:tc>
          <w:tcPr>
            <w:tcW w:w="623" w:type="dxa"/>
            <w:vAlign w:val="top"/>
          </w:tcPr>
          <w:p w14:paraId="60844117">
            <w:pPr>
              <w:rPr>
                <w:rFonts w:ascii="Arial"/>
                <w:sz w:val="21"/>
              </w:rPr>
            </w:pPr>
          </w:p>
        </w:tc>
        <w:tc>
          <w:tcPr>
            <w:tcW w:w="1018" w:type="dxa"/>
            <w:vAlign w:val="top"/>
          </w:tcPr>
          <w:p w14:paraId="156E95B5">
            <w:pPr>
              <w:rPr>
                <w:rFonts w:ascii="Arial"/>
                <w:sz w:val="21"/>
              </w:rPr>
            </w:pPr>
          </w:p>
        </w:tc>
        <w:tc>
          <w:tcPr>
            <w:tcW w:w="810" w:type="dxa"/>
            <w:vAlign w:val="top"/>
          </w:tcPr>
          <w:p w14:paraId="36539B56">
            <w:pPr>
              <w:rPr>
                <w:rFonts w:ascii="Arial"/>
                <w:sz w:val="21"/>
              </w:rPr>
            </w:pPr>
          </w:p>
        </w:tc>
        <w:tc>
          <w:tcPr>
            <w:tcW w:w="994" w:type="dxa"/>
            <w:vAlign w:val="top"/>
          </w:tcPr>
          <w:p w14:paraId="5BFBFCB3">
            <w:pPr>
              <w:rPr>
                <w:rFonts w:ascii="Arial"/>
                <w:sz w:val="21"/>
              </w:rPr>
            </w:pPr>
          </w:p>
        </w:tc>
        <w:tc>
          <w:tcPr>
            <w:tcW w:w="952" w:type="dxa"/>
            <w:vAlign w:val="top"/>
          </w:tcPr>
          <w:p w14:paraId="2B71900B">
            <w:pPr>
              <w:rPr>
                <w:rFonts w:ascii="Arial"/>
                <w:sz w:val="21"/>
              </w:rPr>
            </w:pPr>
          </w:p>
        </w:tc>
        <w:tc>
          <w:tcPr>
            <w:tcW w:w="1054" w:type="dxa"/>
            <w:tcBorders>
              <w:right w:val="single" w:color="000000" w:sz="6" w:space="0"/>
            </w:tcBorders>
            <w:vAlign w:val="top"/>
          </w:tcPr>
          <w:p w14:paraId="0B192D27">
            <w:pPr>
              <w:rPr>
                <w:rFonts w:ascii="Arial"/>
                <w:sz w:val="21"/>
              </w:rPr>
            </w:pPr>
          </w:p>
        </w:tc>
      </w:tr>
      <w:tr w14:paraId="523F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70" w:type="dxa"/>
            <w:tcBorders>
              <w:left w:val="single" w:color="000000" w:sz="6" w:space="0"/>
            </w:tcBorders>
            <w:vAlign w:val="top"/>
          </w:tcPr>
          <w:p w14:paraId="564DB32F">
            <w:pPr>
              <w:rPr>
                <w:rFonts w:ascii="Arial"/>
                <w:sz w:val="21"/>
              </w:rPr>
            </w:pPr>
          </w:p>
        </w:tc>
        <w:tc>
          <w:tcPr>
            <w:tcW w:w="961" w:type="dxa"/>
            <w:vAlign w:val="top"/>
          </w:tcPr>
          <w:p w14:paraId="26B23FA4">
            <w:pPr>
              <w:rPr>
                <w:rFonts w:ascii="Arial"/>
                <w:sz w:val="21"/>
              </w:rPr>
            </w:pPr>
          </w:p>
        </w:tc>
        <w:tc>
          <w:tcPr>
            <w:tcW w:w="1618" w:type="dxa"/>
            <w:vAlign w:val="top"/>
          </w:tcPr>
          <w:p w14:paraId="481C2BC4">
            <w:pPr>
              <w:rPr>
                <w:rFonts w:ascii="Arial"/>
                <w:sz w:val="21"/>
              </w:rPr>
            </w:pPr>
          </w:p>
        </w:tc>
        <w:tc>
          <w:tcPr>
            <w:tcW w:w="623" w:type="dxa"/>
            <w:vAlign w:val="top"/>
          </w:tcPr>
          <w:p w14:paraId="39914C82">
            <w:pPr>
              <w:rPr>
                <w:rFonts w:ascii="Arial"/>
                <w:sz w:val="21"/>
              </w:rPr>
            </w:pPr>
          </w:p>
        </w:tc>
        <w:tc>
          <w:tcPr>
            <w:tcW w:w="1018" w:type="dxa"/>
            <w:vAlign w:val="top"/>
          </w:tcPr>
          <w:p w14:paraId="49971A66">
            <w:pPr>
              <w:rPr>
                <w:rFonts w:ascii="Arial"/>
                <w:sz w:val="21"/>
              </w:rPr>
            </w:pPr>
          </w:p>
        </w:tc>
        <w:tc>
          <w:tcPr>
            <w:tcW w:w="810" w:type="dxa"/>
            <w:vAlign w:val="top"/>
          </w:tcPr>
          <w:p w14:paraId="5EAB372F">
            <w:pPr>
              <w:rPr>
                <w:rFonts w:ascii="Arial"/>
                <w:sz w:val="21"/>
              </w:rPr>
            </w:pPr>
          </w:p>
        </w:tc>
        <w:tc>
          <w:tcPr>
            <w:tcW w:w="994" w:type="dxa"/>
            <w:vAlign w:val="top"/>
          </w:tcPr>
          <w:p w14:paraId="4950E5D0">
            <w:pPr>
              <w:rPr>
                <w:rFonts w:ascii="Arial"/>
                <w:sz w:val="21"/>
              </w:rPr>
            </w:pPr>
          </w:p>
        </w:tc>
        <w:tc>
          <w:tcPr>
            <w:tcW w:w="952" w:type="dxa"/>
            <w:vAlign w:val="top"/>
          </w:tcPr>
          <w:p w14:paraId="33F8598E">
            <w:pPr>
              <w:rPr>
                <w:rFonts w:ascii="Arial"/>
                <w:sz w:val="21"/>
              </w:rPr>
            </w:pPr>
          </w:p>
        </w:tc>
        <w:tc>
          <w:tcPr>
            <w:tcW w:w="1054" w:type="dxa"/>
            <w:tcBorders>
              <w:right w:val="single" w:color="000000" w:sz="6" w:space="0"/>
            </w:tcBorders>
            <w:vAlign w:val="top"/>
          </w:tcPr>
          <w:p w14:paraId="619BC216">
            <w:pPr>
              <w:rPr>
                <w:rFonts w:ascii="Arial"/>
                <w:sz w:val="21"/>
              </w:rPr>
            </w:pPr>
          </w:p>
        </w:tc>
      </w:tr>
      <w:tr w14:paraId="014F4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1AAE2622">
            <w:pPr>
              <w:rPr>
                <w:rFonts w:ascii="Arial"/>
                <w:sz w:val="21"/>
              </w:rPr>
            </w:pPr>
          </w:p>
        </w:tc>
        <w:tc>
          <w:tcPr>
            <w:tcW w:w="961" w:type="dxa"/>
            <w:vAlign w:val="top"/>
          </w:tcPr>
          <w:p w14:paraId="669EA356">
            <w:pPr>
              <w:rPr>
                <w:rFonts w:ascii="Arial"/>
                <w:sz w:val="21"/>
              </w:rPr>
            </w:pPr>
          </w:p>
        </w:tc>
        <w:tc>
          <w:tcPr>
            <w:tcW w:w="1618" w:type="dxa"/>
            <w:vAlign w:val="top"/>
          </w:tcPr>
          <w:p w14:paraId="2CB9CE83">
            <w:pPr>
              <w:rPr>
                <w:rFonts w:ascii="Arial"/>
                <w:sz w:val="21"/>
              </w:rPr>
            </w:pPr>
          </w:p>
        </w:tc>
        <w:tc>
          <w:tcPr>
            <w:tcW w:w="623" w:type="dxa"/>
            <w:vAlign w:val="top"/>
          </w:tcPr>
          <w:p w14:paraId="6AD1A989">
            <w:pPr>
              <w:rPr>
                <w:rFonts w:ascii="Arial"/>
                <w:sz w:val="21"/>
              </w:rPr>
            </w:pPr>
          </w:p>
        </w:tc>
        <w:tc>
          <w:tcPr>
            <w:tcW w:w="1018" w:type="dxa"/>
            <w:vAlign w:val="top"/>
          </w:tcPr>
          <w:p w14:paraId="38510649">
            <w:pPr>
              <w:rPr>
                <w:rFonts w:ascii="Arial"/>
                <w:sz w:val="21"/>
              </w:rPr>
            </w:pPr>
          </w:p>
        </w:tc>
        <w:tc>
          <w:tcPr>
            <w:tcW w:w="810" w:type="dxa"/>
            <w:vAlign w:val="top"/>
          </w:tcPr>
          <w:p w14:paraId="54EE7263">
            <w:pPr>
              <w:rPr>
                <w:rFonts w:ascii="Arial"/>
                <w:sz w:val="21"/>
              </w:rPr>
            </w:pPr>
          </w:p>
        </w:tc>
        <w:tc>
          <w:tcPr>
            <w:tcW w:w="994" w:type="dxa"/>
            <w:vAlign w:val="top"/>
          </w:tcPr>
          <w:p w14:paraId="5AD397CB">
            <w:pPr>
              <w:rPr>
                <w:rFonts w:ascii="Arial"/>
                <w:sz w:val="21"/>
              </w:rPr>
            </w:pPr>
          </w:p>
        </w:tc>
        <w:tc>
          <w:tcPr>
            <w:tcW w:w="952" w:type="dxa"/>
            <w:vAlign w:val="top"/>
          </w:tcPr>
          <w:p w14:paraId="7E79C0ED">
            <w:pPr>
              <w:rPr>
                <w:rFonts w:ascii="Arial"/>
                <w:sz w:val="21"/>
              </w:rPr>
            </w:pPr>
          </w:p>
        </w:tc>
        <w:tc>
          <w:tcPr>
            <w:tcW w:w="1054" w:type="dxa"/>
            <w:tcBorders>
              <w:right w:val="single" w:color="000000" w:sz="6" w:space="0"/>
            </w:tcBorders>
            <w:vAlign w:val="top"/>
          </w:tcPr>
          <w:p w14:paraId="5E95E829">
            <w:pPr>
              <w:rPr>
                <w:rFonts w:ascii="Arial"/>
                <w:sz w:val="21"/>
              </w:rPr>
            </w:pPr>
          </w:p>
        </w:tc>
      </w:tr>
      <w:tr w14:paraId="1EAA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70" w:type="dxa"/>
            <w:tcBorders>
              <w:left w:val="single" w:color="000000" w:sz="6" w:space="0"/>
            </w:tcBorders>
            <w:vAlign w:val="top"/>
          </w:tcPr>
          <w:p w14:paraId="1E8889D3">
            <w:pPr>
              <w:rPr>
                <w:rFonts w:ascii="Arial"/>
                <w:sz w:val="21"/>
              </w:rPr>
            </w:pPr>
          </w:p>
        </w:tc>
        <w:tc>
          <w:tcPr>
            <w:tcW w:w="961" w:type="dxa"/>
            <w:vAlign w:val="top"/>
          </w:tcPr>
          <w:p w14:paraId="53D01496">
            <w:pPr>
              <w:rPr>
                <w:rFonts w:ascii="Arial"/>
                <w:sz w:val="21"/>
              </w:rPr>
            </w:pPr>
          </w:p>
        </w:tc>
        <w:tc>
          <w:tcPr>
            <w:tcW w:w="1618" w:type="dxa"/>
            <w:vAlign w:val="top"/>
          </w:tcPr>
          <w:p w14:paraId="3CFA30AF">
            <w:pPr>
              <w:rPr>
                <w:rFonts w:ascii="Arial"/>
                <w:sz w:val="21"/>
              </w:rPr>
            </w:pPr>
          </w:p>
        </w:tc>
        <w:tc>
          <w:tcPr>
            <w:tcW w:w="623" w:type="dxa"/>
            <w:vAlign w:val="top"/>
          </w:tcPr>
          <w:p w14:paraId="60E56C3B">
            <w:pPr>
              <w:rPr>
                <w:rFonts w:ascii="Arial"/>
                <w:sz w:val="21"/>
              </w:rPr>
            </w:pPr>
          </w:p>
        </w:tc>
        <w:tc>
          <w:tcPr>
            <w:tcW w:w="1018" w:type="dxa"/>
            <w:vAlign w:val="top"/>
          </w:tcPr>
          <w:p w14:paraId="4890BC41">
            <w:pPr>
              <w:rPr>
                <w:rFonts w:ascii="Arial"/>
                <w:sz w:val="21"/>
              </w:rPr>
            </w:pPr>
          </w:p>
        </w:tc>
        <w:tc>
          <w:tcPr>
            <w:tcW w:w="810" w:type="dxa"/>
            <w:vAlign w:val="top"/>
          </w:tcPr>
          <w:p w14:paraId="6640C953">
            <w:pPr>
              <w:rPr>
                <w:rFonts w:ascii="Arial"/>
                <w:sz w:val="21"/>
              </w:rPr>
            </w:pPr>
          </w:p>
        </w:tc>
        <w:tc>
          <w:tcPr>
            <w:tcW w:w="994" w:type="dxa"/>
            <w:vAlign w:val="top"/>
          </w:tcPr>
          <w:p w14:paraId="5818696E">
            <w:pPr>
              <w:rPr>
                <w:rFonts w:ascii="Arial"/>
                <w:sz w:val="21"/>
              </w:rPr>
            </w:pPr>
          </w:p>
        </w:tc>
        <w:tc>
          <w:tcPr>
            <w:tcW w:w="952" w:type="dxa"/>
            <w:vAlign w:val="top"/>
          </w:tcPr>
          <w:p w14:paraId="3678AC85">
            <w:pPr>
              <w:rPr>
                <w:rFonts w:ascii="Arial"/>
                <w:sz w:val="21"/>
              </w:rPr>
            </w:pPr>
          </w:p>
        </w:tc>
        <w:tc>
          <w:tcPr>
            <w:tcW w:w="1054" w:type="dxa"/>
            <w:tcBorders>
              <w:right w:val="single" w:color="000000" w:sz="6" w:space="0"/>
            </w:tcBorders>
            <w:vAlign w:val="top"/>
          </w:tcPr>
          <w:p w14:paraId="4A93C31E">
            <w:pPr>
              <w:rPr>
                <w:rFonts w:ascii="Arial"/>
                <w:sz w:val="21"/>
              </w:rPr>
            </w:pPr>
          </w:p>
        </w:tc>
      </w:tr>
      <w:tr w14:paraId="2828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66228460">
            <w:pPr>
              <w:rPr>
                <w:rFonts w:ascii="Arial"/>
                <w:sz w:val="21"/>
              </w:rPr>
            </w:pPr>
          </w:p>
        </w:tc>
        <w:tc>
          <w:tcPr>
            <w:tcW w:w="961" w:type="dxa"/>
            <w:vAlign w:val="top"/>
          </w:tcPr>
          <w:p w14:paraId="587D1836">
            <w:pPr>
              <w:rPr>
                <w:rFonts w:ascii="Arial"/>
                <w:sz w:val="21"/>
              </w:rPr>
            </w:pPr>
          </w:p>
        </w:tc>
        <w:tc>
          <w:tcPr>
            <w:tcW w:w="1618" w:type="dxa"/>
            <w:vAlign w:val="top"/>
          </w:tcPr>
          <w:p w14:paraId="5307A760">
            <w:pPr>
              <w:rPr>
                <w:rFonts w:ascii="Arial"/>
                <w:sz w:val="21"/>
              </w:rPr>
            </w:pPr>
          </w:p>
        </w:tc>
        <w:tc>
          <w:tcPr>
            <w:tcW w:w="623" w:type="dxa"/>
            <w:vAlign w:val="top"/>
          </w:tcPr>
          <w:p w14:paraId="52EAB937">
            <w:pPr>
              <w:rPr>
                <w:rFonts w:ascii="Arial"/>
                <w:sz w:val="21"/>
              </w:rPr>
            </w:pPr>
          </w:p>
        </w:tc>
        <w:tc>
          <w:tcPr>
            <w:tcW w:w="1018" w:type="dxa"/>
            <w:vAlign w:val="top"/>
          </w:tcPr>
          <w:p w14:paraId="34A132B0">
            <w:pPr>
              <w:rPr>
                <w:rFonts w:ascii="Arial"/>
                <w:sz w:val="21"/>
              </w:rPr>
            </w:pPr>
          </w:p>
        </w:tc>
        <w:tc>
          <w:tcPr>
            <w:tcW w:w="810" w:type="dxa"/>
            <w:vAlign w:val="top"/>
          </w:tcPr>
          <w:p w14:paraId="201F5CBD">
            <w:pPr>
              <w:rPr>
                <w:rFonts w:ascii="Arial"/>
                <w:sz w:val="21"/>
              </w:rPr>
            </w:pPr>
          </w:p>
        </w:tc>
        <w:tc>
          <w:tcPr>
            <w:tcW w:w="994" w:type="dxa"/>
            <w:vAlign w:val="top"/>
          </w:tcPr>
          <w:p w14:paraId="60412F09">
            <w:pPr>
              <w:rPr>
                <w:rFonts w:ascii="Arial"/>
                <w:sz w:val="21"/>
              </w:rPr>
            </w:pPr>
          </w:p>
        </w:tc>
        <w:tc>
          <w:tcPr>
            <w:tcW w:w="952" w:type="dxa"/>
            <w:vAlign w:val="top"/>
          </w:tcPr>
          <w:p w14:paraId="73F0F068">
            <w:pPr>
              <w:rPr>
                <w:rFonts w:ascii="Arial"/>
                <w:sz w:val="21"/>
              </w:rPr>
            </w:pPr>
          </w:p>
        </w:tc>
        <w:tc>
          <w:tcPr>
            <w:tcW w:w="1054" w:type="dxa"/>
            <w:tcBorders>
              <w:right w:val="single" w:color="000000" w:sz="6" w:space="0"/>
            </w:tcBorders>
            <w:vAlign w:val="top"/>
          </w:tcPr>
          <w:p w14:paraId="4605EAFF">
            <w:pPr>
              <w:rPr>
                <w:rFonts w:ascii="Arial"/>
                <w:sz w:val="21"/>
              </w:rPr>
            </w:pPr>
          </w:p>
        </w:tc>
      </w:tr>
      <w:tr w14:paraId="1F3D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663F1CD7">
            <w:pPr>
              <w:rPr>
                <w:rFonts w:ascii="Arial"/>
                <w:sz w:val="21"/>
              </w:rPr>
            </w:pPr>
          </w:p>
        </w:tc>
        <w:tc>
          <w:tcPr>
            <w:tcW w:w="961" w:type="dxa"/>
            <w:vAlign w:val="top"/>
          </w:tcPr>
          <w:p w14:paraId="5FEAF9CC">
            <w:pPr>
              <w:rPr>
                <w:rFonts w:ascii="Arial"/>
                <w:sz w:val="21"/>
              </w:rPr>
            </w:pPr>
          </w:p>
        </w:tc>
        <w:tc>
          <w:tcPr>
            <w:tcW w:w="1618" w:type="dxa"/>
            <w:vAlign w:val="top"/>
          </w:tcPr>
          <w:p w14:paraId="76F3E6BF">
            <w:pPr>
              <w:rPr>
                <w:rFonts w:ascii="Arial"/>
                <w:sz w:val="21"/>
              </w:rPr>
            </w:pPr>
          </w:p>
        </w:tc>
        <w:tc>
          <w:tcPr>
            <w:tcW w:w="623" w:type="dxa"/>
            <w:vAlign w:val="top"/>
          </w:tcPr>
          <w:p w14:paraId="3D6C5372">
            <w:pPr>
              <w:rPr>
                <w:rFonts w:ascii="Arial"/>
                <w:sz w:val="21"/>
              </w:rPr>
            </w:pPr>
          </w:p>
        </w:tc>
        <w:tc>
          <w:tcPr>
            <w:tcW w:w="1018" w:type="dxa"/>
            <w:vAlign w:val="top"/>
          </w:tcPr>
          <w:p w14:paraId="2E9A756E">
            <w:pPr>
              <w:rPr>
                <w:rFonts w:ascii="Arial"/>
                <w:sz w:val="21"/>
              </w:rPr>
            </w:pPr>
          </w:p>
        </w:tc>
        <w:tc>
          <w:tcPr>
            <w:tcW w:w="810" w:type="dxa"/>
            <w:vAlign w:val="top"/>
          </w:tcPr>
          <w:p w14:paraId="17C74B6E">
            <w:pPr>
              <w:rPr>
                <w:rFonts w:ascii="Arial"/>
                <w:sz w:val="21"/>
              </w:rPr>
            </w:pPr>
          </w:p>
        </w:tc>
        <w:tc>
          <w:tcPr>
            <w:tcW w:w="994" w:type="dxa"/>
            <w:vAlign w:val="top"/>
          </w:tcPr>
          <w:p w14:paraId="67DA2F79">
            <w:pPr>
              <w:rPr>
                <w:rFonts w:ascii="Arial"/>
                <w:sz w:val="21"/>
              </w:rPr>
            </w:pPr>
          </w:p>
        </w:tc>
        <w:tc>
          <w:tcPr>
            <w:tcW w:w="952" w:type="dxa"/>
            <w:vAlign w:val="top"/>
          </w:tcPr>
          <w:p w14:paraId="52BC15F5">
            <w:pPr>
              <w:rPr>
                <w:rFonts w:ascii="Arial"/>
                <w:sz w:val="21"/>
              </w:rPr>
            </w:pPr>
          </w:p>
        </w:tc>
        <w:tc>
          <w:tcPr>
            <w:tcW w:w="1054" w:type="dxa"/>
            <w:tcBorders>
              <w:right w:val="single" w:color="000000" w:sz="6" w:space="0"/>
            </w:tcBorders>
            <w:vAlign w:val="top"/>
          </w:tcPr>
          <w:p w14:paraId="64241878">
            <w:pPr>
              <w:rPr>
                <w:rFonts w:ascii="Arial"/>
                <w:sz w:val="21"/>
              </w:rPr>
            </w:pPr>
          </w:p>
        </w:tc>
      </w:tr>
      <w:tr w14:paraId="5080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1C72873C">
            <w:pPr>
              <w:rPr>
                <w:rFonts w:ascii="Arial"/>
                <w:sz w:val="21"/>
              </w:rPr>
            </w:pPr>
          </w:p>
        </w:tc>
        <w:tc>
          <w:tcPr>
            <w:tcW w:w="961" w:type="dxa"/>
            <w:vAlign w:val="top"/>
          </w:tcPr>
          <w:p w14:paraId="590A9548">
            <w:pPr>
              <w:rPr>
                <w:rFonts w:ascii="Arial"/>
                <w:sz w:val="21"/>
              </w:rPr>
            </w:pPr>
          </w:p>
        </w:tc>
        <w:tc>
          <w:tcPr>
            <w:tcW w:w="1618" w:type="dxa"/>
            <w:vAlign w:val="top"/>
          </w:tcPr>
          <w:p w14:paraId="23F76ED4">
            <w:pPr>
              <w:rPr>
                <w:rFonts w:ascii="Arial"/>
                <w:sz w:val="21"/>
              </w:rPr>
            </w:pPr>
          </w:p>
        </w:tc>
        <w:tc>
          <w:tcPr>
            <w:tcW w:w="623" w:type="dxa"/>
            <w:vAlign w:val="top"/>
          </w:tcPr>
          <w:p w14:paraId="19008949">
            <w:pPr>
              <w:rPr>
                <w:rFonts w:ascii="Arial"/>
                <w:sz w:val="21"/>
              </w:rPr>
            </w:pPr>
          </w:p>
        </w:tc>
        <w:tc>
          <w:tcPr>
            <w:tcW w:w="1018" w:type="dxa"/>
            <w:vAlign w:val="top"/>
          </w:tcPr>
          <w:p w14:paraId="1D99DEDF">
            <w:pPr>
              <w:rPr>
                <w:rFonts w:ascii="Arial"/>
                <w:sz w:val="21"/>
              </w:rPr>
            </w:pPr>
          </w:p>
        </w:tc>
        <w:tc>
          <w:tcPr>
            <w:tcW w:w="810" w:type="dxa"/>
            <w:vAlign w:val="top"/>
          </w:tcPr>
          <w:p w14:paraId="27EA37F1">
            <w:pPr>
              <w:rPr>
                <w:rFonts w:ascii="Arial"/>
                <w:sz w:val="21"/>
              </w:rPr>
            </w:pPr>
          </w:p>
        </w:tc>
        <w:tc>
          <w:tcPr>
            <w:tcW w:w="994" w:type="dxa"/>
            <w:vAlign w:val="top"/>
          </w:tcPr>
          <w:p w14:paraId="1453E072">
            <w:pPr>
              <w:rPr>
                <w:rFonts w:ascii="Arial"/>
                <w:sz w:val="21"/>
              </w:rPr>
            </w:pPr>
          </w:p>
        </w:tc>
        <w:tc>
          <w:tcPr>
            <w:tcW w:w="952" w:type="dxa"/>
            <w:vAlign w:val="top"/>
          </w:tcPr>
          <w:p w14:paraId="2AC196DE">
            <w:pPr>
              <w:rPr>
                <w:rFonts w:ascii="Arial"/>
                <w:sz w:val="21"/>
              </w:rPr>
            </w:pPr>
          </w:p>
        </w:tc>
        <w:tc>
          <w:tcPr>
            <w:tcW w:w="1054" w:type="dxa"/>
            <w:tcBorders>
              <w:right w:val="single" w:color="000000" w:sz="6" w:space="0"/>
            </w:tcBorders>
            <w:vAlign w:val="top"/>
          </w:tcPr>
          <w:p w14:paraId="3795F2B7">
            <w:pPr>
              <w:rPr>
                <w:rFonts w:ascii="Arial"/>
                <w:sz w:val="21"/>
              </w:rPr>
            </w:pPr>
          </w:p>
        </w:tc>
      </w:tr>
      <w:tr w14:paraId="1AAF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70" w:type="dxa"/>
            <w:tcBorders>
              <w:left w:val="single" w:color="000000" w:sz="6" w:space="0"/>
            </w:tcBorders>
            <w:vAlign w:val="top"/>
          </w:tcPr>
          <w:p w14:paraId="61C8E90D">
            <w:pPr>
              <w:rPr>
                <w:rFonts w:ascii="Arial"/>
                <w:sz w:val="21"/>
              </w:rPr>
            </w:pPr>
          </w:p>
        </w:tc>
        <w:tc>
          <w:tcPr>
            <w:tcW w:w="961" w:type="dxa"/>
            <w:vAlign w:val="top"/>
          </w:tcPr>
          <w:p w14:paraId="3F211356">
            <w:pPr>
              <w:rPr>
                <w:rFonts w:ascii="Arial"/>
                <w:sz w:val="21"/>
              </w:rPr>
            </w:pPr>
          </w:p>
        </w:tc>
        <w:tc>
          <w:tcPr>
            <w:tcW w:w="1618" w:type="dxa"/>
            <w:vAlign w:val="top"/>
          </w:tcPr>
          <w:p w14:paraId="64A22A64">
            <w:pPr>
              <w:rPr>
                <w:rFonts w:ascii="Arial"/>
                <w:sz w:val="21"/>
              </w:rPr>
            </w:pPr>
          </w:p>
        </w:tc>
        <w:tc>
          <w:tcPr>
            <w:tcW w:w="623" w:type="dxa"/>
            <w:vAlign w:val="top"/>
          </w:tcPr>
          <w:p w14:paraId="0FE52317">
            <w:pPr>
              <w:rPr>
                <w:rFonts w:ascii="Arial"/>
                <w:sz w:val="21"/>
              </w:rPr>
            </w:pPr>
          </w:p>
        </w:tc>
        <w:tc>
          <w:tcPr>
            <w:tcW w:w="1018" w:type="dxa"/>
            <w:vAlign w:val="top"/>
          </w:tcPr>
          <w:p w14:paraId="3CE51C82">
            <w:pPr>
              <w:rPr>
                <w:rFonts w:ascii="Arial"/>
                <w:sz w:val="21"/>
              </w:rPr>
            </w:pPr>
          </w:p>
        </w:tc>
        <w:tc>
          <w:tcPr>
            <w:tcW w:w="810" w:type="dxa"/>
            <w:vAlign w:val="top"/>
          </w:tcPr>
          <w:p w14:paraId="560D71B3">
            <w:pPr>
              <w:rPr>
                <w:rFonts w:ascii="Arial"/>
                <w:sz w:val="21"/>
              </w:rPr>
            </w:pPr>
          </w:p>
        </w:tc>
        <w:tc>
          <w:tcPr>
            <w:tcW w:w="994" w:type="dxa"/>
            <w:vAlign w:val="top"/>
          </w:tcPr>
          <w:p w14:paraId="6AD64C0D">
            <w:pPr>
              <w:rPr>
                <w:rFonts w:ascii="Arial"/>
                <w:sz w:val="21"/>
              </w:rPr>
            </w:pPr>
          </w:p>
        </w:tc>
        <w:tc>
          <w:tcPr>
            <w:tcW w:w="952" w:type="dxa"/>
            <w:vAlign w:val="top"/>
          </w:tcPr>
          <w:p w14:paraId="34D5B086">
            <w:pPr>
              <w:rPr>
                <w:rFonts w:ascii="Arial"/>
                <w:sz w:val="21"/>
              </w:rPr>
            </w:pPr>
          </w:p>
        </w:tc>
        <w:tc>
          <w:tcPr>
            <w:tcW w:w="1054" w:type="dxa"/>
            <w:tcBorders>
              <w:right w:val="single" w:color="000000" w:sz="6" w:space="0"/>
            </w:tcBorders>
            <w:vAlign w:val="top"/>
          </w:tcPr>
          <w:p w14:paraId="38E4933C">
            <w:pPr>
              <w:rPr>
                <w:rFonts w:ascii="Arial"/>
                <w:sz w:val="21"/>
              </w:rPr>
            </w:pPr>
          </w:p>
        </w:tc>
      </w:tr>
      <w:tr w14:paraId="178F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755BC64A">
            <w:pPr>
              <w:rPr>
                <w:rFonts w:ascii="Arial"/>
                <w:sz w:val="21"/>
              </w:rPr>
            </w:pPr>
          </w:p>
        </w:tc>
        <w:tc>
          <w:tcPr>
            <w:tcW w:w="961" w:type="dxa"/>
            <w:vAlign w:val="top"/>
          </w:tcPr>
          <w:p w14:paraId="7539F58D">
            <w:pPr>
              <w:rPr>
                <w:rFonts w:ascii="Arial"/>
                <w:sz w:val="21"/>
              </w:rPr>
            </w:pPr>
          </w:p>
        </w:tc>
        <w:tc>
          <w:tcPr>
            <w:tcW w:w="1618" w:type="dxa"/>
            <w:vAlign w:val="top"/>
          </w:tcPr>
          <w:p w14:paraId="1DCD7628">
            <w:pPr>
              <w:rPr>
                <w:rFonts w:ascii="Arial"/>
                <w:sz w:val="21"/>
              </w:rPr>
            </w:pPr>
          </w:p>
        </w:tc>
        <w:tc>
          <w:tcPr>
            <w:tcW w:w="623" w:type="dxa"/>
            <w:vAlign w:val="top"/>
          </w:tcPr>
          <w:p w14:paraId="6BD9B555">
            <w:pPr>
              <w:rPr>
                <w:rFonts w:ascii="Arial"/>
                <w:sz w:val="21"/>
              </w:rPr>
            </w:pPr>
          </w:p>
        </w:tc>
        <w:tc>
          <w:tcPr>
            <w:tcW w:w="1018" w:type="dxa"/>
            <w:vAlign w:val="top"/>
          </w:tcPr>
          <w:p w14:paraId="4636B748">
            <w:pPr>
              <w:rPr>
                <w:rFonts w:ascii="Arial"/>
                <w:sz w:val="21"/>
              </w:rPr>
            </w:pPr>
          </w:p>
        </w:tc>
        <w:tc>
          <w:tcPr>
            <w:tcW w:w="810" w:type="dxa"/>
            <w:vAlign w:val="top"/>
          </w:tcPr>
          <w:p w14:paraId="178653CC">
            <w:pPr>
              <w:rPr>
                <w:rFonts w:ascii="Arial"/>
                <w:sz w:val="21"/>
              </w:rPr>
            </w:pPr>
          </w:p>
        </w:tc>
        <w:tc>
          <w:tcPr>
            <w:tcW w:w="994" w:type="dxa"/>
            <w:vAlign w:val="top"/>
          </w:tcPr>
          <w:p w14:paraId="3B973EB7">
            <w:pPr>
              <w:rPr>
                <w:rFonts w:ascii="Arial"/>
                <w:sz w:val="21"/>
              </w:rPr>
            </w:pPr>
          </w:p>
        </w:tc>
        <w:tc>
          <w:tcPr>
            <w:tcW w:w="952" w:type="dxa"/>
            <w:vAlign w:val="top"/>
          </w:tcPr>
          <w:p w14:paraId="6C95A113">
            <w:pPr>
              <w:rPr>
                <w:rFonts w:ascii="Arial"/>
                <w:sz w:val="21"/>
              </w:rPr>
            </w:pPr>
          </w:p>
        </w:tc>
        <w:tc>
          <w:tcPr>
            <w:tcW w:w="1054" w:type="dxa"/>
            <w:tcBorders>
              <w:right w:val="single" w:color="000000" w:sz="6" w:space="0"/>
            </w:tcBorders>
            <w:vAlign w:val="top"/>
          </w:tcPr>
          <w:p w14:paraId="75DCF19B">
            <w:pPr>
              <w:rPr>
                <w:rFonts w:ascii="Arial"/>
                <w:sz w:val="21"/>
              </w:rPr>
            </w:pPr>
          </w:p>
        </w:tc>
      </w:tr>
      <w:tr w14:paraId="3247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70" w:type="dxa"/>
            <w:tcBorders>
              <w:left w:val="single" w:color="000000" w:sz="6" w:space="0"/>
            </w:tcBorders>
            <w:vAlign w:val="top"/>
          </w:tcPr>
          <w:p w14:paraId="0CC239FD">
            <w:pPr>
              <w:rPr>
                <w:rFonts w:ascii="Arial"/>
                <w:sz w:val="21"/>
              </w:rPr>
            </w:pPr>
          </w:p>
        </w:tc>
        <w:tc>
          <w:tcPr>
            <w:tcW w:w="961" w:type="dxa"/>
            <w:vAlign w:val="top"/>
          </w:tcPr>
          <w:p w14:paraId="6A7F77D3">
            <w:pPr>
              <w:rPr>
                <w:rFonts w:ascii="Arial"/>
                <w:sz w:val="21"/>
              </w:rPr>
            </w:pPr>
          </w:p>
        </w:tc>
        <w:tc>
          <w:tcPr>
            <w:tcW w:w="1618" w:type="dxa"/>
            <w:vAlign w:val="top"/>
          </w:tcPr>
          <w:p w14:paraId="2841A69C">
            <w:pPr>
              <w:rPr>
                <w:rFonts w:ascii="Arial"/>
                <w:sz w:val="21"/>
              </w:rPr>
            </w:pPr>
          </w:p>
        </w:tc>
        <w:tc>
          <w:tcPr>
            <w:tcW w:w="623" w:type="dxa"/>
            <w:vAlign w:val="top"/>
          </w:tcPr>
          <w:p w14:paraId="25B0A098">
            <w:pPr>
              <w:rPr>
                <w:rFonts w:ascii="Arial"/>
                <w:sz w:val="21"/>
              </w:rPr>
            </w:pPr>
          </w:p>
        </w:tc>
        <w:tc>
          <w:tcPr>
            <w:tcW w:w="1018" w:type="dxa"/>
            <w:vAlign w:val="top"/>
          </w:tcPr>
          <w:p w14:paraId="6186CBBC">
            <w:pPr>
              <w:rPr>
                <w:rFonts w:ascii="Arial"/>
                <w:sz w:val="21"/>
              </w:rPr>
            </w:pPr>
          </w:p>
        </w:tc>
        <w:tc>
          <w:tcPr>
            <w:tcW w:w="810" w:type="dxa"/>
            <w:vAlign w:val="top"/>
          </w:tcPr>
          <w:p w14:paraId="12C8FD2B">
            <w:pPr>
              <w:rPr>
                <w:rFonts w:ascii="Arial"/>
                <w:sz w:val="21"/>
              </w:rPr>
            </w:pPr>
          </w:p>
        </w:tc>
        <w:tc>
          <w:tcPr>
            <w:tcW w:w="994" w:type="dxa"/>
            <w:vAlign w:val="top"/>
          </w:tcPr>
          <w:p w14:paraId="205DF8AF">
            <w:pPr>
              <w:rPr>
                <w:rFonts w:ascii="Arial"/>
                <w:sz w:val="21"/>
              </w:rPr>
            </w:pPr>
          </w:p>
        </w:tc>
        <w:tc>
          <w:tcPr>
            <w:tcW w:w="952" w:type="dxa"/>
            <w:vAlign w:val="top"/>
          </w:tcPr>
          <w:p w14:paraId="13B9F162">
            <w:pPr>
              <w:rPr>
                <w:rFonts w:ascii="Arial"/>
                <w:sz w:val="21"/>
              </w:rPr>
            </w:pPr>
          </w:p>
        </w:tc>
        <w:tc>
          <w:tcPr>
            <w:tcW w:w="1054" w:type="dxa"/>
            <w:tcBorders>
              <w:right w:val="single" w:color="000000" w:sz="6" w:space="0"/>
            </w:tcBorders>
            <w:vAlign w:val="top"/>
          </w:tcPr>
          <w:p w14:paraId="54786E23">
            <w:pPr>
              <w:rPr>
                <w:rFonts w:ascii="Arial"/>
                <w:sz w:val="21"/>
              </w:rPr>
            </w:pPr>
          </w:p>
        </w:tc>
      </w:tr>
      <w:tr w14:paraId="4D96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70" w:type="dxa"/>
            <w:tcBorders>
              <w:left w:val="single" w:color="000000" w:sz="6" w:space="0"/>
              <w:bottom w:val="single" w:color="000000" w:sz="6" w:space="0"/>
            </w:tcBorders>
            <w:vAlign w:val="top"/>
          </w:tcPr>
          <w:p w14:paraId="6C0CB56E">
            <w:pPr>
              <w:rPr>
                <w:rFonts w:ascii="Arial"/>
                <w:sz w:val="21"/>
              </w:rPr>
            </w:pPr>
          </w:p>
        </w:tc>
        <w:tc>
          <w:tcPr>
            <w:tcW w:w="961" w:type="dxa"/>
            <w:tcBorders>
              <w:bottom w:val="single" w:color="000000" w:sz="6" w:space="0"/>
            </w:tcBorders>
            <w:vAlign w:val="top"/>
          </w:tcPr>
          <w:p w14:paraId="6C1A0E70">
            <w:pPr>
              <w:rPr>
                <w:rFonts w:ascii="Arial"/>
                <w:sz w:val="21"/>
              </w:rPr>
            </w:pPr>
          </w:p>
        </w:tc>
        <w:tc>
          <w:tcPr>
            <w:tcW w:w="1618" w:type="dxa"/>
            <w:tcBorders>
              <w:bottom w:val="single" w:color="000000" w:sz="6" w:space="0"/>
            </w:tcBorders>
            <w:vAlign w:val="top"/>
          </w:tcPr>
          <w:p w14:paraId="18A39E19">
            <w:pPr>
              <w:rPr>
                <w:rFonts w:ascii="Arial"/>
                <w:sz w:val="21"/>
              </w:rPr>
            </w:pPr>
          </w:p>
        </w:tc>
        <w:tc>
          <w:tcPr>
            <w:tcW w:w="623" w:type="dxa"/>
            <w:tcBorders>
              <w:bottom w:val="single" w:color="000000" w:sz="6" w:space="0"/>
            </w:tcBorders>
            <w:vAlign w:val="top"/>
          </w:tcPr>
          <w:p w14:paraId="49A6F7B0">
            <w:pPr>
              <w:rPr>
                <w:rFonts w:ascii="Arial"/>
                <w:sz w:val="21"/>
              </w:rPr>
            </w:pPr>
          </w:p>
        </w:tc>
        <w:tc>
          <w:tcPr>
            <w:tcW w:w="1018" w:type="dxa"/>
            <w:tcBorders>
              <w:bottom w:val="single" w:color="000000" w:sz="6" w:space="0"/>
            </w:tcBorders>
            <w:vAlign w:val="top"/>
          </w:tcPr>
          <w:p w14:paraId="2AE54E6E">
            <w:pPr>
              <w:rPr>
                <w:rFonts w:ascii="Arial"/>
                <w:sz w:val="21"/>
              </w:rPr>
            </w:pPr>
          </w:p>
        </w:tc>
        <w:tc>
          <w:tcPr>
            <w:tcW w:w="810" w:type="dxa"/>
            <w:tcBorders>
              <w:bottom w:val="single" w:color="000000" w:sz="6" w:space="0"/>
            </w:tcBorders>
            <w:vAlign w:val="top"/>
          </w:tcPr>
          <w:p w14:paraId="60421DF4">
            <w:pPr>
              <w:rPr>
                <w:rFonts w:ascii="Arial"/>
                <w:sz w:val="21"/>
              </w:rPr>
            </w:pPr>
          </w:p>
        </w:tc>
        <w:tc>
          <w:tcPr>
            <w:tcW w:w="994" w:type="dxa"/>
            <w:tcBorders>
              <w:bottom w:val="single" w:color="000000" w:sz="6" w:space="0"/>
            </w:tcBorders>
            <w:vAlign w:val="top"/>
          </w:tcPr>
          <w:p w14:paraId="24537D3E">
            <w:pPr>
              <w:rPr>
                <w:rFonts w:ascii="Arial"/>
                <w:sz w:val="21"/>
              </w:rPr>
            </w:pPr>
          </w:p>
        </w:tc>
        <w:tc>
          <w:tcPr>
            <w:tcW w:w="952" w:type="dxa"/>
            <w:tcBorders>
              <w:bottom w:val="single" w:color="000000" w:sz="6" w:space="0"/>
            </w:tcBorders>
            <w:vAlign w:val="top"/>
          </w:tcPr>
          <w:p w14:paraId="0DA67CCB">
            <w:pPr>
              <w:rPr>
                <w:rFonts w:ascii="Arial"/>
                <w:sz w:val="21"/>
              </w:rPr>
            </w:pPr>
          </w:p>
        </w:tc>
        <w:tc>
          <w:tcPr>
            <w:tcW w:w="1054" w:type="dxa"/>
            <w:tcBorders>
              <w:bottom w:val="single" w:color="000000" w:sz="6" w:space="0"/>
              <w:right w:val="single" w:color="000000" w:sz="6" w:space="0"/>
            </w:tcBorders>
            <w:vAlign w:val="top"/>
          </w:tcPr>
          <w:p w14:paraId="6B57BE1D">
            <w:pPr>
              <w:rPr>
                <w:rFonts w:ascii="Arial"/>
                <w:sz w:val="21"/>
              </w:rPr>
            </w:pPr>
          </w:p>
        </w:tc>
      </w:tr>
    </w:tbl>
    <w:p w14:paraId="67582506">
      <w:pPr>
        <w:spacing w:before="39" w:line="220" w:lineRule="auto"/>
        <w:ind w:left="6308"/>
        <w:rPr>
          <w:rFonts w:ascii="宋体" w:hAnsi="宋体" w:eastAsia="宋体" w:cs="宋体"/>
          <w:sz w:val="18"/>
          <w:szCs w:val="18"/>
        </w:rPr>
      </w:pPr>
      <w:r>
        <w:rPr>
          <w:rFonts w:ascii="宋体" w:hAnsi="宋体" w:eastAsia="宋体" w:cs="宋体"/>
          <w:spacing w:val="-2"/>
          <w:sz w:val="18"/>
          <w:szCs w:val="18"/>
        </w:rPr>
        <w:t>法定代表人</w:t>
      </w:r>
    </w:p>
    <w:p w14:paraId="144C0E71">
      <w:pPr>
        <w:spacing w:before="31" w:line="243" w:lineRule="auto"/>
        <w:ind w:left="6126" w:right="384"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9"/>
          <w:sz w:val="18"/>
          <w:szCs w:val="18"/>
        </w:rPr>
        <w:t>）</w:t>
      </w:r>
      <w:r>
        <w:rPr>
          <w:rFonts w:ascii="宋体" w:hAnsi="宋体" w:eastAsia="宋体" w:cs="宋体"/>
          <w:spacing w:val="25"/>
          <w:w w:val="101"/>
          <w:sz w:val="18"/>
          <w:szCs w:val="18"/>
        </w:rPr>
        <w:t xml:space="preserve"> </w:t>
      </w:r>
      <w:r>
        <w:rPr>
          <w:rFonts w:ascii="宋体" w:hAnsi="宋体" w:eastAsia="宋体" w:cs="宋体"/>
          <w:spacing w:val="-9"/>
          <w:sz w:val="18"/>
          <w:szCs w:val="18"/>
        </w:rPr>
        <w:t>：</w:t>
      </w:r>
      <w:r>
        <w:rPr>
          <w:rFonts w:ascii="宋体" w:hAnsi="宋体" w:eastAsia="宋体" w:cs="宋体"/>
          <w:spacing w:val="-2"/>
          <w:sz w:val="18"/>
          <w:szCs w:val="18"/>
        </w:rPr>
        <w:t>_____（签</w:t>
      </w:r>
      <w:r>
        <w:rPr>
          <w:rFonts w:ascii="宋体" w:hAnsi="宋体" w:eastAsia="宋体" w:cs="宋体"/>
          <w:spacing w:val="-5"/>
          <w:sz w:val="18"/>
          <w:szCs w:val="18"/>
        </w:rPr>
        <w:t>字）</w:t>
      </w:r>
    </w:p>
    <w:p w14:paraId="3DCEBF52">
      <w:pPr>
        <w:spacing w:line="243" w:lineRule="auto"/>
        <w:rPr>
          <w:rFonts w:ascii="宋体" w:hAnsi="宋体" w:eastAsia="宋体" w:cs="宋体"/>
          <w:sz w:val="18"/>
          <w:szCs w:val="18"/>
        </w:rPr>
        <w:sectPr>
          <w:footerReference r:id="rId171" w:type="default"/>
          <w:pgSz w:w="11905" w:h="16843"/>
          <w:pgMar w:top="969" w:right="1355" w:bottom="1026" w:left="1480" w:header="0" w:footer="754" w:gutter="0"/>
          <w:cols w:space="0" w:num="1"/>
          <w:rtlGutter w:val="0"/>
          <w:docGrid w:linePitch="0" w:charSpace="0"/>
        </w:sectPr>
      </w:pPr>
    </w:p>
    <w:p w14:paraId="5CF86406">
      <w:pPr>
        <w:pStyle w:val="5"/>
        <w:spacing w:line="261" w:lineRule="auto"/>
      </w:pPr>
    </w:p>
    <w:p w14:paraId="4383468E">
      <w:pPr>
        <w:pStyle w:val="5"/>
        <w:spacing w:line="261" w:lineRule="auto"/>
      </w:pPr>
    </w:p>
    <w:p w14:paraId="73EFDAFE">
      <w:pPr>
        <w:pStyle w:val="5"/>
        <w:spacing w:line="261" w:lineRule="auto"/>
      </w:pPr>
    </w:p>
    <w:p w14:paraId="12892EA1">
      <w:pPr>
        <w:pStyle w:val="5"/>
        <w:spacing w:line="262" w:lineRule="auto"/>
      </w:pPr>
    </w:p>
    <w:p w14:paraId="3967D4EF">
      <w:pPr>
        <w:pStyle w:val="5"/>
        <w:spacing w:line="262" w:lineRule="auto"/>
      </w:pPr>
    </w:p>
    <w:p w14:paraId="099F30AE">
      <w:pPr>
        <w:pStyle w:val="5"/>
        <w:spacing w:line="262" w:lineRule="auto"/>
      </w:pPr>
    </w:p>
    <w:p w14:paraId="24D2947B">
      <w:pPr>
        <w:spacing w:before="78" w:line="232" w:lineRule="auto"/>
        <w:ind w:left="19"/>
        <w:outlineLvl w:val="2"/>
        <w:rPr>
          <w:rFonts w:ascii="黑体" w:hAnsi="黑体" w:eastAsia="黑体" w:cs="黑体"/>
          <w:sz w:val="24"/>
          <w:szCs w:val="24"/>
        </w:rPr>
      </w:pPr>
      <w:bookmarkStart w:id="1287" w:name="bookmark397"/>
      <w:bookmarkEnd w:id="1287"/>
      <w:r>
        <w:rPr>
          <w:rFonts w:ascii="Times New Roman" w:hAnsi="Times New Roman" w:eastAsia="Times New Roman" w:cs="Times New Roman"/>
          <w:spacing w:val="-1"/>
          <w:sz w:val="24"/>
          <w:szCs w:val="24"/>
        </w:rPr>
        <w:t xml:space="preserve">3.22 </w:t>
      </w:r>
      <w:r>
        <w:rPr>
          <w:rFonts w:ascii="黑体" w:hAnsi="黑体" w:eastAsia="黑体" w:cs="黑体"/>
          <w:spacing w:val="-1"/>
          <w:sz w:val="24"/>
          <w:szCs w:val="24"/>
        </w:rPr>
        <w:t>总价项目分类分项工程分解表</w:t>
      </w:r>
    </w:p>
    <w:p w14:paraId="38C072D5">
      <w:pPr>
        <w:spacing w:before="286" w:line="218" w:lineRule="auto"/>
        <w:ind w:left="2049"/>
        <w:rPr>
          <w:rFonts w:ascii="宋体" w:hAnsi="宋体" w:eastAsia="宋体" w:cs="宋体"/>
          <w:sz w:val="40"/>
          <w:szCs w:val="40"/>
        </w:rPr>
      </w:pPr>
      <w:r>
        <w:rPr>
          <w:rFonts w:ascii="宋体" w:hAnsi="宋体" w:eastAsia="宋体" w:cs="宋体"/>
          <w:b/>
          <w:bCs/>
          <w:spacing w:val="-5"/>
          <w:sz w:val="40"/>
          <w:szCs w:val="40"/>
        </w:rPr>
        <w:t>总价项目分类分项工程分解表</w:t>
      </w:r>
    </w:p>
    <w:p w14:paraId="0F66E008">
      <w:pPr>
        <w:spacing w:before="18"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3EB91D77">
      <w:pPr>
        <w:spacing w:before="135" w:line="220" w:lineRule="auto"/>
        <w:ind w:left="126"/>
        <w:rPr>
          <w:rFonts w:ascii="宋体" w:hAnsi="宋体" w:eastAsia="宋体" w:cs="宋体"/>
          <w:sz w:val="18"/>
          <w:szCs w:val="18"/>
        </w:rPr>
      </w:pPr>
      <w:r>
        <w:rPr>
          <w:rFonts w:ascii="宋体" w:hAnsi="宋体" w:eastAsia="宋体" w:cs="宋体"/>
          <w:spacing w:val="-4"/>
          <w:sz w:val="18"/>
          <w:szCs w:val="18"/>
        </w:rPr>
        <w:t>工程名称：</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4"/>
          <w:sz w:val="18"/>
          <w:szCs w:val="18"/>
        </w:rPr>
        <w:t>第</w:t>
      </w:r>
      <w:r>
        <w:rPr>
          <w:rFonts w:ascii="宋体" w:hAnsi="宋体" w:eastAsia="宋体" w:cs="宋体"/>
          <w:spacing w:val="11"/>
          <w:sz w:val="18"/>
          <w:szCs w:val="18"/>
        </w:rPr>
        <w:t xml:space="preserve">  </w:t>
      </w:r>
      <w:r>
        <w:rPr>
          <w:rFonts w:ascii="宋体" w:hAnsi="宋体" w:eastAsia="宋体" w:cs="宋体"/>
          <w:spacing w:val="-4"/>
          <w:sz w:val="18"/>
          <w:szCs w:val="18"/>
        </w:rPr>
        <w:t>1  页、共</w:t>
      </w:r>
      <w:r>
        <w:rPr>
          <w:rFonts w:ascii="宋体" w:hAnsi="宋体" w:eastAsia="宋体" w:cs="宋体"/>
          <w:spacing w:val="9"/>
          <w:sz w:val="18"/>
          <w:szCs w:val="18"/>
        </w:rPr>
        <w:t xml:space="preserve">  </w:t>
      </w:r>
      <w:r>
        <w:rPr>
          <w:rFonts w:ascii="宋体" w:hAnsi="宋体" w:eastAsia="宋体" w:cs="宋体"/>
          <w:spacing w:val="-4"/>
          <w:sz w:val="18"/>
          <w:szCs w:val="18"/>
        </w:rPr>
        <w:t>1</w:t>
      </w:r>
      <w:r>
        <w:rPr>
          <w:rFonts w:ascii="宋体" w:hAnsi="宋体" w:eastAsia="宋体" w:cs="宋体"/>
          <w:spacing w:val="7"/>
          <w:sz w:val="18"/>
          <w:szCs w:val="18"/>
        </w:rPr>
        <w:t xml:space="preserve">  </w:t>
      </w:r>
      <w:r>
        <w:rPr>
          <w:rFonts w:ascii="宋体" w:hAnsi="宋体" w:eastAsia="宋体" w:cs="宋体"/>
          <w:spacing w:val="-4"/>
          <w:sz w:val="18"/>
          <w:szCs w:val="18"/>
        </w:rPr>
        <w:t>页</w:t>
      </w:r>
    </w:p>
    <w:p w14:paraId="026C9D1F">
      <w:pPr>
        <w:spacing w:line="101" w:lineRule="exact"/>
      </w:pPr>
    </w:p>
    <w:tbl>
      <w:tblPr>
        <w:tblStyle w:val="10"/>
        <w:tblW w:w="925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1298"/>
        <w:gridCol w:w="1915"/>
        <w:gridCol w:w="923"/>
        <w:gridCol w:w="937"/>
        <w:gridCol w:w="975"/>
        <w:gridCol w:w="1194"/>
        <w:gridCol w:w="1097"/>
      </w:tblGrid>
      <w:tr w14:paraId="3F06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3" w:type="dxa"/>
            <w:tcBorders>
              <w:top w:val="single" w:color="000000" w:sz="6" w:space="0"/>
              <w:left w:val="single" w:color="000000" w:sz="6" w:space="0"/>
            </w:tcBorders>
            <w:vAlign w:val="top"/>
          </w:tcPr>
          <w:p w14:paraId="1B14D278">
            <w:pPr>
              <w:pStyle w:val="11"/>
              <w:spacing w:before="147" w:line="221" w:lineRule="auto"/>
              <w:ind w:left="272"/>
              <w:rPr>
                <w:sz w:val="18"/>
                <w:szCs w:val="18"/>
              </w:rPr>
            </w:pPr>
            <w:r>
              <w:rPr>
                <w:spacing w:val="-2"/>
                <w:sz w:val="18"/>
                <w:szCs w:val="18"/>
              </w:rPr>
              <w:t>序号</w:t>
            </w:r>
          </w:p>
        </w:tc>
        <w:tc>
          <w:tcPr>
            <w:tcW w:w="1298" w:type="dxa"/>
            <w:tcBorders>
              <w:top w:val="single" w:color="000000" w:sz="6" w:space="0"/>
            </w:tcBorders>
            <w:vAlign w:val="top"/>
          </w:tcPr>
          <w:p w14:paraId="259952C4">
            <w:pPr>
              <w:pStyle w:val="11"/>
              <w:spacing w:before="146" w:line="220" w:lineRule="auto"/>
              <w:ind w:left="291"/>
              <w:rPr>
                <w:sz w:val="18"/>
                <w:szCs w:val="18"/>
              </w:rPr>
            </w:pPr>
            <w:r>
              <w:rPr>
                <w:spacing w:val="-2"/>
                <w:sz w:val="18"/>
                <w:szCs w:val="18"/>
              </w:rPr>
              <w:t>项目编码</w:t>
            </w:r>
          </w:p>
        </w:tc>
        <w:tc>
          <w:tcPr>
            <w:tcW w:w="1915" w:type="dxa"/>
            <w:tcBorders>
              <w:top w:val="single" w:color="000000" w:sz="6" w:space="0"/>
            </w:tcBorders>
            <w:vAlign w:val="top"/>
          </w:tcPr>
          <w:p w14:paraId="211379B0">
            <w:pPr>
              <w:pStyle w:val="11"/>
              <w:spacing w:before="147" w:line="220" w:lineRule="auto"/>
              <w:ind w:left="602"/>
              <w:rPr>
                <w:sz w:val="18"/>
                <w:szCs w:val="18"/>
              </w:rPr>
            </w:pPr>
            <w:r>
              <w:rPr>
                <w:spacing w:val="-2"/>
                <w:sz w:val="18"/>
                <w:szCs w:val="18"/>
              </w:rPr>
              <w:t>项目名称</w:t>
            </w:r>
          </w:p>
        </w:tc>
        <w:tc>
          <w:tcPr>
            <w:tcW w:w="923" w:type="dxa"/>
            <w:tcBorders>
              <w:top w:val="single" w:color="000000" w:sz="6" w:space="0"/>
            </w:tcBorders>
            <w:vAlign w:val="top"/>
          </w:tcPr>
          <w:p w14:paraId="0AC27E26">
            <w:pPr>
              <w:pStyle w:val="11"/>
              <w:spacing w:before="31" w:line="223" w:lineRule="auto"/>
              <w:ind w:left="373" w:right="191" w:hanging="180"/>
              <w:rPr>
                <w:sz w:val="18"/>
                <w:szCs w:val="18"/>
              </w:rPr>
            </w:pPr>
            <w:r>
              <w:rPr>
                <w:spacing w:val="-3"/>
                <w:sz w:val="18"/>
                <w:szCs w:val="18"/>
              </w:rPr>
              <w:t>计量单</w:t>
            </w:r>
            <w:r>
              <w:rPr>
                <w:sz w:val="18"/>
                <w:szCs w:val="18"/>
              </w:rPr>
              <w:t>位</w:t>
            </w:r>
          </w:p>
        </w:tc>
        <w:tc>
          <w:tcPr>
            <w:tcW w:w="937" w:type="dxa"/>
            <w:tcBorders>
              <w:top w:val="single" w:color="000000" w:sz="6" w:space="0"/>
            </w:tcBorders>
            <w:vAlign w:val="top"/>
          </w:tcPr>
          <w:p w14:paraId="3178054E">
            <w:pPr>
              <w:pStyle w:val="11"/>
              <w:spacing w:before="146" w:line="220" w:lineRule="auto"/>
              <w:ind w:left="118"/>
              <w:rPr>
                <w:sz w:val="18"/>
                <w:szCs w:val="18"/>
              </w:rPr>
            </w:pPr>
            <w:r>
              <w:rPr>
                <w:spacing w:val="-2"/>
                <w:sz w:val="18"/>
                <w:szCs w:val="18"/>
              </w:rPr>
              <w:t>工程数量</w:t>
            </w:r>
          </w:p>
        </w:tc>
        <w:tc>
          <w:tcPr>
            <w:tcW w:w="975" w:type="dxa"/>
            <w:tcBorders>
              <w:top w:val="single" w:color="000000" w:sz="6" w:space="0"/>
            </w:tcBorders>
            <w:vAlign w:val="top"/>
          </w:tcPr>
          <w:p w14:paraId="72ED68E0">
            <w:pPr>
              <w:pStyle w:val="11"/>
              <w:spacing w:before="31" w:line="223" w:lineRule="auto"/>
              <w:ind w:left="230" w:right="223" w:firstLine="85"/>
              <w:rPr>
                <w:sz w:val="18"/>
                <w:szCs w:val="18"/>
              </w:rPr>
            </w:pPr>
            <w:r>
              <w:rPr>
                <w:spacing w:val="-5"/>
                <w:sz w:val="18"/>
                <w:szCs w:val="18"/>
              </w:rPr>
              <w:t>单价</w:t>
            </w:r>
            <w:r>
              <w:rPr>
                <w:spacing w:val="-8"/>
                <w:sz w:val="18"/>
                <w:szCs w:val="18"/>
              </w:rPr>
              <w:t>（元）</w:t>
            </w:r>
          </w:p>
        </w:tc>
        <w:tc>
          <w:tcPr>
            <w:tcW w:w="1194" w:type="dxa"/>
            <w:tcBorders>
              <w:top w:val="single" w:color="000000" w:sz="6" w:space="0"/>
            </w:tcBorders>
            <w:vAlign w:val="top"/>
          </w:tcPr>
          <w:p w14:paraId="306027F6">
            <w:pPr>
              <w:pStyle w:val="11"/>
              <w:spacing w:before="147" w:line="218" w:lineRule="auto"/>
              <w:ind w:left="156"/>
              <w:rPr>
                <w:sz w:val="18"/>
                <w:szCs w:val="18"/>
              </w:rPr>
            </w:pPr>
            <w:r>
              <w:rPr>
                <w:spacing w:val="-4"/>
                <w:sz w:val="18"/>
                <w:szCs w:val="18"/>
              </w:rPr>
              <w:t>合价（元）</w:t>
            </w:r>
          </w:p>
        </w:tc>
        <w:tc>
          <w:tcPr>
            <w:tcW w:w="1097" w:type="dxa"/>
            <w:tcBorders>
              <w:top w:val="single" w:color="000000" w:sz="6" w:space="0"/>
              <w:right w:val="single" w:color="000000" w:sz="6" w:space="0"/>
            </w:tcBorders>
            <w:vAlign w:val="top"/>
          </w:tcPr>
          <w:p w14:paraId="31655152">
            <w:pPr>
              <w:pStyle w:val="11"/>
              <w:spacing w:before="31" w:line="220" w:lineRule="auto"/>
              <w:ind w:left="196"/>
              <w:rPr>
                <w:sz w:val="18"/>
                <w:szCs w:val="18"/>
              </w:rPr>
            </w:pPr>
            <w:r>
              <w:rPr>
                <w:spacing w:val="-2"/>
                <w:sz w:val="18"/>
                <w:szCs w:val="18"/>
              </w:rPr>
              <w:t>主要技术</w:t>
            </w:r>
          </w:p>
          <w:p w14:paraId="7C9D9D0C">
            <w:pPr>
              <w:pStyle w:val="11"/>
              <w:spacing w:before="19" w:line="206" w:lineRule="auto"/>
              <w:ind w:left="196"/>
              <w:rPr>
                <w:sz w:val="18"/>
                <w:szCs w:val="18"/>
              </w:rPr>
            </w:pPr>
            <w:r>
              <w:rPr>
                <w:spacing w:val="-2"/>
                <w:sz w:val="18"/>
                <w:szCs w:val="18"/>
              </w:rPr>
              <w:t>条款编码</w:t>
            </w:r>
          </w:p>
        </w:tc>
      </w:tr>
      <w:tr w14:paraId="472A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617729E0">
            <w:pPr>
              <w:rPr>
                <w:rFonts w:ascii="Arial"/>
                <w:sz w:val="21"/>
              </w:rPr>
            </w:pPr>
          </w:p>
        </w:tc>
        <w:tc>
          <w:tcPr>
            <w:tcW w:w="1298" w:type="dxa"/>
            <w:vAlign w:val="top"/>
          </w:tcPr>
          <w:p w14:paraId="33259547">
            <w:pPr>
              <w:rPr>
                <w:rFonts w:ascii="Arial"/>
                <w:sz w:val="21"/>
              </w:rPr>
            </w:pPr>
          </w:p>
        </w:tc>
        <w:tc>
          <w:tcPr>
            <w:tcW w:w="1915" w:type="dxa"/>
            <w:vAlign w:val="top"/>
          </w:tcPr>
          <w:p w14:paraId="60E1F6DE">
            <w:pPr>
              <w:rPr>
                <w:rFonts w:ascii="Arial"/>
                <w:sz w:val="21"/>
              </w:rPr>
            </w:pPr>
          </w:p>
        </w:tc>
        <w:tc>
          <w:tcPr>
            <w:tcW w:w="923" w:type="dxa"/>
            <w:vAlign w:val="top"/>
          </w:tcPr>
          <w:p w14:paraId="4E715D97">
            <w:pPr>
              <w:rPr>
                <w:rFonts w:ascii="Arial"/>
                <w:sz w:val="21"/>
              </w:rPr>
            </w:pPr>
          </w:p>
        </w:tc>
        <w:tc>
          <w:tcPr>
            <w:tcW w:w="937" w:type="dxa"/>
            <w:vAlign w:val="top"/>
          </w:tcPr>
          <w:p w14:paraId="748B4DE6">
            <w:pPr>
              <w:rPr>
                <w:rFonts w:ascii="Arial"/>
                <w:sz w:val="21"/>
              </w:rPr>
            </w:pPr>
          </w:p>
        </w:tc>
        <w:tc>
          <w:tcPr>
            <w:tcW w:w="975" w:type="dxa"/>
            <w:vAlign w:val="top"/>
          </w:tcPr>
          <w:p w14:paraId="33E57057">
            <w:pPr>
              <w:rPr>
                <w:rFonts w:ascii="Arial"/>
                <w:sz w:val="21"/>
              </w:rPr>
            </w:pPr>
          </w:p>
        </w:tc>
        <w:tc>
          <w:tcPr>
            <w:tcW w:w="1194" w:type="dxa"/>
            <w:vAlign w:val="top"/>
          </w:tcPr>
          <w:p w14:paraId="1971E834">
            <w:pPr>
              <w:rPr>
                <w:rFonts w:ascii="Arial"/>
                <w:sz w:val="21"/>
              </w:rPr>
            </w:pPr>
          </w:p>
        </w:tc>
        <w:tc>
          <w:tcPr>
            <w:tcW w:w="1097" w:type="dxa"/>
            <w:tcBorders>
              <w:right w:val="single" w:color="000000" w:sz="6" w:space="0"/>
            </w:tcBorders>
            <w:vAlign w:val="top"/>
          </w:tcPr>
          <w:p w14:paraId="4E780753">
            <w:pPr>
              <w:rPr>
                <w:rFonts w:ascii="Arial"/>
                <w:sz w:val="21"/>
              </w:rPr>
            </w:pPr>
          </w:p>
        </w:tc>
      </w:tr>
      <w:tr w14:paraId="326C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5BBE784A">
            <w:pPr>
              <w:rPr>
                <w:rFonts w:ascii="Arial"/>
                <w:sz w:val="21"/>
              </w:rPr>
            </w:pPr>
          </w:p>
        </w:tc>
        <w:tc>
          <w:tcPr>
            <w:tcW w:w="1298" w:type="dxa"/>
            <w:vAlign w:val="top"/>
          </w:tcPr>
          <w:p w14:paraId="6EB91016">
            <w:pPr>
              <w:rPr>
                <w:rFonts w:ascii="Arial"/>
                <w:sz w:val="21"/>
              </w:rPr>
            </w:pPr>
          </w:p>
        </w:tc>
        <w:tc>
          <w:tcPr>
            <w:tcW w:w="1915" w:type="dxa"/>
            <w:vAlign w:val="top"/>
          </w:tcPr>
          <w:p w14:paraId="4DC7E1C1">
            <w:pPr>
              <w:rPr>
                <w:rFonts w:ascii="Arial"/>
                <w:sz w:val="21"/>
              </w:rPr>
            </w:pPr>
          </w:p>
        </w:tc>
        <w:tc>
          <w:tcPr>
            <w:tcW w:w="923" w:type="dxa"/>
            <w:vAlign w:val="top"/>
          </w:tcPr>
          <w:p w14:paraId="6270558A">
            <w:pPr>
              <w:rPr>
                <w:rFonts w:ascii="Arial"/>
                <w:sz w:val="21"/>
              </w:rPr>
            </w:pPr>
          </w:p>
        </w:tc>
        <w:tc>
          <w:tcPr>
            <w:tcW w:w="937" w:type="dxa"/>
            <w:vAlign w:val="top"/>
          </w:tcPr>
          <w:p w14:paraId="4DA6CD46">
            <w:pPr>
              <w:rPr>
                <w:rFonts w:ascii="Arial"/>
                <w:sz w:val="21"/>
              </w:rPr>
            </w:pPr>
          </w:p>
        </w:tc>
        <w:tc>
          <w:tcPr>
            <w:tcW w:w="975" w:type="dxa"/>
            <w:vAlign w:val="top"/>
          </w:tcPr>
          <w:p w14:paraId="1F90C42F">
            <w:pPr>
              <w:rPr>
                <w:rFonts w:ascii="Arial"/>
                <w:sz w:val="21"/>
              </w:rPr>
            </w:pPr>
          </w:p>
        </w:tc>
        <w:tc>
          <w:tcPr>
            <w:tcW w:w="1194" w:type="dxa"/>
            <w:vAlign w:val="top"/>
          </w:tcPr>
          <w:p w14:paraId="33705700">
            <w:pPr>
              <w:rPr>
                <w:rFonts w:ascii="Arial"/>
                <w:sz w:val="21"/>
              </w:rPr>
            </w:pPr>
          </w:p>
        </w:tc>
        <w:tc>
          <w:tcPr>
            <w:tcW w:w="1097" w:type="dxa"/>
            <w:tcBorders>
              <w:right w:val="single" w:color="000000" w:sz="6" w:space="0"/>
            </w:tcBorders>
            <w:vAlign w:val="top"/>
          </w:tcPr>
          <w:p w14:paraId="2F175B16">
            <w:pPr>
              <w:rPr>
                <w:rFonts w:ascii="Arial"/>
                <w:sz w:val="21"/>
              </w:rPr>
            </w:pPr>
          </w:p>
        </w:tc>
      </w:tr>
      <w:tr w14:paraId="010E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6B91F91B">
            <w:pPr>
              <w:rPr>
                <w:rFonts w:ascii="Arial"/>
                <w:sz w:val="21"/>
              </w:rPr>
            </w:pPr>
          </w:p>
        </w:tc>
        <w:tc>
          <w:tcPr>
            <w:tcW w:w="1298" w:type="dxa"/>
            <w:vAlign w:val="top"/>
          </w:tcPr>
          <w:p w14:paraId="6883351C">
            <w:pPr>
              <w:rPr>
                <w:rFonts w:ascii="Arial"/>
                <w:sz w:val="21"/>
              </w:rPr>
            </w:pPr>
          </w:p>
        </w:tc>
        <w:tc>
          <w:tcPr>
            <w:tcW w:w="1915" w:type="dxa"/>
            <w:vAlign w:val="top"/>
          </w:tcPr>
          <w:p w14:paraId="337266C4">
            <w:pPr>
              <w:rPr>
                <w:rFonts w:ascii="Arial"/>
                <w:sz w:val="21"/>
              </w:rPr>
            </w:pPr>
          </w:p>
        </w:tc>
        <w:tc>
          <w:tcPr>
            <w:tcW w:w="923" w:type="dxa"/>
            <w:vAlign w:val="top"/>
          </w:tcPr>
          <w:p w14:paraId="19F45A03">
            <w:pPr>
              <w:rPr>
                <w:rFonts w:ascii="Arial"/>
                <w:sz w:val="21"/>
              </w:rPr>
            </w:pPr>
          </w:p>
        </w:tc>
        <w:tc>
          <w:tcPr>
            <w:tcW w:w="937" w:type="dxa"/>
            <w:vAlign w:val="top"/>
          </w:tcPr>
          <w:p w14:paraId="750A14F5">
            <w:pPr>
              <w:rPr>
                <w:rFonts w:ascii="Arial"/>
                <w:sz w:val="21"/>
              </w:rPr>
            </w:pPr>
          </w:p>
        </w:tc>
        <w:tc>
          <w:tcPr>
            <w:tcW w:w="975" w:type="dxa"/>
            <w:vAlign w:val="top"/>
          </w:tcPr>
          <w:p w14:paraId="4DE829F1">
            <w:pPr>
              <w:rPr>
                <w:rFonts w:ascii="Arial"/>
                <w:sz w:val="21"/>
              </w:rPr>
            </w:pPr>
          </w:p>
        </w:tc>
        <w:tc>
          <w:tcPr>
            <w:tcW w:w="1194" w:type="dxa"/>
            <w:vAlign w:val="top"/>
          </w:tcPr>
          <w:p w14:paraId="6D3134C1">
            <w:pPr>
              <w:rPr>
                <w:rFonts w:ascii="Arial"/>
                <w:sz w:val="21"/>
              </w:rPr>
            </w:pPr>
          </w:p>
        </w:tc>
        <w:tc>
          <w:tcPr>
            <w:tcW w:w="1097" w:type="dxa"/>
            <w:tcBorders>
              <w:right w:val="single" w:color="000000" w:sz="6" w:space="0"/>
            </w:tcBorders>
            <w:vAlign w:val="top"/>
          </w:tcPr>
          <w:p w14:paraId="524BFADC">
            <w:pPr>
              <w:rPr>
                <w:rFonts w:ascii="Arial"/>
                <w:sz w:val="21"/>
              </w:rPr>
            </w:pPr>
          </w:p>
        </w:tc>
      </w:tr>
      <w:tr w14:paraId="340D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69C9CE9F">
            <w:pPr>
              <w:rPr>
                <w:rFonts w:ascii="Arial"/>
                <w:sz w:val="21"/>
              </w:rPr>
            </w:pPr>
          </w:p>
        </w:tc>
        <w:tc>
          <w:tcPr>
            <w:tcW w:w="1298" w:type="dxa"/>
            <w:vAlign w:val="top"/>
          </w:tcPr>
          <w:p w14:paraId="490C7BB7">
            <w:pPr>
              <w:rPr>
                <w:rFonts w:ascii="Arial"/>
                <w:sz w:val="21"/>
              </w:rPr>
            </w:pPr>
          </w:p>
        </w:tc>
        <w:tc>
          <w:tcPr>
            <w:tcW w:w="1915" w:type="dxa"/>
            <w:vAlign w:val="top"/>
          </w:tcPr>
          <w:p w14:paraId="3D0F0017">
            <w:pPr>
              <w:rPr>
                <w:rFonts w:ascii="Arial"/>
                <w:sz w:val="21"/>
              </w:rPr>
            </w:pPr>
          </w:p>
        </w:tc>
        <w:tc>
          <w:tcPr>
            <w:tcW w:w="923" w:type="dxa"/>
            <w:vAlign w:val="top"/>
          </w:tcPr>
          <w:p w14:paraId="30796608">
            <w:pPr>
              <w:rPr>
                <w:rFonts w:ascii="Arial"/>
                <w:sz w:val="21"/>
              </w:rPr>
            </w:pPr>
          </w:p>
        </w:tc>
        <w:tc>
          <w:tcPr>
            <w:tcW w:w="937" w:type="dxa"/>
            <w:vAlign w:val="top"/>
          </w:tcPr>
          <w:p w14:paraId="23A72991">
            <w:pPr>
              <w:rPr>
                <w:rFonts w:ascii="Arial"/>
                <w:sz w:val="21"/>
              </w:rPr>
            </w:pPr>
          </w:p>
        </w:tc>
        <w:tc>
          <w:tcPr>
            <w:tcW w:w="975" w:type="dxa"/>
            <w:vAlign w:val="top"/>
          </w:tcPr>
          <w:p w14:paraId="30B00E4F">
            <w:pPr>
              <w:rPr>
                <w:rFonts w:ascii="Arial"/>
                <w:sz w:val="21"/>
              </w:rPr>
            </w:pPr>
          </w:p>
        </w:tc>
        <w:tc>
          <w:tcPr>
            <w:tcW w:w="1194" w:type="dxa"/>
            <w:vAlign w:val="top"/>
          </w:tcPr>
          <w:p w14:paraId="4E629CFD">
            <w:pPr>
              <w:rPr>
                <w:rFonts w:ascii="Arial"/>
                <w:sz w:val="21"/>
              </w:rPr>
            </w:pPr>
          </w:p>
        </w:tc>
        <w:tc>
          <w:tcPr>
            <w:tcW w:w="1097" w:type="dxa"/>
            <w:tcBorders>
              <w:right w:val="single" w:color="000000" w:sz="6" w:space="0"/>
            </w:tcBorders>
            <w:vAlign w:val="top"/>
          </w:tcPr>
          <w:p w14:paraId="350338AB">
            <w:pPr>
              <w:rPr>
                <w:rFonts w:ascii="Arial"/>
                <w:sz w:val="21"/>
              </w:rPr>
            </w:pPr>
          </w:p>
        </w:tc>
      </w:tr>
      <w:tr w14:paraId="1606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6270E40C">
            <w:pPr>
              <w:rPr>
                <w:rFonts w:ascii="Arial"/>
                <w:sz w:val="21"/>
              </w:rPr>
            </w:pPr>
          </w:p>
        </w:tc>
        <w:tc>
          <w:tcPr>
            <w:tcW w:w="1298" w:type="dxa"/>
            <w:vAlign w:val="top"/>
          </w:tcPr>
          <w:p w14:paraId="4F5C119F">
            <w:pPr>
              <w:rPr>
                <w:rFonts w:ascii="Arial"/>
                <w:sz w:val="21"/>
              </w:rPr>
            </w:pPr>
          </w:p>
        </w:tc>
        <w:tc>
          <w:tcPr>
            <w:tcW w:w="1915" w:type="dxa"/>
            <w:vAlign w:val="top"/>
          </w:tcPr>
          <w:p w14:paraId="3119CA21">
            <w:pPr>
              <w:rPr>
                <w:rFonts w:ascii="Arial"/>
                <w:sz w:val="21"/>
              </w:rPr>
            </w:pPr>
          </w:p>
        </w:tc>
        <w:tc>
          <w:tcPr>
            <w:tcW w:w="923" w:type="dxa"/>
            <w:vAlign w:val="top"/>
          </w:tcPr>
          <w:p w14:paraId="4777DB1D">
            <w:pPr>
              <w:rPr>
                <w:rFonts w:ascii="Arial"/>
                <w:sz w:val="21"/>
              </w:rPr>
            </w:pPr>
          </w:p>
        </w:tc>
        <w:tc>
          <w:tcPr>
            <w:tcW w:w="937" w:type="dxa"/>
            <w:vAlign w:val="top"/>
          </w:tcPr>
          <w:p w14:paraId="366A5C03">
            <w:pPr>
              <w:rPr>
                <w:rFonts w:ascii="Arial"/>
                <w:sz w:val="21"/>
              </w:rPr>
            </w:pPr>
          </w:p>
        </w:tc>
        <w:tc>
          <w:tcPr>
            <w:tcW w:w="975" w:type="dxa"/>
            <w:vAlign w:val="top"/>
          </w:tcPr>
          <w:p w14:paraId="379E7F5B">
            <w:pPr>
              <w:rPr>
                <w:rFonts w:ascii="Arial"/>
                <w:sz w:val="21"/>
              </w:rPr>
            </w:pPr>
          </w:p>
        </w:tc>
        <w:tc>
          <w:tcPr>
            <w:tcW w:w="1194" w:type="dxa"/>
            <w:vAlign w:val="top"/>
          </w:tcPr>
          <w:p w14:paraId="77A266AD">
            <w:pPr>
              <w:rPr>
                <w:rFonts w:ascii="Arial"/>
                <w:sz w:val="21"/>
              </w:rPr>
            </w:pPr>
          </w:p>
        </w:tc>
        <w:tc>
          <w:tcPr>
            <w:tcW w:w="1097" w:type="dxa"/>
            <w:tcBorders>
              <w:right w:val="single" w:color="000000" w:sz="6" w:space="0"/>
            </w:tcBorders>
            <w:vAlign w:val="top"/>
          </w:tcPr>
          <w:p w14:paraId="3AD9F26F">
            <w:pPr>
              <w:rPr>
                <w:rFonts w:ascii="Arial"/>
                <w:sz w:val="21"/>
              </w:rPr>
            </w:pPr>
          </w:p>
        </w:tc>
      </w:tr>
      <w:tr w14:paraId="643B5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1CA3C6F5">
            <w:pPr>
              <w:rPr>
                <w:rFonts w:ascii="Arial"/>
                <w:sz w:val="21"/>
              </w:rPr>
            </w:pPr>
          </w:p>
        </w:tc>
        <w:tc>
          <w:tcPr>
            <w:tcW w:w="1298" w:type="dxa"/>
            <w:vAlign w:val="top"/>
          </w:tcPr>
          <w:p w14:paraId="11E7FF8E">
            <w:pPr>
              <w:rPr>
                <w:rFonts w:ascii="Arial"/>
                <w:sz w:val="21"/>
              </w:rPr>
            </w:pPr>
          </w:p>
        </w:tc>
        <w:tc>
          <w:tcPr>
            <w:tcW w:w="1915" w:type="dxa"/>
            <w:vAlign w:val="top"/>
          </w:tcPr>
          <w:p w14:paraId="5E12D5F4">
            <w:pPr>
              <w:rPr>
                <w:rFonts w:ascii="Arial"/>
                <w:sz w:val="21"/>
              </w:rPr>
            </w:pPr>
          </w:p>
        </w:tc>
        <w:tc>
          <w:tcPr>
            <w:tcW w:w="923" w:type="dxa"/>
            <w:vAlign w:val="top"/>
          </w:tcPr>
          <w:p w14:paraId="48DB64FD">
            <w:pPr>
              <w:rPr>
                <w:rFonts w:ascii="Arial"/>
                <w:sz w:val="21"/>
              </w:rPr>
            </w:pPr>
          </w:p>
        </w:tc>
        <w:tc>
          <w:tcPr>
            <w:tcW w:w="937" w:type="dxa"/>
            <w:vAlign w:val="top"/>
          </w:tcPr>
          <w:p w14:paraId="5CBCB189">
            <w:pPr>
              <w:rPr>
                <w:rFonts w:ascii="Arial"/>
                <w:sz w:val="21"/>
              </w:rPr>
            </w:pPr>
          </w:p>
        </w:tc>
        <w:tc>
          <w:tcPr>
            <w:tcW w:w="975" w:type="dxa"/>
            <w:vAlign w:val="top"/>
          </w:tcPr>
          <w:p w14:paraId="490E587B">
            <w:pPr>
              <w:rPr>
                <w:rFonts w:ascii="Arial"/>
                <w:sz w:val="21"/>
              </w:rPr>
            </w:pPr>
          </w:p>
        </w:tc>
        <w:tc>
          <w:tcPr>
            <w:tcW w:w="1194" w:type="dxa"/>
            <w:vAlign w:val="top"/>
          </w:tcPr>
          <w:p w14:paraId="23405F94">
            <w:pPr>
              <w:rPr>
                <w:rFonts w:ascii="Arial"/>
                <w:sz w:val="21"/>
              </w:rPr>
            </w:pPr>
          </w:p>
        </w:tc>
        <w:tc>
          <w:tcPr>
            <w:tcW w:w="1097" w:type="dxa"/>
            <w:tcBorders>
              <w:right w:val="single" w:color="000000" w:sz="6" w:space="0"/>
            </w:tcBorders>
            <w:vAlign w:val="top"/>
          </w:tcPr>
          <w:p w14:paraId="2A4FB8EB">
            <w:pPr>
              <w:rPr>
                <w:rFonts w:ascii="Arial"/>
                <w:sz w:val="21"/>
              </w:rPr>
            </w:pPr>
          </w:p>
        </w:tc>
      </w:tr>
      <w:tr w14:paraId="5F58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66D41134">
            <w:pPr>
              <w:rPr>
                <w:rFonts w:ascii="Arial"/>
                <w:sz w:val="21"/>
              </w:rPr>
            </w:pPr>
          </w:p>
        </w:tc>
        <w:tc>
          <w:tcPr>
            <w:tcW w:w="1298" w:type="dxa"/>
            <w:vAlign w:val="top"/>
          </w:tcPr>
          <w:p w14:paraId="1D356413">
            <w:pPr>
              <w:rPr>
                <w:rFonts w:ascii="Arial"/>
                <w:sz w:val="21"/>
              </w:rPr>
            </w:pPr>
          </w:p>
        </w:tc>
        <w:tc>
          <w:tcPr>
            <w:tcW w:w="1915" w:type="dxa"/>
            <w:vAlign w:val="top"/>
          </w:tcPr>
          <w:p w14:paraId="2CE4AB11">
            <w:pPr>
              <w:rPr>
                <w:rFonts w:ascii="Arial"/>
                <w:sz w:val="21"/>
              </w:rPr>
            </w:pPr>
          </w:p>
        </w:tc>
        <w:tc>
          <w:tcPr>
            <w:tcW w:w="923" w:type="dxa"/>
            <w:vAlign w:val="top"/>
          </w:tcPr>
          <w:p w14:paraId="25A6E7CD">
            <w:pPr>
              <w:rPr>
                <w:rFonts w:ascii="Arial"/>
                <w:sz w:val="21"/>
              </w:rPr>
            </w:pPr>
          </w:p>
        </w:tc>
        <w:tc>
          <w:tcPr>
            <w:tcW w:w="937" w:type="dxa"/>
            <w:vAlign w:val="top"/>
          </w:tcPr>
          <w:p w14:paraId="6081D891">
            <w:pPr>
              <w:rPr>
                <w:rFonts w:ascii="Arial"/>
                <w:sz w:val="21"/>
              </w:rPr>
            </w:pPr>
          </w:p>
        </w:tc>
        <w:tc>
          <w:tcPr>
            <w:tcW w:w="975" w:type="dxa"/>
            <w:vAlign w:val="top"/>
          </w:tcPr>
          <w:p w14:paraId="44677E81">
            <w:pPr>
              <w:rPr>
                <w:rFonts w:ascii="Arial"/>
                <w:sz w:val="21"/>
              </w:rPr>
            </w:pPr>
          </w:p>
        </w:tc>
        <w:tc>
          <w:tcPr>
            <w:tcW w:w="1194" w:type="dxa"/>
            <w:vAlign w:val="top"/>
          </w:tcPr>
          <w:p w14:paraId="6BAA7A51">
            <w:pPr>
              <w:rPr>
                <w:rFonts w:ascii="Arial"/>
                <w:sz w:val="21"/>
              </w:rPr>
            </w:pPr>
          </w:p>
        </w:tc>
        <w:tc>
          <w:tcPr>
            <w:tcW w:w="1097" w:type="dxa"/>
            <w:tcBorders>
              <w:right w:val="single" w:color="000000" w:sz="6" w:space="0"/>
            </w:tcBorders>
            <w:vAlign w:val="top"/>
          </w:tcPr>
          <w:p w14:paraId="0B453B76">
            <w:pPr>
              <w:rPr>
                <w:rFonts w:ascii="Arial"/>
                <w:sz w:val="21"/>
              </w:rPr>
            </w:pPr>
          </w:p>
        </w:tc>
      </w:tr>
      <w:tr w14:paraId="71EE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5CC71555">
            <w:pPr>
              <w:rPr>
                <w:rFonts w:ascii="Arial"/>
                <w:sz w:val="21"/>
              </w:rPr>
            </w:pPr>
          </w:p>
        </w:tc>
        <w:tc>
          <w:tcPr>
            <w:tcW w:w="1298" w:type="dxa"/>
            <w:vAlign w:val="top"/>
          </w:tcPr>
          <w:p w14:paraId="68A921C4">
            <w:pPr>
              <w:rPr>
                <w:rFonts w:ascii="Arial"/>
                <w:sz w:val="21"/>
              </w:rPr>
            </w:pPr>
          </w:p>
        </w:tc>
        <w:tc>
          <w:tcPr>
            <w:tcW w:w="1915" w:type="dxa"/>
            <w:vAlign w:val="top"/>
          </w:tcPr>
          <w:p w14:paraId="7439D03A">
            <w:pPr>
              <w:rPr>
                <w:rFonts w:ascii="Arial"/>
                <w:sz w:val="21"/>
              </w:rPr>
            </w:pPr>
          </w:p>
        </w:tc>
        <w:tc>
          <w:tcPr>
            <w:tcW w:w="923" w:type="dxa"/>
            <w:vAlign w:val="top"/>
          </w:tcPr>
          <w:p w14:paraId="586E450C">
            <w:pPr>
              <w:rPr>
                <w:rFonts w:ascii="Arial"/>
                <w:sz w:val="21"/>
              </w:rPr>
            </w:pPr>
          </w:p>
        </w:tc>
        <w:tc>
          <w:tcPr>
            <w:tcW w:w="937" w:type="dxa"/>
            <w:vAlign w:val="top"/>
          </w:tcPr>
          <w:p w14:paraId="4E159026">
            <w:pPr>
              <w:rPr>
                <w:rFonts w:ascii="Arial"/>
                <w:sz w:val="21"/>
              </w:rPr>
            </w:pPr>
          </w:p>
        </w:tc>
        <w:tc>
          <w:tcPr>
            <w:tcW w:w="975" w:type="dxa"/>
            <w:vAlign w:val="top"/>
          </w:tcPr>
          <w:p w14:paraId="3BD54B70">
            <w:pPr>
              <w:rPr>
                <w:rFonts w:ascii="Arial"/>
                <w:sz w:val="21"/>
              </w:rPr>
            </w:pPr>
          </w:p>
        </w:tc>
        <w:tc>
          <w:tcPr>
            <w:tcW w:w="1194" w:type="dxa"/>
            <w:vAlign w:val="top"/>
          </w:tcPr>
          <w:p w14:paraId="0D2EB301">
            <w:pPr>
              <w:rPr>
                <w:rFonts w:ascii="Arial"/>
                <w:sz w:val="21"/>
              </w:rPr>
            </w:pPr>
          </w:p>
        </w:tc>
        <w:tc>
          <w:tcPr>
            <w:tcW w:w="1097" w:type="dxa"/>
            <w:tcBorders>
              <w:right w:val="single" w:color="000000" w:sz="6" w:space="0"/>
            </w:tcBorders>
            <w:vAlign w:val="top"/>
          </w:tcPr>
          <w:p w14:paraId="29D59E5B">
            <w:pPr>
              <w:rPr>
                <w:rFonts w:ascii="Arial"/>
                <w:sz w:val="21"/>
              </w:rPr>
            </w:pPr>
          </w:p>
        </w:tc>
      </w:tr>
      <w:tr w14:paraId="09E05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7D4B9E91">
            <w:pPr>
              <w:rPr>
                <w:rFonts w:ascii="Arial"/>
                <w:sz w:val="21"/>
              </w:rPr>
            </w:pPr>
          </w:p>
        </w:tc>
        <w:tc>
          <w:tcPr>
            <w:tcW w:w="1298" w:type="dxa"/>
            <w:vAlign w:val="top"/>
          </w:tcPr>
          <w:p w14:paraId="148B00F2">
            <w:pPr>
              <w:rPr>
                <w:rFonts w:ascii="Arial"/>
                <w:sz w:val="21"/>
              </w:rPr>
            </w:pPr>
          </w:p>
        </w:tc>
        <w:tc>
          <w:tcPr>
            <w:tcW w:w="1915" w:type="dxa"/>
            <w:vAlign w:val="top"/>
          </w:tcPr>
          <w:p w14:paraId="51BB275D">
            <w:pPr>
              <w:rPr>
                <w:rFonts w:ascii="Arial"/>
                <w:sz w:val="21"/>
              </w:rPr>
            </w:pPr>
          </w:p>
        </w:tc>
        <w:tc>
          <w:tcPr>
            <w:tcW w:w="923" w:type="dxa"/>
            <w:vAlign w:val="top"/>
          </w:tcPr>
          <w:p w14:paraId="2532A2F2">
            <w:pPr>
              <w:rPr>
                <w:rFonts w:ascii="Arial"/>
                <w:sz w:val="21"/>
              </w:rPr>
            </w:pPr>
          </w:p>
        </w:tc>
        <w:tc>
          <w:tcPr>
            <w:tcW w:w="937" w:type="dxa"/>
            <w:vAlign w:val="top"/>
          </w:tcPr>
          <w:p w14:paraId="45C55008">
            <w:pPr>
              <w:rPr>
                <w:rFonts w:ascii="Arial"/>
                <w:sz w:val="21"/>
              </w:rPr>
            </w:pPr>
          </w:p>
        </w:tc>
        <w:tc>
          <w:tcPr>
            <w:tcW w:w="975" w:type="dxa"/>
            <w:vAlign w:val="top"/>
          </w:tcPr>
          <w:p w14:paraId="090610AB">
            <w:pPr>
              <w:rPr>
                <w:rFonts w:ascii="Arial"/>
                <w:sz w:val="21"/>
              </w:rPr>
            </w:pPr>
          </w:p>
        </w:tc>
        <w:tc>
          <w:tcPr>
            <w:tcW w:w="1194" w:type="dxa"/>
            <w:vAlign w:val="top"/>
          </w:tcPr>
          <w:p w14:paraId="19541610">
            <w:pPr>
              <w:rPr>
                <w:rFonts w:ascii="Arial"/>
                <w:sz w:val="21"/>
              </w:rPr>
            </w:pPr>
          </w:p>
        </w:tc>
        <w:tc>
          <w:tcPr>
            <w:tcW w:w="1097" w:type="dxa"/>
            <w:tcBorders>
              <w:right w:val="single" w:color="000000" w:sz="6" w:space="0"/>
            </w:tcBorders>
            <w:vAlign w:val="top"/>
          </w:tcPr>
          <w:p w14:paraId="5EC676DD">
            <w:pPr>
              <w:rPr>
                <w:rFonts w:ascii="Arial"/>
                <w:sz w:val="21"/>
              </w:rPr>
            </w:pPr>
          </w:p>
        </w:tc>
      </w:tr>
      <w:tr w14:paraId="6E33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5682271E">
            <w:pPr>
              <w:rPr>
                <w:rFonts w:ascii="Arial"/>
                <w:sz w:val="21"/>
              </w:rPr>
            </w:pPr>
          </w:p>
        </w:tc>
        <w:tc>
          <w:tcPr>
            <w:tcW w:w="1298" w:type="dxa"/>
            <w:vAlign w:val="top"/>
          </w:tcPr>
          <w:p w14:paraId="0D675C04">
            <w:pPr>
              <w:rPr>
                <w:rFonts w:ascii="Arial"/>
                <w:sz w:val="21"/>
              </w:rPr>
            </w:pPr>
          </w:p>
        </w:tc>
        <w:tc>
          <w:tcPr>
            <w:tcW w:w="1915" w:type="dxa"/>
            <w:vAlign w:val="top"/>
          </w:tcPr>
          <w:p w14:paraId="50DFBC38">
            <w:pPr>
              <w:rPr>
                <w:rFonts w:ascii="Arial"/>
                <w:sz w:val="21"/>
              </w:rPr>
            </w:pPr>
          </w:p>
        </w:tc>
        <w:tc>
          <w:tcPr>
            <w:tcW w:w="923" w:type="dxa"/>
            <w:vAlign w:val="top"/>
          </w:tcPr>
          <w:p w14:paraId="492B40BB">
            <w:pPr>
              <w:rPr>
                <w:rFonts w:ascii="Arial"/>
                <w:sz w:val="21"/>
              </w:rPr>
            </w:pPr>
          </w:p>
        </w:tc>
        <w:tc>
          <w:tcPr>
            <w:tcW w:w="937" w:type="dxa"/>
            <w:vAlign w:val="top"/>
          </w:tcPr>
          <w:p w14:paraId="03781A9B">
            <w:pPr>
              <w:rPr>
                <w:rFonts w:ascii="Arial"/>
                <w:sz w:val="21"/>
              </w:rPr>
            </w:pPr>
          </w:p>
        </w:tc>
        <w:tc>
          <w:tcPr>
            <w:tcW w:w="975" w:type="dxa"/>
            <w:vAlign w:val="top"/>
          </w:tcPr>
          <w:p w14:paraId="175D503C">
            <w:pPr>
              <w:rPr>
                <w:rFonts w:ascii="Arial"/>
                <w:sz w:val="21"/>
              </w:rPr>
            </w:pPr>
          </w:p>
        </w:tc>
        <w:tc>
          <w:tcPr>
            <w:tcW w:w="1194" w:type="dxa"/>
            <w:vAlign w:val="top"/>
          </w:tcPr>
          <w:p w14:paraId="717FD16A">
            <w:pPr>
              <w:rPr>
                <w:rFonts w:ascii="Arial"/>
                <w:sz w:val="21"/>
              </w:rPr>
            </w:pPr>
          </w:p>
        </w:tc>
        <w:tc>
          <w:tcPr>
            <w:tcW w:w="1097" w:type="dxa"/>
            <w:tcBorders>
              <w:right w:val="single" w:color="000000" w:sz="6" w:space="0"/>
            </w:tcBorders>
            <w:vAlign w:val="top"/>
          </w:tcPr>
          <w:p w14:paraId="6F244259">
            <w:pPr>
              <w:rPr>
                <w:rFonts w:ascii="Arial"/>
                <w:sz w:val="21"/>
              </w:rPr>
            </w:pPr>
          </w:p>
        </w:tc>
      </w:tr>
      <w:tr w14:paraId="6F0F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1DFBB55F">
            <w:pPr>
              <w:rPr>
                <w:rFonts w:ascii="Arial"/>
                <w:sz w:val="21"/>
              </w:rPr>
            </w:pPr>
          </w:p>
        </w:tc>
        <w:tc>
          <w:tcPr>
            <w:tcW w:w="1298" w:type="dxa"/>
            <w:vAlign w:val="top"/>
          </w:tcPr>
          <w:p w14:paraId="13C77CA4">
            <w:pPr>
              <w:rPr>
                <w:rFonts w:ascii="Arial"/>
                <w:sz w:val="21"/>
              </w:rPr>
            </w:pPr>
          </w:p>
        </w:tc>
        <w:tc>
          <w:tcPr>
            <w:tcW w:w="1915" w:type="dxa"/>
            <w:vAlign w:val="top"/>
          </w:tcPr>
          <w:p w14:paraId="3D647187">
            <w:pPr>
              <w:rPr>
                <w:rFonts w:ascii="Arial"/>
                <w:sz w:val="21"/>
              </w:rPr>
            </w:pPr>
          </w:p>
        </w:tc>
        <w:tc>
          <w:tcPr>
            <w:tcW w:w="923" w:type="dxa"/>
            <w:vAlign w:val="top"/>
          </w:tcPr>
          <w:p w14:paraId="3D6BDC3E">
            <w:pPr>
              <w:rPr>
                <w:rFonts w:ascii="Arial"/>
                <w:sz w:val="21"/>
              </w:rPr>
            </w:pPr>
          </w:p>
        </w:tc>
        <w:tc>
          <w:tcPr>
            <w:tcW w:w="937" w:type="dxa"/>
            <w:vAlign w:val="top"/>
          </w:tcPr>
          <w:p w14:paraId="0F5AC124">
            <w:pPr>
              <w:rPr>
                <w:rFonts w:ascii="Arial"/>
                <w:sz w:val="21"/>
              </w:rPr>
            </w:pPr>
          </w:p>
        </w:tc>
        <w:tc>
          <w:tcPr>
            <w:tcW w:w="975" w:type="dxa"/>
            <w:vAlign w:val="top"/>
          </w:tcPr>
          <w:p w14:paraId="64564BF2">
            <w:pPr>
              <w:rPr>
                <w:rFonts w:ascii="Arial"/>
                <w:sz w:val="21"/>
              </w:rPr>
            </w:pPr>
          </w:p>
        </w:tc>
        <w:tc>
          <w:tcPr>
            <w:tcW w:w="1194" w:type="dxa"/>
            <w:vAlign w:val="top"/>
          </w:tcPr>
          <w:p w14:paraId="6789BB29">
            <w:pPr>
              <w:rPr>
                <w:rFonts w:ascii="Arial"/>
                <w:sz w:val="21"/>
              </w:rPr>
            </w:pPr>
          </w:p>
        </w:tc>
        <w:tc>
          <w:tcPr>
            <w:tcW w:w="1097" w:type="dxa"/>
            <w:tcBorders>
              <w:right w:val="single" w:color="000000" w:sz="6" w:space="0"/>
            </w:tcBorders>
            <w:vAlign w:val="top"/>
          </w:tcPr>
          <w:p w14:paraId="45CD7CC2">
            <w:pPr>
              <w:rPr>
                <w:rFonts w:ascii="Arial"/>
                <w:sz w:val="21"/>
              </w:rPr>
            </w:pPr>
          </w:p>
        </w:tc>
      </w:tr>
      <w:tr w14:paraId="57789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788966BF">
            <w:pPr>
              <w:rPr>
                <w:rFonts w:ascii="Arial"/>
                <w:sz w:val="21"/>
              </w:rPr>
            </w:pPr>
          </w:p>
        </w:tc>
        <w:tc>
          <w:tcPr>
            <w:tcW w:w="1298" w:type="dxa"/>
            <w:vAlign w:val="top"/>
          </w:tcPr>
          <w:p w14:paraId="3D916560">
            <w:pPr>
              <w:rPr>
                <w:rFonts w:ascii="Arial"/>
                <w:sz w:val="21"/>
              </w:rPr>
            </w:pPr>
          </w:p>
        </w:tc>
        <w:tc>
          <w:tcPr>
            <w:tcW w:w="1915" w:type="dxa"/>
            <w:vAlign w:val="top"/>
          </w:tcPr>
          <w:p w14:paraId="34681404">
            <w:pPr>
              <w:rPr>
                <w:rFonts w:ascii="Arial"/>
                <w:sz w:val="21"/>
              </w:rPr>
            </w:pPr>
          </w:p>
        </w:tc>
        <w:tc>
          <w:tcPr>
            <w:tcW w:w="923" w:type="dxa"/>
            <w:vAlign w:val="top"/>
          </w:tcPr>
          <w:p w14:paraId="585EA51C">
            <w:pPr>
              <w:rPr>
                <w:rFonts w:ascii="Arial"/>
                <w:sz w:val="21"/>
              </w:rPr>
            </w:pPr>
          </w:p>
        </w:tc>
        <w:tc>
          <w:tcPr>
            <w:tcW w:w="937" w:type="dxa"/>
            <w:vAlign w:val="top"/>
          </w:tcPr>
          <w:p w14:paraId="19F89902">
            <w:pPr>
              <w:rPr>
                <w:rFonts w:ascii="Arial"/>
                <w:sz w:val="21"/>
              </w:rPr>
            </w:pPr>
          </w:p>
        </w:tc>
        <w:tc>
          <w:tcPr>
            <w:tcW w:w="975" w:type="dxa"/>
            <w:vAlign w:val="top"/>
          </w:tcPr>
          <w:p w14:paraId="39498E3C">
            <w:pPr>
              <w:rPr>
                <w:rFonts w:ascii="Arial"/>
                <w:sz w:val="21"/>
              </w:rPr>
            </w:pPr>
          </w:p>
        </w:tc>
        <w:tc>
          <w:tcPr>
            <w:tcW w:w="1194" w:type="dxa"/>
            <w:vAlign w:val="top"/>
          </w:tcPr>
          <w:p w14:paraId="330E6DB5">
            <w:pPr>
              <w:rPr>
                <w:rFonts w:ascii="Arial"/>
                <w:sz w:val="21"/>
              </w:rPr>
            </w:pPr>
          </w:p>
        </w:tc>
        <w:tc>
          <w:tcPr>
            <w:tcW w:w="1097" w:type="dxa"/>
            <w:tcBorders>
              <w:right w:val="single" w:color="000000" w:sz="6" w:space="0"/>
            </w:tcBorders>
            <w:vAlign w:val="top"/>
          </w:tcPr>
          <w:p w14:paraId="7818725C">
            <w:pPr>
              <w:rPr>
                <w:rFonts w:ascii="Arial"/>
                <w:sz w:val="21"/>
              </w:rPr>
            </w:pPr>
          </w:p>
        </w:tc>
      </w:tr>
      <w:tr w14:paraId="0A45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2F1EFFEE">
            <w:pPr>
              <w:rPr>
                <w:rFonts w:ascii="Arial"/>
                <w:sz w:val="21"/>
              </w:rPr>
            </w:pPr>
          </w:p>
        </w:tc>
        <w:tc>
          <w:tcPr>
            <w:tcW w:w="1298" w:type="dxa"/>
            <w:vAlign w:val="top"/>
          </w:tcPr>
          <w:p w14:paraId="4BD9E4B0">
            <w:pPr>
              <w:rPr>
                <w:rFonts w:ascii="Arial"/>
                <w:sz w:val="21"/>
              </w:rPr>
            </w:pPr>
          </w:p>
        </w:tc>
        <w:tc>
          <w:tcPr>
            <w:tcW w:w="1915" w:type="dxa"/>
            <w:vAlign w:val="top"/>
          </w:tcPr>
          <w:p w14:paraId="7AFAB28C">
            <w:pPr>
              <w:rPr>
                <w:rFonts w:ascii="Arial"/>
                <w:sz w:val="21"/>
              </w:rPr>
            </w:pPr>
          </w:p>
        </w:tc>
        <w:tc>
          <w:tcPr>
            <w:tcW w:w="923" w:type="dxa"/>
            <w:vAlign w:val="top"/>
          </w:tcPr>
          <w:p w14:paraId="0DD0BB2F">
            <w:pPr>
              <w:rPr>
                <w:rFonts w:ascii="Arial"/>
                <w:sz w:val="21"/>
              </w:rPr>
            </w:pPr>
          </w:p>
        </w:tc>
        <w:tc>
          <w:tcPr>
            <w:tcW w:w="937" w:type="dxa"/>
            <w:vAlign w:val="top"/>
          </w:tcPr>
          <w:p w14:paraId="34D9D90D">
            <w:pPr>
              <w:rPr>
                <w:rFonts w:ascii="Arial"/>
                <w:sz w:val="21"/>
              </w:rPr>
            </w:pPr>
          </w:p>
        </w:tc>
        <w:tc>
          <w:tcPr>
            <w:tcW w:w="975" w:type="dxa"/>
            <w:vAlign w:val="top"/>
          </w:tcPr>
          <w:p w14:paraId="33333932">
            <w:pPr>
              <w:rPr>
                <w:rFonts w:ascii="Arial"/>
                <w:sz w:val="21"/>
              </w:rPr>
            </w:pPr>
          </w:p>
        </w:tc>
        <w:tc>
          <w:tcPr>
            <w:tcW w:w="1194" w:type="dxa"/>
            <w:vAlign w:val="top"/>
          </w:tcPr>
          <w:p w14:paraId="74B3D23B">
            <w:pPr>
              <w:rPr>
                <w:rFonts w:ascii="Arial"/>
                <w:sz w:val="21"/>
              </w:rPr>
            </w:pPr>
          </w:p>
        </w:tc>
        <w:tc>
          <w:tcPr>
            <w:tcW w:w="1097" w:type="dxa"/>
            <w:tcBorders>
              <w:right w:val="single" w:color="000000" w:sz="6" w:space="0"/>
            </w:tcBorders>
            <w:vAlign w:val="top"/>
          </w:tcPr>
          <w:p w14:paraId="392E51D0">
            <w:pPr>
              <w:rPr>
                <w:rFonts w:ascii="Arial"/>
                <w:sz w:val="21"/>
              </w:rPr>
            </w:pPr>
          </w:p>
        </w:tc>
      </w:tr>
      <w:tr w14:paraId="39191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17511D96">
            <w:pPr>
              <w:rPr>
                <w:rFonts w:ascii="Arial"/>
                <w:sz w:val="21"/>
              </w:rPr>
            </w:pPr>
          </w:p>
        </w:tc>
        <w:tc>
          <w:tcPr>
            <w:tcW w:w="1298" w:type="dxa"/>
            <w:vAlign w:val="top"/>
          </w:tcPr>
          <w:p w14:paraId="2BE0082A">
            <w:pPr>
              <w:rPr>
                <w:rFonts w:ascii="Arial"/>
                <w:sz w:val="21"/>
              </w:rPr>
            </w:pPr>
          </w:p>
        </w:tc>
        <w:tc>
          <w:tcPr>
            <w:tcW w:w="1915" w:type="dxa"/>
            <w:vAlign w:val="top"/>
          </w:tcPr>
          <w:p w14:paraId="2F57E1B8">
            <w:pPr>
              <w:rPr>
                <w:rFonts w:ascii="Arial"/>
                <w:sz w:val="21"/>
              </w:rPr>
            </w:pPr>
          </w:p>
        </w:tc>
        <w:tc>
          <w:tcPr>
            <w:tcW w:w="923" w:type="dxa"/>
            <w:vAlign w:val="top"/>
          </w:tcPr>
          <w:p w14:paraId="5D3298AA">
            <w:pPr>
              <w:rPr>
                <w:rFonts w:ascii="Arial"/>
                <w:sz w:val="21"/>
              </w:rPr>
            </w:pPr>
          </w:p>
        </w:tc>
        <w:tc>
          <w:tcPr>
            <w:tcW w:w="937" w:type="dxa"/>
            <w:vAlign w:val="top"/>
          </w:tcPr>
          <w:p w14:paraId="67FEA2EB">
            <w:pPr>
              <w:rPr>
                <w:rFonts w:ascii="Arial"/>
                <w:sz w:val="21"/>
              </w:rPr>
            </w:pPr>
          </w:p>
        </w:tc>
        <w:tc>
          <w:tcPr>
            <w:tcW w:w="975" w:type="dxa"/>
            <w:vAlign w:val="top"/>
          </w:tcPr>
          <w:p w14:paraId="2F669B44">
            <w:pPr>
              <w:rPr>
                <w:rFonts w:ascii="Arial"/>
                <w:sz w:val="21"/>
              </w:rPr>
            </w:pPr>
          </w:p>
        </w:tc>
        <w:tc>
          <w:tcPr>
            <w:tcW w:w="1194" w:type="dxa"/>
            <w:vAlign w:val="top"/>
          </w:tcPr>
          <w:p w14:paraId="1A489AF9">
            <w:pPr>
              <w:rPr>
                <w:rFonts w:ascii="Arial"/>
                <w:sz w:val="21"/>
              </w:rPr>
            </w:pPr>
          </w:p>
        </w:tc>
        <w:tc>
          <w:tcPr>
            <w:tcW w:w="1097" w:type="dxa"/>
            <w:tcBorders>
              <w:right w:val="single" w:color="000000" w:sz="6" w:space="0"/>
            </w:tcBorders>
            <w:vAlign w:val="top"/>
          </w:tcPr>
          <w:p w14:paraId="3DCA4A27">
            <w:pPr>
              <w:rPr>
                <w:rFonts w:ascii="Arial"/>
                <w:sz w:val="21"/>
              </w:rPr>
            </w:pPr>
          </w:p>
        </w:tc>
      </w:tr>
      <w:tr w14:paraId="00B8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6B785C6E">
            <w:pPr>
              <w:rPr>
                <w:rFonts w:ascii="Arial"/>
                <w:sz w:val="21"/>
              </w:rPr>
            </w:pPr>
          </w:p>
        </w:tc>
        <w:tc>
          <w:tcPr>
            <w:tcW w:w="1298" w:type="dxa"/>
            <w:vAlign w:val="top"/>
          </w:tcPr>
          <w:p w14:paraId="7C6D5D4E">
            <w:pPr>
              <w:rPr>
                <w:rFonts w:ascii="Arial"/>
                <w:sz w:val="21"/>
              </w:rPr>
            </w:pPr>
          </w:p>
        </w:tc>
        <w:tc>
          <w:tcPr>
            <w:tcW w:w="1915" w:type="dxa"/>
            <w:vAlign w:val="top"/>
          </w:tcPr>
          <w:p w14:paraId="73F97FF1">
            <w:pPr>
              <w:rPr>
                <w:rFonts w:ascii="Arial"/>
                <w:sz w:val="21"/>
              </w:rPr>
            </w:pPr>
          </w:p>
        </w:tc>
        <w:tc>
          <w:tcPr>
            <w:tcW w:w="923" w:type="dxa"/>
            <w:vAlign w:val="top"/>
          </w:tcPr>
          <w:p w14:paraId="12401E1F">
            <w:pPr>
              <w:rPr>
                <w:rFonts w:ascii="Arial"/>
                <w:sz w:val="21"/>
              </w:rPr>
            </w:pPr>
          </w:p>
        </w:tc>
        <w:tc>
          <w:tcPr>
            <w:tcW w:w="937" w:type="dxa"/>
            <w:vAlign w:val="top"/>
          </w:tcPr>
          <w:p w14:paraId="4AFD5A91">
            <w:pPr>
              <w:rPr>
                <w:rFonts w:ascii="Arial"/>
                <w:sz w:val="21"/>
              </w:rPr>
            </w:pPr>
          </w:p>
        </w:tc>
        <w:tc>
          <w:tcPr>
            <w:tcW w:w="975" w:type="dxa"/>
            <w:vAlign w:val="top"/>
          </w:tcPr>
          <w:p w14:paraId="2D29D108">
            <w:pPr>
              <w:rPr>
                <w:rFonts w:ascii="Arial"/>
                <w:sz w:val="21"/>
              </w:rPr>
            </w:pPr>
          </w:p>
        </w:tc>
        <w:tc>
          <w:tcPr>
            <w:tcW w:w="1194" w:type="dxa"/>
            <w:vAlign w:val="top"/>
          </w:tcPr>
          <w:p w14:paraId="5F10EEA0">
            <w:pPr>
              <w:rPr>
                <w:rFonts w:ascii="Arial"/>
                <w:sz w:val="21"/>
              </w:rPr>
            </w:pPr>
          </w:p>
        </w:tc>
        <w:tc>
          <w:tcPr>
            <w:tcW w:w="1097" w:type="dxa"/>
            <w:tcBorders>
              <w:right w:val="single" w:color="000000" w:sz="6" w:space="0"/>
            </w:tcBorders>
            <w:vAlign w:val="top"/>
          </w:tcPr>
          <w:p w14:paraId="2E1097A9">
            <w:pPr>
              <w:rPr>
                <w:rFonts w:ascii="Arial"/>
                <w:sz w:val="21"/>
              </w:rPr>
            </w:pPr>
          </w:p>
        </w:tc>
      </w:tr>
      <w:tr w14:paraId="3204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0CCEED0C">
            <w:pPr>
              <w:rPr>
                <w:rFonts w:ascii="Arial"/>
                <w:sz w:val="21"/>
              </w:rPr>
            </w:pPr>
          </w:p>
        </w:tc>
        <w:tc>
          <w:tcPr>
            <w:tcW w:w="1298" w:type="dxa"/>
            <w:vAlign w:val="top"/>
          </w:tcPr>
          <w:p w14:paraId="21C26F31">
            <w:pPr>
              <w:rPr>
                <w:rFonts w:ascii="Arial"/>
                <w:sz w:val="21"/>
              </w:rPr>
            </w:pPr>
          </w:p>
        </w:tc>
        <w:tc>
          <w:tcPr>
            <w:tcW w:w="1915" w:type="dxa"/>
            <w:vAlign w:val="top"/>
          </w:tcPr>
          <w:p w14:paraId="587B6D8F">
            <w:pPr>
              <w:rPr>
                <w:rFonts w:ascii="Arial"/>
                <w:sz w:val="21"/>
              </w:rPr>
            </w:pPr>
          </w:p>
        </w:tc>
        <w:tc>
          <w:tcPr>
            <w:tcW w:w="923" w:type="dxa"/>
            <w:vAlign w:val="top"/>
          </w:tcPr>
          <w:p w14:paraId="1FEF3982">
            <w:pPr>
              <w:rPr>
                <w:rFonts w:ascii="Arial"/>
                <w:sz w:val="21"/>
              </w:rPr>
            </w:pPr>
          </w:p>
        </w:tc>
        <w:tc>
          <w:tcPr>
            <w:tcW w:w="937" w:type="dxa"/>
            <w:vAlign w:val="top"/>
          </w:tcPr>
          <w:p w14:paraId="12610668">
            <w:pPr>
              <w:rPr>
                <w:rFonts w:ascii="Arial"/>
                <w:sz w:val="21"/>
              </w:rPr>
            </w:pPr>
          </w:p>
        </w:tc>
        <w:tc>
          <w:tcPr>
            <w:tcW w:w="975" w:type="dxa"/>
            <w:vAlign w:val="top"/>
          </w:tcPr>
          <w:p w14:paraId="5B2505D5">
            <w:pPr>
              <w:rPr>
                <w:rFonts w:ascii="Arial"/>
                <w:sz w:val="21"/>
              </w:rPr>
            </w:pPr>
          </w:p>
        </w:tc>
        <w:tc>
          <w:tcPr>
            <w:tcW w:w="1194" w:type="dxa"/>
            <w:vAlign w:val="top"/>
          </w:tcPr>
          <w:p w14:paraId="3AAE89B6">
            <w:pPr>
              <w:rPr>
                <w:rFonts w:ascii="Arial"/>
                <w:sz w:val="21"/>
              </w:rPr>
            </w:pPr>
          </w:p>
        </w:tc>
        <w:tc>
          <w:tcPr>
            <w:tcW w:w="1097" w:type="dxa"/>
            <w:tcBorders>
              <w:right w:val="single" w:color="000000" w:sz="6" w:space="0"/>
            </w:tcBorders>
            <w:vAlign w:val="top"/>
          </w:tcPr>
          <w:p w14:paraId="62E00718">
            <w:pPr>
              <w:rPr>
                <w:rFonts w:ascii="Arial"/>
                <w:sz w:val="21"/>
              </w:rPr>
            </w:pPr>
          </w:p>
        </w:tc>
      </w:tr>
      <w:tr w14:paraId="6795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05172B05">
            <w:pPr>
              <w:rPr>
                <w:rFonts w:ascii="Arial"/>
                <w:sz w:val="21"/>
              </w:rPr>
            </w:pPr>
          </w:p>
        </w:tc>
        <w:tc>
          <w:tcPr>
            <w:tcW w:w="1298" w:type="dxa"/>
            <w:vAlign w:val="top"/>
          </w:tcPr>
          <w:p w14:paraId="2A67C7AC">
            <w:pPr>
              <w:rPr>
                <w:rFonts w:ascii="Arial"/>
                <w:sz w:val="21"/>
              </w:rPr>
            </w:pPr>
          </w:p>
        </w:tc>
        <w:tc>
          <w:tcPr>
            <w:tcW w:w="1915" w:type="dxa"/>
            <w:vAlign w:val="top"/>
          </w:tcPr>
          <w:p w14:paraId="3FF9375A">
            <w:pPr>
              <w:rPr>
                <w:rFonts w:ascii="Arial"/>
                <w:sz w:val="21"/>
              </w:rPr>
            </w:pPr>
          </w:p>
        </w:tc>
        <w:tc>
          <w:tcPr>
            <w:tcW w:w="923" w:type="dxa"/>
            <w:vAlign w:val="top"/>
          </w:tcPr>
          <w:p w14:paraId="215D0BFC">
            <w:pPr>
              <w:rPr>
                <w:rFonts w:ascii="Arial"/>
                <w:sz w:val="21"/>
              </w:rPr>
            </w:pPr>
          </w:p>
        </w:tc>
        <w:tc>
          <w:tcPr>
            <w:tcW w:w="937" w:type="dxa"/>
            <w:vAlign w:val="top"/>
          </w:tcPr>
          <w:p w14:paraId="2AAC517D">
            <w:pPr>
              <w:rPr>
                <w:rFonts w:ascii="Arial"/>
                <w:sz w:val="21"/>
              </w:rPr>
            </w:pPr>
          </w:p>
        </w:tc>
        <w:tc>
          <w:tcPr>
            <w:tcW w:w="975" w:type="dxa"/>
            <w:vAlign w:val="top"/>
          </w:tcPr>
          <w:p w14:paraId="0079DB34">
            <w:pPr>
              <w:rPr>
                <w:rFonts w:ascii="Arial"/>
                <w:sz w:val="21"/>
              </w:rPr>
            </w:pPr>
          </w:p>
        </w:tc>
        <w:tc>
          <w:tcPr>
            <w:tcW w:w="1194" w:type="dxa"/>
            <w:vAlign w:val="top"/>
          </w:tcPr>
          <w:p w14:paraId="23512205">
            <w:pPr>
              <w:rPr>
                <w:rFonts w:ascii="Arial"/>
                <w:sz w:val="21"/>
              </w:rPr>
            </w:pPr>
          </w:p>
        </w:tc>
        <w:tc>
          <w:tcPr>
            <w:tcW w:w="1097" w:type="dxa"/>
            <w:tcBorders>
              <w:right w:val="single" w:color="000000" w:sz="6" w:space="0"/>
            </w:tcBorders>
            <w:vAlign w:val="top"/>
          </w:tcPr>
          <w:p w14:paraId="6B286A05">
            <w:pPr>
              <w:rPr>
                <w:rFonts w:ascii="Arial"/>
                <w:sz w:val="21"/>
              </w:rPr>
            </w:pPr>
          </w:p>
        </w:tc>
      </w:tr>
      <w:tr w14:paraId="4FB2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2D54D6D7">
            <w:pPr>
              <w:rPr>
                <w:rFonts w:ascii="Arial"/>
                <w:sz w:val="21"/>
              </w:rPr>
            </w:pPr>
          </w:p>
        </w:tc>
        <w:tc>
          <w:tcPr>
            <w:tcW w:w="1298" w:type="dxa"/>
            <w:vAlign w:val="top"/>
          </w:tcPr>
          <w:p w14:paraId="443280CD">
            <w:pPr>
              <w:rPr>
                <w:rFonts w:ascii="Arial"/>
                <w:sz w:val="21"/>
              </w:rPr>
            </w:pPr>
          </w:p>
        </w:tc>
        <w:tc>
          <w:tcPr>
            <w:tcW w:w="1915" w:type="dxa"/>
            <w:vAlign w:val="top"/>
          </w:tcPr>
          <w:p w14:paraId="4E305064">
            <w:pPr>
              <w:rPr>
                <w:rFonts w:ascii="Arial"/>
                <w:sz w:val="21"/>
              </w:rPr>
            </w:pPr>
          </w:p>
        </w:tc>
        <w:tc>
          <w:tcPr>
            <w:tcW w:w="923" w:type="dxa"/>
            <w:vAlign w:val="top"/>
          </w:tcPr>
          <w:p w14:paraId="5276544B">
            <w:pPr>
              <w:rPr>
                <w:rFonts w:ascii="Arial"/>
                <w:sz w:val="21"/>
              </w:rPr>
            </w:pPr>
          </w:p>
        </w:tc>
        <w:tc>
          <w:tcPr>
            <w:tcW w:w="937" w:type="dxa"/>
            <w:vAlign w:val="top"/>
          </w:tcPr>
          <w:p w14:paraId="4FBFD96B">
            <w:pPr>
              <w:rPr>
                <w:rFonts w:ascii="Arial"/>
                <w:sz w:val="21"/>
              </w:rPr>
            </w:pPr>
          </w:p>
        </w:tc>
        <w:tc>
          <w:tcPr>
            <w:tcW w:w="975" w:type="dxa"/>
            <w:vAlign w:val="top"/>
          </w:tcPr>
          <w:p w14:paraId="274B0392">
            <w:pPr>
              <w:rPr>
                <w:rFonts w:ascii="Arial"/>
                <w:sz w:val="21"/>
              </w:rPr>
            </w:pPr>
          </w:p>
        </w:tc>
        <w:tc>
          <w:tcPr>
            <w:tcW w:w="1194" w:type="dxa"/>
            <w:vAlign w:val="top"/>
          </w:tcPr>
          <w:p w14:paraId="050AAB3D">
            <w:pPr>
              <w:rPr>
                <w:rFonts w:ascii="Arial"/>
                <w:sz w:val="21"/>
              </w:rPr>
            </w:pPr>
          </w:p>
        </w:tc>
        <w:tc>
          <w:tcPr>
            <w:tcW w:w="1097" w:type="dxa"/>
            <w:tcBorders>
              <w:right w:val="single" w:color="000000" w:sz="6" w:space="0"/>
            </w:tcBorders>
            <w:vAlign w:val="top"/>
          </w:tcPr>
          <w:p w14:paraId="6842B594">
            <w:pPr>
              <w:rPr>
                <w:rFonts w:ascii="Arial"/>
                <w:sz w:val="21"/>
              </w:rPr>
            </w:pPr>
          </w:p>
        </w:tc>
      </w:tr>
      <w:tr w14:paraId="0DF3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2A422924">
            <w:pPr>
              <w:rPr>
                <w:rFonts w:ascii="Arial"/>
                <w:sz w:val="21"/>
              </w:rPr>
            </w:pPr>
          </w:p>
        </w:tc>
        <w:tc>
          <w:tcPr>
            <w:tcW w:w="1298" w:type="dxa"/>
            <w:vAlign w:val="top"/>
          </w:tcPr>
          <w:p w14:paraId="4B47C581">
            <w:pPr>
              <w:rPr>
                <w:rFonts w:ascii="Arial"/>
                <w:sz w:val="21"/>
              </w:rPr>
            </w:pPr>
          </w:p>
        </w:tc>
        <w:tc>
          <w:tcPr>
            <w:tcW w:w="1915" w:type="dxa"/>
            <w:vAlign w:val="top"/>
          </w:tcPr>
          <w:p w14:paraId="45EE59BE">
            <w:pPr>
              <w:rPr>
                <w:rFonts w:ascii="Arial"/>
                <w:sz w:val="21"/>
              </w:rPr>
            </w:pPr>
          </w:p>
        </w:tc>
        <w:tc>
          <w:tcPr>
            <w:tcW w:w="923" w:type="dxa"/>
            <w:vAlign w:val="top"/>
          </w:tcPr>
          <w:p w14:paraId="146DA0BE">
            <w:pPr>
              <w:rPr>
                <w:rFonts w:ascii="Arial"/>
                <w:sz w:val="21"/>
              </w:rPr>
            </w:pPr>
          </w:p>
        </w:tc>
        <w:tc>
          <w:tcPr>
            <w:tcW w:w="937" w:type="dxa"/>
            <w:vAlign w:val="top"/>
          </w:tcPr>
          <w:p w14:paraId="24DC8144">
            <w:pPr>
              <w:rPr>
                <w:rFonts w:ascii="Arial"/>
                <w:sz w:val="21"/>
              </w:rPr>
            </w:pPr>
          </w:p>
        </w:tc>
        <w:tc>
          <w:tcPr>
            <w:tcW w:w="975" w:type="dxa"/>
            <w:vAlign w:val="top"/>
          </w:tcPr>
          <w:p w14:paraId="32867C5E">
            <w:pPr>
              <w:rPr>
                <w:rFonts w:ascii="Arial"/>
                <w:sz w:val="21"/>
              </w:rPr>
            </w:pPr>
          </w:p>
        </w:tc>
        <w:tc>
          <w:tcPr>
            <w:tcW w:w="1194" w:type="dxa"/>
            <w:vAlign w:val="top"/>
          </w:tcPr>
          <w:p w14:paraId="0BBB9132">
            <w:pPr>
              <w:rPr>
                <w:rFonts w:ascii="Arial"/>
                <w:sz w:val="21"/>
              </w:rPr>
            </w:pPr>
          </w:p>
        </w:tc>
        <w:tc>
          <w:tcPr>
            <w:tcW w:w="1097" w:type="dxa"/>
            <w:tcBorders>
              <w:right w:val="single" w:color="000000" w:sz="6" w:space="0"/>
            </w:tcBorders>
            <w:vAlign w:val="top"/>
          </w:tcPr>
          <w:p w14:paraId="376B7909">
            <w:pPr>
              <w:rPr>
                <w:rFonts w:ascii="Arial"/>
                <w:sz w:val="21"/>
              </w:rPr>
            </w:pPr>
          </w:p>
        </w:tc>
      </w:tr>
      <w:tr w14:paraId="5317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59290528">
            <w:pPr>
              <w:rPr>
                <w:rFonts w:ascii="Arial"/>
                <w:sz w:val="21"/>
              </w:rPr>
            </w:pPr>
          </w:p>
        </w:tc>
        <w:tc>
          <w:tcPr>
            <w:tcW w:w="1298" w:type="dxa"/>
            <w:vAlign w:val="top"/>
          </w:tcPr>
          <w:p w14:paraId="7BD1A6FD">
            <w:pPr>
              <w:rPr>
                <w:rFonts w:ascii="Arial"/>
                <w:sz w:val="21"/>
              </w:rPr>
            </w:pPr>
          </w:p>
        </w:tc>
        <w:tc>
          <w:tcPr>
            <w:tcW w:w="1915" w:type="dxa"/>
            <w:vAlign w:val="top"/>
          </w:tcPr>
          <w:p w14:paraId="78F41327">
            <w:pPr>
              <w:rPr>
                <w:rFonts w:ascii="Arial"/>
                <w:sz w:val="21"/>
              </w:rPr>
            </w:pPr>
          </w:p>
        </w:tc>
        <w:tc>
          <w:tcPr>
            <w:tcW w:w="923" w:type="dxa"/>
            <w:vAlign w:val="top"/>
          </w:tcPr>
          <w:p w14:paraId="4CC421E3">
            <w:pPr>
              <w:rPr>
                <w:rFonts w:ascii="Arial"/>
                <w:sz w:val="21"/>
              </w:rPr>
            </w:pPr>
          </w:p>
        </w:tc>
        <w:tc>
          <w:tcPr>
            <w:tcW w:w="937" w:type="dxa"/>
            <w:vAlign w:val="top"/>
          </w:tcPr>
          <w:p w14:paraId="283F462E">
            <w:pPr>
              <w:rPr>
                <w:rFonts w:ascii="Arial"/>
                <w:sz w:val="21"/>
              </w:rPr>
            </w:pPr>
          </w:p>
        </w:tc>
        <w:tc>
          <w:tcPr>
            <w:tcW w:w="975" w:type="dxa"/>
            <w:vAlign w:val="top"/>
          </w:tcPr>
          <w:p w14:paraId="42F3B347">
            <w:pPr>
              <w:rPr>
                <w:rFonts w:ascii="Arial"/>
                <w:sz w:val="21"/>
              </w:rPr>
            </w:pPr>
          </w:p>
        </w:tc>
        <w:tc>
          <w:tcPr>
            <w:tcW w:w="1194" w:type="dxa"/>
            <w:vAlign w:val="top"/>
          </w:tcPr>
          <w:p w14:paraId="18BB3C3C">
            <w:pPr>
              <w:rPr>
                <w:rFonts w:ascii="Arial"/>
                <w:sz w:val="21"/>
              </w:rPr>
            </w:pPr>
          </w:p>
        </w:tc>
        <w:tc>
          <w:tcPr>
            <w:tcW w:w="1097" w:type="dxa"/>
            <w:tcBorders>
              <w:right w:val="single" w:color="000000" w:sz="6" w:space="0"/>
            </w:tcBorders>
            <w:vAlign w:val="top"/>
          </w:tcPr>
          <w:p w14:paraId="011FEDC2">
            <w:pPr>
              <w:rPr>
                <w:rFonts w:ascii="Arial"/>
                <w:sz w:val="21"/>
              </w:rPr>
            </w:pPr>
          </w:p>
        </w:tc>
      </w:tr>
      <w:tr w14:paraId="54D80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13" w:type="dxa"/>
            <w:tcBorders>
              <w:left w:val="single" w:color="000000" w:sz="6" w:space="0"/>
            </w:tcBorders>
            <w:vAlign w:val="top"/>
          </w:tcPr>
          <w:p w14:paraId="306928B2">
            <w:pPr>
              <w:rPr>
                <w:rFonts w:ascii="Arial"/>
                <w:sz w:val="21"/>
              </w:rPr>
            </w:pPr>
          </w:p>
        </w:tc>
        <w:tc>
          <w:tcPr>
            <w:tcW w:w="1298" w:type="dxa"/>
            <w:vAlign w:val="top"/>
          </w:tcPr>
          <w:p w14:paraId="518C9AAD">
            <w:pPr>
              <w:rPr>
                <w:rFonts w:ascii="Arial"/>
                <w:sz w:val="21"/>
              </w:rPr>
            </w:pPr>
          </w:p>
        </w:tc>
        <w:tc>
          <w:tcPr>
            <w:tcW w:w="1915" w:type="dxa"/>
            <w:vAlign w:val="top"/>
          </w:tcPr>
          <w:p w14:paraId="0824C621">
            <w:pPr>
              <w:rPr>
                <w:rFonts w:ascii="Arial"/>
                <w:sz w:val="21"/>
              </w:rPr>
            </w:pPr>
          </w:p>
        </w:tc>
        <w:tc>
          <w:tcPr>
            <w:tcW w:w="923" w:type="dxa"/>
            <w:vAlign w:val="top"/>
          </w:tcPr>
          <w:p w14:paraId="15E4A30C">
            <w:pPr>
              <w:rPr>
                <w:rFonts w:ascii="Arial"/>
                <w:sz w:val="21"/>
              </w:rPr>
            </w:pPr>
          </w:p>
        </w:tc>
        <w:tc>
          <w:tcPr>
            <w:tcW w:w="937" w:type="dxa"/>
            <w:vAlign w:val="top"/>
          </w:tcPr>
          <w:p w14:paraId="6C749081">
            <w:pPr>
              <w:rPr>
                <w:rFonts w:ascii="Arial"/>
                <w:sz w:val="21"/>
              </w:rPr>
            </w:pPr>
          </w:p>
        </w:tc>
        <w:tc>
          <w:tcPr>
            <w:tcW w:w="975" w:type="dxa"/>
            <w:vAlign w:val="top"/>
          </w:tcPr>
          <w:p w14:paraId="383646E5">
            <w:pPr>
              <w:rPr>
                <w:rFonts w:ascii="Arial"/>
                <w:sz w:val="21"/>
              </w:rPr>
            </w:pPr>
          </w:p>
        </w:tc>
        <w:tc>
          <w:tcPr>
            <w:tcW w:w="1194" w:type="dxa"/>
            <w:vAlign w:val="top"/>
          </w:tcPr>
          <w:p w14:paraId="6C22C331">
            <w:pPr>
              <w:rPr>
                <w:rFonts w:ascii="Arial"/>
                <w:sz w:val="21"/>
              </w:rPr>
            </w:pPr>
          </w:p>
        </w:tc>
        <w:tc>
          <w:tcPr>
            <w:tcW w:w="1097" w:type="dxa"/>
            <w:tcBorders>
              <w:right w:val="single" w:color="000000" w:sz="6" w:space="0"/>
            </w:tcBorders>
            <w:vAlign w:val="top"/>
          </w:tcPr>
          <w:p w14:paraId="40DEE32D">
            <w:pPr>
              <w:rPr>
                <w:rFonts w:ascii="Arial"/>
                <w:sz w:val="21"/>
              </w:rPr>
            </w:pPr>
          </w:p>
        </w:tc>
      </w:tr>
      <w:tr w14:paraId="2895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4080702E">
            <w:pPr>
              <w:rPr>
                <w:rFonts w:ascii="Arial"/>
                <w:sz w:val="21"/>
              </w:rPr>
            </w:pPr>
          </w:p>
        </w:tc>
        <w:tc>
          <w:tcPr>
            <w:tcW w:w="1298" w:type="dxa"/>
            <w:vAlign w:val="top"/>
          </w:tcPr>
          <w:p w14:paraId="5240B68C">
            <w:pPr>
              <w:rPr>
                <w:rFonts w:ascii="Arial"/>
                <w:sz w:val="21"/>
              </w:rPr>
            </w:pPr>
          </w:p>
        </w:tc>
        <w:tc>
          <w:tcPr>
            <w:tcW w:w="1915" w:type="dxa"/>
            <w:vAlign w:val="top"/>
          </w:tcPr>
          <w:p w14:paraId="2B015B3F">
            <w:pPr>
              <w:rPr>
                <w:rFonts w:ascii="Arial"/>
                <w:sz w:val="21"/>
              </w:rPr>
            </w:pPr>
          </w:p>
        </w:tc>
        <w:tc>
          <w:tcPr>
            <w:tcW w:w="923" w:type="dxa"/>
            <w:vAlign w:val="top"/>
          </w:tcPr>
          <w:p w14:paraId="14753259">
            <w:pPr>
              <w:rPr>
                <w:rFonts w:ascii="Arial"/>
                <w:sz w:val="21"/>
              </w:rPr>
            </w:pPr>
          </w:p>
        </w:tc>
        <w:tc>
          <w:tcPr>
            <w:tcW w:w="937" w:type="dxa"/>
            <w:vAlign w:val="top"/>
          </w:tcPr>
          <w:p w14:paraId="7825BFEA">
            <w:pPr>
              <w:rPr>
                <w:rFonts w:ascii="Arial"/>
                <w:sz w:val="21"/>
              </w:rPr>
            </w:pPr>
          </w:p>
        </w:tc>
        <w:tc>
          <w:tcPr>
            <w:tcW w:w="975" w:type="dxa"/>
            <w:vAlign w:val="top"/>
          </w:tcPr>
          <w:p w14:paraId="03854904">
            <w:pPr>
              <w:rPr>
                <w:rFonts w:ascii="Arial"/>
                <w:sz w:val="21"/>
              </w:rPr>
            </w:pPr>
          </w:p>
        </w:tc>
        <w:tc>
          <w:tcPr>
            <w:tcW w:w="1194" w:type="dxa"/>
            <w:vAlign w:val="top"/>
          </w:tcPr>
          <w:p w14:paraId="37B12622">
            <w:pPr>
              <w:rPr>
                <w:rFonts w:ascii="Arial"/>
                <w:sz w:val="21"/>
              </w:rPr>
            </w:pPr>
          </w:p>
        </w:tc>
        <w:tc>
          <w:tcPr>
            <w:tcW w:w="1097" w:type="dxa"/>
            <w:tcBorders>
              <w:right w:val="single" w:color="000000" w:sz="6" w:space="0"/>
            </w:tcBorders>
            <w:vAlign w:val="top"/>
          </w:tcPr>
          <w:p w14:paraId="2C9920B9">
            <w:pPr>
              <w:rPr>
                <w:rFonts w:ascii="Arial"/>
                <w:sz w:val="21"/>
              </w:rPr>
            </w:pPr>
          </w:p>
        </w:tc>
      </w:tr>
      <w:tr w14:paraId="051D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4A4475DA">
            <w:pPr>
              <w:rPr>
                <w:rFonts w:ascii="Arial"/>
                <w:sz w:val="21"/>
              </w:rPr>
            </w:pPr>
          </w:p>
        </w:tc>
        <w:tc>
          <w:tcPr>
            <w:tcW w:w="1298" w:type="dxa"/>
            <w:vAlign w:val="top"/>
          </w:tcPr>
          <w:p w14:paraId="34AA64FA">
            <w:pPr>
              <w:rPr>
                <w:rFonts w:ascii="Arial"/>
                <w:sz w:val="21"/>
              </w:rPr>
            </w:pPr>
          </w:p>
        </w:tc>
        <w:tc>
          <w:tcPr>
            <w:tcW w:w="1915" w:type="dxa"/>
            <w:vAlign w:val="top"/>
          </w:tcPr>
          <w:p w14:paraId="46379613">
            <w:pPr>
              <w:rPr>
                <w:rFonts w:ascii="Arial"/>
                <w:sz w:val="21"/>
              </w:rPr>
            </w:pPr>
          </w:p>
        </w:tc>
        <w:tc>
          <w:tcPr>
            <w:tcW w:w="923" w:type="dxa"/>
            <w:vAlign w:val="top"/>
          </w:tcPr>
          <w:p w14:paraId="5C473093">
            <w:pPr>
              <w:rPr>
                <w:rFonts w:ascii="Arial"/>
                <w:sz w:val="21"/>
              </w:rPr>
            </w:pPr>
          </w:p>
        </w:tc>
        <w:tc>
          <w:tcPr>
            <w:tcW w:w="937" w:type="dxa"/>
            <w:vAlign w:val="top"/>
          </w:tcPr>
          <w:p w14:paraId="4497745A">
            <w:pPr>
              <w:rPr>
                <w:rFonts w:ascii="Arial"/>
                <w:sz w:val="21"/>
              </w:rPr>
            </w:pPr>
          </w:p>
        </w:tc>
        <w:tc>
          <w:tcPr>
            <w:tcW w:w="975" w:type="dxa"/>
            <w:vAlign w:val="top"/>
          </w:tcPr>
          <w:p w14:paraId="6CB9508F">
            <w:pPr>
              <w:rPr>
                <w:rFonts w:ascii="Arial"/>
                <w:sz w:val="21"/>
              </w:rPr>
            </w:pPr>
          </w:p>
        </w:tc>
        <w:tc>
          <w:tcPr>
            <w:tcW w:w="1194" w:type="dxa"/>
            <w:vAlign w:val="top"/>
          </w:tcPr>
          <w:p w14:paraId="42EEE2CC">
            <w:pPr>
              <w:rPr>
                <w:rFonts w:ascii="Arial"/>
                <w:sz w:val="21"/>
              </w:rPr>
            </w:pPr>
          </w:p>
        </w:tc>
        <w:tc>
          <w:tcPr>
            <w:tcW w:w="1097" w:type="dxa"/>
            <w:tcBorders>
              <w:right w:val="single" w:color="000000" w:sz="6" w:space="0"/>
            </w:tcBorders>
            <w:vAlign w:val="top"/>
          </w:tcPr>
          <w:p w14:paraId="61F10474">
            <w:pPr>
              <w:rPr>
                <w:rFonts w:ascii="Arial"/>
                <w:sz w:val="21"/>
              </w:rPr>
            </w:pPr>
          </w:p>
        </w:tc>
      </w:tr>
      <w:tr w14:paraId="536D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3" w:type="dxa"/>
            <w:tcBorders>
              <w:left w:val="single" w:color="000000" w:sz="6" w:space="0"/>
            </w:tcBorders>
            <w:vAlign w:val="top"/>
          </w:tcPr>
          <w:p w14:paraId="2E4EC04E">
            <w:pPr>
              <w:rPr>
                <w:rFonts w:ascii="Arial"/>
                <w:sz w:val="21"/>
              </w:rPr>
            </w:pPr>
          </w:p>
        </w:tc>
        <w:tc>
          <w:tcPr>
            <w:tcW w:w="1298" w:type="dxa"/>
            <w:vAlign w:val="top"/>
          </w:tcPr>
          <w:p w14:paraId="1321803B">
            <w:pPr>
              <w:rPr>
                <w:rFonts w:ascii="Arial"/>
                <w:sz w:val="21"/>
              </w:rPr>
            </w:pPr>
          </w:p>
        </w:tc>
        <w:tc>
          <w:tcPr>
            <w:tcW w:w="1915" w:type="dxa"/>
            <w:vAlign w:val="top"/>
          </w:tcPr>
          <w:p w14:paraId="7503BA3D">
            <w:pPr>
              <w:rPr>
                <w:rFonts w:ascii="Arial"/>
                <w:sz w:val="21"/>
              </w:rPr>
            </w:pPr>
          </w:p>
        </w:tc>
        <w:tc>
          <w:tcPr>
            <w:tcW w:w="923" w:type="dxa"/>
            <w:vAlign w:val="top"/>
          </w:tcPr>
          <w:p w14:paraId="4DA2A18B">
            <w:pPr>
              <w:rPr>
                <w:rFonts w:ascii="Arial"/>
                <w:sz w:val="21"/>
              </w:rPr>
            </w:pPr>
          </w:p>
        </w:tc>
        <w:tc>
          <w:tcPr>
            <w:tcW w:w="937" w:type="dxa"/>
            <w:vAlign w:val="top"/>
          </w:tcPr>
          <w:p w14:paraId="78E142F0">
            <w:pPr>
              <w:rPr>
                <w:rFonts w:ascii="Arial"/>
                <w:sz w:val="21"/>
              </w:rPr>
            </w:pPr>
          </w:p>
        </w:tc>
        <w:tc>
          <w:tcPr>
            <w:tcW w:w="975" w:type="dxa"/>
            <w:vAlign w:val="top"/>
          </w:tcPr>
          <w:p w14:paraId="37A64482">
            <w:pPr>
              <w:rPr>
                <w:rFonts w:ascii="Arial"/>
                <w:sz w:val="21"/>
              </w:rPr>
            </w:pPr>
          </w:p>
        </w:tc>
        <w:tc>
          <w:tcPr>
            <w:tcW w:w="1194" w:type="dxa"/>
            <w:vAlign w:val="top"/>
          </w:tcPr>
          <w:p w14:paraId="2D0284BF">
            <w:pPr>
              <w:rPr>
                <w:rFonts w:ascii="Arial"/>
                <w:sz w:val="21"/>
              </w:rPr>
            </w:pPr>
          </w:p>
        </w:tc>
        <w:tc>
          <w:tcPr>
            <w:tcW w:w="1097" w:type="dxa"/>
            <w:tcBorders>
              <w:right w:val="single" w:color="000000" w:sz="6" w:space="0"/>
            </w:tcBorders>
            <w:vAlign w:val="top"/>
          </w:tcPr>
          <w:p w14:paraId="70A60E45">
            <w:pPr>
              <w:rPr>
                <w:rFonts w:ascii="Arial"/>
                <w:sz w:val="21"/>
              </w:rPr>
            </w:pPr>
          </w:p>
        </w:tc>
      </w:tr>
      <w:tr w14:paraId="0142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913" w:type="dxa"/>
            <w:tcBorders>
              <w:left w:val="single" w:color="000000" w:sz="6" w:space="0"/>
              <w:bottom w:val="single" w:color="000000" w:sz="6" w:space="0"/>
            </w:tcBorders>
            <w:vAlign w:val="top"/>
          </w:tcPr>
          <w:p w14:paraId="0C7F2716">
            <w:pPr>
              <w:rPr>
                <w:rFonts w:ascii="Arial"/>
                <w:sz w:val="21"/>
              </w:rPr>
            </w:pPr>
          </w:p>
        </w:tc>
        <w:tc>
          <w:tcPr>
            <w:tcW w:w="1298" w:type="dxa"/>
            <w:tcBorders>
              <w:bottom w:val="single" w:color="000000" w:sz="6" w:space="0"/>
            </w:tcBorders>
            <w:vAlign w:val="top"/>
          </w:tcPr>
          <w:p w14:paraId="4A71C61D">
            <w:pPr>
              <w:rPr>
                <w:rFonts w:ascii="Arial"/>
                <w:sz w:val="21"/>
              </w:rPr>
            </w:pPr>
          </w:p>
        </w:tc>
        <w:tc>
          <w:tcPr>
            <w:tcW w:w="1915" w:type="dxa"/>
            <w:tcBorders>
              <w:bottom w:val="single" w:color="000000" w:sz="6" w:space="0"/>
            </w:tcBorders>
            <w:vAlign w:val="top"/>
          </w:tcPr>
          <w:p w14:paraId="3E2D4860">
            <w:pPr>
              <w:pStyle w:val="11"/>
              <w:spacing w:before="82" w:line="221" w:lineRule="auto"/>
              <w:ind w:left="110"/>
              <w:rPr>
                <w:sz w:val="18"/>
                <w:szCs w:val="18"/>
              </w:rPr>
            </w:pPr>
            <w:r>
              <w:rPr>
                <w:spacing w:val="-4"/>
                <w:sz w:val="18"/>
                <w:szCs w:val="18"/>
              </w:rPr>
              <w:t>合</w:t>
            </w:r>
            <w:r>
              <w:rPr>
                <w:spacing w:val="3"/>
                <w:sz w:val="18"/>
                <w:szCs w:val="18"/>
              </w:rPr>
              <w:t xml:space="preserve">   </w:t>
            </w:r>
            <w:r>
              <w:rPr>
                <w:spacing w:val="-4"/>
                <w:sz w:val="18"/>
                <w:szCs w:val="18"/>
              </w:rPr>
              <w:t>计</w:t>
            </w:r>
          </w:p>
        </w:tc>
        <w:tc>
          <w:tcPr>
            <w:tcW w:w="923" w:type="dxa"/>
            <w:tcBorders>
              <w:bottom w:val="single" w:color="000000" w:sz="6" w:space="0"/>
            </w:tcBorders>
            <w:vAlign w:val="top"/>
          </w:tcPr>
          <w:p w14:paraId="3AAEAA6A">
            <w:pPr>
              <w:rPr>
                <w:rFonts w:ascii="Arial"/>
                <w:sz w:val="21"/>
              </w:rPr>
            </w:pPr>
          </w:p>
        </w:tc>
        <w:tc>
          <w:tcPr>
            <w:tcW w:w="937" w:type="dxa"/>
            <w:tcBorders>
              <w:bottom w:val="single" w:color="000000" w:sz="6" w:space="0"/>
            </w:tcBorders>
            <w:vAlign w:val="top"/>
          </w:tcPr>
          <w:p w14:paraId="0B24642B">
            <w:pPr>
              <w:rPr>
                <w:rFonts w:ascii="Arial"/>
                <w:sz w:val="21"/>
              </w:rPr>
            </w:pPr>
          </w:p>
        </w:tc>
        <w:tc>
          <w:tcPr>
            <w:tcW w:w="975" w:type="dxa"/>
            <w:tcBorders>
              <w:bottom w:val="single" w:color="000000" w:sz="6" w:space="0"/>
            </w:tcBorders>
            <w:vAlign w:val="top"/>
          </w:tcPr>
          <w:p w14:paraId="356B1EE6">
            <w:pPr>
              <w:rPr>
                <w:rFonts w:ascii="Arial"/>
                <w:sz w:val="21"/>
              </w:rPr>
            </w:pPr>
          </w:p>
        </w:tc>
        <w:tc>
          <w:tcPr>
            <w:tcW w:w="1194" w:type="dxa"/>
            <w:tcBorders>
              <w:bottom w:val="single" w:color="000000" w:sz="6" w:space="0"/>
            </w:tcBorders>
            <w:vAlign w:val="top"/>
          </w:tcPr>
          <w:p w14:paraId="56FE2E06">
            <w:pPr>
              <w:rPr>
                <w:rFonts w:ascii="Arial"/>
                <w:sz w:val="21"/>
              </w:rPr>
            </w:pPr>
          </w:p>
        </w:tc>
        <w:tc>
          <w:tcPr>
            <w:tcW w:w="1097" w:type="dxa"/>
            <w:tcBorders>
              <w:bottom w:val="single" w:color="000000" w:sz="6" w:space="0"/>
              <w:right w:val="single" w:color="000000" w:sz="6" w:space="0"/>
            </w:tcBorders>
            <w:vAlign w:val="top"/>
          </w:tcPr>
          <w:p w14:paraId="27EC8E1B">
            <w:pPr>
              <w:rPr>
                <w:rFonts w:ascii="Arial"/>
                <w:sz w:val="21"/>
              </w:rPr>
            </w:pPr>
          </w:p>
        </w:tc>
      </w:tr>
    </w:tbl>
    <w:p w14:paraId="3DA479E7">
      <w:pPr>
        <w:spacing w:before="140" w:line="220" w:lineRule="auto"/>
        <w:ind w:left="7148"/>
        <w:rPr>
          <w:rFonts w:ascii="宋体" w:hAnsi="宋体" w:eastAsia="宋体" w:cs="宋体"/>
          <w:sz w:val="18"/>
          <w:szCs w:val="18"/>
        </w:rPr>
      </w:pPr>
      <w:r>
        <w:rPr>
          <w:rFonts w:ascii="宋体" w:hAnsi="宋体" w:eastAsia="宋体" w:cs="宋体"/>
          <w:spacing w:val="-2"/>
          <w:sz w:val="18"/>
          <w:szCs w:val="18"/>
        </w:rPr>
        <w:t>法定代表人</w:t>
      </w:r>
    </w:p>
    <w:p w14:paraId="7088B01D">
      <w:pPr>
        <w:spacing w:before="134" w:line="241" w:lineRule="auto"/>
        <w:ind w:left="6966" w:right="154"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11"/>
          <w:sz w:val="18"/>
          <w:szCs w:val="18"/>
        </w:rPr>
        <w:t>）</w:t>
      </w:r>
      <w:r>
        <w:rPr>
          <w:rFonts w:ascii="宋体" w:hAnsi="宋体" w:eastAsia="宋体" w:cs="宋体"/>
          <w:spacing w:val="24"/>
          <w:sz w:val="18"/>
          <w:szCs w:val="18"/>
        </w:rPr>
        <w:t xml:space="preserve"> </w:t>
      </w:r>
      <w:r>
        <w:rPr>
          <w:rFonts w:ascii="宋体" w:hAnsi="宋体" w:eastAsia="宋体" w:cs="宋体"/>
          <w:spacing w:val="-11"/>
          <w:sz w:val="18"/>
          <w:szCs w:val="18"/>
        </w:rPr>
        <w:t>：</w:t>
      </w:r>
      <w:r>
        <w:rPr>
          <w:rFonts w:ascii="宋体" w:hAnsi="宋体" w:eastAsia="宋体" w:cs="宋体"/>
          <w:spacing w:val="-2"/>
          <w:sz w:val="18"/>
          <w:szCs w:val="18"/>
        </w:rPr>
        <w:t>_（签</w:t>
      </w:r>
      <w:r>
        <w:rPr>
          <w:rFonts w:ascii="宋体" w:hAnsi="宋体" w:eastAsia="宋体" w:cs="宋体"/>
          <w:spacing w:val="-5"/>
          <w:sz w:val="18"/>
          <w:szCs w:val="18"/>
        </w:rPr>
        <w:t>字）</w:t>
      </w:r>
    </w:p>
    <w:p w14:paraId="0702325A">
      <w:pPr>
        <w:spacing w:line="241" w:lineRule="auto"/>
        <w:rPr>
          <w:rFonts w:ascii="宋体" w:hAnsi="宋体" w:eastAsia="宋体" w:cs="宋体"/>
          <w:sz w:val="18"/>
          <w:szCs w:val="18"/>
        </w:rPr>
        <w:sectPr>
          <w:footerReference r:id="rId172" w:type="default"/>
          <w:pgSz w:w="11905" w:h="16843"/>
          <w:pgMar w:top="969" w:right="1355" w:bottom="1026" w:left="1480" w:header="0" w:footer="754" w:gutter="0"/>
          <w:cols w:space="0" w:num="1"/>
          <w:rtlGutter w:val="0"/>
          <w:docGrid w:linePitch="0" w:charSpace="0"/>
        </w:sectPr>
      </w:pPr>
    </w:p>
    <w:p w14:paraId="0D3D51BB">
      <w:pPr>
        <w:pStyle w:val="5"/>
        <w:spacing w:line="266" w:lineRule="auto"/>
      </w:pPr>
    </w:p>
    <w:p w14:paraId="3F588F8B">
      <w:pPr>
        <w:pStyle w:val="5"/>
        <w:spacing w:line="266" w:lineRule="auto"/>
      </w:pPr>
    </w:p>
    <w:p w14:paraId="03FD8BFC">
      <w:pPr>
        <w:pStyle w:val="5"/>
        <w:spacing w:line="267" w:lineRule="auto"/>
      </w:pPr>
    </w:p>
    <w:p w14:paraId="2B69BAD3">
      <w:pPr>
        <w:pStyle w:val="5"/>
        <w:spacing w:line="267" w:lineRule="auto"/>
      </w:pPr>
    </w:p>
    <w:p w14:paraId="204C882E">
      <w:pPr>
        <w:pStyle w:val="5"/>
        <w:spacing w:line="267" w:lineRule="auto"/>
      </w:pPr>
    </w:p>
    <w:p w14:paraId="166255E7">
      <w:pPr>
        <w:pStyle w:val="5"/>
        <w:spacing w:line="267" w:lineRule="auto"/>
      </w:pPr>
    </w:p>
    <w:p w14:paraId="7A074422">
      <w:pPr>
        <w:spacing w:before="78" w:line="233" w:lineRule="auto"/>
        <w:ind w:left="14"/>
        <w:outlineLvl w:val="2"/>
        <w:rPr>
          <w:rFonts w:ascii="黑体" w:hAnsi="黑体" w:eastAsia="黑体" w:cs="黑体"/>
          <w:sz w:val="24"/>
          <w:szCs w:val="24"/>
        </w:rPr>
      </w:pPr>
      <w:bookmarkStart w:id="1288" w:name="bookmark398"/>
      <w:bookmarkEnd w:id="1288"/>
      <w:r>
        <w:rPr>
          <w:rFonts w:ascii="Times New Roman" w:hAnsi="Times New Roman" w:eastAsia="Times New Roman" w:cs="Times New Roman"/>
          <w:spacing w:val="-1"/>
          <w:sz w:val="24"/>
          <w:szCs w:val="24"/>
        </w:rPr>
        <w:t xml:space="preserve">3.23 </w:t>
      </w:r>
      <w:r>
        <w:rPr>
          <w:rFonts w:ascii="黑体" w:hAnsi="黑体" w:eastAsia="黑体" w:cs="黑体"/>
          <w:spacing w:val="-1"/>
          <w:sz w:val="24"/>
          <w:szCs w:val="24"/>
        </w:rPr>
        <w:t>工程单价计算表</w:t>
      </w:r>
    </w:p>
    <w:p w14:paraId="49CBD703">
      <w:pPr>
        <w:spacing w:before="378" w:line="222" w:lineRule="auto"/>
        <w:ind w:left="3027"/>
        <w:rPr>
          <w:rFonts w:ascii="宋体" w:hAnsi="宋体" w:eastAsia="宋体" w:cs="宋体"/>
          <w:sz w:val="43"/>
          <w:szCs w:val="43"/>
        </w:rPr>
      </w:pPr>
      <w:r>
        <w:rPr>
          <w:rFonts w:ascii="宋体" w:hAnsi="宋体" w:eastAsia="宋体" w:cs="宋体"/>
          <w:b/>
          <w:bCs/>
          <w:spacing w:val="3"/>
          <w:sz w:val="43"/>
          <w:szCs w:val="43"/>
        </w:rPr>
        <w:t>工程单价计算表</w:t>
      </w:r>
    </w:p>
    <w:p w14:paraId="4480B00B">
      <w:pPr>
        <w:spacing w:before="114" w:line="221" w:lineRule="auto"/>
        <w:ind w:left="3901"/>
        <w:rPr>
          <w:rFonts w:ascii="宋体" w:hAnsi="宋体" w:eastAsia="宋体" w:cs="宋体"/>
          <w:sz w:val="24"/>
          <w:szCs w:val="24"/>
        </w:rPr>
      </w:pPr>
      <w:r>
        <w:rPr>
          <w:rFonts w:ascii="宋体" w:hAnsi="宋体" w:eastAsia="宋体" w:cs="宋体"/>
          <w:spacing w:val="-3"/>
          <w:sz w:val="24"/>
          <w:szCs w:val="24"/>
        </w:rPr>
        <w:t>一般土方开挖</w:t>
      </w:r>
    </w:p>
    <w:p w14:paraId="72FD2990">
      <w:pPr>
        <w:spacing w:before="47" w:line="227" w:lineRule="auto"/>
        <w:ind w:left="150"/>
        <w:rPr>
          <w:rFonts w:ascii="宋体" w:hAnsi="宋体" w:eastAsia="宋体" w:cs="宋体"/>
          <w:sz w:val="19"/>
          <w:szCs w:val="19"/>
        </w:rPr>
      </w:pPr>
      <w:r>
        <w:rPr>
          <w:rFonts w:ascii="宋体" w:hAnsi="宋体" w:eastAsia="宋体" w:cs="宋体"/>
          <w:spacing w:val="5"/>
          <w:sz w:val="19"/>
          <w:szCs w:val="19"/>
        </w:rPr>
        <w:t>单价编号：</w:t>
      </w:r>
      <w:r>
        <w:rPr>
          <w:rFonts w:ascii="宋体" w:hAnsi="宋体" w:eastAsia="宋体" w:cs="宋体"/>
          <w:spacing w:val="1"/>
          <w:sz w:val="19"/>
          <w:szCs w:val="19"/>
        </w:rPr>
        <w:t xml:space="preserve">                                                                       </w:t>
      </w:r>
      <w:r>
        <w:rPr>
          <w:rFonts w:ascii="宋体" w:hAnsi="宋体" w:eastAsia="宋体" w:cs="宋体"/>
          <w:spacing w:val="5"/>
          <w:sz w:val="19"/>
          <w:szCs w:val="19"/>
        </w:rPr>
        <w:t>定额单位：</w:t>
      </w:r>
    </w:p>
    <w:p w14:paraId="5E9DB440">
      <w:pPr>
        <w:spacing w:line="21" w:lineRule="exact"/>
      </w:pPr>
    </w:p>
    <w:tbl>
      <w:tblPr>
        <w:tblStyle w:val="10"/>
        <w:tblW w:w="9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3683"/>
        <w:gridCol w:w="755"/>
        <w:gridCol w:w="1125"/>
        <w:gridCol w:w="1087"/>
        <w:gridCol w:w="1168"/>
      </w:tblGrid>
      <w:tr w14:paraId="0256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281" w:type="dxa"/>
            <w:vAlign w:val="top"/>
          </w:tcPr>
          <w:p w14:paraId="78114433">
            <w:pPr>
              <w:spacing w:line="283" w:lineRule="auto"/>
              <w:rPr>
                <w:rFonts w:ascii="Arial"/>
                <w:sz w:val="21"/>
              </w:rPr>
            </w:pPr>
          </w:p>
          <w:p w14:paraId="2F8137F3">
            <w:pPr>
              <w:pStyle w:val="11"/>
              <w:spacing w:before="62" w:line="230" w:lineRule="auto"/>
              <w:ind w:left="143"/>
              <w:rPr>
                <w:sz w:val="19"/>
                <w:szCs w:val="19"/>
              </w:rPr>
            </w:pPr>
            <w:r>
              <w:rPr>
                <w:spacing w:val="5"/>
                <w:sz w:val="19"/>
                <w:szCs w:val="19"/>
              </w:rPr>
              <w:t>施工方法：</w:t>
            </w:r>
          </w:p>
        </w:tc>
        <w:tc>
          <w:tcPr>
            <w:tcW w:w="7818" w:type="dxa"/>
            <w:gridSpan w:val="5"/>
            <w:vAlign w:val="top"/>
          </w:tcPr>
          <w:p w14:paraId="66F8F3EE">
            <w:pPr>
              <w:rPr>
                <w:rFonts w:ascii="Arial"/>
                <w:sz w:val="21"/>
              </w:rPr>
            </w:pPr>
          </w:p>
        </w:tc>
      </w:tr>
      <w:tr w14:paraId="1832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81" w:type="dxa"/>
            <w:vAlign w:val="top"/>
          </w:tcPr>
          <w:p w14:paraId="71615A13">
            <w:pPr>
              <w:pStyle w:val="11"/>
              <w:spacing w:before="161" w:line="228" w:lineRule="auto"/>
              <w:ind w:left="445"/>
              <w:rPr>
                <w:sz w:val="19"/>
                <w:szCs w:val="19"/>
              </w:rPr>
            </w:pPr>
            <w:r>
              <w:rPr>
                <w:spacing w:val="4"/>
                <w:sz w:val="19"/>
                <w:szCs w:val="19"/>
              </w:rPr>
              <w:t>编号</w:t>
            </w:r>
          </w:p>
        </w:tc>
        <w:tc>
          <w:tcPr>
            <w:tcW w:w="3683" w:type="dxa"/>
            <w:vAlign w:val="top"/>
          </w:tcPr>
          <w:p w14:paraId="3C0389E3">
            <w:pPr>
              <w:pStyle w:val="11"/>
              <w:spacing w:before="161" w:line="228" w:lineRule="auto"/>
              <w:ind w:left="1347"/>
              <w:rPr>
                <w:sz w:val="19"/>
                <w:szCs w:val="19"/>
              </w:rPr>
            </w:pPr>
            <w:r>
              <w:rPr>
                <w:spacing w:val="7"/>
                <w:sz w:val="19"/>
                <w:szCs w:val="19"/>
              </w:rPr>
              <w:t>名称及规格</w:t>
            </w:r>
          </w:p>
        </w:tc>
        <w:tc>
          <w:tcPr>
            <w:tcW w:w="755" w:type="dxa"/>
            <w:vAlign w:val="top"/>
          </w:tcPr>
          <w:p w14:paraId="1428F74F">
            <w:pPr>
              <w:pStyle w:val="11"/>
              <w:spacing w:before="160" w:line="229" w:lineRule="auto"/>
              <w:ind w:left="184"/>
              <w:rPr>
                <w:sz w:val="19"/>
                <w:szCs w:val="19"/>
              </w:rPr>
            </w:pPr>
            <w:r>
              <w:rPr>
                <w:spacing w:val="4"/>
                <w:sz w:val="19"/>
                <w:szCs w:val="19"/>
              </w:rPr>
              <w:t>单位</w:t>
            </w:r>
          </w:p>
        </w:tc>
        <w:tc>
          <w:tcPr>
            <w:tcW w:w="1125" w:type="dxa"/>
            <w:vAlign w:val="top"/>
          </w:tcPr>
          <w:p w14:paraId="0E80992E">
            <w:pPr>
              <w:pStyle w:val="11"/>
              <w:spacing w:before="161" w:line="228" w:lineRule="auto"/>
              <w:ind w:left="370"/>
              <w:rPr>
                <w:sz w:val="19"/>
                <w:szCs w:val="19"/>
              </w:rPr>
            </w:pPr>
            <w:r>
              <w:rPr>
                <w:spacing w:val="4"/>
                <w:sz w:val="19"/>
                <w:szCs w:val="19"/>
              </w:rPr>
              <w:t>数量</w:t>
            </w:r>
          </w:p>
        </w:tc>
        <w:tc>
          <w:tcPr>
            <w:tcW w:w="1087" w:type="dxa"/>
            <w:vAlign w:val="top"/>
          </w:tcPr>
          <w:p w14:paraId="5D7215D6">
            <w:pPr>
              <w:pStyle w:val="11"/>
              <w:spacing w:before="31" w:line="234" w:lineRule="auto"/>
              <w:ind w:left="259" w:right="260" w:firstLine="92"/>
              <w:rPr>
                <w:sz w:val="19"/>
                <w:szCs w:val="19"/>
              </w:rPr>
            </w:pPr>
            <w:r>
              <w:rPr>
                <w:spacing w:val="4"/>
                <w:sz w:val="19"/>
                <w:szCs w:val="19"/>
              </w:rPr>
              <w:t>单价</w:t>
            </w:r>
            <w:r>
              <w:rPr>
                <w:spacing w:val="-3"/>
                <w:sz w:val="19"/>
                <w:szCs w:val="19"/>
              </w:rPr>
              <w:t>（元）</w:t>
            </w:r>
          </w:p>
        </w:tc>
        <w:tc>
          <w:tcPr>
            <w:tcW w:w="1168" w:type="dxa"/>
            <w:vAlign w:val="top"/>
          </w:tcPr>
          <w:p w14:paraId="347C66D1">
            <w:pPr>
              <w:pStyle w:val="11"/>
              <w:spacing w:before="31" w:line="234" w:lineRule="auto"/>
              <w:ind w:left="298" w:right="302" w:firstLine="91"/>
              <w:rPr>
                <w:sz w:val="19"/>
                <w:szCs w:val="19"/>
              </w:rPr>
            </w:pPr>
            <w:r>
              <w:rPr>
                <w:spacing w:val="4"/>
                <w:sz w:val="19"/>
                <w:szCs w:val="19"/>
              </w:rPr>
              <w:t>合计</w:t>
            </w:r>
            <w:r>
              <w:rPr>
                <w:spacing w:val="-3"/>
                <w:sz w:val="19"/>
                <w:szCs w:val="19"/>
              </w:rPr>
              <w:t>（元）</w:t>
            </w:r>
          </w:p>
        </w:tc>
      </w:tr>
      <w:tr w14:paraId="3D69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11487B9A">
            <w:pPr>
              <w:pStyle w:val="11"/>
              <w:spacing w:before="132" w:line="148" w:lineRule="exact"/>
              <w:ind w:left="548"/>
              <w:rPr>
                <w:sz w:val="19"/>
                <w:szCs w:val="19"/>
              </w:rPr>
            </w:pPr>
            <w:r>
              <w:rPr>
                <w:position w:val="-4"/>
                <w:sz w:val="19"/>
                <w:szCs w:val="19"/>
              </w:rPr>
              <w:t>一</w:t>
            </w:r>
          </w:p>
        </w:tc>
        <w:tc>
          <w:tcPr>
            <w:tcW w:w="3683" w:type="dxa"/>
            <w:vAlign w:val="top"/>
          </w:tcPr>
          <w:p w14:paraId="3F678029">
            <w:pPr>
              <w:pStyle w:val="11"/>
              <w:spacing w:before="57" w:line="229" w:lineRule="auto"/>
              <w:ind w:left="112"/>
              <w:rPr>
                <w:sz w:val="19"/>
                <w:szCs w:val="19"/>
              </w:rPr>
            </w:pPr>
            <w:r>
              <w:rPr>
                <w:spacing w:val="6"/>
                <w:sz w:val="19"/>
                <w:szCs w:val="19"/>
              </w:rPr>
              <w:t>直接费</w:t>
            </w:r>
          </w:p>
        </w:tc>
        <w:tc>
          <w:tcPr>
            <w:tcW w:w="755" w:type="dxa"/>
            <w:vAlign w:val="top"/>
          </w:tcPr>
          <w:p w14:paraId="7013713E">
            <w:pPr>
              <w:rPr>
                <w:rFonts w:ascii="Arial"/>
                <w:sz w:val="21"/>
              </w:rPr>
            </w:pPr>
          </w:p>
        </w:tc>
        <w:tc>
          <w:tcPr>
            <w:tcW w:w="1125" w:type="dxa"/>
            <w:vAlign w:val="top"/>
          </w:tcPr>
          <w:p w14:paraId="54A03D4C">
            <w:pPr>
              <w:rPr>
                <w:rFonts w:ascii="Arial"/>
                <w:sz w:val="21"/>
              </w:rPr>
            </w:pPr>
          </w:p>
        </w:tc>
        <w:tc>
          <w:tcPr>
            <w:tcW w:w="1087" w:type="dxa"/>
            <w:vAlign w:val="top"/>
          </w:tcPr>
          <w:p w14:paraId="4B3912D0">
            <w:pPr>
              <w:rPr>
                <w:rFonts w:ascii="Arial"/>
                <w:sz w:val="21"/>
              </w:rPr>
            </w:pPr>
          </w:p>
        </w:tc>
        <w:tc>
          <w:tcPr>
            <w:tcW w:w="1168" w:type="dxa"/>
            <w:vAlign w:val="top"/>
          </w:tcPr>
          <w:p w14:paraId="31859F6B">
            <w:pPr>
              <w:rPr>
                <w:rFonts w:ascii="Arial"/>
                <w:sz w:val="21"/>
              </w:rPr>
            </w:pPr>
          </w:p>
        </w:tc>
      </w:tr>
      <w:tr w14:paraId="79D6B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4EF93B5B">
            <w:pPr>
              <w:pStyle w:val="11"/>
              <w:spacing w:before="58" w:line="239" w:lineRule="auto"/>
              <w:ind w:left="610"/>
              <w:rPr>
                <w:sz w:val="19"/>
                <w:szCs w:val="19"/>
              </w:rPr>
            </w:pPr>
            <w:r>
              <w:rPr>
                <w:sz w:val="19"/>
                <w:szCs w:val="19"/>
              </w:rPr>
              <w:t>1</w:t>
            </w:r>
          </w:p>
        </w:tc>
        <w:tc>
          <w:tcPr>
            <w:tcW w:w="3683" w:type="dxa"/>
            <w:vAlign w:val="top"/>
          </w:tcPr>
          <w:p w14:paraId="08EB9B33">
            <w:pPr>
              <w:pStyle w:val="11"/>
              <w:spacing w:before="57" w:line="228" w:lineRule="auto"/>
              <w:ind w:left="111"/>
              <w:rPr>
                <w:sz w:val="19"/>
                <w:szCs w:val="19"/>
              </w:rPr>
            </w:pPr>
            <w:r>
              <w:rPr>
                <w:spacing w:val="8"/>
                <w:sz w:val="19"/>
                <w:szCs w:val="19"/>
              </w:rPr>
              <w:t>基本直接费</w:t>
            </w:r>
          </w:p>
        </w:tc>
        <w:tc>
          <w:tcPr>
            <w:tcW w:w="755" w:type="dxa"/>
            <w:vAlign w:val="top"/>
          </w:tcPr>
          <w:p w14:paraId="14C61715">
            <w:pPr>
              <w:rPr>
                <w:rFonts w:ascii="Arial"/>
                <w:sz w:val="21"/>
              </w:rPr>
            </w:pPr>
          </w:p>
        </w:tc>
        <w:tc>
          <w:tcPr>
            <w:tcW w:w="1125" w:type="dxa"/>
            <w:vAlign w:val="top"/>
          </w:tcPr>
          <w:p w14:paraId="49E2C5A0">
            <w:pPr>
              <w:rPr>
                <w:rFonts w:ascii="Arial"/>
                <w:sz w:val="21"/>
              </w:rPr>
            </w:pPr>
          </w:p>
        </w:tc>
        <w:tc>
          <w:tcPr>
            <w:tcW w:w="1087" w:type="dxa"/>
            <w:vAlign w:val="top"/>
          </w:tcPr>
          <w:p w14:paraId="33BABF85">
            <w:pPr>
              <w:rPr>
                <w:rFonts w:ascii="Arial"/>
                <w:sz w:val="21"/>
              </w:rPr>
            </w:pPr>
          </w:p>
        </w:tc>
        <w:tc>
          <w:tcPr>
            <w:tcW w:w="1168" w:type="dxa"/>
            <w:vAlign w:val="top"/>
          </w:tcPr>
          <w:p w14:paraId="476288F5">
            <w:pPr>
              <w:rPr>
                <w:rFonts w:ascii="Arial"/>
                <w:sz w:val="21"/>
              </w:rPr>
            </w:pPr>
          </w:p>
        </w:tc>
      </w:tr>
      <w:tr w14:paraId="0366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1808FD99">
            <w:pPr>
              <w:pStyle w:val="11"/>
              <w:spacing w:before="58" w:line="239" w:lineRule="auto"/>
              <w:ind w:left="509"/>
              <w:rPr>
                <w:sz w:val="19"/>
                <w:szCs w:val="19"/>
              </w:rPr>
            </w:pPr>
            <w:r>
              <w:rPr>
                <w:spacing w:val="-2"/>
                <w:sz w:val="19"/>
                <w:szCs w:val="19"/>
              </w:rPr>
              <w:t>1.1</w:t>
            </w:r>
          </w:p>
        </w:tc>
        <w:tc>
          <w:tcPr>
            <w:tcW w:w="3683" w:type="dxa"/>
            <w:vAlign w:val="top"/>
          </w:tcPr>
          <w:p w14:paraId="5708FC23">
            <w:pPr>
              <w:pStyle w:val="11"/>
              <w:spacing w:before="58" w:line="229" w:lineRule="auto"/>
              <w:ind w:left="112"/>
              <w:rPr>
                <w:sz w:val="19"/>
                <w:szCs w:val="19"/>
              </w:rPr>
            </w:pPr>
            <w:r>
              <w:rPr>
                <w:spacing w:val="6"/>
                <w:sz w:val="19"/>
                <w:szCs w:val="19"/>
              </w:rPr>
              <w:t>人工费</w:t>
            </w:r>
          </w:p>
        </w:tc>
        <w:tc>
          <w:tcPr>
            <w:tcW w:w="755" w:type="dxa"/>
            <w:vAlign w:val="top"/>
          </w:tcPr>
          <w:p w14:paraId="2A9E84D4">
            <w:pPr>
              <w:rPr>
                <w:rFonts w:ascii="Arial"/>
                <w:sz w:val="21"/>
              </w:rPr>
            </w:pPr>
          </w:p>
        </w:tc>
        <w:tc>
          <w:tcPr>
            <w:tcW w:w="1125" w:type="dxa"/>
            <w:vAlign w:val="top"/>
          </w:tcPr>
          <w:p w14:paraId="5FEDE094">
            <w:pPr>
              <w:rPr>
                <w:rFonts w:ascii="Arial"/>
                <w:sz w:val="21"/>
              </w:rPr>
            </w:pPr>
          </w:p>
        </w:tc>
        <w:tc>
          <w:tcPr>
            <w:tcW w:w="1087" w:type="dxa"/>
            <w:vAlign w:val="top"/>
          </w:tcPr>
          <w:p w14:paraId="22152732">
            <w:pPr>
              <w:rPr>
                <w:rFonts w:ascii="Arial"/>
                <w:sz w:val="21"/>
              </w:rPr>
            </w:pPr>
          </w:p>
        </w:tc>
        <w:tc>
          <w:tcPr>
            <w:tcW w:w="1168" w:type="dxa"/>
            <w:vAlign w:val="top"/>
          </w:tcPr>
          <w:p w14:paraId="187E5F35">
            <w:pPr>
              <w:rPr>
                <w:rFonts w:ascii="Arial"/>
                <w:sz w:val="21"/>
              </w:rPr>
            </w:pPr>
          </w:p>
        </w:tc>
      </w:tr>
      <w:tr w14:paraId="0106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078974B0">
            <w:pPr>
              <w:pStyle w:val="11"/>
              <w:spacing w:before="58" w:line="239" w:lineRule="auto"/>
              <w:ind w:left="509"/>
              <w:rPr>
                <w:sz w:val="19"/>
                <w:szCs w:val="19"/>
              </w:rPr>
            </w:pPr>
            <w:r>
              <w:rPr>
                <w:spacing w:val="-2"/>
                <w:sz w:val="19"/>
                <w:szCs w:val="19"/>
              </w:rPr>
              <w:t>1.2</w:t>
            </w:r>
          </w:p>
        </w:tc>
        <w:tc>
          <w:tcPr>
            <w:tcW w:w="3683" w:type="dxa"/>
            <w:vAlign w:val="top"/>
          </w:tcPr>
          <w:p w14:paraId="4701A390">
            <w:pPr>
              <w:pStyle w:val="11"/>
              <w:spacing w:before="57" w:line="228" w:lineRule="auto"/>
              <w:ind w:left="111"/>
              <w:rPr>
                <w:sz w:val="19"/>
                <w:szCs w:val="19"/>
              </w:rPr>
            </w:pPr>
            <w:r>
              <w:rPr>
                <w:spacing w:val="6"/>
                <w:sz w:val="19"/>
                <w:szCs w:val="19"/>
              </w:rPr>
              <w:t>材料费</w:t>
            </w:r>
          </w:p>
        </w:tc>
        <w:tc>
          <w:tcPr>
            <w:tcW w:w="755" w:type="dxa"/>
            <w:vAlign w:val="top"/>
          </w:tcPr>
          <w:p w14:paraId="16AC565D">
            <w:pPr>
              <w:rPr>
                <w:rFonts w:ascii="Arial"/>
                <w:sz w:val="21"/>
              </w:rPr>
            </w:pPr>
          </w:p>
        </w:tc>
        <w:tc>
          <w:tcPr>
            <w:tcW w:w="1125" w:type="dxa"/>
            <w:vAlign w:val="top"/>
          </w:tcPr>
          <w:p w14:paraId="70BBF2FE">
            <w:pPr>
              <w:rPr>
                <w:rFonts w:ascii="Arial"/>
                <w:sz w:val="21"/>
              </w:rPr>
            </w:pPr>
          </w:p>
        </w:tc>
        <w:tc>
          <w:tcPr>
            <w:tcW w:w="1087" w:type="dxa"/>
            <w:vAlign w:val="top"/>
          </w:tcPr>
          <w:p w14:paraId="2D493E4C">
            <w:pPr>
              <w:rPr>
                <w:rFonts w:ascii="Arial"/>
                <w:sz w:val="21"/>
              </w:rPr>
            </w:pPr>
          </w:p>
        </w:tc>
        <w:tc>
          <w:tcPr>
            <w:tcW w:w="1168" w:type="dxa"/>
            <w:vAlign w:val="top"/>
          </w:tcPr>
          <w:p w14:paraId="44390B94">
            <w:pPr>
              <w:rPr>
                <w:rFonts w:ascii="Arial"/>
                <w:sz w:val="21"/>
              </w:rPr>
            </w:pPr>
          </w:p>
        </w:tc>
      </w:tr>
      <w:tr w14:paraId="2556D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68ACBD21">
            <w:pPr>
              <w:pStyle w:val="11"/>
              <w:spacing w:before="58" w:line="239" w:lineRule="auto"/>
              <w:ind w:left="509"/>
              <w:rPr>
                <w:sz w:val="19"/>
                <w:szCs w:val="19"/>
              </w:rPr>
            </w:pPr>
            <w:r>
              <w:rPr>
                <w:spacing w:val="-2"/>
                <w:sz w:val="19"/>
                <w:szCs w:val="19"/>
              </w:rPr>
              <w:t>1.3</w:t>
            </w:r>
          </w:p>
        </w:tc>
        <w:tc>
          <w:tcPr>
            <w:tcW w:w="3683" w:type="dxa"/>
            <w:vAlign w:val="top"/>
          </w:tcPr>
          <w:p w14:paraId="14E4EB62">
            <w:pPr>
              <w:pStyle w:val="11"/>
              <w:spacing w:before="58" w:line="228" w:lineRule="auto"/>
              <w:ind w:left="110"/>
              <w:rPr>
                <w:sz w:val="19"/>
                <w:szCs w:val="19"/>
              </w:rPr>
            </w:pPr>
            <w:r>
              <w:rPr>
                <w:spacing w:val="8"/>
                <w:sz w:val="19"/>
                <w:szCs w:val="19"/>
              </w:rPr>
              <w:t>施工机械使用费</w:t>
            </w:r>
          </w:p>
        </w:tc>
        <w:tc>
          <w:tcPr>
            <w:tcW w:w="755" w:type="dxa"/>
            <w:vAlign w:val="top"/>
          </w:tcPr>
          <w:p w14:paraId="63D49F43">
            <w:pPr>
              <w:rPr>
                <w:rFonts w:ascii="Arial"/>
                <w:sz w:val="21"/>
              </w:rPr>
            </w:pPr>
          </w:p>
        </w:tc>
        <w:tc>
          <w:tcPr>
            <w:tcW w:w="1125" w:type="dxa"/>
            <w:vAlign w:val="top"/>
          </w:tcPr>
          <w:p w14:paraId="40108732">
            <w:pPr>
              <w:rPr>
                <w:rFonts w:ascii="Arial"/>
                <w:sz w:val="21"/>
              </w:rPr>
            </w:pPr>
          </w:p>
        </w:tc>
        <w:tc>
          <w:tcPr>
            <w:tcW w:w="1087" w:type="dxa"/>
            <w:vAlign w:val="top"/>
          </w:tcPr>
          <w:p w14:paraId="0E967470">
            <w:pPr>
              <w:rPr>
                <w:rFonts w:ascii="Arial"/>
                <w:sz w:val="21"/>
              </w:rPr>
            </w:pPr>
          </w:p>
        </w:tc>
        <w:tc>
          <w:tcPr>
            <w:tcW w:w="1168" w:type="dxa"/>
            <w:vAlign w:val="top"/>
          </w:tcPr>
          <w:p w14:paraId="21E6FD79">
            <w:pPr>
              <w:rPr>
                <w:rFonts w:ascii="Arial"/>
                <w:sz w:val="21"/>
              </w:rPr>
            </w:pPr>
          </w:p>
        </w:tc>
      </w:tr>
      <w:tr w14:paraId="3E8B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19E808D8">
            <w:pPr>
              <w:pStyle w:val="11"/>
              <w:spacing w:before="55" w:line="241" w:lineRule="auto"/>
              <w:ind w:left="509"/>
              <w:rPr>
                <w:sz w:val="19"/>
                <w:szCs w:val="19"/>
              </w:rPr>
            </w:pPr>
            <w:r>
              <w:rPr>
                <w:spacing w:val="-2"/>
                <w:sz w:val="19"/>
                <w:szCs w:val="19"/>
              </w:rPr>
              <w:t>1.4</w:t>
            </w:r>
          </w:p>
        </w:tc>
        <w:tc>
          <w:tcPr>
            <w:tcW w:w="3683" w:type="dxa"/>
            <w:vAlign w:val="top"/>
          </w:tcPr>
          <w:p w14:paraId="01B4586A">
            <w:pPr>
              <w:pStyle w:val="11"/>
              <w:spacing w:before="56" w:line="229" w:lineRule="auto"/>
              <w:ind w:left="112"/>
              <w:rPr>
                <w:sz w:val="19"/>
                <w:szCs w:val="19"/>
              </w:rPr>
            </w:pPr>
            <w:r>
              <w:rPr>
                <w:spacing w:val="7"/>
                <w:sz w:val="19"/>
                <w:szCs w:val="19"/>
              </w:rPr>
              <w:t>其他费用</w:t>
            </w:r>
          </w:p>
        </w:tc>
        <w:tc>
          <w:tcPr>
            <w:tcW w:w="755" w:type="dxa"/>
            <w:vAlign w:val="top"/>
          </w:tcPr>
          <w:p w14:paraId="3BAE2085">
            <w:pPr>
              <w:rPr>
                <w:rFonts w:ascii="Arial"/>
                <w:sz w:val="21"/>
              </w:rPr>
            </w:pPr>
          </w:p>
        </w:tc>
        <w:tc>
          <w:tcPr>
            <w:tcW w:w="1125" w:type="dxa"/>
            <w:vAlign w:val="top"/>
          </w:tcPr>
          <w:p w14:paraId="562B020D">
            <w:pPr>
              <w:rPr>
                <w:rFonts w:ascii="Arial"/>
                <w:sz w:val="21"/>
              </w:rPr>
            </w:pPr>
          </w:p>
        </w:tc>
        <w:tc>
          <w:tcPr>
            <w:tcW w:w="1087" w:type="dxa"/>
            <w:vAlign w:val="top"/>
          </w:tcPr>
          <w:p w14:paraId="728FAE44">
            <w:pPr>
              <w:rPr>
                <w:rFonts w:ascii="Arial"/>
                <w:sz w:val="21"/>
              </w:rPr>
            </w:pPr>
          </w:p>
        </w:tc>
        <w:tc>
          <w:tcPr>
            <w:tcW w:w="1168" w:type="dxa"/>
            <w:vAlign w:val="top"/>
          </w:tcPr>
          <w:p w14:paraId="7177072D">
            <w:pPr>
              <w:rPr>
                <w:rFonts w:ascii="Arial"/>
                <w:sz w:val="21"/>
              </w:rPr>
            </w:pPr>
          </w:p>
        </w:tc>
      </w:tr>
      <w:tr w14:paraId="5FBF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tcBorders>
              <w:bottom w:val="single" w:color="000000" w:sz="4" w:space="0"/>
            </w:tcBorders>
            <w:vAlign w:val="top"/>
          </w:tcPr>
          <w:p w14:paraId="361A463B">
            <w:pPr>
              <w:pStyle w:val="11"/>
              <w:spacing w:before="55" w:line="241" w:lineRule="auto"/>
              <w:ind w:left="597"/>
              <w:rPr>
                <w:sz w:val="19"/>
                <w:szCs w:val="19"/>
              </w:rPr>
            </w:pPr>
            <w:r>
              <w:rPr>
                <w:sz w:val="19"/>
                <w:szCs w:val="19"/>
              </w:rPr>
              <w:t>2</w:t>
            </w:r>
          </w:p>
        </w:tc>
        <w:tc>
          <w:tcPr>
            <w:tcW w:w="3683" w:type="dxa"/>
            <w:tcBorders>
              <w:bottom w:val="single" w:color="000000" w:sz="4" w:space="0"/>
            </w:tcBorders>
            <w:vAlign w:val="top"/>
          </w:tcPr>
          <w:p w14:paraId="39244981">
            <w:pPr>
              <w:pStyle w:val="11"/>
              <w:spacing w:before="56" w:line="229" w:lineRule="auto"/>
              <w:ind w:left="111"/>
              <w:rPr>
                <w:sz w:val="19"/>
                <w:szCs w:val="19"/>
              </w:rPr>
            </w:pPr>
            <w:r>
              <w:rPr>
                <w:spacing w:val="6"/>
                <w:sz w:val="19"/>
                <w:szCs w:val="19"/>
              </w:rPr>
              <w:t>措施费</w:t>
            </w:r>
          </w:p>
        </w:tc>
        <w:tc>
          <w:tcPr>
            <w:tcW w:w="755" w:type="dxa"/>
            <w:tcBorders>
              <w:bottom w:val="single" w:color="000000" w:sz="4" w:space="0"/>
            </w:tcBorders>
            <w:vAlign w:val="top"/>
          </w:tcPr>
          <w:p w14:paraId="30FE23C5">
            <w:pPr>
              <w:rPr>
                <w:rFonts w:ascii="Arial"/>
                <w:sz w:val="21"/>
              </w:rPr>
            </w:pPr>
          </w:p>
        </w:tc>
        <w:tc>
          <w:tcPr>
            <w:tcW w:w="1125" w:type="dxa"/>
            <w:tcBorders>
              <w:bottom w:val="single" w:color="000000" w:sz="4" w:space="0"/>
            </w:tcBorders>
            <w:vAlign w:val="top"/>
          </w:tcPr>
          <w:p w14:paraId="34C89F17">
            <w:pPr>
              <w:rPr>
                <w:rFonts w:ascii="Arial"/>
                <w:sz w:val="21"/>
              </w:rPr>
            </w:pPr>
          </w:p>
        </w:tc>
        <w:tc>
          <w:tcPr>
            <w:tcW w:w="1087" w:type="dxa"/>
            <w:tcBorders>
              <w:bottom w:val="single" w:color="000000" w:sz="4" w:space="0"/>
            </w:tcBorders>
            <w:vAlign w:val="top"/>
          </w:tcPr>
          <w:p w14:paraId="72C893B4">
            <w:pPr>
              <w:rPr>
                <w:rFonts w:ascii="Arial"/>
                <w:sz w:val="21"/>
              </w:rPr>
            </w:pPr>
          </w:p>
        </w:tc>
        <w:tc>
          <w:tcPr>
            <w:tcW w:w="1168" w:type="dxa"/>
            <w:tcBorders>
              <w:bottom w:val="single" w:color="000000" w:sz="4" w:space="0"/>
            </w:tcBorders>
            <w:vAlign w:val="top"/>
          </w:tcPr>
          <w:p w14:paraId="607C7B0F">
            <w:pPr>
              <w:rPr>
                <w:rFonts w:ascii="Arial"/>
                <w:sz w:val="21"/>
              </w:rPr>
            </w:pPr>
          </w:p>
        </w:tc>
      </w:tr>
      <w:tr w14:paraId="3893D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281" w:type="dxa"/>
            <w:tcBorders>
              <w:top w:val="single" w:color="000000" w:sz="4" w:space="0"/>
            </w:tcBorders>
            <w:vAlign w:val="top"/>
          </w:tcPr>
          <w:p w14:paraId="7E163EF0">
            <w:pPr>
              <w:pStyle w:val="11"/>
              <w:spacing w:before="88" w:line="184" w:lineRule="auto"/>
              <w:ind w:left="548"/>
              <w:rPr>
                <w:sz w:val="19"/>
                <w:szCs w:val="19"/>
              </w:rPr>
            </w:pPr>
            <w:r>
              <w:rPr>
                <w:sz w:val="19"/>
                <w:szCs w:val="19"/>
              </w:rPr>
              <w:t>二</w:t>
            </w:r>
          </w:p>
        </w:tc>
        <w:tc>
          <w:tcPr>
            <w:tcW w:w="3683" w:type="dxa"/>
            <w:tcBorders>
              <w:top w:val="single" w:color="000000" w:sz="4" w:space="0"/>
            </w:tcBorders>
            <w:vAlign w:val="top"/>
          </w:tcPr>
          <w:p w14:paraId="0E1A2466">
            <w:pPr>
              <w:pStyle w:val="11"/>
              <w:spacing w:before="52" w:line="229" w:lineRule="auto"/>
              <w:ind w:left="126"/>
              <w:rPr>
                <w:sz w:val="19"/>
                <w:szCs w:val="19"/>
              </w:rPr>
            </w:pPr>
            <w:r>
              <w:rPr>
                <w:spacing w:val="1"/>
                <w:sz w:val="19"/>
                <w:szCs w:val="19"/>
              </w:rPr>
              <w:t>间接费</w:t>
            </w:r>
          </w:p>
        </w:tc>
        <w:tc>
          <w:tcPr>
            <w:tcW w:w="755" w:type="dxa"/>
            <w:tcBorders>
              <w:top w:val="single" w:color="000000" w:sz="4" w:space="0"/>
            </w:tcBorders>
            <w:vAlign w:val="top"/>
          </w:tcPr>
          <w:p w14:paraId="78C38933">
            <w:pPr>
              <w:rPr>
                <w:rFonts w:ascii="Arial"/>
                <w:sz w:val="21"/>
              </w:rPr>
            </w:pPr>
          </w:p>
        </w:tc>
        <w:tc>
          <w:tcPr>
            <w:tcW w:w="1125" w:type="dxa"/>
            <w:tcBorders>
              <w:top w:val="single" w:color="000000" w:sz="4" w:space="0"/>
            </w:tcBorders>
            <w:vAlign w:val="top"/>
          </w:tcPr>
          <w:p w14:paraId="7E7C2095">
            <w:pPr>
              <w:rPr>
                <w:rFonts w:ascii="Arial"/>
                <w:sz w:val="21"/>
              </w:rPr>
            </w:pPr>
          </w:p>
        </w:tc>
        <w:tc>
          <w:tcPr>
            <w:tcW w:w="1087" w:type="dxa"/>
            <w:tcBorders>
              <w:top w:val="single" w:color="000000" w:sz="4" w:space="0"/>
            </w:tcBorders>
            <w:vAlign w:val="top"/>
          </w:tcPr>
          <w:p w14:paraId="623CCDBC">
            <w:pPr>
              <w:rPr>
                <w:rFonts w:ascii="Arial"/>
                <w:sz w:val="21"/>
              </w:rPr>
            </w:pPr>
          </w:p>
        </w:tc>
        <w:tc>
          <w:tcPr>
            <w:tcW w:w="1168" w:type="dxa"/>
            <w:tcBorders>
              <w:top w:val="single" w:color="000000" w:sz="4" w:space="0"/>
            </w:tcBorders>
            <w:vAlign w:val="top"/>
          </w:tcPr>
          <w:p w14:paraId="3B0D74AA">
            <w:pPr>
              <w:rPr>
                <w:rFonts w:ascii="Arial"/>
                <w:sz w:val="21"/>
              </w:rPr>
            </w:pPr>
          </w:p>
        </w:tc>
      </w:tr>
      <w:tr w14:paraId="6845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2414FE93">
            <w:pPr>
              <w:pStyle w:val="11"/>
              <w:spacing w:before="57"/>
              <w:ind w:left="545"/>
              <w:rPr>
                <w:sz w:val="19"/>
                <w:szCs w:val="19"/>
              </w:rPr>
            </w:pPr>
            <w:r>
              <w:rPr>
                <w:spacing w:val="1"/>
                <w:sz w:val="19"/>
                <w:szCs w:val="19"/>
              </w:rPr>
              <w:t>三</w:t>
            </w:r>
          </w:p>
        </w:tc>
        <w:tc>
          <w:tcPr>
            <w:tcW w:w="3683" w:type="dxa"/>
            <w:vAlign w:val="top"/>
          </w:tcPr>
          <w:p w14:paraId="41A37460">
            <w:pPr>
              <w:pStyle w:val="11"/>
              <w:spacing w:before="57" w:line="229" w:lineRule="auto"/>
              <w:ind w:left="112"/>
              <w:rPr>
                <w:sz w:val="19"/>
                <w:szCs w:val="19"/>
              </w:rPr>
            </w:pPr>
            <w:r>
              <w:rPr>
                <w:spacing w:val="4"/>
                <w:sz w:val="19"/>
                <w:szCs w:val="19"/>
              </w:rPr>
              <w:t>利润</w:t>
            </w:r>
          </w:p>
        </w:tc>
        <w:tc>
          <w:tcPr>
            <w:tcW w:w="755" w:type="dxa"/>
            <w:vAlign w:val="top"/>
          </w:tcPr>
          <w:p w14:paraId="56000353">
            <w:pPr>
              <w:rPr>
                <w:rFonts w:ascii="Arial"/>
                <w:sz w:val="21"/>
              </w:rPr>
            </w:pPr>
          </w:p>
        </w:tc>
        <w:tc>
          <w:tcPr>
            <w:tcW w:w="1125" w:type="dxa"/>
            <w:vAlign w:val="top"/>
          </w:tcPr>
          <w:p w14:paraId="7CB35D2D">
            <w:pPr>
              <w:rPr>
                <w:rFonts w:ascii="Arial"/>
                <w:sz w:val="21"/>
              </w:rPr>
            </w:pPr>
          </w:p>
        </w:tc>
        <w:tc>
          <w:tcPr>
            <w:tcW w:w="1087" w:type="dxa"/>
            <w:vAlign w:val="top"/>
          </w:tcPr>
          <w:p w14:paraId="5E3AC0E7">
            <w:pPr>
              <w:rPr>
                <w:rFonts w:ascii="Arial"/>
                <w:sz w:val="21"/>
              </w:rPr>
            </w:pPr>
          </w:p>
        </w:tc>
        <w:tc>
          <w:tcPr>
            <w:tcW w:w="1168" w:type="dxa"/>
            <w:vAlign w:val="top"/>
          </w:tcPr>
          <w:p w14:paraId="1B437CF4">
            <w:pPr>
              <w:rPr>
                <w:rFonts w:ascii="Arial"/>
                <w:sz w:val="21"/>
              </w:rPr>
            </w:pPr>
          </w:p>
        </w:tc>
      </w:tr>
      <w:tr w14:paraId="19A6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52B725EA">
            <w:pPr>
              <w:pStyle w:val="11"/>
              <w:spacing w:before="57" w:line="231" w:lineRule="auto"/>
              <w:ind w:left="563"/>
              <w:rPr>
                <w:sz w:val="19"/>
                <w:szCs w:val="19"/>
              </w:rPr>
            </w:pPr>
            <w:r>
              <w:rPr>
                <w:sz w:val="19"/>
                <w:szCs w:val="19"/>
              </w:rPr>
              <w:t>四</w:t>
            </w:r>
          </w:p>
        </w:tc>
        <w:tc>
          <w:tcPr>
            <w:tcW w:w="3683" w:type="dxa"/>
            <w:vAlign w:val="top"/>
          </w:tcPr>
          <w:p w14:paraId="5906565A">
            <w:pPr>
              <w:pStyle w:val="11"/>
              <w:spacing w:before="57" w:line="227" w:lineRule="auto"/>
              <w:ind w:left="114"/>
              <w:rPr>
                <w:sz w:val="19"/>
                <w:szCs w:val="19"/>
              </w:rPr>
            </w:pPr>
            <w:r>
              <w:rPr>
                <w:spacing w:val="8"/>
                <w:sz w:val="19"/>
                <w:szCs w:val="19"/>
              </w:rPr>
              <w:t>未计价装置性材料费</w:t>
            </w:r>
          </w:p>
        </w:tc>
        <w:tc>
          <w:tcPr>
            <w:tcW w:w="755" w:type="dxa"/>
            <w:vAlign w:val="top"/>
          </w:tcPr>
          <w:p w14:paraId="5AACDFC5">
            <w:pPr>
              <w:rPr>
                <w:rFonts w:ascii="Arial"/>
                <w:sz w:val="21"/>
              </w:rPr>
            </w:pPr>
          </w:p>
        </w:tc>
        <w:tc>
          <w:tcPr>
            <w:tcW w:w="1125" w:type="dxa"/>
            <w:vAlign w:val="top"/>
          </w:tcPr>
          <w:p w14:paraId="47087B08">
            <w:pPr>
              <w:rPr>
                <w:rFonts w:ascii="Arial"/>
                <w:sz w:val="21"/>
              </w:rPr>
            </w:pPr>
          </w:p>
        </w:tc>
        <w:tc>
          <w:tcPr>
            <w:tcW w:w="1087" w:type="dxa"/>
            <w:vAlign w:val="top"/>
          </w:tcPr>
          <w:p w14:paraId="5556EF15">
            <w:pPr>
              <w:rPr>
                <w:rFonts w:ascii="Arial"/>
                <w:sz w:val="21"/>
              </w:rPr>
            </w:pPr>
          </w:p>
        </w:tc>
        <w:tc>
          <w:tcPr>
            <w:tcW w:w="1168" w:type="dxa"/>
            <w:vAlign w:val="top"/>
          </w:tcPr>
          <w:p w14:paraId="2A76796B">
            <w:pPr>
              <w:rPr>
                <w:rFonts w:ascii="Arial"/>
                <w:sz w:val="21"/>
              </w:rPr>
            </w:pPr>
          </w:p>
        </w:tc>
      </w:tr>
      <w:tr w14:paraId="6BD6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81" w:type="dxa"/>
            <w:vAlign w:val="top"/>
          </w:tcPr>
          <w:p w14:paraId="0351C1C0">
            <w:pPr>
              <w:pStyle w:val="11"/>
              <w:spacing w:before="57" w:line="237" w:lineRule="auto"/>
              <w:ind w:left="548"/>
              <w:rPr>
                <w:sz w:val="19"/>
                <w:szCs w:val="19"/>
              </w:rPr>
            </w:pPr>
            <w:r>
              <w:rPr>
                <w:sz w:val="19"/>
                <w:szCs w:val="19"/>
              </w:rPr>
              <w:t>五</w:t>
            </w:r>
          </w:p>
        </w:tc>
        <w:tc>
          <w:tcPr>
            <w:tcW w:w="3683" w:type="dxa"/>
            <w:vAlign w:val="top"/>
          </w:tcPr>
          <w:p w14:paraId="5A405546">
            <w:pPr>
              <w:pStyle w:val="11"/>
              <w:spacing w:before="57" w:line="227" w:lineRule="auto"/>
              <w:ind w:left="112"/>
              <w:rPr>
                <w:sz w:val="19"/>
                <w:szCs w:val="19"/>
              </w:rPr>
            </w:pPr>
            <w:r>
              <w:rPr>
                <w:spacing w:val="4"/>
                <w:sz w:val="19"/>
                <w:szCs w:val="19"/>
              </w:rPr>
              <w:t>价差</w:t>
            </w:r>
          </w:p>
        </w:tc>
        <w:tc>
          <w:tcPr>
            <w:tcW w:w="755" w:type="dxa"/>
            <w:vAlign w:val="top"/>
          </w:tcPr>
          <w:p w14:paraId="7A3274B8">
            <w:pPr>
              <w:rPr>
                <w:rFonts w:ascii="Arial"/>
                <w:sz w:val="21"/>
              </w:rPr>
            </w:pPr>
          </w:p>
        </w:tc>
        <w:tc>
          <w:tcPr>
            <w:tcW w:w="1125" w:type="dxa"/>
            <w:vAlign w:val="top"/>
          </w:tcPr>
          <w:p w14:paraId="6A5485F8">
            <w:pPr>
              <w:rPr>
                <w:rFonts w:ascii="Arial"/>
                <w:sz w:val="21"/>
              </w:rPr>
            </w:pPr>
          </w:p>
        </w:tc>
        <w:tc>
          <w:tcPr>
            <w:tcW w:w="1087" w:type="dxa"/>
            <w:vAlign w:val="top"/>
          </w:tcPr>
          <w:p w14:paraId="144C1A2D">
            <w:pPr>
              <w:rPr>
                <w:rFonts w:ascii="Arial"/>
                <w:sz w:val="21"/>
              </w:rPr>
            </w:pPr>
          </w:p>
        </w:tc>
        <w:tc>
          <w:tcPr>
            <w:tcW w:w="1168" w:type="dxa"/>
            <w:vAlign w:val="top"/>
          </w:tcPr>
          <w:p w14:paraId="247826E6">
            <w:pPr>
              <w:rPr>
                <w:rFonts w:ascii="Arial"/>
                <w:sz w:val="21"/>
              </w:rPr>
            </w:pPr>
          </w:p>
        </w:tc>
      </w:tr>
      <w:tr w14:paraId="1A05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3B74DBB3">
            <w:pPr>
              <w:pStyle w:val="11"/>
              <w:spacing w:before="60" w:line="233" w:lineRule="auto"/>
              <w:ind w:left="546"/>
              <w:rPr>
                <w:sz w:val="19"/>
                <w:szCs w:val="19"/>
              </w:rPr>
            </w:pPr>
            <w:r>
              <w:rPr>
                <w:sz w:val="19"/>
                <w:szCs w:val="19"/>
              </w:rPr>
              <w:t>六</w:t>
            </w:r>
          </w:p>
        </w:tc>
        <w:tc>
          <w:tcPr>
            <w:tcW w:w="3683" w:type="dxa"/>
            <w:vAlign w:val="top"/>
          </w:tcPr>
          <w:p w14:paraId="682A50E6">
            <w:pPr>
              <w:pStyle w:val="11"/>
              <w:spacing w:before="60" w:line="229" w:lineRule="auto"/>
              <w:ind w:left="110"/>
              <w:rPr>
                <w:sz w:val="19"/>
                <w:szCs w:val="19"/>
              </w:rPr>
            </w:pPr>
            <w:r>
              <w:rPr>
                <w:spacing w:val="5"/>
                <w:sz w:val="19"/>
                <w:szCs w:val="19"/>
              </w:rPr>
              <w:t>税金</w:t>
            </w:r>
          </w:p>
        </w:tc>
        <w:tc>
          <w:tcPr>
            <w:tcW w:w="755" w:type="dxa"/>
            <w:vAlign w:val="top"/>
          </w:tcPr>
          <w:p w14:paraId="1F2B1F5D">
            <w:pPr>
              <w:rPr>
                <w:rFonts w:ascii="Arial"/>
                <w:sz w:val="21"/>
              </w:rPr>
            </w:pPr>
          </w:p>
        </w:tc>
        <w:tc>
          <w:tcPr>
            <w:tcW w:w="1125" w:type="dxa"/>
            <w:vAlign w:val="top"/>
          </w:tcPr>
          <w:p w14:paraId="4C1E05C5">
            <w:pPr>
              <w:rPr>
                <w:rFonts w:ascii="Arial"/>
                <w:sz w:val="21"/>
              </w:rPr>
            </w:pPr>
          </w:p>
        </w:tc>
        <w:tc>
          <w:tcPr>
            <w:tcW w:w="1087" w:type="dxa"/>
            <w:vAlign w:val="top"/>
          </w:tcPr>
          <w:p w14:paraId="6E3668AF">
            <w:pPr>
              <w:rPr>
                <w:rFonts w:ascii="Arial"/>
                <w:sz w:val="21"/>
              </w:rPr>
            </w:pPr>
          </w:p>
        </w:tc>
        <w:tc>
          <w:tcPr>
            <w:tcW w:w="1168" w:type="dxa"/>
            <w:vAlign w:val="top"/>
          </w:tcPr>
          <w:p w14:paraId="37619953">
            <w:pPr>
              <w:rPr>
                <w:rFonts w:ascii="Arial"/>
                <w:sz w:val="21"/>
              </w:rPr>
            </w:pPr>
          </w:p>
        </w:tc>
      </w:tr>
      <w:tr w14:paraId="7B09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3C7FC70F">
            <w:pPr>
              <w:pStyle w:val="11"/>
              <w:spacing w:before="61" w:line="236" w:lineRule="auto"/>
              <w:ind w:left="544"/>
              <w:rPr>
                <w:sz w:val="19"/>
                <w:szCs w:val="19"/>
              </w:rPr>
            </w:pPr>
            <w:r>
              <w:rPr>
                <w:spacing w:val="2"/>
                <w:sz w:val="19"/>
                <w:szCs w:val="19"/>
              </w:rPr>
              <w:t>七</w:t>
            </w:r>
          </w:p>
        </w:tc>
        <w:tc>
          <w:tcPr>
            <w:tcW w:w="3683" w:type="dxa"/>
            <w:vAlign w:val="top"/>
          </w:tcPr>
          <w:p w14:paraId="7E310513">
            <w:pPr>
              <w:pStyle w:val="11"/>
              <w:spacing w:before="60" w:line="227" w:lineRule="auto"/>
              <w:ind w:left="112"/>
              <w:rPr>
                <w:sz w:val="19"/>
                <w:szCs w:val="19"/>
              </w:rPr>
            </w:pPr>
            <w:r>
              <w:rPr>
                <w:spacing w:val="4"/>
                <w:sz w:val="19"/>
                <w:szCs w:val="19"/>
              </w:rPr>
              <w:t>单价</w:t>
            </w:r>
          </w:p>
        </w:tc>
        <w:tc>
          <w:tcPr>
            <w:tcW w:w="755" w:type="dxa"/>
            <w:vAlign w:val="top"/>
          </w:tcPr>
          <w:p w14:paraId="1FAC9F69">
            <w:pPr>
              <w:rPr>
                <w:rFonts w:ascii="Arial"/>
                <w:sz w:val="21"/>
              </w:rPr>
            </w:pPr>
          </w:p>
        </w:tc>
        <w:tc>
          <w:tcPr>
            <w:tcW w:w="1125" w:type="dxa"/>
            <w:vAlign w:val="top"/>
          </w:tcPr>
          <w:p w14:paraId="45D46BC0">
            <w:pPr>
              <w:rPr>
                <w:rFonts w:ascii="Arial"/>
                <w:sz w:val="21"/>
              </w:rPr>
            </w:pPr>
          </w:p>
        </w:tc>
        <w:tc>
          <w:tcPr>
            <w:tcW w:w="1087" w:type="dxa"/>
            <w:vAlign w:val="top"/>
          </w:tcPr>
          <w:p w14:paraId="1002D2B7">
            <w:pPr>
              <w:rPr>
                <w:rFonts w:ascii="Arial"/>
                <w:sz w:val="21"/>
              </w:rPr>
            </w:pPr>
          </w:p>
        </w:tc>
        <w:tc>
          <w:tcPr>
            <w:tcW w:w="1168" w:type="dxa"/>
            <w:vAlign w:val="top"/>
          </w:tcPr>
          <w:p w14:paraId="2713076F">
            <w:pPr>
              <w:rPr>
                <w:rFonts w:ascii="Arial"/>
                <w:sz w:val="21"/>
              </w:rPr>
            </w:pPr>
          </w:p>
        </w:tc>
      </w:tr>
      <w:tr w14:paraId="57C6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7C0DBE4E">
            <w:pPr>
              <w:rPr>
                <w:rFonts w:ascii="Arial"/>
                <w:sz w:val="21"/>
              </w:rPr>
            </w:pPr>
          </w:p>
        </w:tc>
        <w:tc>
          <w:tcPr>
            <w:tcW w:w="3683" w:type="dxa"/>
            <w:vAlign w:val="top"/>
          </w:tcPr>
          <w:p w14:paraId="5D184F73">
            <w:pPr>
              <w:rPr>
                <w:rFonts w:ascii="Arial"/>
                <w:sz w:val="21"/>
              </w:rPr>
            </w:pPr>
          </w:p>
        </w:tc>
        <w:tc>
          <w:tcPr>
            <w:tcW w:w="755" w:type="dxa"/>
            <w:vAlign w:val="top"/>
          </w:tcPr>
          <w:p w14:paraId="7232DC05">
            <w:pPr>
              <w:rPr>
                <w:rFonts w:ascii="Arial"/>
                <w:sz w:val="21"/>
              </w:rPr>
            </w:pPr>
          </w:p>
        </w:tc>
        <w:tc>
          <w:tcPr>
            <w:tcW w:w="1125" w:type="dxa"/>
            <w:vAlign w:val="top"/>
          </w:tcPr>
          <w:p w14:paraId="7192B1C7">
            <w:pPr>
              <w:rPr>
                <w:rFonts w:ascii="Arial"/>
                <w:sz w:val="21"/>
              </w:rPr>
            </w:pPr>
          </w:p>
        </w:tc>
        <w:tc>
          <w:tcPr>
            <w:tcW w:w="1087" w:type="dxa"/>
            <w:vAlign w:val="top"/>
          </w:tcPr>
          <w:p w14:paraId="63178242">
            <w:pPr>
              <w:rPr>
                <w:rFonts w:ascii="Arial"/>
                <w:sz w:val="21"/>
              </w:rPr>
            </w:pPr>
          </w:p>
        </w:tc>
        <w:tc>
          <w:tcPr>
            <w:tcW w:w="1168" w:type="dxa"/>
            <w:vAlign w:val="top"/>
          </w:tcPr>
          <w:p w14:paraId="4AF9DA28">
            <w:pPr>
              <w:rPr>
                <w:rFonts w:ascii="Arial"/>
                <w:sz w:val="21"/>
              </w:rPr>
            </w:pPr>
          </w:p>
        </w:tc>
      </w:tr>
      <w:tr w14:paraId="634C2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105BE8B5">
            <w:pPr>
              <w:rPr>
                <w:rFonts w:ascii="Arial"/>
                <w:sz w:val="21"/>
              </w:rPr>
            </w:pPr>
          </w:p>
        </w:tc>
        <w:tc>
          <w:tcPr>
            <w:tcW w:w="3683" w:type="dxa"/>
            <w:vAlign w:val="top"/>
          </w:tcPr>
          <w:p w14:paraId="5A13793F">
            <w:pPr>
              <w:rPr>
                <w:rFonts w:ascii="Arial"/>
                <w:sz w:val="21"/>
              </w:rPr>
            </w:pPr>
          </w:p>
        </w:tc>
        <w:tc>
          <w:tcPr>
            <w:tcW w:w="755" w:type="dxa"/>
            <w:vAlign w:val="top"/>
          </w:tcPr>
          <w:p w14:paraId="045A1DBF">
            <w:pPr>
              <w:rPr>
                <w:rFonts w:ascii="Arial"/>
                <w:sz w:val="21"/>
              </w:rPr>
            </w:pPr>
          </w:p>
        </w:tc>
        <w:tc>
          <w:tcPr>
            <w:tcW w:w="1125" w:type="dxa"/>
            <w:vAlign w:val="top"/>
          </w:tcPr>
          <w:p w14:paraId="1CCFE485">
            <w:pPr>
              <w:rPr>
                <w:rFonts w:ascii="Arial"/>
                <w:sz w:val="21"/>
              </w:rPr>
            </w:pPr>
          </w:p>
        </w:tc>
        <w:tc>
          <w:tcPr>
            <w:tcW w:w="1087" w:type="dxa"/>
            <w:vAlign w:val="top"/>
          </w:tcPr>
          <w:p w14:paraId="0AAE617B">
            <w:pPr>
              <w:rPr>
                <w:rFonts w:ascii="Arial"/>
                <w:sz w:val="21"/>
              </w:rPr>
            </w:pPr>
          </w:p>
        </w:tc>
        <w:tc>
          <w:tcPr>
            <w:tcW w:w="1168" w:type="dxa"/>
            <w:vAlign w:val="top"/>
          </w:tcPr>
          <w:p w14:paraId="6D039F70">
            <w:pPr>
              <w:rPr>
                <w:rFonts w:ascii="Arial"/>
                <w:sz w:val="21"/>
              </w:rPr>
            </w:pPr>
          </w:p>
        </w:tc>
      </w:tr>
      <w:tr w14:paraId="3EFF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1E90AA70">
            <w:pPr>
              <w:rPr>
                <w:rFonts w:ascii="Arial"/>
                <w:sz w:val="21"/>
              </w:rPr>
            </w:pPr>
          </w:p>
        </w:tc>
        <w:tc>
          <w:tcPr>
            <w:tcW w:w="3683" w:type="dxa"/>
            <w:vAlign w:val="top"/>
          </w:tcPr>
          <w:p w14:paraId="07F15E9C">
            <w:pPr>
              <w:rPr>
                <w:rFonts w:ascii="Arial"/>
                <w:sz w:val="21"/>
              </w:rPr>
            </w:pPr>
          </w:p>
        </w:tc>
        <w:tc>
          <w:tcPr>
            <w:tcW w:w="755" w:type="dxa"/>
            <w:vAlign w:val="top"/>
          </w:tcPr>
          <w:p w14:paraId="3AE0AFE7">
            <w:pPr>
              <w:rPr>
                <w:rFonts w:ascii="Arial"/>
                <w:sz w:val="21"/>
              </w:rPr>
            </w:pPr>
          </w:p>
        </w:tc>
        <w:tc>
          <w:tcPr>
            <w:tcW w:w="1125" w:type="dxa"/>
            <w:vAlign w:val="top"/>
          </w:tcPr>
          <w:p w14:paraId="77F9D545">
            <w:pPr>
              <w:rPr>
                <w:rFonts w:ascii="Arial"/>
                <w:sz w:val="21"/>
              </w:rPr>
            </w:pPr>
          </w:p>
        </w:tc>
        <w:tc>
          <w:tcPr>
            <w:tcW w:w="1087" w:type="dxa"/>
            <w:vAlign w:val="top"/>
          </w:tcPr>
          <w:p w14:paraId="440839CB">
            <w:pPr>
              <w:rPr>
                <w:rFonts w:ascii="Arial"/>
                <w:sz w:val="21"/>
              </w:rPr>
            </w:pPr>
          </w:p>
        </w:tc>
        <w:tc>
          <w:tcPr>
            <w:tcW w:w="1168" w:type="dxa"/>
            <w:vAlign w:val="top"/>
          </w:tcPr>
          <w:p w14:paraId="2139597D">
            <w:pPr>
              <w:rPr>
                <w:rFonts w:ascii="Arial"/>
                <w:sz w:val="21"/>
              </w:rPr>
            </w:pPr>
          </w:p>
        </w:tc>
      </w:tr>
      <w:tr w14:paraId="00423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281" w:type="dxa"/>
            <w:vAlign w:val="top"/>
          </w:tcPr>
          <w:p w14:paraId="603840C5">
            <w:pPr>
              <w:rPr>
                <w:rFonts w:ascii="Arial"/>
                <w:sz w:val="21"/>
              </w:rPr>
            </w:pPr>
          </w:p>
        </w:tc>
        <w:tc>
          <w:tcPr>
            <w:tcW w:w="3683" w:type="dxa"/>
            <w:vAlign w:val="top"/>
          </w:tcPr>
          <w:p w14:paraId="589A8CA4">
            <w:pPr>
              <w:rPr>
                <w:rFonts w:ascii="Arial"/>
                <w:sz w:val="21"/>
              </w:rPr>
            </w:pPr>
          </w:p>
        </w:tc>
        <w:tc>
          <w:tcPr>
            <w:tcW w:w="755" w:type="dxa"/>
            <w:vAlign w:val="top"/>
          </w:tcPr>
          <w:p w14:paraId="29FDAE5B">
            <w:pPr>
              <w:rPr>
                <w:rFonts w:ascii="Arial"/>
                <w:sz w:val="21"/>
              </w:rPr>
            </w:pPr>
          </w:p>
        </w:tc>
        <w:tc>
          <w:tcPr>
            <w:tcW w:w="1125" w:type="dxa"/>
            <w:vAlign w:val="top"/>
          </w:tcPr>
          <w:p w14:paraId="341673E0">
            <w:pPr>
              <w:rPr>
                <w:rFonts w:ascii="Arial"/>
                <w:sz w:val="21"/>
              </w:rPr>
            </w:pPr>
          </w:p>
        </w:tc>
        <w:tc>
          <w:tcPr>
            <w:tcW w:w="1087" w:type="dxa"/>
            <w:vAlign w:val="top"/>
          </w:tcPr>
          <w:p w14:paraId="70DE5595">
            <w:pPr>
              <w:rPr>
                <w:rFonts w:ascii="Arial"/>
                <w:sz w:val="21"/>
              </w:rPr>
            </w:pPr>
          </w:p>
        </w:tc>
        <w:tc>
          <w:tcPr>
            <w:tcW w:w="1168" w:type="dxa"/>
            <w:vAlign w:val="top"/>
          </w:tcPr>
          <w:p w14:paraId="4A831D7B">
            <w:pPr>
              <w:rPr>
                <w:rFonts w:ascii="Arial"/>
                <w:sz w:val="21"/>
              </w:rPr>
            </w:pPr>
          </w:p>
        </w:tc>
      </w:tr>
      <w:tr w14:paraId="0062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81" w:type="dxa"/>
            <w:vAlign w:val="top"/>
          </w:tcPr>
          <w:p w14:paraId="0BB86C23">
            <w:pPr>
              <w:rPr>
                <w:rFonts w:ascii="Arial"/>
                <w:sz w:val="21"/>
              </w:rPr>
            </w:pPr>
          </w:p>
        </w:tc>
        <w:tc>
          <w:tcPr>
            <w:tcW w:w="3683" w:type="dxa"/>
            <w:vAlign w:val="top"/>
          </w:tcPr>
          <w:p w14:paraId="5823EB14">
            <w:pPr>
              <w:rPr>
                <w:rFonts w:ascii="Arial"/>
                <w:sz w:val="21"/>
              </w:rPr>
            </w:pPr>
          </w:p>
        </w:tc>
        <w:tc>
          <w:tcPr>
            <w:tcW w:w="755" w:type="dxa"/>
            <w:vAlign w:val="top"/>
          </w:tcPr>
          <w:p w14:paraId="2D87A777">
            <w:pPr>
              <w:rPr>
                <w:rFonts w:ascii="Arial"/>
                <w:sz w:val="21"/>
              </w:rPr>
            </w:pPr>
          </w:p>
        </w:tc>
        <w:tc>
          <w:tcPr>
            <w:tcW w:w="1125" w:type="dxa"/>
            <w:vAlign w:val="top"/>
          </w:tcPr>
          <w:p w14:paraId="5B9E206B">
            <w:pPr>
              <w:rPr>
                <w:rFonts w:ascii="Arial"/>
                <w:sz w:val="21"/>
              </w:rPr>
            </w:pPr>
          </w:p>
        </w:tc>
        <w:tc>
          <w:tcPr>
            <w:tcW w:w="1087" w:type="dxa"/>
            <w:vAlign w:val="top"/>
          </w:tcPr>
          <w:p w14:paraId="5B249D18">
            <w:pPr>
              <w:rPr>
                <w:rFonts w:ascii="Arial"/>
                <w:sz w:val="21"/>
              </w:rPr>
            </w:pPr>
          </w:p>
        </w:tc>
        <w:tc>
          <w:tcPr>
            <w:tcW w:w="1168" w:type="dxa"/>
            <w:vAlign w:val="top"/>
          </w:tcPr>
          <w:p w14:paraId="673EA701">
            <w:pPr>
              <w:rPr>
                <w:rFonts w:ascii="Arial"/>
                <w:sz w:val="21"/>
              </w:rPr>
            </w:pPr>
          </w:p>
        </w:tc>
      </w:tr>
    </w:tbl>
    <w:p w14:paraId="4B330297">
      <w:pPr>
        <w:spacing w:before="64" w:line="220" w:lineRule="auto"/>
        <w:ind w:left="6462"/>
        <w:rPr>
          <w:rFonts w:ascii="宋体" w:hAnsi="宋体" w:eastAsia="宋体" w:cs="宋体"/>
          <w:sz w:val="18"/>
          <w:szCs w:val="18"/>
        </w:rPr>
      </w:pPr>
      <w:r>
        <w:rPr>
          <w:rFonts w:ascii="宋体" w:hAnsi="宋体" w:eastAsia="宋体" w:cs="宋体"/>
          <w:spacing w:val="-2"/>
          <w:sz w:val="18"/>
          <w:szCs w:val="18"/>
        </w:rPr>
        <w:t>法定代表人</w:t>
      </w:r>
    </w:p>
    <w:p w14:paraId="3966FC59">
      <w:pPr>
        <w:spacing w:before="95" w:line="213" w:lineRule="auto"/>
        <w:ind w:left="6192"/>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6"/>
          <w:sz w:val="18"/>
          <w:szCs w:val="18"/>
        </w:rPr>
        <w:t>）：</w:t>
      </w:r>
      <w:r>
        <w:rPr>
          <w:rFonts w:ascii="宋体" w:hAnsi="宋体" w:eastAsia="宋体" w:cs="宋体"/>
          <w:spacing w:val="-2"/>
          <w:sz w:val="18"/>
          <w:szCs w:val="18"/>
        </w:rPr>
        <w:t>_____（签字）</w:t>
      </w:r>
    </w:p>
    <w:p w14:paraId="0083B1CD">
      <w:pPr>
        <w:spacing w:line="213" w:lineRule="auto"/>
        <w:rPr>
          <w:rFonts w:ascii="宋体" w:hAnsi="宋体" w:eastAsia="宋体" w:cs="宋体"/>
          <w:sz w:val="18"/>
          <w:szCs w:val="18"/>
        </w:rPr>
        <w:sectPr>
          <w:footerReference r:id="rId173" w:type="default"/>
          <w:pgSz w:w="11905" w:h="16843"/>
          <w:pgMar w:top="969" w:right="1355" w:bottom="1026" w:left="1480" w:header="0" w:footer="754" w:gutter="0"/>
          <w:cols w:space="0" w:num="1"/>
          <w:rtlGutter w:val="0"/>
          <w:docGrid w:linePitch="0" w:charSpace="0"/>
        </w:sectPr>
      </w:pPr>
    </w:p>
    <w:p w14:paraId="20337A82">
      <w:pPr>
        <w:pStyle w:val="5"/>
        <w:spacing w:line="265" w:lineRule="auto"/>
      </w:pPr>
    </w:p>
    <w:p w14:paraId="740ABB81">
      <w:pPr>
        <w:pStyle w:val="5"/>
        <w:spacing w:line="265" w:lineRule="auto"/>
      </w:pPr>
    </w:p>
    <w:p w14:paraId="7FB9BEAB">
      <w:pPr>
        <w:pStyle w:val="5"/>
        <w:spacing w:line="266" w:lineRule="auto"/>
      </w:pPr>
    </w:p>
    <w:p w14:paraId="5DEA302F">
      <w:pPr>
        <w:pStyle w:val="5"/>
        <w:spacing w:line="266" w:lineRule="auto"/>
      </w:pPr>
    </w:p>
    <w:p w14:paraId="4F18E824">
      <w:pPr>
        <w:pStyle w:val="5"/>
        <w:spacing w:line="266" w:lineRule="auto"/>
      </w:pPr>
    </w:p>
    <w:p w14:paraId="1C44030B">
      <w:pPr>
        <w:spacing w:before="78" w:line="233" w:lineRule="auto"/>
        <w:ind w:left="19"/>
        <w:outlineLvl w:val="2"/>
        <w:rPr>
          <w:rFonts w:ascii="黑体" w:hAnsi="黑体" w:eastAsia="黑体" w:cs="黑体"/>
          <w:sz w:val="24"/>
          <w:szCs w:val="24"/>
        </w:rPr>
      </w:pPr>
      <w:bookmarkStart w:id="1289" w:name="bookmark399"/>
      <w:bookmarkEnd w:id="1289"/>
      <w:r>
        <w:rPr>
          <w:rFonts w:ascii="Times New Roman" w:hAnsi="Times New Roman" w:eastAsia="Times New Roman" w:cs="Times New Roman"/>
          <w:spacing w:val="-1"/>
          <w:sz w:val="24"/>
          <w:szCs w:val="24"/>
        </w:rPr>
        <w:t xml:space="preserve">3.24 </w:t>
      </w:r>
      <w:r>
        <w:rPr>
          <w:rFonts w:ascii="黑体" w:hAnsi="黑体" w:eastAsia="黑体" w:cs="黑体"/>
          <w:spacing w:val="-1"/>
          <w:sz w:val="24"/>
          <w:szCs w:val="24"/>
        </w:rPr>
        <w:t>人工费单价汇总表</w:t>
      </w:r>
    </w:p>
    <w:p w14:paraId="5C2CA8EF">
      <w:pPr>
        <w:spacing w:before="352" w:line="218" w:lineRule="auto"/>
        <w:ind w:left="3043"/>
        <w:rPr>
          <w:rFonts w:ascii="宋体" w:hAnsi="宋体" w:eastAsia="宋体" w:cs="宋体"/>
          <w:sz w:val="40"/>
          <w:szCs w:val="40"/>
        </w:rPr>
      </w:pPr>
      <w:r>
        <w:rPr>
          <w:rFonts w:ascii="宋体" w:hAnsi="宋体" w:eastAsia="宋体" w:cs="宋体"/>
          <w:b/>
          <w:bCs/>
          <w:spacing w:val="-6"/>
          <w:sz w:val="40"/>
          <w:szCs w:val="40"/>
        </w:rPr>
        <w:t>人工费单价汇总表</w:t>
      </w:r>
    </w:p>
    <w:p w14:paraId="74D0B180">
      <w:pPr>
        <w:spacing w:before="78" w:line="220" w:lineRule="auto"/>
        <w:ind w:left="125"/>
        <w:rPr>
          <w:rFonts w:ascii="宋体" w:hAnsi="宋体" w:eastAsia="宋体" w:cs="宋体"/>
          <w:sz w:val="18"/>
          <w:szCs w:val="18"/>
        </w:rPr>
      </w:pPr>
      <w:r>
        <w:rPr>
          <w:rFonts w:ascii="宋体" w:hAnsi="宋体" w:eastAsia="宋体" w:cs="宋体"/>
          <w:spacing w:val="-8"/>
          <w:sz w:val="18"/>
          <w:szCs w:val="18"/>
        </w:rPr>
        <w:t>合同编号：</w:t>
      </w:r>
    </w:p>
    <w:p w14:paraId="7A96C019">
      <w:pPr>
        <w:spacing w:before="18" w:line="213" w:lineRule="auto"/>
        <w:ind w:left="126"/>
        <w:rPr>
          <w:rFonts w:ascii="宋体" w:hAnsi="宋体" w:eastAsia="宋体" w:cs="宋体"/>
          <w:sz w:val="18"/>
          <w:szCs w:val="18"/>
        </w:rPr>
      </w:pPr>
      <w:r>
        <w:rPr>
          <w:rFonts w:ascii="宋体" w:hAnsi="宋体" w:eastAsia="宋体" w:cs="宋体"/>
          <w:spacing w:val="-9"/>
          <w:sz w:val="18"/>
          <w:szCs w:val="18"/>
        </w:rPr>
        <w:t>工程名称：</w:t>
      </w:r>
    </w:p>
    <w:tbl>
      <w:tblPr>
        <w:tblStyle w:val="10"/>
        <w:tblW w:w="925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2988"/>
        <w:gridCol w:w="1500"/>
        <w:gridCol w:w="1647"/>
        <w:gridCol w:w="1749"/>
      </w:tblGrid>
      <w:tr w14:paraId="4A12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366" w:type="dxa"/>
            <w:tcBorders>
              <w:top w:val="single" w:color="000000" w:sz="6" w:space="0"/>
              <w:left w:val="single" w:color="000000" w:sz="6" w:space="0"/>
            </w:tcBorders>
            <w:vAlign w:val="top"/>
          </w:tcPr>
          <w:p w14:paraId="216B07CC">
            <w:pPr>
              <w:pStyle w:val="11"/>
              <w:spacing w:before="60" w:line="221" w:lineRule="auto"/>
              <w:ind w:left="500"/>
              <w:rPr>
                <w:sz w:val="18"/>
                <w:szCs w:val="18"/>
              </w:rPr>
            </w:pPr>
            <w:r>
              <w:rPr>
                <w:spacing w:val="-2"/>
                <w:sz w:val="18"/>
                <w:szCs w:val="18"/>
              </w:rPr>
              <w:t>序号</w:t>
            </w:r>
          </w:p>
        </w:tc>
        <w:tc>
          <w:tcPr>
            <w:tcW w:w="2988" w:type="dxa"/>
            <w:tcBorders>
              <w:top w:val="single" w:color="000000" w:sz="6" w:space="0"/>
            </w:tcBorders>
            <w:vAlign w:val="top"/>
          </w:tcPr>
          <w:p w14:paraId="31DDEF3C">
            <w:pPr>
              <w:pStyle w:val="11"/>
              <w:spacing w:before="61" w:line="220" w:lineRule="auto"/>
              <w:ind w:left="1316"/>
              <w:rPr>
                <w:sz w:val="18"/>
                <w:szCs w:val="18"/>
              </w:rPr>
            </w:pPr>
            <w:r>
              <w:rPr>
                <w:spacing w:val="-3"/>
                <w:sz w:val="18"/>
                <w:szCs w:val="18"/>
              </w:rPr>
              <w:t>工种</w:t>
            </w:r>
          </w:p>
        </w:tc>
        <w:tc>
          <w:tcPr>
            <w:tcW w:w="1500" w:type="dxa"/>
            <w:tcBorders>
              <w:top w:val="single" w:color="000000" w:sz="6" w:space="0"/>
            </w:tcBorders>
            <w:vAlign w:val="top"/>
          </w:tcPr>
          <w:p w14:paraId="49906FC9">
            <w:pPr>
              <w:pStyle w:val="11"/>
              <w:spacing w:before="61" w:line="220" w:lineRule="auto"/>
              <w:ind w:left="577"/>
              <w:rPr>
                <w:sz w:val="18"/>
                <w:szCs w:val="18"/>
              </w:rPr>
            </w:pPr>
            <w:r>
              <w:rPr>
                <w:spacing w:val="-3"/>
                <w:sz w:val="18"/>
                <w:szCs w:val="18"/>
              </w:rPr>
              <w:t>单位</w:t>
            </w:r>
          </w:p>
        </w:tc>
        <w:tc>
          <w:tcPr>
            <w:tcW w:w="1647" w:type="dxa"/>
            <w:tcBorders>
              <w:top w:val="single" w:color="000000" w:sz="6" w:space="0"/>
            </w:tcBorders>
            <w:vAlign w:val="top"/>
          </w:tcPr>
          <w:p w14:paraId="4B18DC1B">
            <w:pPr>
              <w:pStyle w:val="11"/>
              <w:spacing w:before="60" w:line="218" w:lineRule="auto"/>
              <w:ind w:left="382"/>
              <w:rPr>
                <w:sz w:val="18"/>
                <w:szCs w:val="18"/>
              </w:rPr>
            </w:pPr>
            <w:r>
              <w:rPr>
                <w:spacing w:val="-4"/>
                <w:sz w:val="18"/>
                <w:szCs w:val="18"/>
              </w:rPr>
              <w:t>单价（元）</w:t>
            </w:r>
          </w:p>
        </w:tc>
        <w:tc>
          <w:tcPr>
            <w:tcW w:w="1749" w:type="dxa"/>
            <w:tcBorders>
              <w:top w:val="single" w:color="000000" w:sz="6" w:space="0"/>
              <w:right w:val="single" w:color="000000" w:sz="6" w:space="0"/>
            </w:tcBorders>
            <w:vAlign w:val="top"/>
          </w:tcPr>
          <w:p w14:paraId="51944E14">
            <w:pPr>
              <w:pStyle w:val="11"/>
              <w:spacing w:before="60" w:line="221" w:lineRule="auto"/>
              <w:ind w:left="702"/>
              <w:rPr>
                <w:sz w:val="18"/>
                <w:szCs w:val="18"/>
              </w:rPr>
            </w:pPr>
            <w:r>
              <w:rPr>
                <w:spacing w:val="-3"/>
                <w:sz w:val="18"/>
                <w:szCs w:val="18"/>
              </w:rPr>
              <w:t>备注</w:t>
            </w:r>
          </w:p>
        </w:tc>
      </w:tr>
      <w:tr w14:paraId="1EC0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366" w:type="dxa"/>
            <w:tcBorders>
              <w:left w:val="single" w:color="000000" w:sz="6" w:space="0"/>
            </w:tcBorders>
            <w:vAlign w:val="top"/>
          </w:tcPr>
          <w:p w14:paraId="45724C5E">
            <w:pPr>
              <w:pStyle w:val="11"/>
              <w:spacing w:before="56" w:line="241" w:lineRule="auto"/>
              <w:ind w:left="648"/>
              <w:rPr>
                <w:sz w:val="18"/>
                <w:szCs w:val="18"/>
              </w:rPr>
            </w:pPr>
            <w:r>
              <w:rPr>
                <w:sz w:val="18"/>
                <w:szCs w:val="18"/>
              </w:rPr>
              <w:t>1</w:t>
            </w:r>
          </w:p>
        </w:tc>
        <w:tc>
          <w:tcPr>
            <w:tcW w:w="2988" w:type="dxa"/>
            <w:vAlign w:val="top"/>
          </w:tcPr>
          <w:p w14:paraId="1C0BAD97">
            <w:pPr>
              <w:rPr>
                <w:rFonts w:ascii="Arial"/>
                <w:sz w:val="21"/>
              </w:rPr>
            </w:pPr>
          </w:p>
        </w:tc>
        <w:tc>
          <w:tcPr>
            <w:tcW w:w="1500" w:type="dxa"/>
            <w:vAlign w:val="top"/>
          </w:tcPr>
          <w:p w14:paraId="407FA6EC">
            <w:pPr>
              <w:rPr>
                <w:rFonts w:ascii="Arial"/>
                <w:sz w:val="21"/>
              </w:rPr>
            </w:pPr>
          </w:p>
        </w:tc>
        <w:tc>
          <w:tcPr>
            <w:tcW w:w="1647" w:type="dxa"/>
            <w:vAlign w:val="top"/>
          </w:tcPr>
          <w:p w14:paraId="219033FD">
            <w:pPr>
              <w:rPr>
                <w:rFonts w:ascii="Arial"/>
                <w:sz w:val="21"/>
              </w:rPr>
            </w:pPr>
          </w:p>
        </w:tc>
        <w:tc>
          <w:tcPr>
            <w:tcW w:w="1749" w:type="dxa"/>
            <w:tcBorders>
              <w:right w:val="single" w:color="000000" w:sz="6" w:space="0"/>
            </w:tcBorders>
            <w:vAlign w:val="top"/>
          </w:tcPr>
          <w:p w14:paraId="51761773">
            <w:pPr>
              <w:rPr>
                <w:rFonts w:ascii="Arial"/>
                <w:sz w:val="21"/>
              </w:rPr>
            </w:pPr>
          </w:p>
        </w:tc>
      </w:tr>
      <w:tr w14:paraId="4629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5E4EC7FE">
            <w:pPr>
              <w:pStyle w:val="11"/>
              <w:spacing w:before="56" w:line="239" w:lineRule="auto"/>
              <w:ind w:left="637"/>
              <w:rPr>
                <w:sz w:val="18"/>
                <w:szCs w:val="18"/>
              </w:rPr>
            </w:pPr>
            <w:r>
              <w:rPr>
                <w:sz w:val="18"/>
                <w:szCs w:val="18"/>
              </w:rPr>
              <w:t>2</w:t>
            </w:r>
          </w:p>
        </w:tc>
        <w:tc>
          <w:tcPr>
            <w:tcW w:w="2988" w:type="dxa"/>
            <w:vAlign w:val="top"/>
          </w:tcPr>
          <w:p w14:paraId="38EBB89F">
            <w:pPr>
              <w:rPr>
                <w:rFonts w:ascii="Arial"/>
                <w:sz w:val="21"/>
              </w:rPr>
            </w:pPr>
          </w:p>
        </w:tc>
        <w:tc>
          <w:tcPr>
            <w:tcW w:w="1500" w:type="dxa"/>
            <w:vAlign w:val="top"/>
          </w:tcPr>
          <w:p w14:paraId="654F37FF">
            <w:pPr>
              <w:rPr>
                <w:rFonts w:ascii="Arial"/>
                <w:sz w:val="21"/>
              </w:rPr>
            </w:pPr>
          </w:p>
        </w:tc>
        <w:tc>
          <w:tcPr>
            <w:tcW w:w="1647" w:type="dxa"/>
            <w:vAlign w:val="top"/>
          </w:tcPr>
          <w:p w14:paraId="0569AE74">
            <w:pPr>
              <w:rPr>
                <w:rFonts w:ascii="Arial"/>
                <w:sz w:val="21"/>
              </w:rPr>
            </w:pPr>
          </w:p>
        </w:tc>
        <w:tc>
          <w:tcPr>
            <w:tcW w:w="1749" w:type="dxa"/>
            <w:tcBorders>
              <w:right w:val="single" w:color="000000" w:sz="6" w:space="0"/>
            </w:tcBorders>
            <w:vAlign w:val="top"/>
          </w:tcPr>
          <w:p w14:paraId="5E000E63">
            <w:pPr>
              <w:rPr>
                <w:rFonts w:ascii="Arial"/>
                <w:sz w:val="21"/>
              </w:rPr>
            </w:pPr>
          </w:p>
        </w:tc>
      </w:tr>
      <w:tr w14:paraId="30AD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3AEE0A57">
            <w:pPr>
              <w:pStyle w:val="11"/>
              <w:spacing w:before="56" w:line="239" w:lineRule="auto"/>
              <w:ind w:left="638"/>
              <w:rPr>
                <w:sz w:val="18"/>
                <w:szCs w:val="18"/>
              </w:rPr>
            </w:pPr>
            <w:r>
              <w:rPr>
                <w:sz w:val="18"/>
                <w:szCs w:val="18"/>
              </w:rPr>
              <w:t>3</w:t>
            </w:r>
          </w:p>
        </w:tc>
        <w:tc>
          <w:tcPr>
            <w:tcW w:w="2988" w:type="dxa"/>
            <w:vAlign w:val="top"/>
          </w:tcPr>
          <w:p w14:paraId="2292339A">
            <w:pPr>
              <w:rPr>
                <w:rFonts w:ascii="Arial"/>
                <w:sz w:val="21"/>
              </w:rPr>
            </w:pPr>
          </w:p>
        </w:tc>
        <w:tc>
          <w:tcPr>
            <w:tcW w:w="1500" w:type="dxa"/>
            <w:vAlign w:val="top"/>
          </w:tcPr>
          <w:p w14:paraId="0051DB87">
            <w:pPr>
              <w:rPr>
                <w:rFonts w:ascii="Arial"/>
                <w:sz w:val="21"/>
              </w:rPr>
            </w:pPr>
          </w:p>
        </w:tc>
        <w:tc>
          <w:tcPr>
            <w:tcW w:w="1647" w:type="dxa"/>
            <w:vAlign w:val="top"/>
          </w:tcPr>
          <w:p w14:paraId="43F6B34E">
            <w:pPr>
              <w:rPr>
                <w:rFonts w:ascii="Arial"/>
                <w:sz w:val="21"/>
              </w:rPr>
            </w:pPr>
          </w:p>
        </w:tc>
        <w:tc>
          <w:tcPr>
            <w:tcW w:w="1749" w:type="dxa"/>
            <w:tcBorders>
              <w:right w:val="single" w:color="000000" w:sz="6" w:space="0"/>
            </w:tcBorders>
            <w:vAlign w:val="top"/>
          </w:tcPr>
          <w:p w14:paraId="5B8E8BCD">
            <w:pPr>
              <w:rPr>
                <w:rFonts w:ascii="Arial"/>
                <w:sz w:val="21"/>
              </w:rPr>
            </w:pPr>
          </w:p>
        </w:tc>
      </w:tr>
      <w:tr w14:paraId="7EB0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3C46683C">
            <w:pPr>
              <w:rPr>
                <w:rFonts w:ascii="Arial"/>
                <w:sz w:val="21"/>
              </w:rPr>
            </w:pPr>
          </w:p>
        </w:tc>
        <w:tc>
          <w:tcPr>
            <w:tcW w:w="2988" w:type="dxa"/>
            <w:vAlign w:val="top"/>
          </w:tcPr>
          <w:p w14:paraId="73B9FAF9">
            <w:pPr>
              <w:rPr>
                <w:rFonts w:ascii="Arial"/>
                <w:sz w:val="21"/>
              </w:rPr>
            </w:pPr>
          </w:p>
        </w:tc>
        <w:tc>
          <w:tcPr>
            <w:tcW w:w="1500" w:type="dxa"/>
            <w:vAlign w:val="top"/>
          </w:tcPr>
          <w:p w14:paraId="771F29F7">
            <w:pPr>
              <w:rPr>
                <w:rFonts w:ascii="Arial"/>
                <w:sz w:val="21"/>
              </w:rPr>
            </w:pPr>
          </w:p>
        </w:tc>
        <w:tc>
          <w:tcPr>
            <w:tcW w:w="1647" w:type="dxa"/>
            <w:vAlign w:val="top"/>
          </w:tcPr>
          <w:p w14:paraId="014BC4D0">
            <w:pPr>
              <w:rPr>
                <w:rFonts w:ascii="Arial"/>
                <w:sz w:val="21"/>
              </w:rPr>
            </w:pPr>
          </w:p>
        </w:tc>
        <w:tc>
          <w:tcPr>
            <w:tcW w:w="1749" w:type="dxa"/>
            <w:tcBorders>
              <w:right w:val="single" w:color="000000" w:sz="6" w:space="0"/>
            </w:tcBorders>
            <w:vAlign w:val="top"/>
          </w:tcPr>
          <w:p w14:paraId="564AA3CD">
            <w:pPr>
              <w:rPr>
                <w:rFonts w:ascii="Arial"/>
                <w:sz w:val="21"/>
              </w:rPr>
            </w:pPr>
          </w:p>
        </w:tc>
      </w:tr>
      <w:tr w14:paraId="23B3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6DF23CA8">
            <w:pPr>
              <w:rPr>
                <w:rFonts w:ascii="Arial"/>
                <w:sz w:val="21"/>
              </w:rPr>
            </w:pPr>
          </w:p>
        </w:tc>
        <w:tc>
          <w:tcPr>
            <w:tcW w:w="2988" w:type="dxa"/>
            <w:vAlign w:val="top"/>
          </w:tcPr>
          <w:p w14:paraId="128F2D2E">
            <w:pPr>
              <w:rPr>
                <w:rFonts w:ascii="Arial"/>
                <w:sz w:val="21"/>
              </w:rPr>
            </w:pPr>
          </w:p>
        </w:tc>
        <w:tc>
          <w:tcPr>
            <w:tcW w:w="1500" w:type="dxa"/>
            <w:vAlign w:val="top"/>
          </w:tcPr>
          <w:p w14:paraId="4F80D14F">
            <w:pPr>
              <w:rPr>
                <w:rFonts w:ascii="Arial"/>
                <w:sz w:val="21"/>
              </w:rPr>
            </w:pPr>
          </w:p>
        </w:tc>
        <w:tc>
          <w:tcPr>
            <w:tcW w:w="1647" w:type="dxa"/>
            <w:vAlign w:val="top"/>
          </w:tcPr>
          <w:p w14:paraId="678D73E1">
            <w:pPr>
              <w:rPr>
                <w:rFonts w:ascii="Arial"/>
                <w:sz w:val="21"/>
              </w:rPr>
            </w:pPr>
          </w:p>
        </w:tc>
        <w:tc>
          <w:tcPr>
            <w:tcW w:w="1749" w:type="dxa"/>
            <w:tcBorders>
              <w:right w:val="single" w:color="000000" w:sz="6" w:space="0"/>
            </w:tcBorders>
            <w:vAlign w:val="top"/>
          </w:tcPr>
          <w:p w14:paraId="3753697F">
            <w:pPr>
              <w:rPr>
                <w:rFonts w:ascii="Arial"/>
                <w:sz w:val="21"/>
              </w:rPr>
            </w:pPr>
          </w:p>
        </w:tc>
      </w:tr>
      <w:tr w14:paraId="377C7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6E753F24">
            <w:pPr>
              <w:rPr>
                <w:rFonts w:ascii="Arial"/>
                <w:sz w:val="21"/>
              </w:rPr>
            </w:pPr>
          </w:p>
        </w:tc>
        <w:tc>
          <w:tcPr>
            <w:tcW w:w="2988" w:type="dxa"/>
            <w:vAlign w:val="top"/>
          </w:tcPr>
          <w:p w14:paraId="646F9E79">
            <w:pPr>
              <w:rPr>
                <w:rFonts w:ascii="Arial"/>
                <w:sz w:val="21"/>
              </w:rPr>
            </w:pPr>
          </w:p>
        </w:tc>
        <w:tc>
          <w:tcPr>
            <w:tcW w:w="1500" w:type="dxa"/>
            <w:vAlign w:val="top"/>
          </w:tcPr>
          <w:p w14:paraId="104C5408">
            <w:pPr>
              <w:rPr>
                <w:rFonts w:ascii="Arial"/>
                <w:sz w:val="21"/>
              </w:rPr>
            </w:pPr>
          </w:p>
        </w:tc>
        <w:tc>
          <w:tcPr>
            <w:tcW w:w="1647" w:type="dxa"/>
            <w:vAlign w:val="top"/>
          </w:tcPr>
          <w:p w14:paraId="7AFE5226">
            <w:pPr>
              <w:rPr>
                <w:rFonts w:ascii="Arial"/>
                <w:sz w:val="21"/>
              </w:rPr>
            </w:pPr>
          </w:p>
        </w:tc>
        <w:tc>
          <w:tcPr>
            <w:tcW w:w="1749" w:type="dxa"/>
            <w:tcBorders>
              <w:right w:val="single" w:color="000000" w:sz="6" w:space="0"/>
            </w:tcBorders>
            <w:vAlign w:val="top"/>
          </w:tcPr>
          <w:p w14:paraId="0B5A343A">
            <w:pPr>
              <w:rPr>
                <w:rFonts w:ascii="Arial"/>
                <w:sz w:val="21"/>
              </w:rPr>
            </w:pPr>
          </w:p>
        </w:tc>
      </w:tr>
      <w:tr w14:paraId="74184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599F9234">
            <w:pPr>
              <w:rPr>
                <w:rFonts w:ascii="Arial"/>
                <w:sz w:val="21"/>
              </w:rPr>
            </w:pPr>
          </w:p>
        </w:tc>
        <w:tc>
          <w:tcPr>
            <w:tcW w:w="2988" w:type="dxa"/>
            <w:vAlign w:val="top"/>
          </w:tcPr>
          <w:p w14:paraId="270AB88F">
            <w:pPr>
              <w:rPr>
                <w:rFonts w:ascii="Arial"/>
                <w:sz w:val="21"/>
              </w:rPr>
            </w:pPr>
          </w:p>
        </w:tc>
        <w:tc>
          <w:tcPr>
            <w:tcW w:w="1500" w:type="dxa"/>
            <w:vAlign w:val="top"/>
          </w:tcPr>
          <w:p w14:paraId="5697B916">
            <w:pPr>
              <w:rPr>
                <w:rFonts w:ascii="Arial"/>
                <w:sz w:val="21"/>
              </w:rPr>
            </w:pPr>
          </w:p>
        </w:tc>
        <w:tc>
          <w:tcPr>
            <w:tcW w:w="1647" w:type="dxa"/>
            <w:vAlign w:val="top"/>
          </w:tcPr>
          <w:p w14:paraId="5EA36F7D">
            <w:pPr>
              <w:rPr>
                <w:rFonts w:ascii="Arial"/>
                <w:sz w:val="21"/>
              </w:rPr>
            </w:pPr>
          </w:p>
        </w:tc>
        <w:tc>
          <w:tcPr>
            <w:tcW w:w="1749" w:type="dxa"/>
            <w:tcBorders>
              <w:right w:val="single" w:color="000000" w:sz="6" w:space="0"/>
            </w:tcBorders>
            <w:vAlign w:val="top"/>
          </w:tcPr>
          <w:p w14:paraId="73D957A8">
            <w:pPr>
              <w:rPr>
                <w:rFonts w:ascii="Arial"/>
                <w:sz w:val="21"/>
              </w:rPr>
            </w:pPr>
          </w:p>
        </w:tc>
      </w:tr>
      <w:tr w14:paraId="140C0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539B2EE0">
            <w:pPr>
              <w:rPr>
                <w:rFonts w:ascii="Arial"/>
                <w:sz w:val="21"/>
              </w:rPr>
            </w:pPr>
          </w:p>
        </w:tc>
        <w:tc>
          <w:tcPr>
            <w:tcW w:w="2988" w:type="dxa"/>
            <w:vAlign w:val="top"/>
          </w:tcPr>
          <w:p w14:paraId="3592F92E">
            <w:pPr>
              <w:rPr>
                <w:rFonts w:ascii="Arial"/>
                <w:sz w:val="21"/>
              </w:rPr>
            </w:pPr>
          </w:p>
        </w:tc>
        <w:tc>
          <w:tcPr>
            <w:tcW w:w="1500" w:type="dxa"/>
            <w:vAlign w:val="top"/>
          </w:tcPr>
          <w:p w14:paraId="56DF5660">
            <w:pPr>
              <w:rPr>
                <w:rFonts w:ascii="Arial"/>
                <w:sz w:val="21"/>
              </w:rPr>
            </w:pPr>
          </w:p>
        </w:tc>
        <w:tc>
          <w:tcPr>
            <w:tcW w:w="1647" w:type="dxa"/>
            <w:vAlign w:val="top"/>
          </w:tcPr>
          <w:p w14:paraId="1F08B580">
            <w:pPr>
              <w:rPr>
                <w:rFonts w:ascii="Arial"/>
                <w:sz w:val="21"/>
              </w:rPr>
            </w:pPr>
          </w:p>
        </w:tc>
        <w:tc>
          <w:tcPr>
            <w:tcW w:w="1749" w:type="dxa"/>
            <w:tcBorders>
              <w:right w:val="single" w:color="000000" w:sz="6" w:space="0"/>
            </w:tcBorders>
            <w:vAlign w:val="top"/>
          </w:tcPr>
          <w:p w14:paraId="7459B715">
            <w:pPr>
              <w:rPr>
                <w:rFonts w:ascii="Arial"/>
                <w:sz w:val="21"/>
              </w:rPr>
            </w:pPr>
          </w:p>
        </w:tc>
      </w:tr>
      <w:tr w14:paraId="0CA8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25675555">
            <w:pPr>
              <w:rPr>
                <w:rFonts w:ascii="Arial"/>
                <w:sz w:val="21"/>
              </w:rPr>
            </w:pPr>
          </w:p>
        </w:tc>
        <w:tc>
          <w:tcPr>
            <w:tcW w:w="2988" w:type="dxa"/>
            <w:vAlign w:val="top"/>
          </w:tcPr>
          <w:p w14:paraId="2BE27A53">
            <w:pPr>
              <w:rPr>
                <w:rFonts w:ascii="Arial"/>
                <w:sz w:val="21"/>
              </w:rPr>
            </w:pPr>
          </w:p>
        </w:tc>
        <w:tc>
          <w:tcPr>
            <w:tcW w:w="1500" w:type="dxa"/>
            <w:vAlign w:val="top"/>
          </w:tcPr>
          <w:p w14:paraId="3CBA0246">
            <w:pPr>
              <w:rPr>
                <w:rFonts w:ascii="Arial"/>
                <w:sz w:val="21"/>
              </w:rPr>
            </w:pPr>
          </w:p>
        </w:tc>
        <w:tc>
          <w:tcPr>
            <w:tcW w:w="1647" w:type="dxa"/>
            <w:vAlign w:val="top"/>
          </w:tcPr>
          <w:p w14:paraId="6E20C36D">
            <w:pPr>
              <w:rPr>
                <w:rFonts w:ascii="Arial"/>
                <w:sz w:val="21"/>
              </w:rPr>
            </w:pPr>
          </w:p>
        </w:tc>
        <w:tc>
          <w:tcPr>
            <w:tcW w:w="1749" w:type="dxa"/>
            <w:tcBorders>
              <w:right w:val="single" w:color="000000" w:sz="6" w:space="0"/>
            </w:tcBorders>
            <w:vAlign w:val="top"/>
          </w:tcPr>
          <w:p w14:paraId="0650EDBC">
            <w:pPr>
              <w:rPr>
                <w:rFonts w:ascii="Arial"/>
                <w:sz w:val="21"/>
              </w:rPr>
            </w:pPr>
          </w:p>
        </w:tc>
      </w:tr>
      <w:tr w14:paraId="1F928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4E2431C9">
            <w:pPr>
              <w:rPr>
                <w:rFonts w:ascii="Arial"/>
                <w:sz w:val="21"/>
              </w:rPr>
            </w:pPr>
          </w:p>
        </w:tc>
        <w:tc>
          <w:tcPr>
            <w:tcW w:w="2988" w:type="dxa"/>
            <w:vAlign w:val="top"/>
          </w:tcPr>
          <w:p w14:paraId="0DE4CD61">
            <w:pPr>
              <w:rPr>
                <w:rFonts w:ascii="Arial"/>
                <w:sz w:val="21"/>
              </w:rPr>
            </w:pPr>
          </w:p>
        </w:tc>
        <w:tc>
          <w:tcPr>
            <w:tcW w:w="1500" w:type="dxa"/>
            <w:vAlign w:val="top"/>
          </w:tcPr>
          <w:p w14:paraId="038C7514">
            <w:pPr>
              <w:rPr>
                <w:rFonts w:ascii="Arial"/>
                <w:sz w:val="21"/>
              </w:rPr>
            </w:pPr>
          </w:p>
        </w:tc>
        <w:tc>
          <w:tcPr>
            <w:tcW w:w="1647" w:type="dxa"/>
            <w:vAlign w:val="top"/>
          </w:tcPr>
          <w:p w14:paraId="44B2AE68">
            <w:pPr>
              <w:rPr>
                <w:rFonts w:ascii="Arial"/>
                <w:sz w:val="21"/>
              </w:rPr>
            </w:pPr>
          </w:p>
        </w:tc>
        <w:tc>
          <w:tcPr>
            <w:tcW w:w="1749" w:type="dxa"/>
            <w:tcBorders>
              <w:right w:val="single" w:color="000000" w:sz="6" w:space="0"/>
            </w:tcBorders>
            <w:vAlign w:val="top"/>
          </w:tcPr>
          <w:p w14:paraId="33C8859F">
            <w:pPr>
              <w:rPr>
                <w:rFonts w:ascii="Arial"/>
                <w:sz w:val="21"/>
              </w:rPr>
            </w:pPr>
          </w:p>
        </w:tc>
      </w:tr>
      <w:tr w14:paraId="74876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2E4D4741">
            <w:pPr>
              <w:rPr>
                <w:rFonts w:ascii="Arial"/>
                <w:sz w:val="21"/>
              </w:rPr>
            </w:pPr>
          </w:p>
        </w:tc>
        <w:tc>
          <w:tcPr>
            <w:tcW w:w="2988" w:type="dxa"/>
            <w:vAlign w:val="top"/>
          </w:tcPr>
          <w:p w14:paraId="12AFDFFF">
            <w:pPr>
              <w:rPr>
                <w:rFonts w:ascii="Arial"/>
                <w:sz w:val="21"/>
              </w:rPr>
            </w:pPr>
          </w:p>
        </w:tc>
        <w:tc>
          <w:tcPr>
            <w:tcW w:w="1500" w:type="dxa"/>
            <w:vAlign w:val="top"/>
          </w:tcPr>
          <w:p w14:paraId="3A1ABA27">
            <w:pPr>
              <w:rPr>
                <w:rFonts w:ascii="Arial"/>
                <w:sz w:val="21"/>
              </w:rPr>
            </w:pPr>
          </w:p>
        </w:tc>
        <w:tc>
          <w:tcPr>
            <w:tcW w:w="1647" w:type="dxa"/>
            <w:vAlign w:val="top"/>
          </w:tcPr>
          <w:p w14:paraId="35A68BB4">
            <w:pPr>
              <w:rPr>
                <w:rFonts w:ascii="Arial"/>
                <w:sz w:val="21"/>
              </w:rPr>
            </w:pPr>
          </w:p>
        </w:tc>
        <w:tc>
          <w:tcPr>
            <w:tcW w:w="1749" w:type="dxa"/>
            <w:tcBorders>
              <w:right w:val="single" w:color="000000" w:sz="6" w:space="0"/>
            </w:tcBorders>
            <w:vAlign w:val="top"/>
          </w:tcPr>
          <w:p w14:paraId="5F6C3A12">
            <w:pPr>
              <w:rPr>
                <w:rFonts w:ascii="Arial"/>
                <w:sz w:val="21"/>
              </w:rPr>
            </w:pPr>
          </w:p>
        </w:tc>
      </w:tr>
      <w:tr w14:paraId="740D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0D8D5B2A">
            <w:pPr>
              <w:rPr>
                <w:rFonts w:ascii="Arial"/>
                <w:sz w:val="21"/>
              </w:rPr>
            </w:pPr>
          </w:p>
        </w:tc>
        <w:tc>
          <w:tcPr>
            <w:tcW w:w="2988" w:type="dxa"/>
            <w:vAlign w:val="top"/>
          </w:tcPr>
          <w:p w14:paraId="71012042">
            <w:pPr>
              <w:rPr>
                <w:rFonts w:ascii="Arial"/>
                <w:sz w:val="21"/>
              </w:rPr>
            </w:pPr>
          </w:p>
        </w:tc>
        <w:tc>
          <w:tcPr>
            <w:tcW w:w="1500" w:type="dxa"/>
            <w:vAlign w:val="top"/>
          </w:tcPr>
          <w:p w14:paraId="3812D9A3">
            <w:pPr>
              <w:rPr>
                <w:rFonts w:ascii="Arial"/>
                <w:sz w:val="21"/>
              </w:rPr>
            </w:pPr>
          </w:p>
        </w:tc>
        <w:tc>
          <w:tcPr>
            <w:tcW w:w="1647" w:type="dxa"/>
            <w:vAlign w:val="top"/>
          </w:tcPr>
          <w:p w14:paraId="4B60B1CE">
            <w:pPr>
              <w:rPr>
                <w:rFonts w:ascii="Arial"/>
                <w:sz w:val="21"/>
              </w:rPr>
            </w:pPr>
          </w:p>
        </w:tc>
        <w:tc>
          <w:tcPr>
            <w:tcW w:w="1749" w:type="dxa"/>
            <w:tcBorders>
              <w:right w:val="single" w:color="000000" w:sz="6" w:space="0"/>
            </w:tcBorders>
            <w:vAlign w:val="top"/>
          </w:tcPr>
          <w:p w14:paraId="06B4FB15">
            <w:pPr>
              <w:rPr>
                <w:rFonts w:ascii="Arial"/>
                <w:sz w:val="21"/>
              </w:rPr>
            </w:pPr>
          </w:p>
        </w:tc>
      </w:tr>
      <w:tr w14:paraId="418E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366" w:type="dxa"/>
            <w:tcBorders>
              <w:left w:val="single" w:color="000000" w:sz="6" w:space="0"/>
            </w:tcBorders>
            <w:vAlign w:val="top"/>
          </w:tcPr>
          <w:p w14:paraId="29D731D2">
            <w:pPr>
              <w:rPr>
                <w:rFonts w:ascii="Arial"/>
                <w:sz w:val="21"/>
              </w:rPr>
            </w:pPr>
          </w:p>
        </w:tc>
        <w:tc>
          <w:tcPr>
            <w:tcW w:w="2988" w:type="dxa"/>
            <w:vAlign w:val="top"/>
          </w:tcPr>
          <w:p w14:paraId="4979FA7E">
            <w:pPr>
              <w:rPr>
                <w:rFonts w:ascii="Arial"/>
                <w:sz w:val="21"/>
              </w:rPr>
            </w:pPr>
          </w:p>
        </w:tc>
        <w:tc>
          <w:tcPr>
            <w:tcW w:w="1500" w:type="dxa"/>
            <w:vAlign w:val="top"/>
          </w:tcPr>
          <w:p w14:paraId="19A51FDC">
            <w:pPr>
              <w:rPr>
                <w:rFonts w:ascii="Arial"/>
                <w:sz w:val="21"/>
              </w:rPr>
            </w:pPr>
          </w:p>
        </w:tc>
        <w:tc>
          <w:tcPr>
            <w:tcW w:w="1647" w:type="dxa"/>
            <w:vAlign w:val="top"/>
          </w:tcPr>
          <w:p w14:paraId="5765BECF">
            <w:pPr>
              <w:rPr>
                <w:rFonts w:ascii="Arial"/>
                <w:sz w:val="21"/>
              </w:rPr>
            </w:pPr>
          </w:p>
        </w:tc>
        <w:tc>
          <w:tcPr>
            <w:tcW w:w="1749" w:type="dxa"/>
            <w:tcBorders>
              <w:right w:val="single" w:color="000000" w:sz="6" w:space="0"/>
            </w:tcBorders>
            <w:vAlign w:val="top"/>
          </w:tcPr>
          <w:p w14:paraId="6BA5D1F5">
            <w:pPr>
              <w:rPr>
                <w:rFonts w:ascii="Arial"/>
                <w:sz w:val="21"/>
              </w:rPr>
            </w:pPr>
          </w:p>
        </w:tc>
      </w:tr>
      <w:tr w14:paraId="57C0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57DEF8D5">
            <w:pPr>
              <w:rPr>
                <w:rFonts w:ascii="Arial"/>
                <w:sz w:val="21"/>
              </w:rPr>
            </w:pPr>
          </w:p>
        </w:tc>
        <w:tc>
          <w:tcPr>
            <w:tcW w:w="2988" w:type="dxa"/>
            <w:vAlign w:val="top"/>
          </w:tcPr>
          <w:p w14:paraId="39D169E4">
            <w:pPr>
              <w:rPr>
                <w:rFonts w:ascii="Arial"/>
                <w:sz w:val="21"/>
              </w:rPr>
            </w:pPr>
          </w:p>
        </w:tc>
        <w:tc>
          <w:tcPr>
            <w:tcW w:w="1500" w:type="dxa"/>
            <w:vAlign w:val="top"/>
          </w:tcPr>
          <w:p w14:paraId="03AEA24F">
            <w:pPr>
              <w:rPr>
                <w:rFonts w:ascii="Arial"/>
                <w:sz w:val="21"/>
              </w:rPr>
            </w:pPr>
          </w:p>
        </w:tc>
        <w:tc>
          <w:tcPr>
            <w:tcW w:w="1647" w:type="dxa"/>
            <w:vAlign w:val="top"/>
          </w:tcPr>
          <w:p w14:paraId="004F0D32">
            <w:pPr>
              <w:rPr>
                <w:rFonts w:ascii="Arial"/>
                <w:sz w:val="21"/>
              </w:rPr>
            </w:pPr>
          </w:p>
        </w:tc>
        <w:tc>
          <w:tcPr>
            <w:tcW w:w="1749" w:type="dxa"/>
            <w:tcBorders>
              <w:right w:val="single" w:color="000000" w:sz="6" w:space="0"/>
            </w:tcBorders>
            <w:vAlign w:val="top"/>
          </w:tcPr>
          <w:p w14:paraId="733A60C8">
            <w:pPr>
              <w:rPr>
                <w:rFonts w:ascii="Arial"/>
                <w:sz w:val="21"/>
              </w:rPr>
            </w:pPr>
          </w:p>
        </w:tc>
      </w:tr>
      <w:tr w14:paraId="017C9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3C6BD318">
            <w:pPr>
              <w:rPr>
                <w:rFonts w:ascii="Arial"/>
                <w:sz w:val="21"/>
              </w:rPr>
            </w:pPr>
          </w:p>
        </w:tc>
        <w:tc>
          <w:tcPr>
            <w:tcW w:w="2988" w:type="dxa"/>
            <w:vAlign w:val="top"/>
          </w:tcPr>
          <w:p w14:paraId="49E7DE59">
            <w:pPr>
              <w:rPr>
                <w:rFonts w:ascii="Arial"/>
                <w:sz w:val="21"/>
              </w:rPr>
            </w:pPr>
          </w:p>
        </w:tc>
        <w:tc>
          <w:tcPr>
            <w:tcW w:w="1500" w:type="dxa"/>
            <w:vAlign w:val="top"/>
          </w:tcPr>
          <w:p w14:paraId="559CC549">
            <w:pPr>
              <w:rPr>
                <w:rFonts w:ascii="Arial"/>
                <w:sz w:val="21"/>
              </w:rPr>
            </w:pPr>
          </w:p>
        </w:tc>
        <w:tc>
          <w:tcPr>
            <w:tcW w:w="1647" w:type="dxa"/>
            <w:vAlign w:val="top"/>
          </w:tcPr>
          <w:p w14:paraId="0D9F5DCA">
            <w:pPr>
              <w:rPr>
                <w:rFonts w:ascii="Arial"/>
                <w:sz w:val="21"/>
              </w:rPr>
            </w:pPr>
          </w:p>
        </w:tc>
        <w:tc>
          <w:tcPr>
            <w:tcW w:w="1749" w:type="dxa"/>
            <w:tcBorders>
              <w:right w:val="single" w:color="000000" w:sz="6" w:space="0"/>
            </w:tcBorders>
            <w:vAlign w:val="top"/>
          </w:tcPr>
          <w:p w14:paraId="4A4D71BC">
            <w:pPr>
              <w:rPr>
                <w:rFonts w:ascii="Arial"/>
                <w:sz w:val="21"/>
              </w:rPr>
            </w:pPr>
          </w:p>
        </w:tc>
      </w:tr>
      <w:tr w14:paraId="4C34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75604615">
            <w:pPr>
              <w:rPr>
                <w:rFonts w:ascii="Arial"/>
                <w:sz w:val="21"/>
              </w:rPr>
            </w:pPr>
          </w:p>
        </w:tc>
        <w:tc>
          <w:tcPr>
            <w:tcW w:w="2988" w:type="dxa"/>
            <w:vAlign w:val="top"/>
          </w:tcPr>
          <w:p w14:paraId="7AAAA1D1">
            <w:pPr>
              <w:rPr>
                <w:rFonts w:ascii="Arial"/>
                <w:sz w:val="21"/>
              </w:rPr>
            </w:pPr>
          </w:p>
        </w:tc>
        <w:tc>
          <w:tcPr>
            <w:tcW w:w="1500" w:type="dxa"/>
            <w:vAlign w:val="top"/>
          </w:tcPr>
          <w:p w14:paraId="5EEA3F20">
            <w:pPr>
              <w:rPr>
                <w:rFonts w:ascii="Arial"/>
                <w:sz w:val="21"/>
              </w:rPr>
            </w:pPr>
          </w:p>
        </w:tc>
        <w:tc>
          <w:tcPr>
            <w:tcW w:w="1647" w:type="dxa"/>
            <w:vAlign w:val="top"/>
          </w:tcPr>
          <w:p w14:paraId="22C8132D">
            <w:pPr>
              <w:rPr>
                <w:rFonts w:ascii="Arial"/>
                <w:sz w:val="21"/>
              </w:rPr>
            </w:pPr>
          </w:p>
        </w:tc>
        <w:tc>
          <w:tcPr>
            <w:tcW w:w="1749" w:type="dxa"/>
            <w:tcBorders>
              <w:right w:val="single" w:color="000000" w:sz="6" w:space="0"/>
            </w:tcBorders>
            <w:vAlign w:val="top"/>
          </w:tcPr>
          <w:p w14:paraId="7F720536">
            <w:pPr>
              <w:rPr>
                <w:rFonts w:ascii="Arial"/>
                <w:sz w:val="21"/>
              </w:rPr>
            </w:pPr>
          </w:p>
        </w:tc>
      </w:tr>
      <w:tr w14:paraId="3EEEB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5472908E">
            <w:pPr>
              <w:rPr>
                <w:rFonts w:ascii="Arial"/>
                <w:sz w:val="21"/>
              </w:rPr>
            </w:pPr>
          </w:p>
        </w:tc>
        <w:tc>
          <w:tcPr>
            <w:tcW w:w="2988" w:type="dxa"/>
            <w:vAlign w:val="top"/>
          </w:tcPr>
          <w:p w14:paraId="15E7C2EB">
            <w:pPr>
              <w:rPr>
                <w:rFonts w:ascii="Arial"/>
                <w:sz w:val="21"/>
              </w:rPr>
            </w:pPr>
          </w:p>
        </w:tc>
        <w:tc>
          <w:tcPr>
            <w:tcW w:w="1500" w:type="dxa"/>
            <w:vAlign w:val="top"/>
          </w:tcPr>
          <w:p w14:paraId="5B411559">
            <w:pPr>
              <w:rPr>
                <w:rFonts w:ascii="Arial"/>
                <w:sz w:val="21"/>
              </w:rPr>
            </w:pPr>
          </w:p>
        </w:tc>
        <w:tc>
          <w:tcPr>
            <w:tcW w:w="1647" w:type="dxa"/>
            <w:vAlign w:val="top"/>
          </w:tcPr>
          <w:p w14:paraId="6B4E44F9">
            <w:pPr>
              <w:rPr>
                <w:rFonts w:ascii="Arial"/>
                <w:sz w:val="21"/>
              </w:rPr>
            </w:pPr>
          </w:p>
        </w:tc>
        <w:tc>
          <w:tcPr>
            <w:tcW w:w="1749" w:type="dxa"/>
            <w:tcBorders>
              <w:right w:val="single" w:color="000000" w:sz="6" w:space="0"/>
            </w:tcBorders>
            <w:vAlign w:val="top"/>
          </w:tcPr>
          <w:p w14:paraId="1084D831">
            <w:pPr>
              <w:rPr>
                <w:rFonts w:ascii="Arial"/>
                <w:sz w:val="21"/>
              </w:rPr>
            </w:pPr>
          </w:p>
        </w:tc>
      </w:tr>
      <w:tr w14:paraId="64FA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12D5C3EA">
            <w:pPr>
              <w:rPr>
                <w:rFonts w:ascii="Arial"/>
                <w:sz w:val="21"/>
              </w:rPr>
            </w:pPr>
          </w:p>
        </w:tc>
        <w:tc>
          <w:tcPr>
            <w:tcW w:w="2988" w:type="dxa"/>
            <w:vAlign w:val="top"/>
          </w:tcPr>
          <w:p w14:paraId="1195609F">
            <w:pPr>
              <w:rPr>
                <w:rFonts w:ascii="Arial"/>
                <w:sz w:val="21"/>
              </w:rPr>
            </w:pPr>
          </w:p>
        </w:tc>
        <w:tc>
          <w:tcPr>
            <w:tcW w:w="1500" w:type="dxa"/>
            <w:vAlign w:val="top"/>
          </w:tcPr>
          <w:p w14:paraId="3CB2F23E">
            <w:pPr>
              <w:rPr>
                <w:rFonts w:ascii="Arial"/>
                <w:sz w:val="21"/>
              </w:rPr>
            </w:pPr>
          </w:p>
        </w:tc>
        <w:tc>
          <w:tcPr>
            <w:tcW w:w="1647" w:type="dxa"/>
            <w:vAlign w:val="top"/>
          </w:tcPr>
          <w:p w14:paraId="428DE01F">
            <w:pPr>
              <w:rPr>
                <w:rFonts w:ascii="Arial"/>
                <w:sz w:val="21"/>
              </w:rPr>
            </w:pPr>
          </w:p>
        </w:tc>
        <w:tc>
          <w:tcPr>
            <w:tcW w:w="1749" w:type="dxa"/>
            <w:tcBorders>
              <w:right w:val="single" w:color="000000" w:sz="6" w:space="0"/>
            </w:tcBorders>
            <w:vAlign w:val="top"/>
          </w:tcPr>
          <w:p w14:paraId="7BE1F157">
            <w:pPr>
              <w:rPr>
                <w:rFonts w:ascii="Arial"/>
                <w:sz w:val="21"/>
              </w:rPr>
            </w:pPr>
          </w:p>
        </w:tc>
      </w:tr>
      <w:tr w14:paraId="3EA4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6B53B932">
            <w:pPr>
              <w:rPr>
                <w:rFonts w:ascii="Arial"/>
                <w:sz w:val="21"/>
              </w:rPr>
            </w:pPr>
          </w:p>
        </w:tc>
        <w:tc>
          <w:tcPr>
            <w:tcW w:w="2988" w:type="dxa"/>
            <w:vAlign w:val="top"/>
          </w:tcPr>
          <w:p w14:paraId="0818EB5E">
            <w:pPr>
              <w:rPr>
                <w:rFonts w:ascii="Arial"/>
                <w:sz w:val="21"/>
              </w:rPr>
            </w:pPr>
          </w:p>
        </w:tc>
        <w:tc>
          <w:tcPr>
            <w:tcW w:w="1500" w:type="dxa"/>
            <w:vAlign w:val="top"/>
          </w:tcPr>
          <w:p w14:paraId="40652200">
            <w:pPr>
              <w:rPr>
                <w:rFonts w:ascii="Arial"/>
                <w:sz w:val="21"/>
              </w:rPr>
            </w:pPr>
          </w:p>
        </w:tc>
        <w:tc>
          <w:tcPr>
            <w:tcW w:w="1647" w:type="dxa"/>
            <w:vAlign w:val="top"/>
          </w:tcPr>
          <w:p w14:paraId="59A06741">
            <w:pPr>
              <w:rPr>
                <w:rFonts w:ascii="Arial"/>
                <w:sz w:val="21"/>
              </w:rPr>
            </w:pPr>
          </w:p>
        </w:tc>
        <w:tc>
          <w:tcPr>
            <w:tcW w:w="1749" w:type="dxa"/>
            <w:tcBorders>
              <w:right w:val="single" w:color="000000" w:sz="6" w:space="0"/>
            </w:tcBorders>
            <w:vAlign w:val="top"/>
          </w:tcPr>
          <w:p w14:paraId="34FB5A39">
            <w:pPr>
              <w:rPr>
                <w:rFonts w:ascii="Arial"/>
                <w:sz w:val="21"/>
              </w:rPr>
            </w:pPr>
          </w:p>
        </w:tc>
      </w:tr>
      <w:tr w14:paraId="04DF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0D1D4500">
            <w:pPr>
              <w:rPr>
                <w:rFonts w:ascii="Arial"/>
                <w:sz w:val="21"/>
              </w:rPr>
            </w:pPr>
          </w:p>
        </w:tc>
        <w:tc>
          <w:tcPr>
            <w:tcW w:w="2988" w:type="dxa"/>
            <w:vAlign w:val="top"/>
          </w:tcPr>
          <w:p w14:paraId="298B5029">
            <w:pPr>
              <w:rPr>
                <w:rFonts w:ascii="Arial"/>
                <w:sz w:val="21"/>
              </w:rPr>
            </w:pPr>
          </w:p>
        </w:tc>
        <w:tc>
          <w:tcPr>
            <w:tcW w:w="1500" w:type="dxa"/>
            <w:vAlign w:val="top"/>
          </w:tcPr>
          <w:p w14:paraId="15B73FE0">
            <w:pPr>
              <w:rPr>
                <w:rFonts w:ascii="Arial"/>
                <w:sz w:val="21"/>
              </w:rPr>
            </w:pPr>
          </w:p>
        </w:tc>
        <w:tc>
          <w:tcPr>
            <w:tcW w:w="1647" w:type="dxa"/>
            <w:vAlign w:val="top"/>
          </w:tcPr>
          <w:p w14:paraId="2975ED22">
            <w:pPr>
              <w:rPr>
                <w:rFonts w:ascii="Arial"/>
                <w:sz w:val="21"/>
              </w:rPr>
            </w:pPr>
          </w:p>
        </w:tc>
        <w:tc>
          <w:tcPr>
            <w:tcW w:w="1749" w:type="dxa"/>
            <w:tcBorders>
              <w:right w:val="single" w:color="000000" w:sz="6" w:space="0"/>
            </w:tcBorders>
            <w:vAlign w:val="top"/>
          </w:tcPr>
          <w:p w14:paraId="344623F0">
            <w:pPr>
              <w:rPr>
                <w:rFonts w:ascii="Arial"/>
                <w:sz w:val="21"/>
              </w:rPr>
            </w:pPr>
          </w:p>
        </w:tc>
      </w:tr>
      <w:tr w14:paraId="63F3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005AFB65">
            <w:pPr>
              <w:rPr>
                <w:rFonts w:ascii="Arial"/>
                <w:sz w:val="21"/>
              </w:rPr>
            </w:pPr>
          </w:p>
        </w:tc>
        <w:tc>
          <w:tcPr>
            <w:tcW w:w="2988" w:type="dxa"/>
            <w:vAlign w:val="top"/>
          </w:tcPr>
          <w:p w14:paraId="26F1C776">
            <w:pPr>
              <w:rPr>
                <w:rFonts w:ascii="Arial"/>
                <w:sz w:val="21"/>
              </w:rPr>
            </w:pPr>
          </w:p>
        </w:tc>
        <w:tc>
          <w:tcPr>
            <w:tcW w:w="1500" w:type="dxa"/>
            <w:vAlign w:val="top"/>
          </w:tcPr>
          <w:p w14:paraId="438B6568">
            <w:pPr>
              <w:rPr>
                <w:rFonts w:ascii="Arial"/>
                <w:sz w:val="21"/>
              </w:rPr>
            </w:pPr>
          </w:p>
        </w:tc>
        <w:tc>
          <w:tcPr>
            <w:tcW w:w="1647" w:type="dxa"/>
            <w:vAlign w:val="top"/>
          </w:tcPr>
          <w:p w14:paraId="32D8E7E1">
            <w:pPr>
              <w:rPr>
                <w:rFonts w:ascii="Arial"/>
                <w:sz w:val="21"/>
              </w:rPr>
            </w:pPr>
          </w:p>
        </w:tc>
        <w:tc>
          <w:tcPr>
            <w:tcW w:w="1749" w:type="dxa"/>
            <w:tcBorders>
              <w:right w:val="single" w:color="000000" w:sz="6" w:space="0"/>
            </w:tcBorders>
            <w:vAlign w:val="top"/>
          </w:tcPr>
          <w:p w14:paraId="37510C97">
            <w:pPr>
              <w:rPr>
                <w:rFonts w:ascii="Arial"/>
                <w:sz w:val="21"/>
              </w:rPr>
            </w:pPr>
          </w:p>
        </w:tc>
      </w:tr>
      <w:tr w14:paraId="6BEA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3762EF4A">
            <w:pPr>
              <w:rPr>
                <w:rFonts w:ascii="Arial"/>
                <w:sz w:val="21"/>
              </w:rPr>
            </w:pPr>
          </w:p>
        </w:tc>
        <w:tc>
          <w:tcPr>
            <w:tcW w:w="2988" w:type="dxa"/>
            <w:vAlign w:val="top"/>
          </w:tcPr>
          <w:p w14:paraId="0853496B">
            <w:pPr>
              <w:rPr>
                <w:rFonts w:ascii="Arial"/>
                <w:sz w:val="21"/>
              </w:rPr>
            </w:pPr>
          </w:p>
        </w:tc>
        <w:tc>
          <w:tcPr>
            <w:tcW w:w="1500" w:type="dxa"/>
            <w:vAlign w:val="top"/>
          </w:tcPr>
          <w:p w14:paraId="6EDECE33">
            <w:pPr>
              <w:rPr>
                <w:rFonts w:ascii="Arial"/>
                <w:sz w:val="21"/>
              </w:rPr>
            </w:pPr>
          </w:p>
        </w:tc>
        <w:tc>
          <w:tcPr>
            <w:tcW w:w="1647" w:type="dxa"/>
            <w:vAlign w:val="top"/>
          </w:tcPr>
          <w:p w14:paraId="207E2F71">
            <w:pPr>
              <w:rPr>
                <w:rFonts w:ascii="Arial"/>
                <w:sz w:val="21"/>
              </w:rPr>
            </w:pPr>
          </w:p>
        </w:tc>
        <w:tc>
          <w:tcPr>
            <w:tcW w:w="1749" w:type="dxa"/>
            <w:tcBorders>
              <w:right w:val="single" w:color="000000" w:sz="6" w:space="0"/>
            </w:tcBorders>
            <w:vAlign w:val="top"/>
          </w:tcPr>
          <w:p w14:paraId="6DB63311">
            <w:pPr>
              <w:rPr>
                <w:rFonts w:ascii="Arial"/>
                <w:sz w:val="21"/>
              </w:rPr>
            </w:pPr>
          </w:p>
        </w:tc>
      </w:tr>
      <w:tr w14:paraId="526D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64305600">
            <w:pPr>
              <w:rPr>
                <w:rFonts w:ascii="Arial"/>
                <w:sz w:val="21"/>
              </w:rPr>
            </w:pPr>
          </w:p>
        </w:tc>
        <w:tc>
          <w:tcPr>
            <w:tcW w:w="2988" w:type="dxa"/>
            <w:vAlign w:val="top"/>
          </w:tcPr>
          <w:p w14:paraId="36E33E35">
            <w:pPr>
              <w:rPr>
                <w:rFonts w:ascii="Arial"/>
                <w:sz w:val="21"/>
              </w:rPr>
            </w:pPr>
          </w:p>
        </w:tc>
        <w:tc>
          <w:tcPr>
            <w:tcW w:w="1500" w:type="dxa"/>
            <w:vAlign w:val="top"/>
          </w:tcPr>
          <w:p w14:paraId="25D4EA08">
            <w:pPr>
              <w:rPr>
                <w:rFonts w:ascii="Arial"/>
                <w:sz w:val="21"/>
              </w:rPr>
            </w:pPr>
          </w:p>
        </w:tc>
        <w:tc>
          <w:tcPr>
            <w:tcW w:w="1647" w:type="dxa"/>
            <w:vAlign w:val="top"/>
          </w:tcPr>
          <w:p w14:paraId="5ACECA19">
            <w:pPr>
              <w:rPr>
                <w:rFonts w:ascii="Arial"/>
                <w:sz w:val="21"/>
              </w:rPr>
            </w:pPr>
          </w:p>
        </w:tc>
        <w:tc>
          <w:tcPr>
            <w:tcW w:w="1749" w:type="dxa"/>
            <w:tcBorders>
              <w:right w:val="single" w:color="000000" w:sz="6" w:space="0"/>
            </w:tcBorders>
            <w:vAlign w:val="top"/>
          </w:tcPr>
          <w:p w14:paraId="2A9E34F9">
            <w:pPr>
              <w:rPr>
                <w:rFonts w:ascii="Arial"/>
                <w:sz w:val="21"/>
              </w:rPr>
            </w:pPr>
          </w:p>
        </w:tc>
      </w:tr>
      <w:tr w14:paraId="13D43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2DFB17DF">
            <w:pPr>
              <w:rPr>
                <w:rFonts w:ascii="Arial"/>
                <w:sz w:val="21"/>
              </w:rPr>
            </w:pPr>
          </w:p>
        </w:tc>
        <w:tc>
          <w:tcPr>
            <w:tcW w:w="2988" w:type="dxa"/>
            <w:vAlign w:val="top"/>
          </w:tcPr>
          <w:p w14:paraId="78986D94">
            <w:pPr>
              <w:rPr>
                <w:rFonts w:ascii="Arial"/>
                <w:sz w:val="21"/>
              </w:rPr>
            </w:pPr>
          </w:p>
        </w:tc>
        <w:tc>
          <w:tcPr>
            <w:tcW w:w="1500" w:type="dxa"/>
            <w:vAlign w:val="top"/>
          </w:tcPr>
          <w:p w14:paraId="64EF46B1">
            <w:pPr>
              <w:rPr>
                <w:rFonts w:ascii="Arial"/>
                <w:sz w:val="21"/>
              </w:rPr>
            </w:pPr>
          </w:p>
        </w:tc>
        <w:tc>
          <w:tcPr>
            <w:tcW w:w="1647" w:type="dxa"/>
            <w:vAlign w:val="top"/>
          </w:tcPr>
          <w:p w14:paraId="40EC5587">
            <w:pPr>
              <w:rPr>
                <w:rFonts w:ascii="Arial"/>
                <w:sz w:val="21"/>
              </w:rPr>
            </w:pPr>
          </w:p>
        </w:tc>
        <w:tc>
          <w:tcPr>
            <w:tcW w:w="1749" w:type="dxa"/>
            <w:tcBorders>
              <w:right w:val="single" w:color="000000" w:sz="6" w:space="0"/>
            </w:tcBorders>
            <w:vAlign w:val="top"/>
          </w:tcPr>
          <w:p w14:paraId="30FF0EE4">
            <w:pPr>
              <w:rPr>
                <w:rFonts w:ascii="Arial"/>
                <w:sz w:val="21"/>
              </w:rPr>
            </w:pPr>
          </w:p>
        </w:tc>
      </w:tr>
      <w:tr w14:paraId="5F06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366" w:type="dxa"/>
            <w:tcBorders>
              <w:left w:val="single" w:color="000000" w:sz="6" w:space="0"/>
            </w:tcBorders>
            <w:vAlign w:val="top"/>
          </w:tcPr>
          <w:p w14:paraId="70B9B7B8">
            <w:pPr>
              <w:rPr>
                <w:rFonts w:ascii="Arial"/>
                <w:sz w:val="21"/>
              </w:rPr>
            </w:pPr>
          </w:p>
        </w:tc>
        <w:tc>
          <w:tcPr>
            <w:tcW w:w="2988" w:type="dxa"/>
            <w:vAlign w:val="top"/>
          </w:tcPr>
          <w:p w14:paraId="306E3338">
            <w:pPr>
              <w:rPr>
                <w:rFonts w:ascii="Arial"/>
                <w:sz w:val="21"/>
              </w:rPr>
            </w:pPr>
          </w:p>
        </w:tc>
        <w:tc>
          <w:tcPr>
            <w:tcW w:w="1500" w:type="dxa"/>
            <w:vAlign w:val="top"/>
          </w:tcPr>
          <w:p w14:paraId="2E60F48E">
            <w:pPr>
              <w:rPr>
                <w:rFonts w:ascii="Arial"/>
                <w:sz w:val="21"/>
              </w:rPr>
            </w:pPr>
          </w:p>
        </w:tc>
        <w:tc>
          <w:tcPr>
            <w:tcW w:w="1647" w:type="dxa"/>
            <w:vAlign w:val="top"/>
          </w:tcPr>
          <w:p w14:paraId="7086649C">
            <w:pPr>
              <w:rPr>
                <w:rFonts w:ascii="Arial"/>
                <w:sz w:val="21"/>
              </w:rPr>
            </w:pPr>
          </w:p>
        </w:tc>
        <w:tc>
          <w:tcPr>
            <w:tcW w:w="1749" w:type="dxa"/>
            <w:tcBorders>
              <w:right w:val="single" w:color="000000" w:sz="6" w:space="0"/>
            </w:tcBorders>
            <w:vAlign w:val="top"/>
          </w:tcPr>
          <w:p w14:paraId="1F3771B0">
            <w:pPr>
              <w:rPr>
                <w:rFonts w:ascii="Arial"/>
                <w:sz w:val="21"/>
              </w:rPr>
            </w:pPr>
          </w:p>
        </w:tc>
      </w:tr>
      <w:tr w14:paraId="40DA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07F7A752">
            <w:pPr>
              <w:rPr>
                <w:rFonts w:ascii="Arial"/>
                <w:sz w:val="21"/>
              </w:rPr>
            </w:pPr>
          </w:p>
        </w:tc>
        <w:tc>
          <w:tcPr>
            <w:tcW w:w="2988" w:type="dxa"/>
            <w:vAlign w:val="top"/>
          </w:tcPr>
          <w:p w14:paraId="6F3BE290">
            <w:pPr>
              <w:rPr>
                <w:rFonts w:ascii="Arial"/>
                <w:sz w:val="21"/>
              </w:rPr>
            </w:pPr>
          </w:p>
        </w:tc>
        <w:tc>
          <w:tcPr>
            <w:tcW w:w="1500" w:type="dxa"/>
            <w:vAlign w:val="top"/>
          </w:tcPr>
          <w:p w14:paraId="077E3955">
            <w:pPr>
              <w:rPr>
                <w:rFonts w:ascii="Arial"/>
                <w:sz w:val="21"/>
              </w:rPr>
            </w:pPr>
          </w:p>
        </w:tc>
        <w:tc>
          <w:tcPr>
            <w:tcW w:w="1647" w:type="dxa"/>
            <w:vAlign w:val="top"/>
          </w:tcPr>
          <w:p w14:paraId="06A216AD">
            <w:pPr>
              <w:rPr>
                <w:rFonts w:ascii="Arial"/>
                <w:sz w:val="21"/>
              </w:rPr>
            </w:pPr>
          </w:p>
        </w:tc>
        <w:tc>
          <w:tcPr>
            <w:tcW w:w="1749" w:type="dxa"/>
            <w:tcBorders>
              <w:right w:val="single" w:color="000000" w:sz="6" w:space="0"/>
            </w:tcBorders>
            <w:vAlign w:val="top"/>
          </w:tcPr>
          <w:p w14:paraId="36D5A498">
            <w:pPr>
              <w:rPr>
                <w:rFonts w:ascii="Arial"/>
                <w:sz w:val="21"/>
              </w:rPr>
            </w:pPr>
          </w:p>
        </w:tc>
      </w:tr>
      <w:tr w14:paraId="343A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6A7E1378">
            <w:pPr>
              <w:rPr>
                <w:rFonts w:ascii="Arial"/>
                <w:sz w:val="21"/>
              </w:rPr>
            </w:pPr>
          </w:p>
        </w:tc>
        <w:tc>
          <w:tcPr>
            <w:tcW w:w="2988" w:type="dxa"/>
            <w:vAlign w:val="top"/>
          </w:tcPr>
          <w:p w14:paraId="23B090E0">
            <w:pPr>
              <w:rPr>
                <w:rFonts w:ascii="Arial"/>
                <w:sz w:val="21"/>
              </w:rPr>
            </w:pPr>
          </w:p>
        </w:tc>
        <w:tc>
          <w:tcPr>
            <w:tcW w:w="1500" w:type="dxa"/>
            <w:vAlign w:val="top"/>
          </w:tcPr>
          <w:p w14:paraId="5AFA0A71">
            <w:pPr>
              <w:rPr>
                <w:rFonts w:ascii="Arial"/>
                <w:sz w:val="21"/>
              </w:rPr>
            </w:pPr>
          </w:p>
        </w:tc>
        <w:tc>
          <w:tcPr>
            <w:tcW w:w="1647" w:type="dxa"/>
            <w:vAlign w:val="top"/>
          </w:tcPr>
          <w:p w14:paraId="7BD53ACC">
            <w:pPr>
              <w:rPr>
                <w:rFonts w:ascii="Arial"/>
                <w:sz w:val="21"/>
              </w:rPr>
            </w:pPr>
          </w:p>
        </w:tc>
        <w:tc>
          <w:tcPr>
            <w:tcW w:w="1749" w:type="dxa"/>
            <w:tcBorders>
              <w:right w:val="single" w:color="000000" w:sz="6" w:space="0"/>
            </w:tcBorders>
            <w:vAlign w:val="top"/>
          </w:tcPr>
          <w:p w14:paraId="55914561">
            <w:pPr>
              <w:rPr>
                <w:rFonts w:ascii="Arial"/>
                <w:sz w:val="21"/>
              </w:rPr>
            </w:pPr>
          </w:p>
        </w:tc>
      </w:tr>
      <w:tr w14:paraId="18CA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366" w:type="dxa"/>
            <w:tcBorders>
              <w:left w:val="single" w:color="000000" w:sz="6" w:space="0"/>
            </w:tcBorders>
            <w:vAlign w:val="top"/>
          </w:tcPr>
          <w:p w14:paraId="7371FE82">
            <w:pPr>
              <w:rPr>
                <w:rFonts w:ascii="Arial"/>
                <w:sz w:val="21"/>
              </w:rPr>
            </w:pPr>
          </w:p>
        </w:tc>
        <w:tc>
          <w:tcPr>
            <w:tcW w:w="2988" w:type="dxa"/>
            <w:vAlign w:val="top"/>
          </w:tcPr>
          <w:p w14:paraId="7CAA3DBC">
            <w:pPr>
              <w:rPr>
                <w:rFonts w:ascii="Arial"/>
                <w:sz w:val="21"/>
              </w:rPr>
            </w:pPr>
          </w:p>
        </w:tc>
        <w:tc>
          <w:tcPr>
            <w:tcW w:w="1500" w:type="dxa"/>
            <w:vAlign w:val="top"/>
          </w:tcPr>
          <w:p w14:paraId="5F30E0EC">
            <w:pPr>
              <w:rPr>
                <w:rFonts w:ascii="Arial"/>
                <w:sz w:val="21"/>
              </w:rPr>
            </w:pPr>
          </w:p>
        </w:tc>
        <w:tc>
          <w:tcPr>
            <w:tcW w:w="1647" w:type="dxa"/>
            <w:vAlign w:val="top"/>
          </w:tcPr>
          <w:p w14:paraId="73BFED54">
            <w:pPr>
              <w:rPr>
                <w:rFonts w:ascii="Arial"/>
                <w:sz w:val="21"/>
              </w:rPr>
            </w:pPr>
          </w:p>
        </w:tc>
        <w:tc>
          <w:tcPr>
            <w:tcW w:w="1749" w:type="dxa"/>
            <w:tcBorders>
              <w:right w:val="single" w:color="000000" w:sz="6" w:space="0"/>
            </w:tcBorders>
            <w:vAlign w:val="top"/>
          </w:tcPr>
          <w:p w14:paraId="2F977C4B">
            <w:pPr>
              <w:rPr>
                <w:rFonts w:ascii="Arial"/>
                <w:sz w:val="21"/>
              </w:rPr>
            </w:pPr>
          </w:p>
        </w:tc>
      </w:tr>
      <w:tr w14:paraId="76CB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366" w:type="dxa"/>
            <w:tcBorders>
              <w:left w:val="single" w:color="000000" w:sz="6" w:space="0"/>
            </w:tcBorders>
            <w:vAlign w:val="top"/>
          </w:tcPr>
          <w:p w14:paraId="56C69BB6">
            <w:pPr>
              <w:rPr>
                <w:rFonts w:ascii="Arial"/>
                <w:sz w:val="21"/>
              </w:rPr>
            </w:pPr>
          </w:p>
        </w:tc>
        <w:tc>
          <w:tcPr>
            <w:tcW w:w="2988" w:type="dxa"/>
            <w:vAlign w:val="top"/>
          </w:tcPr>
          <w:p w14:paraId="29AAAB96">
            <w:pPr>
              <w:rPr>
                <w:rFonts w:ascii="Arial"/>
                <w:sz w:val="21"/>
              </w:rPr>
            </w:pPr>
          </w:p>
        </w:tc>
        <w:tc>
          <w:tcPr>
            <w:tcW w:w="1500" w:type="dxa"/>
            <w:vAlign w:val="top"/>
          </w:tcPr>
          <w:p w14:paraId="12B89E45">
            <w:pPr>
              <w:rPr>
                <w:rFonts w:ascii="Arial"/>
                <w:sz w:val="21"/>
              </w:rPr>
            </w:pPr>
          </w:p>
        </w:tc>
        <w:tc>
          <w:tcPr>
            <w:tcW w:w="1647" w:type="dxa"/>
            <w:vAlign w:val="top"/>
          </w:tcPr>
          <w:p w14:paraId="2F69F23C">
            <w:pPr>
              <w:rPr>
                <w:rFonts w:ascii="Arial"/>
                <w:sz w:val="21"/>
              </w:rPr>
            </w:pPr>
          </w:p>
        </w:tc>
        <w:tc>
          <w:tcPr>
            <w:tcW w:w="1749" w:type="dxa"/>
            <w:tcBorders>
              <w:right w:val="single" w:color="000000" w:sz="6" w:space="0"/>
            </w:tcBorders>
            <w:vAlign w:val="top"/>
          </w:tcPr>
          <w:p w14:paraId="1C055018">
            <w:pPr>
              <w:rPr>
                <w:rFonts w:ascii="Arial"/>
                <w:sz w:val="21"/>
              </w:rPr>
            </w:pPr>
          </w:p>
        </w:tc>
      </w:tr>
      <w:tr w14:paraId="230E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366" w:type="dxa"/>
            <w:tcBorders>
              <w:left w:val="single" w:color="000000" w:sz="6" w:space="0"/>
              <w:bottom w:val="single" w:color="000000" w:sz="6" w:space="0"/>
            </w:tcBorders>
            <w:vAlign w:val="top"/>
          </w:tcPr>
          <w:p w14:paraId="2B7EB3F4">
            <w:pPr>
              <w:rPr>
                <w:rFonts w:ascii="Arial"/>
                <w:sz w:val="21"/>
              </w:rPr>
            </w:pPr>
          </w:p>
        </w:tc>
        <w:tc>
          <w:tcPr>
            <w:tcW w:w="2988" w:type="dxa"/>
            <w:tcBorders>
              <w:bottom w:val="single" w:color="000000" w:sz="6" w:space="0"/>
            </w:tcBorders>
            <w:vAlign w:val="top"/>
          </w:tcPr>
          <w:p w14:paraId="70A1F0E0">
            <w:pPr>
              <w:rPr>
                <w:rFonts w:ascii="Arial"/>
                <w:sz w:val="21"/>
              </w:rPr>
            </w:pPr>
          </w:p>
        </w:tc>
        <w:tc>
          <w:tcPr>
            <w:tcW w:w="1500" w:type="dxa"/>
            <w:tcBorders>
              <w:bottom w:val="single" w:color="000000" w:sz="6" w:space="0"/>
            </w:tcBorders>
            <w:vAlign w:val="top"/>
          </w:tcPr>
          <w:p w14:paraId="5D67FBD8">
            <w:pPr>
              <w:rPr>
                <w:rFonts w:ascii="Arial"/>
                <w:sz w:val="21"/>
              </w:rPr>
            </w:pPr>
          </w:p>
        </w:tc>
        <w:tc>
          <w:tcPr>
            <w:tcW w:w="1647" w:type="dxa"/>
            <w:tcBorders>
              <w:bottom w:val="single" w:color="000000" w:sz="6" w:space="0"/>
            </w:tcBorders>
            <w:vAlign w:val="top"/>
          </w:tcPr>
          <w:p w14:paraId="338B9FD0">
            <w:pPr>
              <w:rPr>
                <w:rFonts w:ascii="Arial"/>
                <w:sz w:val="21"/>
              </w:rPr>
            </w:pPr>
          </w:p>
        </w:tc>
        <w:tc>
          <w:tcPr>
            <w:tcW w:w="1749" w:type="dxa"/>
            <w:tcBorders>
              <w:bottom w:val="single" w:color="000000" w:sz="6" w:space="0"/>
              <w:right w:val="single" w:color="000000" w:sz="6" w:space="0"/>
            </w:tcBorders>
            <w:vAlign w:val="top"/>
          </w:tcPr>
          <w:p w14:paraId="7FF61E40">
            <w:pPr>
              <w:rPr>
                <w:rFonts w:ascii="Arial"/>
                <w:sz w:val="21"/>
              </w:rPr>
            </w:pPr>
          </w:p>
        </w:tc>
      </w:tr>
    </w:tbl>
    <w:p w14:paraId="0420B28F">
      <w:pPr>
        <w:spacing w:before="75" w:line="220" w:lineRule="auto"/>
        <w:ind w:left="6671"/>
        <w:rPr>
          <w:rFonts w:ascii="宋体" w:hAnsi="宋体" w:eastAsia="宋体" w:cs="宋体"/>
          <w:sz w:val="18"/>
          <w:szCs w:val="18"/>
        </w:rPr>
      </w:pPr>
      <w:r>
        <w:rPr>
          <w:rFonts w:ascii="宋体" w:hAnsi="宋体" w:eastAsia="宋体" w:cs="宋体"/>
          <w:spacing w:val="-2"/>
          <w:sz w:val="18"/>
          <w:szCs w:val="18"/>
        </w:rPr>
        <w:t>法定代表人</w:t>
      </w:r>
    </w:p>
    <w:p w14:paraId="17EA91B4">
      <w:pPr>
        <w:spacing w:before="68" w:line="241" w:lineRule="auto"/>
        <w:ind w:left="6397" w:right="449" w:firstLine="4"/>
        <w:rPr>
          <w:rFonts w:ascii="宋体" w:hAnsi="宋体" w:eastAsia="宋体" w:cs="宋体"/>
          <w:sz w:val="18"/>
          <w:szCs w:val="18"/>
        </w:rPr>
      </w:pPr>
      <w:r>
        <w:rPr>
          <w:rFonts w:ascii="宋体" w:hAnsi="宋体" w:eastAsia="宋体" w:cs="宋体"/>
          <w:spacing w:val="-2"/>
          <w:sz w:val="18"/>
          <w:szCs w:val="18"/>
        </w:rPr>
        <w:t>（或委托代理人</w:t>
      </w:r>
      <w:r>
        <w:rPr>
          <w:rFonts w:ascii="宋体" w:hAnsi="宋体" w:eastAsia="宋体" w:cs="宋体"/>
          <w:spacing w:val="5"/>
          <w:sz w:val="18"/>
          <w:szCs w:val="18"/>
        </w:rPr>
        <w:t>）：</w:t>
      </w:r>
      <w:r>
        <w:rPr>
          <w:rFonts w:ascii="宋体" w:hAnsi="宋体" w:eastAsia="宋体" w:cs="宋体"/>
          <w:spacing w:val="-2"/>
          <w:sz w:val="18"/>
          <w:szCs w:val="18"/>
        </w:rPr>
        <w:t>_____（签</w:t>
      </w:r>
      <w:r>
        <w:rPr>
          <w:rFonts w:ascii="宋体" w:hAnsi="宋体" w:eastAsia="宋体" w:cs="宋体"/>
          <w:spacing w:val="-5"/>
          <w:sz w:val="18"/>
          <w:szCs w:val="18"/>
        </w:rPr>
        <w:t>字）</w:t>
      </w:r>
    </w:p>
    <w:p w14:paraId="3C6423F5">
      <w:pPr>
        <w:spacing w:line="241" w:lineRule="auto"/>
        <w:rPr>
          <w:rFonts w:ascii="宋体" w:hAnsi="宋体" w:eastAsia="宋体" w:cs="宋体"/>
          <w:sz w:val="18"/>
          <w:szCs w:val="18"/>
        </w:rPr>
        <w:sectPr>
          <w:footerReference r:id="rId174" w:type="default"/>
          <w:pgSz w:w="11905" w:h="16843"/>
          <w:pgMar w:top="969" w:right="1355" w:bottom="1026" w:left="1480" w:header="0" w:footer="754" w:gutter="0"/>
          <w:cols w:space="0" w:num="1"/>
          <w:rtlGutter w:val="0"/>
          <w:docGrid w:linePitch="0" w:charSpace="0"/>
        </w:sectPr>
      </w:pPr>
    </w:p>
    <w:p w14:paraId="24EC7FC5">
      <w:pPr>
        <w:pStyle w:val="5"/>
        <w:spacing w:line="250" w:lineRule="auto"/>
      </w:pPr>
    </w:p>
    <w:p w14:paraId="4DE02C30">
      <w:pPr>
        <w:pStyle w:val="5"/>
        <w:spacing w:line="250" w:lineRule="auto"/>
      </w:pPr>
    </w:p>
    <w:p w14:paraId="14930BE9">
      <w:pPr>
        <w:pStyle w:val="5"/>
        <w:spacing w:line="251" w:lineRule="auto"/>
      </w:pPr>
    </w:p>
    <w:p w14:paraId="5E507FF2">
      <w:pPr>
        <w:pStyle w:val="5"/>
        <w:spacing w:line="251" w:lineRule="auto"/>
      </w:pPr>
    </w:p>
    <w:p w14:paraId="47550678">
      <w:pPr>
        <w:pStyle w:val="5"/>
        <w:spacing w:line="251" w:lineRule="auto"/>
      </w:pPr>
    </w:p>
    <w:p w14:paraId="272C67D9">
      <w:pPr>
        <w:pStyle w:val="5"/>
        <w:spacing w:line="251" w:lineRule="auto"/>
      </w:pPr>
    </w:p>
    <w:p w14:paraId="1C5622CB">
      <w:pPr>
        <w:pStyle w:val="5"/>
        <w:spacing w:line="251" w:lineRule="auto"/>
      </w:pPr>
    </w:p>
    <w:p w14:paraId="0D59683A">
      <w:pPr>
        <w:pStyle w:val="5"/>
        <w:spacing w:line="251" w:lineRule="auto"/>
      </w:pPr>
    </w:p>
    <w:p w14:paraId="156B3936">
      <w:pPr>
        <w:pStyle w:val="5"/>
        <w:spacing w:line="251" w:lineRule="auto"/>
      </w:pPr>
    </w:p>
    <w:p w14:paraId="7553F1E0">
      <w:pPr>
        <w:pStyle w:val="5"/>
        <w:spacing w:line="251" w:lineRule="auto"/>
      </w:pPr>
    </w:p>
    <w:p w14:paraId="5318BD33">
      <w:pPr>
        <w:pStyle w:val="5"/>
        <w:spacing w:line="251" w:lineRule="auto"/>
      </w:pPr>
    </w:p>
    <w:p w14:paraId="6FD3C5EB">
      <w:pPr>
        <w:pStyle w:val="5"/>
        <w:spacing w:line="251" w:lineRule="auto"/>
      </w:pPr>
    </w:p>
    <w:p w14:paraId="6769BEE0">
      <w:pPr>
        <w:pStyle w:val="5"/>
        <w:spacing w:line="251" w:lineRule="auto"/>
      </w:pPr>
    </w:p>
    <w:p w14:paraId="14162530">
      <w:pPr>
        <w:pStyle w:val="5"/>
        <w:spacing w:line="251" w:lineRule="auto"/>
      </w:pPr>
    </w:p>
    <w:p w14:paraId="70F9BA66">
      <w:pPr>
        <w:pStyle w:val="5"/>
        <w:spacing w:line="251" w:lineRule="auto"/>
      </w:pPr>
    </w:p>
    <w:p w14:paraId="0EFBFC6F">
      <w:pPr>
        <w:pStyle w:val="5"/>
        <w:spacing w:line="251" w:lineRule="auto"/>
      </w:pPr>
    </w:p>
    <w:p w14:paraId="3F3B5EE3">
      <w:pPr>
        <w:pStyle w:val="5"/>
        <w:spacing w:line="251" w:lineRule="auto"/>
      </w:pPr>
    </w:p>
    <w:p w14:paraId="34849226">
      <w:pPr>
        <w:pStyle w:val="5"/>
        <w:spacing w:line="251" w:lineRule="auto"/>
      </w:pPr>
    </w:p>
    <w:p w14:paraId="3FB6718D">
      <w:pPr>
        <w:pStyle w:val="5"/>
        <w:spacing w:line="251" w:lineRule="auto"/>
      </w:pPr>
    </w:p>
    <w:p w14:paraId="03BDBFE8">
      <w:pPr>
        <w:spacing w:before="156" w:line="219" w:lineRule="auto"/>
        <w:ind w:left="3436"/>
        <w:outlineLvl w:val="0"/>
        <w:rPr>
          <w:rFonts w:ascii="黑体" w:hAnsi="黑体" w:eastAsia="黑体" w:cs="黑体"/>
          <w:sz w:val="48"/>
          <w:szCs w:val="48"/>
        </w:rPr>
      </w:pPr>
      <w:bookmarkStart w:id="1290" w:name="bookmark400"/>
      <w:bookmarkEnd w:id="1290"/>
      <w:r>
        <w:rPr>
          <w:rFonts w:ascii="黑体" w:hAnsi="黑体" w:eastAsia="黑体" w:cs="黑体"/>
          <w:spacing w:val="-5"/>
          <w:sz w:val="48"/>
          <w:szCs w:val="48"/>
        </w:rPr>
        <w:t>第二卷</w:t>
      </w:r>
    </w:p>
    <w:p w14:paraId="4A3D1C31">
      <w:pPr>
        <w:spacing w:line="219" w:lineRule="auto"/>
        <w:rPr>
          <w:rFonts w:ascii="黑体" w:hAnsi="黑体" w:eastAsia="黑体" w:cs="黑体"/>
          <w:sz w:val="48"/>
          <w:szCs w:val="48"/>
        </w:rPr>
        <w:sectPr>
          <w:footerReference r:id="rId175" w:type="default"/>
          <w:pgSz w:w="11905" w:h="16843"/>
          <w:pgMar w:top="969" w:right="1355" w:bottom="1026" w:left="1480" w:header="0" w:footer="754" w:gutter="0"/>
          <w:cols w:space="0" w:num="1"/>
          <w:rtlGutter w:val="0"/>
          <w:docGrid w:linePitch="0" w:charSpace="0"/>
        </w:sectPr>
      </w:pPr>
    </w:p>
    <w:p w14:paraId="770347D5">
      <w:pPr>
        <w:pStyle w:val="5"/>
        <w:spacing w:line="243" w:lineRule="auto"/>
      </w:pPr>
    </w:p>
    <w:p w14:paraId="03534979">
      <w:pPr>
        <w:pStyle w:val="5"/>
        <w:spacing w:line="243" w:lineRule="auto"/>
      </w:pPr>
    </w:p>
    <w:p w14:paraId="4B11CCD4">
      <w:pPr>
        <w:pStyle w:val="5"/>
        <w:spacing w:line="243" w:lineRule="auto"/>
      </w:pPr>
    </w:p>
    <w:p w14:paraId="5640E5AB">
      <w:pPr>
        <w:pStyle w:val="5"/>
        <w:spacing w:line="243" w:lineRule="auto"/>
      </w:pPr>
    </w:p>
    <w:p w14:paraId="5E6334E1">
      <w:pPr>
        <w:pStyle w:val="5"/>
        <w:spacing w:line="243" w:lineRule="auto"/>
      </w:pPr>
    </w:p>
    <w:p w14:paraId="3C4DAD38">
      <w:pPr>
        <w:pStyle w:val="5"/>
        <w:spacing w:line="243" w:lineRule="auto"/>
      </w:pPr>
    </w:p>
    <w:p w14:paraId="4BE68413">
      <w:pPr>
        <w:pStyle w:val="5"/>
        <w:spacing w:line="244" w:lineRule="auto"/>
      </w:pPr>
    </w:p>
    <w:p w14:paraId="691094A0">
      <w:pPr>
        <w:pStyle w:val="5"/>
        <w:spacing w:line="244" w:lineRule="auto"/>
      </w:pPr>
    </w:p>
    <w:p w14:paraId="0D11C403">
      <w:pPr>
        <w:pStyle w:val="5"/>
        <w:spacing w:line="244" w:lineRule="auto"/>
      </w:pPr>
    </w:p>
    <w:p w14:paraId="2204A941">
      <w:pPr>
        <w:pStyle w:val="5"/>
        <w:spacing w:line="244" w:lineRule="auto"/>
      </w:pPr>
    </w:p>
    <w:p w14:paraId="6C76CD3C">
      <w:pPr>
        <w:pStyle w:val="5"/>
        <w:spacing w:line="244" w:lineRule="auto"/>
      </w:pPr>
    </w:p>
    <w:p w14:paraId="485F61BA">
      <w:pPr>
        <w:pStyle w:val="5"/>
        <w:spacing w:line="244" w:lineRule="auto"/>
      </w:pPr>
    </w:p>
    <w:p w14:paraId="4A609A0A">
      <w:pPr>
        <w:pStyle w:val="5"/>
        <w:spacing w:line="244" w:lineRule="auto"/>
      </w:pPr>
    </w:p>
    <w:p w14:paraId="530D5CC7">
      <w:pPr>
        <w:pStyle w:val="5"/>
        <w:spacing w:line="244" w:lineRule="auto"/>
      </w:pPr>
    </w:p>
    <w:p w14:paraId="5977636C">
      <w:pPr>
        <w:pStyle w:val="5"/>
        <w:spacing w:line="244" w:lineRule="auto"/>
      </w:pPr>
    </w:p>
    <w:p w14:paraId="350FAD0E">
      <w:pPr>
        <w:pStyle w:val="5"/>
        <w:spacing w:line="244" w:lineRule="auto"/>
      </w:pPr>
    </w:p>
    <w:p w14:paraId="45D13134">
      <w:pPr>
        <w:pStyle w:val="5"/>
        <w:spacing w:line="244" w:lineRule="auto"/>
      </w:pPr>
    </w:p>
    <w:p w14:paraId="48386A26">
      <w:pPr>
        <w:pStyle w:val="5"/>
        <w:spacing w:line="244" w:lineRule="auto"/>
      </w:pPr>
    </w:p>
    <w:p w14:paraId="15362C6F">
      <w:pPr>
        <w:pStyle w:val="5"/>
        <w:spacing w:line="244" w:lineRule="auto"/>
      </w:pPr>
    </w:p>
    <w:p w14:paraId="5FF88E6D">
      <w:pPr>
        <w:pStyle w:val="5"/>
        <w:spacing w:line="244" w:lineRule="auto"/>
      </w:pPr>
    </w:p>
    <w:p w14:paraId="5557DF29">
      <w:pPr>
        <w:pStyle w:val="5"/>
        <w:spacing w:line="244" w:lineRule="auto"/>
      </w:pPr>
    </w:p>
    <w:p w14:paraId="79ECB7AC">
      <w:pPr>
        <w:spacing w:before="100" w:line="224" w:lineRule="auto"/>
        <w:ind w:left="3032"/>
        <w:outlineLvl w:val="0"/>
        <w:rPr>
          <w:rFonts w:ascii="黑体" w:hAnsi="黑体" w:eastAsia="黑体" w:cs="黑体"/>
          <w:sz w:val="31"/>
          <w:szCs w:val="31"/>
        </w:rPr>
      </w:pPr>
      <w:bookmarkStart w:id="1291" w:name="bookmark401"/>
      <w:bookmarkEnd w:id="1291"/>
      <w:r>
        <w:rPr>
          <w:rFonts w:ascii="黑体" w:hAnsi="黑体" w:eastAsia="黑体" w:cs="黑体"/>
          <w:spacing w:val="-2"/>
          <w:sz w:val="31"/>
          <w:szCs w:val="31"/>
        </w:rPr>
        <w:t>第六章</w:t>
      </w:r>
      <w:r>
        <w:rPr>
          <w:rFonts w:ascii="黑体" w:hAnsi="黑体" w:eastAsia="黑体" w:cs="黑体"/>
          <w:spacing w:val="22"/>
          <w:sz w:val="31"/>
          <w:szCs w:val="31"/>
        </w:rPr>
        <w:t xml:space="preserve">  </w:t>
      </w:r>
      <w:r>
        <w:rPr>
          <w:rFonts w:ascii="黑体" w:hAnsi="黑体" w:eastAsia="黑体" w:cs="黑体"/>
          <w:spacing w:val="-2"/>
          <w:sz w:val="31"/>
          <w:szCs w:val="31"/>
        </w:rPr>
        <w:t>图</w:t>
      </w:r>
      <w:r>
        <w:rPr>
          <w:rFonts w:ascii="黑体" w:hAnsi="黑体" w:eastAsia="黑体" w:cs="黑体"/>
          <w:spacing w:val="15"/>
          <w:sz w:val="31"/>
          <w:szCs w:val="31"/>
        </w:rPr>
        <w:t xml:space="preserve">  </w:t>
      </w:r>
      <w:r>
        <w:rPr>
          <w:rFonts w:ascii="黑体" w:hAnsi="黑体" w:eastAsia="黑体" w:cs="黑体"/>
          <w:spacing w:val="-2"/>
          <w:sz w:val="31"/>
          <w:szCs w:val="31"/>
        </w:rPr>
        <w:t>纸</w:t>
      </w:r>
    </w:p>
    <w:p w14:paraId="381B417A">
      <w:pPr>
        <w:spacing w:line="224" w:lineRule="auto"/>
        <w:rPr>
          <w:rFonts w:ascii="黑体" w:hAnsi="黑体" w:eastAsia="黑体" w:cs="黑体"/>
          <w:sz w:val="31"/>
          <w:szCs w:val="31"/>
        </w:rPr>
        <w:sectPr>
          <w:footerReference r:id="rId176" w:type="default"/>
          <w:pgSz w:w="11905" w:h="16843"/>
          <w:pgMar w:top="969" w:right="1355" w:bottom="1026" w:left="1480" w:header="0" w:footer="754" w:gutter="0"/>
          <w:cols w:space="0" w:num="1"/>
          <w:rtlGutter w:val="0"/>
          <w:docGrid w:linePitch="0" w:charSpace="0"/>
        </w:sectPr>
      </w:pPr>
    </w:p>
    <w:p w14:paraId="1D0AD5AA">
      <w:pPr>
        <w:pStyle w:val="5"/>
        <w:spacing w:line="265" w:lineRule="auto"/>
      </w:pPr>
    </w:p>
    <w:p w14:paraId="54D2DD38">
      <w:pPr>
        <w:pStyle w:val="5"/>
        <w:spacing w:line="265" w:lineRule="auto"/>
      </w:pPr>
    </w:p>
    <w:p w14:paraId="26B52301">
      <w:pPr>
        <w:pStyle w:val="5"/>
        <w:spacing w:line="266" w:lineRule="auto"/>
      </w:pPr>
    </w:p>
    <w:p w14:paraId="3908301A">
      <w:pPr>
        <w:pStyle w:val="5"/>
        <w:spacing w:line="266" w:lineRule="auto"/>
      </w:pPr>
    </w:p>
    <w:p w14:paraId="06378278">
      <w:pPr>
        <w:pStyle w:val="5"/>
        <w:spacing w:line="266" w:lineRule="auto"/>
      </w:pPr>
    </w:p>
    <w:p w14:paraId="6369330A">
      <w:pPr>
        <w:spacing w:before="78" w:line="220" w:lineRule="auto"/>
        <w:ind w:left="28"/>
        <w:outlineLvl w:val="1"/>
        <w:rPr>
          <w:rFonts w:ascii="黑体" w:hAnsi="黑体" w:eastAsia="黑体" w:cs="黑体"/>
          <w:sz w:val="24"/>
          <w:szCs w:val="24"/>
        </w:rPr>
      </w:pPr>
      <w:bookmarkStart w:id="1292" w:name="bookmark402"/>
      <w:bookmarkEnd w:id="1292"/>
      <w:bookmarkStart w:id="1293" w:name="bookmark628"/>
      <w:bookmarkEnd w:id="1293"/>
      <w:r>
        <w:rPr>
          <w:rFonts w:ascii="Times New Roman" w:hAnsi="Times New Roman" w:eastAsia="Times New Roman" w:cs="Times New Roman"/>
          <w:spacing w:val="-4"/>
          <w:sz w:val="24"/>
          <w:szCs w:val="24"/>
        </w:rPr>
        <w:t>1</w:t>
      </w:r>
      <w:r>
        <w:rPr>
          <w:rFonts w:ascii="黑体" w:hAnsi="黑体" w:eastAsia="黑体" w:cs="黑体"/>
          <w:spacing w:val="-4"/>
          <w:sz w:val="24"/>
          <w:szCs w:val="24"/>
        </w:rPr>
        <w:t>．图纸目录</w:t>
      </w:r>
    </w:p>
    <w:tbl>
      <w:tblPr>
        <w:tblStyle w:val="10"/>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1452"/>
        <w:gridCol w:w="1451"/>
        <w:gridCol w:w="1454"/>
        <w:gridCol w:w="1454"/>
        <w:gridCol w:w="1456"/>
      </w:tblGrid>
      <w:tr w14:paraId="0EBB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58" w:type="dxa"/>
            <w:vAlign w:val="top"/>
          </w:tcPr>
          <w:p w14:paraId="3B2E3C9A">
            <w:pPr>
              <w:pStyle w:val="11"/>
              <w:spacing w:before="125" w:line="222" w:lineRule="auto"/>
              <w:ind w:left="523"/>
            </w:pPr>
            <w:r>
              <w:rPr>
                <w:spacing w:val="-2"/>
              </w:rPr>
              <w:t>序号</w:t>
            </w:r>
          </w:p>
        </w:tc>
        <w:tc>
          <w:tcPr>
            <w:tcW w:w="1452" w:type="dxa"/>
            <w:vAlign w:val="top"/>
          </w:tcPr>
          <w:p w14:paraId="4EE7E7BF">
            <w:pPr>
              <w:pStyle w:val="11"/>
              <w:spacing w:before="125" w:line="222" w:lineRule="auto"/>
              <w:ind w:left="541"/>
            </w:pPr>
            <w:r>
              <w:rPr>
                <w:spacing w:val="-7"/>
              </w:rPr>
              <w:t>图名</w:t>
            </w:r>
          </w:p>
        </w:tc>
        <w:tc>
          <w:tcPr>
            <w:tcW w:w="1451" w:type="dxa"/>
            <w:vAlign w:val="top"/>
          </w:tcPr>
          <w:p w14:paraId="503884B2">
            <w:pPr>
              <w:pStyle w:val="11"/>
              <w:spacing w:before="125" w:line="222" w:lineRule="auto"/>
              <w:ind w:left="541"/>
            </w:pPr>
            <w:r>
              <w:rPr>
                <w:spacing w:val="-7"/>
              </w:rPr>
              <w:t>图号</w:t>
            </w:r>
          </w:p>
        </w:tc>
        <w:tc>
          <w:tcPr>
            <w:tcW w:w="1454" w:type="dxa"/>
            <w:vAlign w:val="top"/>
          </w:tcPr>
          <w:p w14:paraId="2321CE3E">
            <w:pPr>
              <w:pStyle w:val="11"/>
              <w:spacing w:before="125" w:line="220" w:lineRule="auto"/>
              <w:ind w:left="523"/>
            </w:pPr>
            <w:r>
              <w:rPr>
                <w:spacing w:val="-2"/>
              </w:rPr>
              <w:t>版本</w:t>
            </w:r>
          </w:p>
        </w:tc>
        <w:tc>
          <w:tcPr>
            <w:tcW w:w="1454" w:type="dxa"/>
            <w:vAlign w:val="top"/>
          </w:tcPr>
          <w:p w14:paraId="2AEAEB66">
            <w:pPr>
              <w:pStyle w:val="11"/>
              <w:spacing w:before="125" w:line="221" w:lineRule="auto"/>
              <w:ind w:left="332"/>
            </w:pPr>
            <w:r>
              <w:rPr>
                <w:spacing w:val="-6"/>
              </w:rPr>
              <w:t>出图日期</w:t>
            </w:r>
          </w:p>
        </w:tc>
        <w:tc>
          <w:tcPr>
            <w:tcW w:w="1456" w:type="dxa"/>
            <w:vAlign w:val="top"/>
          </w:tcPr>
          <w:p w14:paraId="140DECF1">
            <w:pPr>
              <w:pStyle w:val="11"/>
              <w:spacing w:before="125" w:line="222" w:lineRule="auto"/>
              <w:ind w:left="526"/>
            </w:pPr>
            <w:r>
              <w:rPr>
                <w:spacing w:val="-3"/>
              </w:rPr>
              <w:t>备注</w:t>
            </w:r>
          </w:p>
        </w:tc>
      </w:tr>
      <w:tr w14:paraId="5025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7775C71F">
            <w:pPr>
              <w:rPr>
                <w:rFonts w:ascii="Arial"/>
                <w:sz w:val="21"/>
              </w:rPr>
            </w:pPr>
          </w:p>
        </w:tc>
        <w:tc>
          <w:tcPr>
            <w:tcW w:w="1452" w:type="dxa"/>
            <w:vAlign w:val="top"/>
          </w:tcPr>
          <w:p w14:paraId="4C56C496">
            <w:pPr>
              <w:rPr>
                <w:rFonts w:ascii="Arial"/>
                <w:sz w:val="21"/>
              </w:rPr>
            </w:pPr>
          </w:p>
        </w:tc>
        <w:tc>
          <w:tcPr>
            <w:tcW w:w="1451" w:type="dxa"/>
            <w:vAlign w:val="top"/>
          </w:tcPr>
          <w:p w14:paraId="3203261D">
            <w:pPr>
              <w:rPr>
                <w:rFonts w:ascii="Arial"/>
                <w:sz w:val="21"/>
              </w:rPr>
            </w:pPr>
          </w:p>
        </w:tc>
        <w:tc>
          <w:tcPr>
            <w:tcW w:w="1454" w:type="dxa"/>
            <w:vAlign w:val="top"/>
          </w:tcPr>
          <w:p w14:paraId="5DBD6D48">
            <w:pPr>
              <w:rPr>
                <w:rFonts w:ascii="Arial"/>
                <w:sz w:val="21"/>
              </w:rPr>
            </w:pPr>
          </w:p>
        </w:tc>
        <w:tc>
          <w:tcPr>
            <w:tcW w:w="1454" w:type="dxa"/>
            <w:vAlign w:val="top"/>
          </w:tcPr>
          <w:p w14:paraId="1A3980B0">
            <w:pPr>
              <w:rPr>
                <w:rFonts w:ascii="Arial"/>
                <w:sz w:val="21"/>
              </w:rPr>
            </w:pPr>
          </w:p>
        </w:tc>
        <w:tc>
          <w:tcPr>
            <w:tcW w:w="1456" w:type="dxa"/>
            <w:vAlign w:val="top"/>
          </w:tcPr>
          <w:p w14:paraId="2B9F053B">
            <w:pPr>
              <w:rPr>
                <w:rFonts w:ascii="Arial"/>
                <w:sz w:val="21"/>
              </w:rPr>
            </w:pPr>
          </w:p>
        </w:tc>
      </w:tr>
      <w:tr w14:paraId="13239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3F974317">
            <w:pPr>
              <w:rPr>
                <w:rFonts w:ascii="Arial"/>
                <w:sz w:val="21"/>
              </w:rPr>
            </w:pPr>
          </w:p>
        </w:tc>
        <w:tc>
          <w:tcPr>
            <w:tcW w:w="1452" w:type="dxa"/>
            <w:vAlign w:val="top"/>
          </w:tcPr>
          <w:p w14:paraId="389F1279">
            <w:pPr>
              <w:rPr>
                <w:rFonts w:ascii="Arial"/>
                <w:sz w:val="21"/>
              </w:rPr>
            </w:pPr>
          </w:p>
        </w:tc>
        <w:tc>
          <w:tcPr>
            <w:tcW w:w="1451" w:type="dxa"/>
            <w:vAlign w:val="top"/>
          </w:tcPr>
          <w:p w14:paraId="10422907">
            <w:pPr>
              <w:rPr>
                <w:rFonts w:ascii="Arial"/>
                <w:sz w:val="21"/>
              </w:rPr>
            </w:pPr>
          </w:p>
        </w:tc>
        <w:tc>
          <w:tcPr>
            <w:tcW w:w="1454" w:type="dxa"/>
            <w:vAlign w:val="top"/>
          </w:tcPr>
          <w:p w14:paraId="660067E2">
            <w:pPr>
              <w:rPr>
                <w:rFonts w:ascii="Arial"/>
                <w:sz w:val="21"/>
              </w:rPr>
            </w:pPr>
          </w:p>
        </w:tc>
        <w:tc>
          <w:tcPr>
            <w:tcW w:w="1454" w:type="dxa"/>
            <w:vAlign w:val="top"/>
          </w:tcPr>
          <w:p w14:paraId="5342E37A">
            <w:pPr>
              <w:rPr>
                <w:rFonts w:ascii="Arial"/>
                <w:sz w:val="21"/>
              </w:rPr>
            </w:pPr>
          </w:p>
        </w:tc>
        <w:tc>
          <w:tcPr>
            <w:tcW w:w="1456" w:type="dxa"/>
            <w:vAlign w:val="top"/>
          </w:tcPr>
          <w:p w14:paraId="76160E08">
            <w:pPr>
              <w:rPr>
                <w:rFonts w:ascii="Arial"/>
                <w:sz w:val="21"/>
              </w:rPr>
            </w:pPr>
          </w:p>
        </w:tc>
      </w:tr>
      <w:tr w14:paraId="089F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58" w:type="dxa"/>
            <w:vAlign w:val="top"/>
          </w:tcPr>
          <w:p w14:paraId="33F4F0E9">
            <w:pPr>
              <w:rPr>
                <w:rFonts w:ascii="Arial"/>
                <w:sz w:val="21"/>
              </w:rPr>
            </w:pPr>
          </w:p>
        </w:tc>
        <w:tc>
          <w:tcPr>
            <w:tcW w:w="1452" w:type="dxa"/>
            <w:vAlign w:val="top"/>
          </w:tcPr>
          <w:p w14:paraId="0EF8A33A">
            <w:pPr>
              <w:rPr>
                <w:rFonts w:ascii="Arial"/>
                <w:sz w:val="21"/>
              </w:rPr>
            </w:pPr>
          </w:p>
        </w:tc>
        <w:tc>
          <w:tcPr>
            <w:tcW w:w="1451" w:type="dxa"/>
            <w:vAlign w:val="top"/>
          </w:tcPr>
          <w:p w14:paraId="1E149AD3">
            <w:pPr>
              <w:rPr>
                <w:rFonts w:ascii="Arial"/>
                <w:sz w:val="21"/>
              </w:rPr>
            </w:pPr>
          </w:p>
        </w:tc>
        <w:tc>
          <w:tcPr>
            <w:tcW w:w="1454" w:type="dxa"/>
            <w:vAlign w:val="top"/>
          </w:tcPr>
          <w:p w14:paraId="75BBB00F">
            <w:pPr>
              <w:rPr>
                <w:rFonts w:ascii="Arial"/>
                <w:sz w:val="21"/>
              </w:rPr>
            </w:pPr>
          </w:p>
        </w:tc>
        <w:tc>
          <w:tcPr>
            <w:tcW w:w="1454" w:type="dxa"/>
            <w:vAlign w:val="top"/>
          </w:tcPr>
          <w:p w14:paraId="2C5F27F0">
            <w:pPr>
              <w:rPr>
                <w:rFonts w:ascii="Arial"/>
                <w:sz w:val="21"/>
              </w:rPr>
            </w:pPr>
          </w:p>
        </w:tc>
        <w:tc>
          <w:tcPr>
            <w:tcW w:w="1456" w:type="dxa"/>
            <w:vAlign w:val="top"/>
          </w:tcPr>
          <w:p w14:paraId="2D0248E9">
            <w:pPr>
              <w:rPr>
                <w:rFonts w:ascii="Arial"/>
                <w:sz w:val="21"/>
              </w:rPr>
            </w:pPr>
          </w:p>
        </w:tc>
      </w:tr>
      <w:tr w14:paraId="4247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56378ACB">
            <w:pPr>
              <w:rPr>
                <w:rFonts w:ascii="Arial"/>
                <w:sz w:val="21"/>
              </w:rPr>
            </w:pPr>
          </w:p>
        </w:tc>
        <w:tc>
          <w:tcPr>
            <w:tcW w:w="1452" w:type="dxa"/>
            <w:vAlign w:val="top"/>
          </w:tcPr>
          <w:p w14:paraId="23604116">
            <w:pPr>
              <w:rPr>
                <w:rFonts w:ascii="Arial"/>
                <w:sz w:val="21"/>
              </w:rPr>
            </w:pPr>
          </w:p>
        </w:tc>
        <w:tc>
          <w:tcPr>
            <w:tcW w:w="1451" w:type="dxa"/>
            <w:vAlign w:val="top"/>
          </w:tcPr>
          <w:p w14:paraId="3B876B7E">
            <w:pPr>
              <w:rPr>
                <w:rFonts w:ascii="Arial"/>
                <w:sz w:val="21"/>
              </w:rPr>
            </w:pPr>
          </w:p>
        </w:tc>
        <w:tc>
          <w:tcPr>
            <w:tcW w:w="1454" w:type="dxa"/>
            <w:vAlign w:val="top"/>
          </w:tcPr>
          <w:p w14:paraId="77F1C7D0">
            <w:pPr>
              <w:rPr>
                <w:rFonts w:ascii="Arial"/>
                <w:sz w:val="21"/>
              </w:rPr>
            </w:pPr>
          </w:p>
        </w:tc>
        <w:tc>
          <w:tcPr>
            <w:tcW w:w="1454" w:type="dxa"/>
            <w:vAlign w:val="top"/>
          </w:tcPr>
          <w:p w14:paraId="2DB1FD67">
            <w:pPr>
              <w:rPr>
                <w:rFonts w:ascii="Arial"/>
                <w:sz w:val="21"/>
              </w:rPr>
            </w:pPr>
          </w:p>
        </w:tc>
        <w:tc>
          <w:tcPr>
            <w:tcW w:w="1456" w:type="dxa"/>
            <w:vAlign w:val="top"/>
          </w:tcPr>
          <w:p w14:paraId="13AA90C4">
            <w:pPr>
              <w:rPr>
                <w:rFonts w:ascii="Arial"/>
                <w:sz w:val="21"/>
              </w:rPr>
            </w:pPr>
          </w:p>
        </w:tc>
      </w:tr>
      <w:tr w14:paraId="1DEE1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8" w:type="dxa"/>
            <w:vAlign w:val="top"/>
          </w:tcPr>
          <w:p w14:paraId="14BA9AD2">
            <w:pPr>
              <w:rPr>
                <w:rFonts w:ascii="Arial"/>
                <w:sz w:val="21"/>
              </w:rPr>
            </w:pPr>
          </w:p>
        </w:tc>
        <w:tc>
          <w:tcPr>
            <w:tcW w:w="1452" w:type="dxa"/>
            <w:vAlign w:val="top"/>
          </w:tcPr>
          <w:p w14:paraId="5AD57846">
            <w:pPr>
              <w:rPr>
                <w:rFonts w:ascii="Arial"/>
                <w:sz w:val="21"/>
              </w:rPr>
            </w:pPr>
          </w:p>
        </w:tc>
        <w:tc>
          <w:tcPr>
            <w:tcW w:w="1451" w:type="dxa"/>
            <w:vAlign w:val="top"/>
          </w:tcPr>
          <w:p w14:paraId="1C589D44">
            <w:pPr>
              <w:rPr>
                <w:rFonts w:ascii="Arial"/>
                <w:sz w:val="21"/>
              </w:rPr>
            </w:pPr>
          </w:p>
        </w:tc>
        <w:tc>
          <w:tcPr>
            <w:tcW w:w="1454" w:type="dxa"/>
            <w:vAlign w:val="top"/>
          </w:tcPr>
          <w:p w14:paraId="2B9139CF">
            <w:pPr>
              <w:rPr>
                <w:rFonts w:ascii="Arial"/>
                <w:sz w:val="21"/>
              </w:rPr>
            </w:pPr>
          </w:p>
        </w:tc>
        <w:tc>
          <w:tcPr>
            <w:tcW w:w="1454" w:type="dxa"/>
            <w:vAlign w:val="top"/>
          </w:tcPr>
          <w:p w14:paraId="318EE967">
            <w:pPr>
              <w:rPr>
                <w:rFonts w:ascii="Arial"/>
                <w:sz w:val="21"/>
              </w:rPr>
            </w:pPr>
          </w:p>
        </w:tc>
        <w:tc>
          <w:tcPr>
            <w:tcW w:w="1456" w:type="dxa"/>
            <w:vAlign w:val="top"/>
          </w:tcPr>
          <w:p w14:paraId="4FC0E050">
            <w:pPr>
              <w:rPr>
                <w:rFonts w:ascii="Arial"/>
                <w:sz w:val="21"/>
              </w:rPr>
            </w:pPr>
          </w:p>
        </w:tc>
      </w:tr>
      <w:tr w14:paraId="0F660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8" w:type="dxa"/>
            <w:vAlign w:val="top"/>
          </w:tcPr>
          <w:p w14:paraId="4779AE65">
            <w:pPr>
              <w:rPr>
                <w:rFonts w:ascii="Arial"/>
                <w:sz w:val="21"/>
              </w:rPr>
            </w:pPr>
          </w:p>
        </w:tc>
        <w:tc>
          <w:tcPr>
            <w:tcW w:w="1452" w:type="dxa"/>
            <w:vAlign w:val="top"/>
          </w:tcPr>
          <w:p w14:paraId="01433D26">
            <w:pPr>
              <w:rPr>
                <w:rFonts w:ascii="Arial"/>
                <w:sz w:val="21"/>
              </w:rPr>
            </w:pPr>
          </w:p>
        </w:tc>
        <w:tc>
          <w:tcPr>
            <w:tcW w:w="1451" w:type="dxa"/>
            <w:vAlign w:val="top"/>
          </w:tcPr>
          <w:p w14:paraId="6BC06F10">
            <w:pPr>
              <w:rPr>
                <w:rFonts w:ascii="Arial"/>
                <w:sz w:val="21"/>
              </w:rPr>
            </w:pPr>
          </w:p>
        </w:tc>
        <w:tc>
          <w:tcPr>
            <w:tcW w:w="1454" w:type="dxa"/>
            <w:vAlign w:val="top"/>
          </w:tcPr>
          <w:p w14:paraId="3674DA2E">
            <w:pPr>
              <w:rPr>
                <w:rFonts w:ascii="Arial"/>
                <w:sz w:val="21"/>
              </w:rPr>
            </w:pPr>
          </w:p>
        </w:tc>
        <w:tc>
          <w:tcPr>
            <w:tcW w:w="1454" w:type="dxa"/>
            <w:vAlign w:val="top"/>
          </w:tcPr>
          <w:p w14:paraId="4264E8A9">
            <w:pPr>
              <w:rPr>
                <w:rFonts w:ascii="Arial"/>
                <w:sz w:val="21"/>
              </w:rPr>
            </w:pPr>
          </w:p>
        </w:tc>
        <w:tc>
          <w:tcPr>
            <w:tcW w:w="1456" w:type="dxa"/>
            <w:vAlign w:val="top"/>
          </w:tcPr>
          <w:p w14:paraId="4F72746A">
            <w:pPr>
              <w:rPr>
                <w:rFonts w:ascii="Arial"/>
                <w:sz w:val="21"/>
              </w:rPr>
            </w:pPr>
          </w:p>
        </w:tc>
      </w:tr>
      <w:tr w14:paraId="3FFCD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5E1A69CB">
            <w:pPr>
              <w:rPr>
                <w:rFonts w:ascii="Arial"/>
                <w:sz w:val="21"/>
              </w:rPr>
            </w:pPr>
          </w:p>
        </w:tc>
        <w:tc>
          <w:tcPr>
            <w:tcW w:w="1452" w:type="dxa"/>
            <w:vAlign w:val="top"/>
          </w:tcPr>
          <w:p w14:paraId="3037EFA6">
            <w:pPr>
              <w:rPr>
                <w:rFonts w:ascii="Arial"/>
                <w:sz w:val="21"/>
              </w:rPr>
            </w:pPr>
          </w:p>
        </w:tc>
        <w:tc>
          <w:tcPr>
            <w:tcW w:w="1451" w:type="dxa"/>
            <w:vAlign w:val="top"/>
          </w:tcPr>
          <w:p w14:paraId="7B39AD47">
            <w:pPr>
              <w:rPr>
                <w:rFonts w:ascii="Arial"/>
                <w:sz w:val="21"/>
              </w:rPr>
            </w:pPr>
          </w:p>
        </w:tc>
        <w:tc>
          <w:tcPr>
            <w:tcW w:w="1454" w:type="dxa"/>
            <w:vAlign w:val="top"/>
          </w:tcPr>
          <w:p w14:paraId="7E2A7A6B">
            <w:pPr>
              <w:rPr>
                <w:rFonts w:ascii="Arial"/>
                <w:sz w:val="21"/>
              </w:rPr>
            </w:pPr>
          </w:p>
        </w:tc>
        <w:tc>
          <w:tcPr>
            <w:tcW w:w="1454" w:type="dxa"/>
            <w:vAlign w:val="top"/>
          </w:tcPr>
          <w:p w14:paraId="1F42A68A">
            <w:pPr>
              <w:rPr>
                <w:rFonts w:ascii="Arial"/>
                <w:sz w:val="21"/>
              </w:rPr>
            </w:pPr>
          </w:p>
        </w:tc>
        <w:tc>
          <w:tcPr>
            <w:tcW w:w="1456" w:type="dxa"/>
            <w:vAlign w:val="top"/>
          </w:tcPr>
          <w:p w14:paraId="226C0339">
            <w:pPr>
              <w:rPr>
                <w:rFonts w:ascii="Arial"/>
                <w:sz w:val="21"/>
              </w:rPr>
            </w:pPr>
          </w:p>
        </w:tc>
      </w:tr>
      <w:tr w14:paraId="2972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7CE76382">
            <w:pPr>
              <w:rPr>
                <w:rFonts w:ascii="Arial"/>
                <w:sz w:val="21"/>
              </w:rPr>
            </w:pPr>
          </w:p>
        </w:tc>
        <w:tc>
          <w:tcPr>
            <w:tcW w:w="1452" w:type="dxa"/>
            <w:vAlign w:val="top"/>
          </w:tcPr>
          <w:p w14:paraId="281C95C0">
            <w:pPr>
              <w:rPr>
                <w:rFonts w:ascii="Arial"/>
                <w:sz w:val="21"/>
              </w:rPr>
            </w:pPr>
          </w:p>
        </w:tc>
        <w:tc>
          <w:tcPr>
            <w:tcW w:w="1451" w:type="dxa"/>
            <w:vAlign w:val="top"/>
          </w:tcPr>
          <w:p w14:paraId="4FD2B413">
            <w:pPr>
              <w:rPr>
                <w:rFonts w:ascii="Arial"/>
                <w:sz w:val="21"/>
              </w:rPr>
            </w:pPr>
          </w:p>
        </w:tc>
        <w:tc>
          <w:tcPr>
            <w:tcW w:w="1454" w:type="dxa"/>
            <w:vAlign w:val="top"/>
          </w:tcPr>
          <w:p w14:paraId="5A846E2A">
            <w:pPr>
              <w:rPr>
                <w:rFonts w:ascii="Arial"/>
                <w:sz w:val="21"/>
              </w:rPr>
            </w:pPr>
          </w:p>
        </w:tc>
        <w:tc>
          <w:tcPr>
            <w:tcW w:w="1454" w:type="dxa"/>
            <w:vAlign w:val="top"/>
          </w:tcPr>
          <w:p w14:paraId="56EAB25C">
            <w:pPr>
              <w:rPr>
                <w:rFonts w:ascii="Arial"/>
                <w:sz w:val="21"/>
              </w:rPr>
            </w:pPr>
          </w:p>
        </w:tc>
        <w:tc>
          <w:tcPr>
            <w:tcW w:w="1456" w:type="dxa"/>
            <w:vAlign w:val="top"/>
          </w:tcPr>
          <w:p w14:paraId="2E6A98C9">
            <w:pPr>
              <w:rPr>
                <w:rFonts w:ascii="Arial"/>
                <w:sz w:val="21"/>
              </w:rPr>
            </w:pPr>
          </w:p>
        </w:tc>
      </w:tr>
      <w:tr w14:paraId="5CA7A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58" w:type="dxa"/>
            <w:vAlign w:val="top"/>
          </w:tcPr>
          <w:p w14:paraId="68237D37">
            <w:pPr>
              <w:rPr>
                <w:rFonts w:ascii="Arial"/>
                <w:sz w:val="21"/>
              </w:rPr>
            </w:pPr>
          </w:p>
        </w:tc>
        <w:tc>
          <w:tcPr>
            <w:tcW w:w="1452" w:type="dxa"/>
            <w:vAlign w:val="top"/>
          </w:tcPr>
          <w:p w14:paraId="0FD6FC1D">
            <w:pPr>
              <w:rPr>
                <w:rFonts w:ascii="Arial"/>
                <w:sz w:val="21"/>
              </w:rPr>
            </w:pPr>
          </w:p>
        </w:tc>
        <w:tc>
          <w:tcPr>
            <w:tcW w:w="1451" w:type="dxa"/>
            <w:vAlign w:val="top"/>
          </w:tcPr>
          <w:p w14:paraId="68859868">
            <w:pPr>
              <w:rPr>
                <w:rFonts w:ascii="Arial"/>
                <w:sz w:val="21"/>
              </w:rPr>
            </w:pPr>
          </w:p>
        </w:tc>
        <w:tc>
          <w:tcPr>
            <w:tcW w:w="1454" w:type="dxa"/>
            <w:vAlign w:val="top"/>
          </w:tcPr>
          <w:p w14:paraId="09C46F3C">
            <w:pPr>
              <w:rPr>
                <w:rFonts w:ascii="Arial"/>
                <w:sz w:val="21"/>
              </w:rPr>
            </w:pPr>
          </w:p>
        </w:tc>
        <w:tc>
          <w:tcPr>
            <w:tcW w:w="1454" w:type="dxa"/>
            <w:vAlign w:val="top"/>
          </w:tcPr>
          <w:p w14:paraId="00F21D81">
            <w:pPr>
              <w:rPr>
                <w:rFonts w:ascii="Arial"/>
                <w:sz w:val="21"/>
              </w:rPr>
            </w:pPr>
          </w:p>
        </w:tc>
        <w:tc>
          <w:tcPr>
            <w:tcW w:w="1456" w:type="dxa"/>
            <w:vAlign w:val="top"/>
          </w:tcPr>
          <w:p w14:paraId="6D87A685">
            <w:pPr>
              <w:rPr>
                <w:rFonts w:ascii="Arial"/>
                <w:sz w:val="21"/>
              </w:rPr>
            </w:pPr>
          </w:p>
        </w:tc>
      </w:tr>
      <w:tr w14:paraId="6F534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108F0017">
            <w:pPr>
              <w:rPr>
                <w:rFonts w:ascii="Arial"/>
                <w:sz w:val="21"/>
              </w:rPr>
            </w:pPr>
          </w:p>
        </w:tc>
        <w:tc>
          <w:tcPr>
            <w:tcW w:w="1452" w:type="dxa"/>
            <w:vAlign w:val="top"/>
          </w:tcPr>
          <w:p w14:paraId="7918D005">
            <w:pPr>
              <w:rPr>
                <w:rFonts w:ascii="Arial"/>
                <w:sz w:val="21"/>
              </w:rPr>
            </w:pPr>
          </w:p>
        </w:tc>
        <w:tc>
          <w:tcPr>
            <w:tcW w:w="1451" w:type="dxa"/>
            <w:vAlign w:val="top"/>
          </w:tcPr>
          <w:p w14:paraId="00B82118">
            <w:pPr>
              <w:rPr>
                <w:rFonts w:ascii="Arial"/>
                <w:sz w:val="21"/>
              </w:rPr>
            </w:pPr>
          </w:p>
        </w:tc>
        <w:tc>
          <w:tcPr>
            <w:tcW w:w="1454" w:type="dxa"/>
            <w:vAlign w:val="top"/>
          </w:tcPr>
          <w:p w14:paraId="109D41EC">
            <w:pPr>
              <w:rPr>
                <w:rFonts w:ascii="Arial"/>
                <w:sz w:val="21"/>
              </w:rPr>
            </w:pPr>
          </w:p>
        </w:tc>
        <w:tc>
          <w:tcPr>
            <w:tcW w:w="1454" w:type="dxa"/>
            <w:vAlign w:val="top"/>
          </w:tcPr>
          <w:p w14:paraId="0E4DC5A8">
            <w:pPr>
              <w:rPr>
                <w:rFonts w:ascii="Arial"/>
                <w:sz w:val="21"/>
              </w:rPr>
            </w:pPr>
          </w:p>
        </w:tc>
        <w:tc>
          <w:tcPr>
            <w:tcW w:w="1456" w:type="dxa"/>
            <w:vAlign w:val="top"/>
          </w:tcPr>
          <w:p w14:paraId="6AF447C0">
            <w:pPr>
              <w:rPr>
                <w:rFonts w:ascii="Arial"/>
                <w:sz w:val="21"/>
              </w:rPr>
            </w:pPr>
          </w:p>
        </w:tc>
      </w:tr>
      <w:tr w14:paraId="5B04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58" w:type="dxa"/>
            <w:vAlign w:val="top"/>
          </w:tcPr>
          <w:p w14:paraId="1844C685">
            <w:pPr>
              <w:rPr>
                <w:rFonts w:ascii="Arial"/>
                <w:sz w:val="21"/>
              </w:rPr>
            </w:pPr>
          </w:p>
        </w:tc>
        <w:tc>
          <w:tcPr>
            <w:tcW w:w="1452" w:type="dxa"/>
            <w:vAlign w:val="top"/>
          </w:tcPr>
          <w:p w14:paraId="4C866C38">
            <w:pPr>
              <w:rPr>
                <w:rFonts w:ascii="Arial"/>
                <w:sz w:val="21"/>
              </w:rPr>
            </w:pPr>
          </w:p>
        </w:tc>
        <w:tc>
          <w:tcPr>
            <w:tcW w:w="1451" w:type="dxa"/>
            <w:vAlign w:val="top"/>
          </w:tcPr>
          <w:p w14:paraId="08E16E54">
            <w:pPr>
              <w:rPr>
                <w:rFonts w:ascii="Arial"/>
                <w:sz w:val="21"/>
              </w:rPr>
            </w:pPr>
          </w:p>
        </w:tc>
        <w:tc>
          <w:tcPr>
            <w:tcW w:w="1454" w:type="dxa"/>
            <w:vAlign w:val="top"/>
          </w:tcPr>
          <w:p w14:paraId="366AF36B">
            <w:pPr>
              <w:rPr>
                <w:rFonts w:ascii="Arial"/>
                <w:sz w:val="21"/>
              </w:rPr>
            </w:pPr>
          </w:p>
        </w:tc>
        <w:tc>
          <w:tcPr>
            <w:tcW w:w="1454" w:type="dxa"/>
            <w:vAlign w:val="top"/>
          </w:tcPr>
          <w:p w14:paraId="7386DD33">
            <w:pPr>
              <w:rPr>
                <w:rFonts w:ascii="Arial"/>
                <w:sz w:val="21"/>
              </w:rPr>
            </w:pPr>
          </w:p>
        </w:tc>
        <w:tc>
          <w:tcPr>
            <w:tcW w:w="1456" w:type="dxa"/>
            <w:vAlign w:val="top"/>
          </w:tcPr>
          <w:p w14:paraId="7BA17E39">
            <w:pPr>
              <w:rPr>
                <w:rFonts w:ascii="Arial"/>
                <w:sz w:val="21"/>
              </w:rPr>
            </w:pPr>
          </w:p>
        </w:tc>
      </w:tr>
      <w:tr w14:paraId="0E7D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8" w:type="dxa"/>
            <w:vAlign w:val="top"/>
          </w:tcPr>
          <w:p w14:paraId="27D51EA0">
            <w:pPr>
              <w:rPr>
                <w:rFonts w:ascii="Arial"/>
                <w:sz w:val="21"/>
              </w:rPr>
            </w:pPr>
          </w:p>
        </w:tc>
        <w:tc>
          <w:tcPr>
            <w:tcW w:w="1452" w:type="dxa"/>
            <w:vAlign w:val="top"/>
          </w:tcPr>
          <w:p w14:paraId="257235C5">
            <w:pPr>
              <w:rPr>
                <w:rFonts w:ascii="Arial"/>
                <w:sz w:val="21"/>
              </w:rPr>
            </w:pPr>
          </w:p>
        </w:tc>
        <w:tc>
          <w:tcPr>
            <w:tcW w:w="1451" w:type="dxa"/>
            <w:vAlign w:val="top"/>
          </w:tcPr>
          <w:p w14:paraId="099C85BC">
            <w:pPr>
              <w:rPr>
                <w:rFonts w:ascii="Arial"/>
                <w:sz w:val="21"/>
              </w:rPr>
            </w:pPr>
          </w:p>
        </w:tc>
        <w:tc>
          <w:tcPr>
            <w:tcW w:w="1454" w:type="dxa"/>
            <w:vAlign w:val="top"/>
          </w:tcPr>
          <w:p w14:paraId="307BBA45">
            <w:pPr>
              <w:rPr>
                <w:rFonts w:ascii="Arial"/>
                <w:sz w:val="21"/>
              </w:rPr>
            </w:pPr>
          </w:p>
        </w:tc>
        <w:tc>
          <w:tcPr>
            <w:tcW w:w="1454" w:type="dxa"/>
            <w:vAlign w:val="top"/>
          </w:tcPr>
          <w:p w14:paraId="12ADDD26">
            <w:pPr>
              <w:rPr>
                <w:rFonts w:ascii="Arial"/>
                <w:sz w:val="21"/>
              </w:rPr>
            </w:pPr>
          </w:p>
        </w:tc>
        <w:tc>
          <w:tcPr>
            <w:tcW w:w="1456" w:type="dxa"/>
            <w:vAlign w:val="top"/>
          </w:tcPr>
          <w:p w14:paraId="39C345EF">
            <w:pPr>
              <w:rPr>
                <w:rFonts w:ascii="Arial"/>
                <w:sz w:val="21"/>
              </w:rPr>
            </w:pPr>
          </w:p>
        </w:tc>
      </w:tr>
      <w:tr w14:paraId="2EA6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49C88FC5">
            <w:pPr>
              <w:rPr>
                <w:rFonts w:ascii="Arial"/>
                <w:sz w:val="21"/>
              </w:rPr>
            </w:pPr>
          </w:p>
        </w:tc>
        <w:tc>
          <w:tcPr>
            <w:tcW w:w="1452" w:type="dxa"/>
            <w:vAlign w:val="top"/>
          </w:tcPr>
          <w:p w14:paraId="50EA914A">
            <w:pPr>
              <w:rPr>
                <w:rFonts w:ascii="Arial"/>
                <w:sz w:val="21"/>
              </w:rPr>
            </w:pPr>
          </w:p>
        </w:tc>
        <w:tc>
          <w:tcPr>
            <w:tcW w:w="1451" w:type="dxa"/>
            <w:vAlign w:val="top"/>
          </w:tcPr>
          <w:p w14:paraId="0B277CE4">
            <w:pPr>
              <w:rPr>
                <w:rFonts w:ascii="Arial"/>
                <w:sz w:val="21"/>
              </w:rPr>
            </w:pPr>
          </w:p>
        </w:tc>
        <w:tc>
          <w:tcPr>
            <w:tcW w:w="1454" w:type="dxa"/>
            <w:vAlign w:val="top"/>
          </w:tcPr>
          <w:p w14:paraId="4FE96EFF">
            <w:pPr>
              <w:rPr>
                <w:rFonts w:ascii="Arial"/>
                <w:sz w:val="21"/>
              </w:rPr>
            </w:pPr>
          </w:p>
        </w:tc>
        <w:tc>
          <w:tcPr>
            <w:tcW w:w="1454" w:type="dxa"/>
            <w:vAlign w:val="top"/>
          </w:tcPr>
          <w:p w14:paraId="1DDE62A3">
            <w:pPr>
              <w:rPr>
                <w:rFonts w:ascii="Arial"/>
                <w:sz w:val="21"/>
              </w:rPr>
            </w:pPr>
          </w:p>
        </w:tc>
        <w:tc>
          <w:tcPr>
            <w:tcW w:w="1456" w:type="dxa"/>
            <w:vAlign w:val="top"/>
          </w:tcPr>
          <w:p w14:paraId="4AC09BA1">
            <w:pPr>
              <w:rPr>
                <w:rFonts w:ascii="Arial"/>
                <w:sz w:val="21"/>
              </w:rPr>
            </w:pPr>
          </w:p>
        </w:tc>
      </w:tr>
      <w:tr w14:paraId="3316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391F2750">
            <w:pPr>
              <w:rPr>
                <w:rFonts w:ascii="Arial"/>
                <w:sz w:val="21"/>
              </w:rPr>
            </w:pPr>
          </w:p>
        </w:tc>
        <w:tc>
          <w:tcPr>
            <w:tcW w:w="1452" w:type="dxa"/>
            <w:vAlign w:val="top"/>
          </w:tcPr>
          <w:p w14:paraId="5B3FF65A">
            <w:pPr>
              <w:rPr>
                <w:rFonts w:ascii="Arial"/>
                <w:sz w:val="21"/>
              </w:rPr>
            </w:pPr>
          </w:p>
        </w:tc>
        <w:tc>
          <w:tcPr>
            <w:tcW w:w="1451" w:type="dxa"/>
            <w:vAlign w:val="top"/>
          </w:tcPr>
          <w:p w14:paraId="7C9222C2">
            <w:pPr>
              <w:rPr>
                <w:rFonts w:ascii="Arial"/>
                <w:sz w:val="21"/>
              </w:rPr>
            </w:pPr>
          </w:p>
        </w:tc>
        <w:tc>
          <w:tcPr>
            <w:tcW w:w="1454" w:type="dxa"/>
            <w:vAlign w:val="top"/>
          </w:tcPr>
          <w:p w14:paraId="7B329C5B">
            <w:pPr>
              <w:rPr>
                <w:rFonts w:ascii="Arial"/>
                <w:sz w:val="21"/>
              </w:rPr>
            </w:pPr>
          </w:p>
        </w:tc>
        <w:tc>
          <w:tcPr>
            <w:tcW w:w="1454" w:type="dxa"/>
            <w:vAlign w:val="top"/>
          </w:tcPr>
          <w:p w14:paraId="31572908">
            <w:pPr>
              <w:rPr>
                <w:rFonts w:ascii="Arial"/>
                <w:sz w:val="21"/>
              </w:rPr>
            </w:pPr>
          </w:p>
        </w:tc>
        <w:tc>
          <w:tcPr>
            <w:tcW w:w="1456" w:type="dxa"/>
            <w:vAlign w:val="top"/>
          </w:tcPr>
          <w:p w14:paraId="56685529">
            <w:pPr>
              <w:rPr>
                <w:rFonts w:ascii="Arial"/>
                <w:sz w:val="21"/>
              </w:rPr>
            </w:pPr>
          </w:p>
        </w:tc>
      </w:tr>
      <w:tr w14:paraId="40A9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8" w:type="dxa"/>
            <w:vAlign w:val="top"/>
          </w:tcPr>
          <w:p w14:paraId="7DDD577D">
            <w:pPr>
              <w:rPr>
                <w:rFonts w:ascii="Arial"/>
                <w:sz w:val="21"/>
              </w:rPr>
            </w:pPr>
          </w:p>
        </w:tc>
        <w:tc>
          <w:tcPr>
            <w:tcW w:w="1452" w:type="dxa"/>
            <w:vAlign w:val="top"/>
          </w:tcPr>
          <w:p w14:paraId="37D34D0F">
            <w:pPr>
              <w:rPr>
                <w:rFonts w:ascii="Arial"/>
                <w:sz w:val="21"/>
              </w:rPr>
            </w:pPr>
          </w:p>
        </w:tc>
        <w:tc>
          <w:tcPr>
            <w:tcW w:w="1451" w:type="dxa"/>
            <w:vAlign w:val="top"/>
          </w:tcPr>
          <w:p w14:paraId="4B4DF46C">
            <w:pPr>
              <w:rPr>
                <w:rFonts w:ascii="Arial"/>
                <w:sz w:val="21"/>
              </w:rPr>
            </w:pPr>
          </w:p>
        </w:tc>
        <w:tc>
          <w:tcPr>
            <w:tcW w:w="1454" w:type="dxa"/>
            <w:vAlign w:val="top"/>
          </w:tcPr>
          <w:p w14:paraId="53CB1F43">
            <w:pPr>
              <w:rPr>
                <w:rFonts w:ascii="Arial"/>
                <w:sz w:val="21"/>
              </w:rPr>
            </w:pPr>
          </w:p>
        </w:tc>
        <w:tc>
          <w:tcPr>
            <w:tcW w:w="1454" w:type="dxa"/>
            <w:vAlign w:val="top"/>
          </w:tcPr>
          <w:p w14:paraId="67B31D11">
            <w:pPr>
              <w:rPr>
                <w:rFonts w:ascii="Arial"/>
                <w:sz w:val="21"/>
              </w:rPr>
            </w:pPr>
          </w:p>
        </w:tc>
        <w:tc>
          <w:tcPr>
            <w:tcW w:w="1456" w:type="dxa"/>
            <w:vAlign w:val="top"/>
          </w:tcPr>
          <w:p w14:paraId="39834DA6">
            <w:pPr>
              <w:rPr>
                <w:rFonts w:ascii="Arial"/>
                <w:sz w:val="21"/>
              </w:rPr>
            </w:pPr>
          </w:p>
        </w:tc>
      </w:tr>
      <w:tr w14:paraId="711D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708394A9">
            <w:pPr>
              <w:rPr>
                <w:rFonts w:ascii="Arial"/>
                <w:sz w:val="21"/>
              </w:rPr>
            </w:pPr>
          </w:p>
        </w:tc>
        <w:tc>
          <w:tcPr>
            <w:tcW w:w="1452" w:type="dxa"/>
            <w:vAlign w:val="top"/>
          </w:tcPr>
          <w:p w14:paraId="42F24D6B">
            <w:pPr>
              <w:rPr>
                <w:rFonts w:ascii="Arial"/>
                <w:sz w:val="21"/>
              </w:rPr>
            </w:pPr>
          </w:p>
        </w:tc>
        <w:tc>
          <w:tcPr>
            <w:tcW w:w="1451" w:type="dxa"/>
            <w:vAlign w:val="top"/>
          </w:tcPr>
          <w:p w14:paraId="14BA55FE">
            <w:pPr>
              <w:rPr>
                <w:rFonts w:ascii="Arial"/>
                <w:sz w:val="21"/>
              </w:rPr>
            </w:pPr>
          </w:p>
        </w:tc>
        <w:tc>
          <w:tcPr>
            <w:tcW w:w="1454" w:type="dxa"/>
            <w:vAlign w:val="top"/>
          </w:tcPr>
          <w:p w14:paraId="6E04C1FE">
            <w:pPr>
              <w:rPr>
                <w:rFonts w:ascii="Arial"/>
                <w:sz w:val="21"/>
              </w:rPr>
            </w:pPr>
          </w:p>
        </w:tc>
        <w:tc>
          <w:tcPr>
            <w:tcW w:w="1454" w:type="dxa"/>
            <w:vAlign w:val="top"/>
          </w:tcPr>
          <w:p w14:paraId="1232DC84">
            <w:pPr>
              <w:rPr>
                <w:rFonts w:ascii="Arial"/>
                <w:sz w:val="21"/>
              </w:rPr>
            </w:pPr>
          </w:p>
        </w:tc>
        <w:tc>
          <w:tcPr>
            <w:tcW w:w="1456" w:type="dxa"/>
            <w:vAlign w:val="top"/>
          </w:tcPr>
          <w:p w14:paraId="6A3DF960">
            <w:pPr>
              <w:rPr>
                <w:rFonts w:ascii="Arial"/>
                <w:sz w:val="21"/>
              </w:rPr>
            </w:pPr>
          </w:p>
        </w:tc>
      </w:tr>
      <w:tr w14:paraId="6687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0D77DEF4">
            <w:pPr>
              <w:rPr>
                <w:rFonts w:ascii="Arial"/>
                <w:sz w:val="21"/>
              </w:rPr>
            </w:pPr>
          </w:p>
        </w:tc>
        <w:tc>
          <w:tcPr>
            <w:tcW w:w="1452" w:type="dxa"/>
            <w:vAlign w:val="top"/>
          </w:tcPr>
          <w:p w14:paraId="4B3CADA7">
            <w:pPr>
              <w:rPr>
                <w:rFonts w:ascii="Arial"/>
                <w:sz w:val="21"/>
              </w:rPr>
            </w:pPr>
          </w:p>
        </w:tc>
        <w:tc>
          <w:tcPr>
            <w:tcW w:w="1451" w:type="dxa"/>
            <w:vAlign w:val="top"/>
          </w:tcPr>
          <w:p w14:paraId="0A5061C4">
            <w:pPr>
              <w:rPr>
                <w:rFonts w:ascii="Arial"/>
                <w:sz w:val="21"/>
              </w:rPr>
            </w:pPr>
          </w:p>
        </w:tc>
        <w:tc>
          <w:tcPr>
            <w:tcW w:w="1454" w:type="dxa"/>
            <w:vAlign w:val="top"/>
          </w:tcPr>
          <w:p w14:paraId="5446B1B1">
            <w:pPr>
              <w:rPr>
                <w:rFonts w:ascii="Arial"/>
                <w:sz w:val="21"/>
              </w:rPr>
            </w:pPr>
          </w:p>
        </w:tc>
        <w:tc>
          <w:tcPr>
            <w:tcW w:w="1454" w:type="dxa"/>
            <w:vAlign w:val="top"/>
          </w:tcPr>
          <w:p w14:paraId="24A61C4A">
            <w:pPr>
              <w:rPr>
                <w:rFonts w:ascii="Arial"/>
                <w:sz w:val="21"/>
              </w:rPr>
            </w:pPr>
          </w:p>
        </w:tc>
        <w:tc>
          <w:tcPr>
            <w:tcW w:w="1456" w:type="dxa"/>
            <w:vAlign w:val="top"/>
          </w:tcPr>
          <w:p w14:paraId="4D8358DD">
            <w:pPr>
              <w:rPr>
                <w:rFonts w:ascii="Arial"/>
                <w:sz w:val="21"/>
              </w:rPr>
            </w:pPr>
          </w:p>
        </w:tc>
      </w:tr>
      <w:tr w14:paraId="2FB85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58" w:type="dxa"/>
            <w:vAlign w:val="top"/>
          </w:tcPr>
          <w:p w14:paraId="07A5B6D1">
            <w:pPr>
              <w:rPr>
                <w:rFonts w:ascii="Arial"/>
                <w:sz w:val="21"/>
              </w:rPr>
            </w:pPr>
          </w:p>
        </w:tc>
        <w:tc>
          <w:tcPr>
            <w:tcW w:w="1452" w:type="dxa"/>
            <w:vAlign w:val="top"/>
          </w:tcPr>
          <w:p w14:paraId="37778DC7">
            <w:pPr>
              <w:rPr>
                <w:rFonts w:ascii="Arial"/>
                <w:sz w:val="21"/>
              </w:rPr>
            </w:pPr>
          </w:p>
        </w:tc>
        <w:tc>
          <w:tcPr>
            <w:tcW w:w="1451" w:type="dxa"/>
            <w:vAlign w:val="top"/>
          </w:tcPr>
          <w:p w14:paraId="16F37477">
            <w:pPr>
              <w:rPr>
                <w:rFonts w:ascii="Arial"/>
                <w:sz w:val="21"/>
              </w:rPr>
            </w:pPr>
          </w:p>
        </w:tc>
        <w:tc>
          <w:tcPr>
            <w:tcW w:w="1454" w:type="dxa"/>
            <w:vAlign w:val="top"/>
          </w:tcPr>
          <w:p w14:paraId="2B38D98C">
            <w:pPr>
              <w:rPr>
                <w:rFonts w:ascii="Arial"/>
                <w:sz w:val="21"/>
              </w:rPr>
            </w:pPr>
          </w:p>
        </w:tc>
        <w:tc>
          <w:tcPr>
            <w:tcW w:w="1454" w:type="dxa"/>
            <w:vAlign w:val="top"/>
          </w:tcPr>
          <w:p w14:paraId="3AC3547A">
            <w:pPr>
              <w:rPr>
                <w:rFonts w:ascii="Arial"/>
                <w:sz w:val="21"/>
              </w:rPr>
            </w:pPr>
          </w:p>
        </w:tc>
        <w:tc>
          <w:tcPr>
            <w:tcW w:w="1456" w:type="dxa"/>
            <w:vAlign w:val="top"/>
          </w:tcPr>
          <w:p w14:paraId="110A97CE">
            <w:pPr>
              <w:rPr>
                <w:rFonts w:ascii="Arial"/>
                <w:sz w:val="21"/>
              </w:rPr>
            </w:pPr>
          </w:p>
        </w:tc>
      </w:tr>
      <w:tr w14:paraId="1F64E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28598645">
            <w:pPr>
              <w:rPr>
                <w:rFonts w:ascii="Arial"/>
                <w:sz w:val="21"/>
              </w:rPr>
            </w:pPr>
          </w:p>
        </w:tc>
        <w:tc>
          <w:tcPr>
            <w:tcW w:w="1452" w:type="dxa"/>
            <w:vAlign w:val="top"/>
          </w:tcPr>
          <w:p w14:paraId="3F41C827">
            <w:pPr>
              <w:rPr>
                <w:rFonts w:ascii="Arial"/>
                <w:sz w:val="21"/>
              </w:rPr>
            </w:pPr>
          </w:p>
        </w:tc>
        <w:tc>
          <w:tcPr>
            <w:tcW w:w="1451" w:type="dxa"/>
            <w:vAlign w:val="top"/>
          </w:tcPr>
          <w:p w14:paraId="0BC356E4">
            <w:pPr>
              <w:rPr>
                <w:rFonts w:ascii="Arial"/>
                <w:sz w:val="21"/>
              </w:rPr>
            </w:pPr>
          </w:p>
        </w:tc>
        <w:tc>
          <w:tcPr>
            <w:tcW w:w="1454" w:type="dxa"/>
            <w:vAlign w:val="top"/>
          </w:tcPr>
          <w:p w14:paraId="3A7C302D">
            <w:pPr>
              <w:rPr>
                <w:rFonts w:ascii="Arial"/>
                <w:sz w:val="21"/>
              </w:rPr>
            </w:pPr>
          </w:p>
        </w:tc>
        <w:tc>
          <w:tcPr>
            <w:tcW w:w="1454" w:type="dxa"/>
            <w:vAlign w:val="top"/>
          </w:tcPr>
          <w:p w14:paraId="2697D42F">
            <w:pPr>
              <w:rPr>
                <w:rFonts w:ascii="Arial"/>
                <w:sz w:val="21"/>
              </w:rPr>
            </w:pPr>
          </w:p>
        </w:tc>
        <w:tc>
          <w:tcPr>
            <w:tcW w:w="1456" w:type="dxa"/>
            <w:vAlign w:val="top"/>
          </w:tcPr>
          <w:p w14:paraId="7A1F6E0A">
            <w:pPr>
              <w:rPr>
                <w:rFonts w:ascii="Arial"/>
                <w:sz w:val="21"/>
              </w:rPr>
            </w:pPr>
          </w:p>
        </w:tc>
      </w:tr>
      <w:tr w14:paraId="0C9A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2916BFA1">
            <w:pPr>
              <w:rPr>
                <w:rFonts w:ascii="Arial"/>
                <w:sz w:val="21"/>
              </w:rPr>
            </w:pPr>
          </w:p>
        </w:tc>
        <w:tc>
          <w:tcPr>
            <w:tcW w:w="1452" w:type="dxa"/>
            <w:vAlign w:val="top"/>
          </w:tcPr>
          <w:p w14:paraId="6D2D4114">
            <w:pPr>
              <w:rPr>
                <w:rFonts w:ascii="Arial"/>
                <w:sz w:val="21"/>
              </w:rPr>
            </w:pPr>
          </w:p>
        </w:tc>
        <w:tc>
          <w:tcPr>
            <w:tcW w:w="1451" w:type="dxa"/>
            <w:vAlign w:val="top"/>
          </w:tcPr>
          <w:p w14:paraId="6C9B8110">
            <w:pPr>
              <w:rPr>
                <w:rFonts w:ascii="Arial"/>
                <w:sz w:val="21"/>
              </w:rPr>
            </w:pPr>
          </w:p>
        </w:tc>
        <w:tc>
          <w:tcPr>
            <w:tcW w:w="1454" w:type="dxa"/>
            <w:vAlign w:val="top"/>
          </w:tcPr>
          <w:p w14:paraId="51DD287D">
            <w:pPr>
              <w:rPr>
                <w:rFonts w:ascii="Arial"/>
                <w:sz w:val="21"/>
              </w:rPr>
            </w:pPr>
          </w:p>
        </w:tc>
        <w:tc>
          <w:tcPr>
            <w:tcW w:w="1454" w:type="dxa"/>
            <w:vAlign w:val="top"/>
          </w:tcPr>
          <w:p w14:paraId="5646ABB8">
            <w:pPr>
              <w:rPr>
                <w:rFonts w:ascii="Arial"/>
                <w:sz w:val="21"/>
              </w:rPr>
            </w:pPr>
          </w:p>
        </w:tc>
        <w:tc>
          <w:tcPr>
            <w:tcW w:w="1456" w:type="dxa"/>
            <w:vAlign w:val="top"/>
          </w:tcPr>
          <w:p w14:paraId="2175F782">
            <w:pPr>
              <w:rPr>
                <w:rFonts w:ascii="Arial"/>
                <w:sz w:val="21"/>
              </w:rPr>
            </w:pPr>
          </w:p>
        </w:tc>
      </w:tr>
      <w:tr w14:paraId="4B5B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8" w:type="dxa"/>
            <w:vAlign w:val="top"/>
          </w:tcPr>
          <w:p w14:paraId="40BB0294">
            <w:pPr>
              <w:rPr>
                <w:rFonts w:ascii="Arial"/>
                <w:sz w:val="21"/>
              </w:rPr>
            </w:pPr>
          </w:p>
        </w:tc>
        <w:tc>
          <w:tcPr>
            <w:tcW w:w="1452" w:type="dxa"/>
            <w:vAlign w:val="top"/>
          </w:tcPr>
          <w:p w14:paraId="761B2396">
            <w:pPr>
              <w:rPr>
                <w:rFonts w:ascii="Arial"/>
                <w:sz w:val="21"/>
              </w:rPr>
            </w:pPr>
          </w:p>
        </w:tc>
        <w:tc>
          <w:tcPr>
            <w:tcW w:w="1451" w:type="dxa"/>
            <w:vAlign w:val="top"/>
          </w:tcPr>
          <w:p w14:paraId="5BC6BFFE">
            <w:pPr>
              <w:rPr>
                <w:rFonts w:ascii="Arial"/>
                <w:sz w:val="21"/>
              </w:rPr>
            </w:pPr>
          </w:p>
        </w:tc>
        <w:tc>
          <w:tcPr>
            <w:tcW w:w="1454" w:type="dxa"/>
            <w:vAlign w:val="top"/>
          </w:tcPr>
          <w:p w14:paraId="3BDB28A2">
            <w:pPr>
              <w:rPr>
                <w:rFonts w:ascii="Arial"/>
                <w:sz w:val="21"/>
              </w:rPr>
            </w:pPr>
          </w:p>
        </w:tc>
        <w:tc>
          <w:tcPr>
            <w:tcW w:w="1454" w:type="dxa"/>
            <w:vAlign w:val="top"/>
          </w:tcPr>
          <w:p w14:paraId="50C49DAB">
            <w:pPr>
              <w:rPr>
                <w:rFonts w:ascii="Arial"/>
                <w:sz w:val="21"/>
              </w:rPr>
            </w:pPr>
          </w:p>
        </w:tc>
        <w:tc>
          <w:tcPr>
            <w:tcW w:w="1456" w:type="dxa"/>
            <w:vAlign w:val="top"/>
          </w:tcPr>
          <w:p w14:paraId="42D29FB8">
            <w:pPr>
              <w:rPr>
                <w:rFonts w:ascii="Arial"/>
                <w:sz w:val="21"/>
              </w:rPr>
            </w:pPr>
          </w:p>
        </w:tc>
      </w:tr>
      <w:tr w14:paraId="7A8F7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33FAEAE9">
            <w:pPr>
              <w:rPr>
                <w:rFonts w:ascii="Arial"/>
                <w:sz w:val="21"/>
              </w:rPr>
            </w:pPr>
          </w:p>
        </w:tc>
        <w:tc>
          <w:tcPr>
            <w:tcW w:w="1452" w:type="dxa"/>
            <w:vAlign w:val="top"/>
          </w:tcPr>
          <w:p w14:paraId="369B3560">
            <w:pPr>
              <w:rPr>
                <w:rFonts w:ascii="Arial"/>
                <w:sz w:val="21"/>
              </w:rPr>
            </w:pPr>
          </w:p>
        </w:tc>
        <w:tc>
          <w:tcPr>
            <w:tcW w:w="1451" w:type="dxa"/>
            <w:vAlign w:val="top"/>
          </w:tcPr>
          <w:p w14:paraId="3DC00E20">
            <w:pPr>
              <w:rPr>
                <w:rFonts w:ascii="Arial"/>
                <w:sz w:val="21"/>
              </w:rPr>
            </w:pPr>
          </w:p>
        </w:tc>
        <w:tc>
          <w:tcPr>
            <w:tcW w:w="1454" w:type="dxa"/>
            <w:vAlign w:val="top"/>
          </w:tcPr>
          <w:p w14:paraId="264DA988">
            <w:pPr>
              <w:rPr>
                <w:rFonts w:ascii="Arial"/>
                <w:sz w:val="21"/>
              </w:rPr>
            </w:pPr>
          </w:p>
        </w:tc>
        <w:tc>
          <w:tcPr>
            <w:tcW w:w="1454" w:type="dxa"/>
            <w:vAlign w:val="top"/>
          </w:tcPr>
          <w:p w14:paraId="5569BE41">
            <w:pPr>
              <w:rPr>
                <w:rFonts w:ascii="Arial"/>
                <w:sz w:val="21"/>
              </w:rPr>
            </w:pPr>
          </w:p>
        </w:tc>
        <w:tc>
          <w:tcPr>
            <w:tcW w:w="1456" w:type="dxa"/>
            <w:vAlign w:val="top"/>
          </w:tcPr>
          <w:p w14:paraId="58BA28D8">
            <w:pPr>
              <w:rPr>
                <w:rFonts w:ascii="Arial"/>
                <w:sz w:val="21"/>
              </w:rPr>
            </w:pPr>
          </w:p>
        </w:tc>
      </w:tr>
      <w:tr w14:paraId="237E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58" w:type="dxa"/>
            <w:vAlign w:val="top"/>
          </w:tcPr>
          <w:p w14:paraId="2DB462F7">
            <w:pPr>
              <w:rPr>
                <w:rFonts w:ascii="Arial"/>
                <w:sz w:val="21"/>
              </w:rPr>
            </w:pPr>
          </w:p>
        </w:tc>
        <w:tc>
          <w:tcPr>
            <w:tcW w:w="1452" w:type="dxa"/>
            <w:vAlign w:val="top"/>
          </w:tcPr>
          <w:p w14:paraId="66E0E73E">
            <w:pPr>
              <w:rPr>
                <w:rFonts w:ascii="Arial"/>
                <w:sz w:val="21"/>
              </w:rPr>
            </w:pPr>
          </w:p>
        </w:tc>
        <w:tc>
          <w:tcPr>
            <w:tcW w:w="1451" w:type="dxa"/>
            <w:vAlign w:val="top"/>
          </w:tcPr>
          <w:p w14:paraId="2EE638F9">
            <w:pPr>
              <w:rPr>
                <w:rFonts w:ascii="Arial"/>
                <w:sz w:val="21"/>
              </w:rPr>
            </w:pPr>
          </w:p>
        </w:tc>
        <w:tc>
          <w:tcPr>
            <w:tcW w:w="1454" w:type="dxa"/>
            <w:vAlign w:val="top"/>
          </w:tcPr>
          <w:p w14:paraId="00FDDADC">
            <w:pPr>
              <w:rPr>
                <w:rFonts w:ascii="Arial"/>
                <w:sz w:val="21"/>
              </w:rPr>
            </w:pPr>
          </w:p>
        </w:tc>
        <w:tc>
          <w:tcPr>
            <w:tcW w:w="1454" w:type="dxa"/>
            <w:vAlign w:val="top"/>
          </w:tcPr>
          <w:p w14:paraId="169FD306">
            <w:pPr>
              <w:rPr>
                <w:rFonts w:ascii="Arial"/>
                <w:sz w:val="21"/>
              </w:rPr>
            </w:pPr>
          </w:p>
        </w:tc>
        <w:tc>
          <w:tcPr>
            <w:tcW w:w="1456" w:type="dxa"/>
            <w:vAlign w:val="top"/>
          </w:tcPr>
          <w:p w14:paraId="30E6062E">
            <w:pPr>
              <w:rPr>
                <w:rFonts w:ascii="Arial"/>
                <w:sz w:val="21"/>
              </w:rPr>
            </w:pPr>
          </w:p>
        </w:tc>
      </w:tr>
      <w:tr w14:paraId="1812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8" w:type="dxa"/>
            <w:vAlign w:val="top"/>
          </w:tcPr>
          <w:p w14:paraId="6B6D5734">
            <w:pPr>
              <w:rPr>
                <w:rFonts w:ascii="Arial"/>
                <w:sz w:val="21"/>
              </w:rPr>
            </w:pPr>
          </w:p>
        </w:tc>
        <w:tc>
          <w:tcPr>
            <w:tcW w:w="1452" w:type="dxa"/>
            <w:vAlign w:val="top"/>
          </w:tcPr>
          <w:p w14:paraId="6ED988D6">
            <w:pPr>
              <w:rPr>
                <w:rFonts w:ascii="Arial"/>
                <w:sz w:val="21"/>
              </w:rPr>
            </w:pPr>
          </w:p>
        </w:tc>
        <w:tc>
          <w:tcPr>
            <w:tcW w:w="1451" w:type="dxa"/>
            <w:vAlign w:val="top"/>
          </w:tcPr>
          <w:p w14:paraId="670464E1">
            <w:pPr>
              <w:rPr>
                <w:rFonts w:ascii="Arial"/>
                <w:sz w:val="21"/>
              </w:rPr>
            </w:pPr>
          </w:p>
        </w:tc>
        <w:tc>
          <w:tcPr>
            <w:tcW w:w="1454" w:type="dxa"/>
            <w:vAlign w:val="top"/>
          </w:tcPr>
          <w:p w14:paraId="6872792B">
            <w:pPr>
              <w:rPr>
                <w:rFonts w:ascii="Arial"/>
                <w:sz w:val="21"/>
              </w:rPr>
            </w:pPr>
          </w:p>
        </w:tc>
        <w:tc>
          <w:tcPr>
            <w:tcW w:w="1454" w:type="dxa"/>
            <w:vAlign w:val="top"/>
          </w:tcPr>
          <w:p w14:paraId="3606AA6A">
            <w:pPr>
              <w:rPr>
                <w:rFonts w:ascii="Arial"/>
                <w:sz w:val="21"/>
              </w:rPr>
            </w:pPr>
          </w:p>
        </w:tc>
        <w:tc>
          <w:tcPr>
            <w:tcW w:w="1456" w:type="dxa"/>
            <w:vAlign w:val="top"/>
          </w:tcPr>
          <w:p w14:paraId="3C78021B">
            <w:pPr>
              <w:rPr>
                <w:rFonts w:ascii="Arial"/>
                <w:sz w:val="21"/>
              </w:rPr>
            </w:pPr>
          </w:p>
        </w:tc>
      </w:tr>
      <w:tr w14:paraId="10387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58" w:type="dxa"/>
            <w:vAlign w:val="top"/>
          </w:tcPr>
          <w:p w14:paraId="6C5F1FCD">
            <w:pPr>
              <w:rPr>
                <w:rFonts w:ascii="Arial"/>
                <w:sz w:val="21"/>
              </w:rPr>
            </w:pPr>
          </w:p>
        </w:tc>
        <w:tc>
          <w:tcPr>
            <w:tcW w:w="1452" w:type="dxa"/>
            <w:vAlign w:val="top"/>
          </w:tcPr>
          <w:p w14:paraId="2EB25074">
            <w:pPr>
              <w:rPr>
                <w:rFonts w:ascii="Arial"/>
                <w:sz w:val="21"/>
              </w:rPr>
            </w:pPr>
          </w:p>
        </w:tc>
        <w:tc>
          <w:tcPr>
            <w:tcW w:w="1451" w:type="dxa"/>
            <w:vAlign w:val="top"/>
          </w:tcPr>
          <w:p w14:paraId="29093132">
            <w:pPr>
              <w:rPr>
                <w:rFonts w:ascii="Arial"/>
                <w:sz w:val="21"/>
              </w:rPr>
            </w:pPr>
          </w:p>
        </w:tc>
        <w:tc>
          <w:tcPr>
            <w:tcW w:w="1454" w:type="dxa"/>
            <w:vAlign w:val="top"/>
          </w:tcPr>
          <w:p w14:paraId="3CDC56A7">
            <w:pPr>
              <w:rPr>
                <w:rFonts w:ascii="Arial"/>
                <w:sz w:val="21"/>
              </w:rPr>
            </w:pPr>
          </w:p>
        </w:tc>
        <w:tc>
          <w:tcPr>
            <w:tcW w:w="1454" w:type="dxa"/>
            <w:vAlign w:val="top"/>
          </w:tcPr>
          <w:p w14:paraId="13AA403D">
            <w:pPr>
              <w:rPr>
                <w:rFonts w:ascii="Arial"/>
                <w:sz w:val="21"/>
              </w:rPr>
            </w:pPr>
          </w:p>
        </w:tc>
        <w:tc>
          <w:tcPr>
            <w:tcW w:w="1456" w:type="dxa"/>
            <w:vAlign w:val="top"/>
          </w:tcPr>
          <w:p w14:paraId="575AB77F">
            <w:pPr>
              <w:rPr>
                <w:rFonts w:ascii="Arial"/>
                <w:sz w:val="21"/>
              </w:rPr>
            </w:pPr>
          </w:p>
        </w:tc>
      </w:tr>
    </w:tbl>
    <w:p w14:paraId="61BDF0E4">
      <w:pPr>
        <w:pStyle w:val="5"/>
      </w:pPr>
    </w:p>
    <w:p w14:paraId="76479AE1">
      <w:pPr>
        <w:sectPr>
          <w:footerReference r:id="rId177" w:type="default"/>
          <w:pgSz w:w="11905" w:h="16843"/>
          <w:pgMar w:top="969" w:right="1355" w:bottom="1026" w:left="1480" w:header="0" w:footer="754" w:gutter="0"/>
          <w:cols w:space="0" w:num="1"/>
          <w:rtlGutter w:val="0"/>
          <w:docGrid w:linePitch="0" w:charSpace="0"/>
        </w:sectPr>
      </w:pPr>
    </w:p>
    <w:p w14:paraId="7ECD8DC9">
      <w:pPr>
        <w:pStyle w:val="5"/>
        <w:spacing w:line="265" w:lineRule="auto"/>
      </w:pPr>
    </w:p>
    <w:p w14:paraId="2FF9098D">
      <w:pPr>
        <w:pStyle w:val="5"/>
        <w:spacing w:line="266" w:lineRule="auto"/>
      </w:pPr>
    </w:p>
    <w:p w14:paraId="3F52E791">
      <w:pPr>
        <w:pStyle w:val="5"/>
        <w:spacing w:line="266" w:lineRule="auto"/>
      </w:pPr>
    </w:p>
    <w:p w14:paraId="4A079F2D">
      <w:pPr>
        <w:pStyle w:val="5"/>
        <w:spacing w:line="266" w:lineRule="auto"/>
      </w:pPr>
    </w:p>
    <w:p w14:paraId="52E01270">
      <w:pPr>
        <w:pStyle w:val="5"/>
        <w:spacing w:line="266" w:lineRule="auto"/>
      </w:pPr>
    </w:p>
    <w:p w14:paraId="632D8D8A">
      <w:pPr>
        <w:spacing w:before="78" w:line="233" w:lineRule="auto"/>
        <w:outlineLvl w:val="1"/>
        <w:rPr>
          <w:rFonts w:ascii="黑体" w:hAnsi="黑体" w:eastAsia="黑体" w:cs="黑体"/>
          <w:sz w:val="24"/>
          <w:szCs w:val="24"/>
        </w:rPr>
      </w:pPr>
      <w:bookmarkStart w:id="1294" w:name="bookmark629"/>
      <w:bookmarkEnd w:id="1294"/>
      <w:bookmarkStart w:id="1295" w:name="bookmark403"/>
      <w:bookmarkEnd w:id="1295"/>
      <w:r>
        <w:rPr>
          <w:rFonts w:ascii="Times New Roman" w:hAnsi="Times New Roman" w:eastAsia="Times New Roman" w:cs="Times New Roman"/>
          <w:spacing w:val="-2"/>
          <w:sz w:val="24"/>
          <w:szCs w:val="24"/>
        </w:rPr>
        <w:t>2</w:t>
      </w:r>
      <w:r>
        <w:rPr>
          <w:rFonts w:ascii="黑体" w:hAnsi="黑体" w:eastAsia="黑体" w:cs="黑体"/>
          <w:spacing w:val="-2"/>
          <w:sz w:val="24"/>
          <w:szCs w:val="24"/>
        </w:rPr>
        <w:t>．图</w:t>
      </w:r>
      <w:r>
        <w:rPr>
          <w:rFonts w:ascii="黑体" w:hAnsi="黑体" w:eastAsia="黑体" w:cs="黑体"/>
          <w:spacing w:val="7"/>
          <w:sz w:val="24"/>
          <w:szCs w:val="24"/>
        </w:rPr>
        <w:t xml:space="preserve">  </w:t>
      </w:r>
      <w:r>
        <w:rPr>
          <w:rFonts w:ascii="黑体" w:hAnsi="黑体" w:eastAsia="黑体" w:cs="黑体"/>
          <w:spacing w:val="-2"/>
          <w:sz w:val="24"/>
          <w:szCs w:val="24"/>
        </w:rPr>
        <w:t>纸</w:t>
      </w:r>
    </w:p>
    <w:p w14:paraId="09C8E1C3">
      <w:pPr>
        <w:spacing w:line="233" w:lineRule="auto"/>
        <w:rPr>
          <w:rFonts w:ascii="黑体" w:hAnsi="黑体" w:eastAsia="黑体" w:cs="黑体"/>
          <w:sz w:val="24"/>
          <w:szCs w:val="24"/>
        </w:rPr>
        <w:sectPr>
          <w:footerReference r:id="rId178" w:type="default"/>
          <w:pgSz w:w="11905" w:h="16843"/>
          <w:pgMar w:top="969" w:right="1355" w:bottom="1026" w:left="1480" w:header="0" w:footer="754" w:gutter="0"/>
          <w:cols w:space="0" w:num="1"/>
          <w:rtlGutter w:val="0"/>
          <w:docGrid w:linePitch="0" w:charSpace="0"/>
        </w:sectPr>
      </w:pPr>
    </w:p>
    <w:p w14:paraId="2EF45682">
      <w:pPr>
        <w:pStyle w:val="5"/>
      </w:pPr>
    </w:p>
    <w:p w14:paraId="582C34DA">
      <w:pPr>
        <w:pStyle w:val="5"/>
      </w:pPr>
    </w:p>
    <w:p w14:paraId="26A7A993">
      <w:pPr>
        <w:pStyle w:val="5"/>
      </w:pPr>
    </w:p>
    <w:p w14:paraId="719CC215">
      <w:pPr>
        <w:pStyle w:val="5"/>
      </w:pPr>
    </w:p>
    <w:p w14:paraId="2B7085AD">
      <w:pPr>
        <w:pStyle w:val="5"/>
      </w:pPr>
    </w:p>
    <w:p w14:paraId="4C5BC77C">
      <w:pPr>
        <w:pStyle w:val="5"/>
      </w:pPr>
    </w:p>
    <w:p w14:paraId="3F6523C7">
      <w:pPr>
        <w:pStyle w:val="5"/>
      </w:pPr>
    </w:p>
    <w:p w14:paraId="649FCAFE">
      <w:pPr>
        <w:pStyle w:val="5"/>
      </w:pPr>
    </w:p>
    <w:p w14:paraId="44FEFB8D">
      <w:pPr>
        <w:pStyle w:val="5"/>
      </w:pPr>
    </w:p>
    <w:p w14:paraId="4C48BC42">
      <w:pPr>
        <w:pStyle w:val="5"/>
      </w:pPr>
    </w:p>
    <w:p w14:paraId="2C1731A9">
      <w:pPr>
        <w:pStyle w:val="5"/>
        <w:spacing w:line="241" w:lineRule="auto"/>
      </w:pPr>
    </w:p>
    <w:p w14:paraId="4A593121">
      <w:pPr>
        <w:pStyle w:val="5"/>
        <w:spacing w:line="241" w:lineRule="auto"/>
      </w:pPr>
    </w:p>
    <w:p w14:paraId="207E1031">
      <w:pPr>
        <w:pStyle w:val="5"/>
        <w:spacing w:line="241" w:lineRule="auto"/>
      </w:pPr>
    </w:p>
    <w:p w14:paraId="651F4961">
      <w:pPr>
        <w:pStyle w:val="5"/>
        <w:spacing w:line="241" w:lineRule="auto"/>
      </w:pPr>
    </w:p>
    <w:p w14:paraId="4A431540">
      <w:pPr>
        <w:pStyle w:val="5"/>
        <w:spacing w:line="241" w:lineRule="auto"/>
      </w:pPr>
    </w:p>
    <w:p w14:paraId="268DDCE3">
      <w:pPr>
        <w:pStyle w:val="5"/>
        <w:spacing w:line="241" w:lineRule="auto"/>
      </w:pPr>
    </w:p>
    <w:p w14:paraId="4AE8C295">
      <w:pPr>
        <w:pStyle w:val="5"/>
        <w:spacing w:line="241" w:lineRule="auto"/>
      </w:pPr>
    </w:p>
    <w:p w14:paraId="5B01F031">
      <w:pPr>
        <w:pStyle w:val="5"/>
        <w:spacing w:line="241" w:lineRule="auto"/>
      </w:pPr>
    </w:p>
    <w:p w14:paraId="3CC94EE0">
      <w:pPr>
        <w:pStyle w:val="5"/>
        <w:spacing w:line="241" w:lineRule="auto"/>
      </w:pPr>
    </w:p>
    <w:p w14:paraId="702D7D5E">
      <w:pPr>
        <w:pStyle w:val="5"/>
        <w:spacing w:line="241" w:lineRule="auto"/>
      </w:pPr>
    </w:p>
    <w:p w14:paraId="514455FF">
      <w:pPr>
        <w:spacing w:before="156" w:line="219" w:lineRule="auto"/>
        <w:ind w:left="3436"/>
        <w:outlineLvl w:val="0"/>
        <w:rPr>
          <w:rFonts w:ascii="黑体" w:hAnsi="黑体" w:eastAsia="黑体" w:cs="黑体"/>
          <w:sz w:val="48"/>
          <w:szCs w:val="48"/>
        </w:rPr>
      </w:pPr>
      <w:bookmarkStart w:id="1296" w:name="bookmark404"/>
      <w:bookmarkEnd w:id="1296"/>
      <w:bookmarkStart w:id="1297" w:name="bookmark630"/>
      <w:bookmarkEnd w:id="1297"/>
      <w:r>
        <w:rPr>
          <w:rFonts w:ascii="黑体" w:hAnsi="黑体" w:eastAsia="黑体" w:cs="黑体"/>
          <w:spacing w:val="-5"/>
          <w:sz w:val="48"/>
          <w:szCs w:val="48"/>
        </w:rPr>
        <w:t>第三卷</w:t>
      </w:r>
    </w:p>
    <w:p w14:paraId="68214386">
      <w:pPr>
        <w:spacing w:line="219" w:lineRule="auto"/>
        <w:rPr>
          <w:rFonts w:ascii="黑体" w:hAnsi="黑体" w:eastAsia="黑体" w:cs="黑体"/>
          <w:sz w:val="48"/>
          <w:szCs w:val="48"/>
        </w:rPr>
        <w:sectPr>
          <w:footerReference r:id="rId179" w:type="default"/>
          <w:pgSz w:w="11905" w:h="16843"/>
          <w:pgMar w:top="969" w:right="1355" w:bottom="1026" w:left="1480" w:header="0" w:footer="754" w:gutter="0"/>
          <w:cols w:space="0" w:num="1"/>
          <w:rtlGutter w:val="0"/>
          <w:docGrid w:linePitch="0" w:charSpace="0"/>
        </w:sectPr>
      </w:pPr>
    </w:p>
    <w:p w14:paraId="2B08F1B0">
      <w:pPr>
        <w:pStyle w:val="5"/>
        <w:spacing w:line="247" w:lineRule="auto"/>
      </w:pPr>
    </w:p>
    <w:p w14:paraId="70688846">
      <w:pPr>
        <w:pStyle w:val="5"/>
        <w:spacing w:line="247" w:lineRule="auto"/>
      </w:pPr>
    </w:p>
    <w:p w14:paraId="0B3D500C">
      <w:pPr>
        <w:pStyle w:val="5"/>
        <w:spacing w:line="247" w:lineRule="auto"/>
      </w:pPr>
    </w:p>
    <w:p w14:paraId="0ECDB9C8">
      <w:pPr>
        <w:pStyle w:val="5"/>
        <w:spacing w:line="247" w:lineRule="auto"/>
      </w:pPr>
    </w:p>
    <w:p w14:paraId="5F6A4508">
      <w:pPr>
        <w:pStyle w:val="5"/>
        <w:spacing w:line="247" w:lineRule="auto"/>
      </w:pPr>
    </w:p>
    <w:p w14:paraId="7C7B4C17">
      <w:pPr>
        <w:pStyle w:val="5"/>
        <w:spacing w:line="247" w:lineRule="auto"/>
      </w:pPr>
    </w:p>
    <w:p w14:paraId="62FA8F15">
      <w:pPr>
        <w:pStyle w:val="5"/>
        <w:spacing w:line="247" w:lineRule="auto"/>
      </w:pPr>
    </w:p>
    <w:p w14:paraId="7C563A70">
      <w:pPr>
        <w:pStyle w:val="5"/>
        <w:spacing w:line="247" w:lineRule="auto"/>
      </w:pPr>
    </w:p>
    <w:p w14:paraId="6A7ACE43">
      <w:pPr>
        <w:pStyle w:val="5"/>
        <w:spacing w:line="247" w:lineRule="auto"/>
      </w:pPr>
    </w:p>
    <w:p w14:paraId="0E2A9EEC">
      <w:pPr>
        <w:pStyle w:val="5"/>
        <w:spacing w:line="247" w:lineRule="auto"/>
      </w:pPr>
    </w:p>
    <w:p w14:paraId="3AE6A4B1">
      <w:pPr>
        <w:pStyle w:val="5"/>
        <w:spacing w:line="247" w:lineRule="auto"/>
      </w:pPr>
    </w:p>
    <w:p w14:paraId="4DD71EB4">
      <w:pPr>
        <w:pStyle w:val="5"/>
        <w:spacing w:line="247" w:lineRule="auto"/>
      </w:pPr>
    </w:p>
    <w:p w14:paraId="4258F7F7">
      <w:pPr>
        <w:pStyle w:val="5"/>
        <w:spacing w:line="248" w:lineRule="auto"/>
      </w:pPr>
    </w:p>
    <w:p w14:paraId="286041D5">
      <w:pPr>
        <w:pStyle w:val="5"/>
        <w:spacing w:line="248" w:lineRule="auto"/>
      </w:pPr>
    </w:p>
    <w:p w14:paraId="0B0FBBB7">
      <w:pPr>
        <w:pStyle w:val="5"/>
        <w:spacing w:line="248" w:lineRule="auto"/>
      </w:pPr>
    </w:p>
    <w:p w14:paraId="413E0680">
      <w:pPr>
        <w:pStyle w:val="5"/>
        <w:spacing w:line="248" w:lineRule="auto"/>
      </w:pPr>
    </w:p>
    <w:p w14:paraId="23D5F5DD">
      <w:pPr>
        <w:pStyle w:val="5"/>
        <w:spacing w:line="248" w:lineRule="auto"/>
      </w:pPr>
    </w:p>
    <w:p w14:paraId="45B743B3">
      <w:pPr>
        <w:pStyle w:val="5"/>
        <w:spacing w:line="248" w:lineRule="auto"/>
      </w:pPr>
    </w:p>
    <w:p w14:paraId="4BD14B0D">
      <w:pPr>
        <w:pStyle w:val="5"/>
        <w:spacing w:line="248" w:lineRule="auto"/>
      </w:pPr>
    </w:p>
    <w:p w14:paraId="0C4A2639">
      <w:pPr>
        <w:spacing w:before="101" w:line="224" w:lineRule="auto"/>
        <w:ind w:left="2391"/>
        <w:outlineLvl w:val="0"/>
        <w:rPr>
          <w:rFonts w:ascii="黑体" w:hAnsi="黑体" w:eastAsia="黑体" w:cs="黑体"/>
          <w:sz w:val="31"/>
          <w:szCs w:val="31"/>
        </w:rPr>
      </w:pPr>
      <w:bookmarkStart w:id="1298" w:name="bookmark631"/>
      <w:bookmarkEnd w:id="1298"/>
      <w:bookmarkStart w:id="1299" w:name="bookmark405"/>
      <w:bookmarkEnd w:id="1299"/>
      <w:r>
        <w:rPr>
          <w:rFonts w:ascii="黑体" w:hAnsi="黑体" w:eastAsia="黑体" w:cs="黑体"/>
          <w:spacing w:val="7"/>
          <w:sz w:val="31"/>
          <w:szCs w:val="31"/>
        </w:rPr>
        <w:t>第七章  技术标准和要求</w:t>
      </w:r>
    </w:p>
    <w:p w14:paraId="566B8C4D">
      <w:pPr>
        <w:spacing w:line="224" w:lineRule="auto"/>
        <w:rPr>
          <w:rFonts w:ascii="黑体" w:hAnsi="黑体" w:eastAsia="黑体" w:cs="黑体"/>
          <w:sz w:val="31"/>
          <w:szCs w:val="31"/>
        </w:rPr>
        <w:sectPr>
          <w:footerReference r:id="rId180" w:type="default"/>
          <w:pgSz w:w="11905" w:h="16843"/>
          <w:pgMar w:top="969" w:right="1355" w:bottom="1026" w:left="1480" w:header="0" w:footer="754" w:gutter="0"/>
          <w:cols w:space="0" w:num="1"/>
          <w:rtlGutter w:val="0"/>
          <w:docGrid w:linePitch="0" w:charSpace="0"/>
        </w:sectPr>
      </w:pPr>
    </w:p>
    <w:p w14:paraId="72CE362E">
      <w:pPr>
        <w:pStyle w:val="5"/>
        <w:spacing w:line="249" w:lineRule="auto"/>
      </w:pPr>
    </w:p>
    <w:p w14:paraId="715C5ED4">
      <w:pPr>
        <w:pStyle w:val="5"/>
        <w:spacing w:line="249" w:lineRule="auto"/>
      </w:pPr>
    </w:p>
    <w:p w14:paraId="0C17A0B9">
      <w:pPr>
        <w:pStyle w:val="5"/>
        <w:spacing w:line="249" w:lineRule="auto"/>
      </w:pPr>
    </w:p>
    <w:p w14:paraId="46053962">
      <w:pPr>
        <w:pStyle w:val="5"/>
        <w:spacing w:line="249" w:lineRule="auto"/>
      </w:pPr>
    </w:p>
    <w:p w14:paraId="6AFFCB75">
      <w:pPr>
        <w:pStyle w:val="5"/>
        <w:spacing w:line="249" w:lineRule="auto"/>
      </w:pPr>
    </w:p>
    <w:p w14:paraId="6C49F6F8">
      <w:pPr>
        <w:spacing w:before="91" w:line="219" w:lineRule="auto"/>
        <w:ind w:left="2913"/>
        <w:rPr>
          <w:rFonts w:ascii="黑体" w:hAnsi="黑体" w:eastAsia="黑体" w:cs="黑体"/>
          <w:sz w:val="28"/>
          <w:szCs w:val="28"/>
        </w:rPr>
      </w:pPr>
      <w:bookmarkStart w:id="1300" w:name="bookmark632"/>
      <w:bookmarkEnd w:id="1300"/>
      <w:r>
        <w:rPr>
          <w:rFonts w:ascii="黑体" w:hAnsi="黑体" w:eastAsia="黑体" w:cs="黑体"/>
          <w:spacing w:val="-1"/>
          <w:sz w:val="28"/>
          <w:szCs w:val="28"/>
        </w:rPr>
        <w:t>第七章  技术标准和要求</w:t>
      </w:r>
    </w:p>
    <w:p w14:paraId="187C6E11">
      <w:pPr>
        <w:spacing w:before="307" w:line="219" w:lineRule="auto"/>
        <w:ind w:left="3403"/>
        <w:outlineLvl w:val="1"/>
        <w:rPr>
          <w:rFonts w:ascii="黑体" w:hAnsi="黑体" w:eastAsia="黑体" w:cs="黑体"/>
          <w:sz w:val="28"/>
          <w:szCs w:val="28"/>
        </w:rPr>
      </w:pPr>
      <w:bookmarkStart w:id="1301" w:name="bookmark406"/>
      <w:bookmarkEnd w:id="1301"/>
      <w:r>
        <w:rPr>
          <w:rFonts w:ascii="黑体" w:hAnsi="黑体" w:eastAsia="黑体" w:cs="黑体"/>
          <w:spacing w:val="-2"/>
          <w:sz w:val="28"/>
          <w:szCs w:val="28"/>
        </w:rPr>
        <w:t>第一节 一般要求</w:t>
      </w:r>
    </w:p>
    <w:p w14:paraId="607D4463">
      <w:pPr>
        <w:spacing w:before="67" w:line="232" w:lineRule="auto"/>
        <w:ind w:left="23"/>
        <w:outlineLvl w:val="2"/>
        <w:rPr>
          <w:rFonts w:ascii="黑体" w:hAnsi="黑体" w:eastAsia="黑体" w:cs="黑体"/>
          <w:sz w:val="28"/>
          <w:szCs w:val="28"/>
        </w:rPr>
      </w:pPr>
      <w:bookmarkStart w:id="1302" w:name="bookmark407"/>
      <w:bookmarkEnd w:id="1302"/>
      <w:r>
        <w:rPr>
          <w:rFonts w:ascii="Times New Roman" w:hAnsi="Times New Roman" w:eastAsia="Times New Roman" w:cs="Times New Roman"/>
          <w:spacing w:val="-5"/>
          <w:sz w:val="28"/>
          <w:szCs w:val="28"/>
        </w:rPr>
        <w:t>1.</w:t>
      </w:r>
      <w:r>
        <w:rPr>
          <w:rFonts w:ascii="黑体" w:hAnsi="黑体" w:eastAsia="黑体" w:cs="黑体"/>
          <w:spacing w:val="-5"/>
          <w:sz w:val="28"/>
          <w:szCs w:val="28"/>
        </w:rPr>
        <w:t>工程说明</w:t>
      </w:r>
    </w:p>
    <w:p w14:paraId="7F257C40">
      <w:pPr>
        <w:spacing w:before="170" w:line="219" w:lineRule="auto"/>
        <w:ind w:left="9"/>
        <w:rPr>
          <w:rFonts w:ascii="黑体" w:hAnsi="黑体" w:eastAsia="黑体" w:cs="黑体"/>
          <w:sz w:val="21"/>
          <w:szCs w:val="21"/>
        </w:rPr>
      </w:pPr>
      <w:r>
        <w:rPr>
          <w:rFonts w:ascii="黑体" w:hAnsi="黑体" w:eastAsia="黑体" w:cs="黑体"/>
          <w:spacing w:val="-4"/>
          <w:sz w:val="21"/>
          <w:szCs w:val="21"/>
        </w:rPr>
        <w:t>1.1</w:t>
      </w:r>
      <w:r>
        <w:rPr>
          <w:rFonts w:ascii="黑体" w:hAnsi="黑体" w:eastAsia="黑体" w:cs="黑体"/>
          <w:spacing w:val="-42"/>
          <w:sz w:val="21"/>
          <w:szCs w:val="21"/>
        </w:rPr>
        <w:t xml:space="preserve"> </w:t>
      </w:r>
      <w:r>
        <w:rPr>
          <w:rFonts w:ascii="黑体" w:hAnsi="黑体" w:eastAsia="黑体" w:cs="黑体"/>
          <w:spacing w:val="-4"/>
          <w:sz w:val="21"/>
          <w:szCs w:val="21"/>
        </w:rPr>
        <w:t>工程概况</w:t>
      </w:r>
    </w:p>
    <w:p w14:paraId="5F632F22">
      <w:pPr>
        <w:spacing w:before="190" w:line="220" w:lineRule="auto"/>
        <w:ind w:left="431"/>
        <w:rPr>
          <w:rFonts w:ascii="宋体" w:hAnsi="宋体" w:eastAsia="宋体" w:cs="宋体"/>
          <w:sz w:val="21"/>
          <w:szCs w:val="21"/>
        </w:rPr>
      </w:pPr>
      <w:r>
        <w:rPr>
          <w:rFonts w:ascii="宋体" w:hAnsi="宋体" w:eastAsia="宋体" w:cs="宋体"/>
          <w:spacing w:val="-3"/>
          <w:sz w:val="21"/>
          <w:szCs w:val="21"/>
        </w:rPr>
        <w:t>l.1.1  本工程基本情况如下：</w:t>
      </w:r>
    </w:p>
    <w:p w14:paraId="23899274">
      <w:pPr>
        <w:pStyle w:val="5"/>
        <w:spacing w:line="360" w:lineRule="auto"/>
      </w:pPr>
    </w:p>
    <w:p w14:paraId="33137D27">
      <w:pPr>
        <w:tabs>
          <w:tab w:val="left" w:pos="7865"/>
        </w:tabs>
        <w:spacing w:before="68" w:line="360" w:lineRule="auto"/>
        <w:ind w:left="0" w:leftChars="0" w:firstLine="420" w:firstLineChars="200"/>
        <w:rPr>
          <w:rFonts w:ascii="宋体" w:hAnsi="宋体" w:eastAsia="宋体" w:cs="宋体"/>
          <w:sz w:val="21"/>
          <w:szCs w:val="21"/>
          <w:u w:val="single" w:color="auto"/>
        </w:rPr>
      </w:pPr>
      <w:r>
        <w:rPr>
          <w:rFonts w:hint="eastAsia" w:ascii="宋体" w:hAnsi="宋体" w:eastAsia="宋体" w:cs="宋体"/>
          <w:sz w:val="21"/>
          <w:szCs w:val="21"/>
          <w:u w:val="single" w:color="auto"/>
          <w:lang w:val="en-US" w:eastAsia="zh-CN"/>
        </w:rPr>
        <w:t>实验室改造470平方米。改造内容包括实验室地面和门窗改造，给排水改造工程1项、电气改造工程1项、实验台柜改造1项，净化通风改造1项。购置并安装实验设备31台/套。其中，包括实验室洁净系统1套、酶标仪1台/套、多功能酶标仪1台、96针双板自动洗板机1台、实验室冷冻冷藏设备4台、低速台式离心机1台、高速冷冻离心机1台、电子天平1台、生化培养箱1台、连续自动分液器1台、电热恒温鼓风干燥箱1台、细胞成像计数系统1套、显微镜1台、微孔板振荡器1台、红外灭菌器3台、细菌鉴定及药敏分析系统1套、荧光定量 PCR 仪1台、高通量核酸提取仪 1套、移液器1套、组织研磨仪1台、高压灭菌器2台、细胞助吸器2台、掌上离心机1台、二氧化碳培养箱1台。</w:t>
      </w:r>
    </w:p>
    <w:p w14:paraId="4B263A0C">
      <w:pPr>
        <w:spacing w:before="198" w:line="220" w:lineRule="auto"/>
        <w:ind w:left="434"/>
        <w:rPr>
          <w:rFonts w:ascii="宋体" w:hAnsi="宋体" w:eastAsia="宋体" w:cs="宋体"/>
          <w:sz w:val="21"/>
          <w:szCs w:val="21"/>
        </w:rPr>
      </w:pPr>
      <w:r>
        <w:rPr>
          <w:rFonts w:ascii="宋体" w:hAnsi="宋体" w:eastAsia="宋体" w:cs="宋体"/>
          <w:spacing w:val="-1"/>
          <w:sz w:val="21"/>
          <w:szCs w:val="21"/>
        </w:rPr>
        <w:t>1.1.2  本工程施工场地（现场）具体地理位置如下：</w:t>
      </w:r>
    </w:p>
    <w:p w14:paraId="536E668D">
      <w:pPr>
        <w:pStyle w:val="5"/>
        <w:spacing w:line="286" w:lineRule="auto"/>
      </w:pPr>
    </w:p>
    <w:p w14:paraId="4B91B25B">
      <w:pPr>
        <w:tabs>
          <w:tab w:val="left" w:pos="7865"/>
        </w:tabs>
        <w:spacing w:before="69" w:line="360" w:lineRule="auto"/>
        <w:ind w:left="727"/>
        <w:rPr>
          <w:rFonts w:ascii="宋体" w:hAnsi="宋体" w:eastAsia="宋体" w:cs="宋体"/>
          <w:sz w:val="21"/>
          <w:szCs w:val="21"/>
        </w:rPr>
      </w:pPr>
      <w:r>
        <w:rPr>
          <w:rFonts w:hint="eastAsia" w:ascii="宋体" w:hAnsi="宋体" w:eastAsia="宋体" w:cs="宋体"/>
          <w:sz w:val="21"/>
          <w:szCs w:val="21"/>
          <w:u w:val="single" w:color="auto"/>
          <w:lang w:val="en-US" w:eastAsia="zh-CN"/>
        </w:rPr>
        <w:t>辽宁省营口市西市区青花大街西30-2号</w:t>
      </w:r>
      <w:r>
        <w:rPr>
          <w:rFonts w:ascii="宋体" w:hAnsi="宋体" w:eastAsia="宋体" w:cs="宋体"/>
          <w:sz w:val="21"/>
          <w:szCs w:val="21"/>
          <w:u w:val="single" w:color="auto"/>
        </w:rPr>
        <w:tab/>
      </w:r>
      <w:r>
        <w:rPr>
          <w:rFonts w:ascii="宋体" w:hAnsi="宋体" w:eastAsia="宋体" w:cs="宋体"/>
          <w:sz w:val="21"/>
          <w:szCs w:val="21"/>
        </w:rPr>
        <w:t>。</w:t>
      </w:r>
    </w:p>
    <w:p w14:paraId="5C302901">
      <w:pPr>
        <w:spacing w:before="237" w:line="220" w:lineRule="auto"/>
        <w:ind w:left="9"/>
        <w:rPr>
          <w:rFonts w:ascii="黑体" w:hAnsi="黑体" w:eastAsia="黑体" w:cs="黑体"/>
          <w:sz w:val="21"/>
          <w:szCs w:val="21"/>
        </w:rPr>
      </w:pPr>
      <w:r>
        <w:rPr>
          <w:rFonts w:ascii="黑体" w:hAnsi="黑体" w:eastAsia="黑体" w:cs="黑体"/>
          <w:spacing w:val="-2"/>
          <w:sz w:val="21"/>
          <w:szCs w:val="21"/>
        </w:rPr>
        <w:t>1.2</w:t>
      </w:r>
      <w:r>
        <w:rPr>
          <w:rFonts w:ascii="黑体" w:hAnsi="黑体" w:eastAsia="黑体" w:cs="黑体"/>
          <w:spacing w:val="-44"/>
          <w:sz w:val="21"/>
          <w:szCs w:val="21"/>
        </w:rPr>
        <w:t xml:space="preserve"> </w:t>
      </w:r>
      <w:r>
        <w:rPr>
          <w:rFonts w:ascii="黑体" w:hAnsi="黑体" w:eastAsia="黑体" w:cs="黑体"/>
          <w:spacing w:val="-2"/>
          <w:sz w:val="21"/>
          <w:szCs w:val="21"/>
        </w:rPr>
        <w:t>现场条件和周围环境</w:t>
      </w:r>
    </w:p>
    <w:p w14:paraId="176658A0">
      <w:pPr>
        <w:spacing w:before="189" w:line="220" w:lineRule="auto"/>
        <w:ind w:left="434"/>
        <w:rPr>
          <w:rFonts w:ascii="宋体" w:hAnsi="宋体" w:eastAsia="宋体" w:cs="宋体"/>
          <w:sz w:val="21"/>
          <w:szCs w:val="21"/>
        </w:rPr>
      </w:pPr>
      <w:r>
        <w:rPr>
          <w:rFonts w:ascii="宋体" w:hAnsi="宋体" w:eastAsia="宋体" w:cs="宋体"/>
          <w:spacing w:val="1"/>
          <w:sz w:val="21"/>
          <w:szCs w:val="21"/>
        </w:rPr>
        <w:t>1.2.1 本工程施工场地（现场）已经具备施工条件。施工场地（现场）临时水源接口位</w:t>
      </w:r>
      <w:r>
        <w:rPr>
          <w:rFonts w:ascii="宋体" w:hAnsi="宋体" w:eastAsia="宋体" w:cs="宋体"/>
          <w:sz w:val="21"/>
          <w:szCs w:val="21"/>
        </w:rPr>
        <w:t>置、</w:t>
      </w:r>
    </w:p>
    <w:p w14:paraId="1AA91488">
      <w:pPr>
        <w:spacing w:before="180" w:line="379" w:lineRule="auto"/>
        <w:ind w:firstLine="10"/>
        <w:rPr>
          <w:rFonts w:ascii="宋体" w:hAnsi="宋体" w:eastAsia="宋体" w:cs="宋体"/>
          <w:sz w:val="21"/>
          <w:szCs w:val="21"/>
        </w:rPr>
      </w:pPr>
      <w:r>
        <w:rPr>
          <w:rFonts w:ascii="宋体" w:hAnsi="宋体" w:eastAsia="宋体" w:cs="宋体"/>
          <w:spacing w:val="1"/>
          <w:sz w:val="21"/>
          <w:szCs w:val="21"/>
        </w:rPr>
        <w:t>临时电源接口位置、临时排污口位置、建筑红线位置、道路交通和出入口、以及施工场地（现场）</w:t>
      </w:r>
      <w:r>
        <w:rPr>
          <w:rFonts w:ascii="宋体" w:hAnsi="宋体" w:eastAsia="宋体" w:cs="宋体"/>
          <w:spacing w:val="-1"/>
          <w:sz w:val="21"/>
          <w:szCs w:val="21"/>
        </w:rPr>
        <w:t>和周围环境等情况见本章附件</w:t>
      </w:r>
      <w:r>
        <w:rPr>
          <w:rFonts w:ascii="宋体" w:hAnsi="宋体" w:eastAsia="宋体" w:cs="宋体"/>
          <w:spacing w:val="-43"/>
          <w:sz w:val="21"/>
          <w:szCs w:val="21"/>
        </w:rPr>
        <w:t xml:space="preserve"> </w:t>
      </w:r>
      <w:r>
        <w:rPr>
          <w:rFonts w:ascii="宋体" w:hAnsi="宋体" w:eastAsia="宋体" w:cs="宋体"/>
          <w:spacing w:val="-1"/>
          <w:sz w:val="21"/>
          <w:szCs w:val="21"/>
        </w:rPr>
        <w:t>A：施工场地（现场）现状平面图。</w:t>
      </w:r>
    </w:p>
    <w:p w14:paraId="3486741C">
      <w:pPr>
        <w:spacing w:before="37" w:line="220" w:lineRule="auto"/>
        <w:ind w:left="434"/>
        <w:rPr>
          <w:rFonts w:ascii="宋体" w:hAnsi="宋体" w:eastAsia="宋体" w:cs="宋体"/>
          <w:sz w:val="21"/>
          <w:szCs w:val="21"/>
        </w:rPr>
      </w:pPr>
      <w:r>
        <w:rPr>
          <w:rFonts w:ascii="宋体" w:hAnsi="宋体" w:eastAsia="宋体" w:cs="宋体"/>
          <w:sz w:val="21"/>
          <w:szCs w:val="21"/>
        </w:rPr>
        <w:t>1.2.2</w:t>
      </w:r>
      <w:r>
        <w:rPr>
          <w:rFonts w:ascii="宋体" w:hAnsi="宋体" w:eastAsia="宋体" w:cs="宋体"/>
          <w:spacing w:val="-47"/>
          <w:sz w:val="21"/>
          <w:szCs w:val="21"/>
        </w:rPr>
        <w:t xml:space="preserve"> </w:t>
      </w:r>
      <w:r>
        <w:rPr>
          <w:rFonts w:ascii="宋体" w:hAnsi="宋体" w:eastAsia="宋体" w:cs="宋体"/>
          <w:sz w:val="21"/>
          <w:szCs w:val="21"/>
        </w:rPr>
        <w:t>施工场地（现场）临时供水管径</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B0C07B0">
      <w:pPr>
        <w:spacing w:before="230" w:line="221" w:lineRule="auto"/>
        <w:ind w:left="943"/>
        <w:rPr>
          <w:rFonts w:ascii="宋体" w:hAnsi="宋体" w:eastAsia="宋体" w:cs="宋体"/>
          <w:sz w:val="21"/>
          <w:szCs w:val="21"/>
        </w:rPr>
      </w:pPr>
      <w:r>
        <w:rPr>
          <w:rFonts w:ascii="宋体" w:hAnsi="宋体" w:eastAsia="宋体" w:cs="宋体"/>
          <w:sz w:val="21"/>
          <w:szCs w:val="21"/>
        </w:rPr>
        <w:t>施工场地（现场）临时排污管径</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C9DA530">
      <w:pPr>
        <w:spacing w:before="229" w:line="221" w:lineRule="auto"/>
        <w:ind w:left="900"/>
        <w:rPr>
          <w:rFonts w:ascii="宋体" w:hAnsi="宋体" w:eastAsia="宋体" w:cs="宋体"/>
          <w:sz w:val="21"/>
          <w:szCs w:val="21"/>
        </w:rPr>
      </w:pPr>
      <w:r>
        <w:rPr>
          <w:rFonts w:ascii="宋体" w:hAnsi="宋体" w:eastAsia="宋体" w:cs="宋体"/>
          <w:sz w:val="21"/>
          <w:szCs w:val="21"/>
        </w:rPr>
        <w:t>施工场地（现场）临时雨水管径</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10C1ADF">
      <w:pPr>
        <w:spacing w:before="229" w:line="220" w:lineRule="auto"/>
        <w:ind w:left="965"/>
        <w:rPr>
          <w:rFonts w:ascii="宋体" w:hAnsi="宋体" w:eastAsia="宋体" w:cs="宋体"/>
          <w:sz w:val="21"/>
          <w:szCs w:val="21"/>
        </w:rPr>
      </w:pPr>
      <w:r>
        <w:rPr>
          <w:rFonts w:ascii="宋体" w:hAnsi="宋体" w:eastAsia="宋体" w:cs="宋体"/>
          <w:sz w:val="21"/>
          <w:szCs w:val="21"/>
        </w:rPr>
        <w:t>施工现场临时供电容量（变压器输出功率）</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E4A8C1E">
      <w:pPr>
        <w:spacing w:before="188" w:line="221" w:lineRule="auto"/>
        <w:ind w:left="434"/>
        <w:rPr>
          <w:rFonts w:ascii="宋体" w:hAnsi="宋体" w:eastAsia="宋体" w:cs="宋体"/>
          <w:sz w:val="21"/>
          <w:szCs w:val="21"/>
        </w:rPr>
      </w:pPr>
      <w:r>
        <w:rPr>
          <w:rFonts w:ascii="宋体" w:hAnsi="宋体" w:eastAsia="宋体" w:cs="宋体"/>
          <w:spacing w:val="-2"/>
          <w:sz w:val="21"/>
          <w:szCs w:val="21"/>
        </w:rPr>
        <w:t>1.2.3</w:t>
      </w:r>
      <w:r>
        <w:rPr>
          <w:rFonts w:ascii="宋体" w:hAnsi="宋体" w:eastAsia="宋体" w:cs="宋体"/>
          <w:spacing w:val="-45"/>
          <w:sz w:val="21"/>
          <w:szCs w:val="21"/>
        </w:rPr>
        <w:t xml:space="preserve"> </w:t>
      </w:r>
      <w:r>
        <w:rPr>
          <w:rFonts w:ascii="宋体" w:hAnsi="宋体" w:eastAsia="宋体" w:cs="宋体"/>
          <w:spacing w:val="-2"/>
          <w:sz w:val="21"/>
          <w:szCs w:val="21"/>
        </w:rPr>
        <w:t>现场条件和周围环境的其他资料和信</w:t>
      </w:r>
      <w:r>
        <w:rPr>
          <w:rFonts w:ascii="宋体" w:hAnsi="宋体" w:eastAsia="宋体" w:cs="宋体"/>
          <w:spacing w:val="-3"/>
          <w:sz w:val="21"/>
          <w:szCs w:val="21"/>
        </w:rPr>
        <w:t>息数据如下：</w:t>
      </w:r>
    </w:p>
    <w:p w14:paraId="70E4379A">
      <w:pPr>
        <w:pStyle w:val="5"/>
        <w:spacing w:line="254" w:lineRule="auto"/>
      </w:pPr>
    </w:p>
    <w:p w14:paraId="4CA24E06">
      <w:pPr>
        <w:pStyle w:val="5"/>
        <w:spacing w:line="254" w:lineRule="auto"/>
      </w:pPr>
    </w:p>
    <w:p w14:paraId="74CAF368">
      <w:pPr>
        <w:pStyle w:val="5"/>
        <w:spacing w:line="255" w:lineRule="auto"/>
      </w:pPr>
    </w:p>
    <w:p w14:paraId="09EAE40E">
      <w:pPr>
        <w:tabs>
          <w:tab w:val="left" w:pos="7865"/>
        </w:tabs>
        <w:spacing w:before="68" w:line="93" w:lineRule="auto"/>
        <w:ind w:left="72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6F9670E5">
      <w:pPr>
        <w:spacing w:before="199" w:line="381" w:lineRule="auto"/>
        <w:ind w:left="419" w:right="957" w:firstLine="15"/>
        <w:rPr>
          <w:rFonts w:ascii="宋体" w:hAnsi="宋体" w:eastAsia="宋体" w:cs="宋体"/>
          <w:sz w:val="21"/>
          <w:szCs w:val="21"/>
        </w:rPr>
      </w:pPr>
      <w:r>
        <w:rPr>
          <w:rFonts w:ascii="宋体" w:hAnsi="宋体" w:eastAsia="宋体" w:cs="宋体"/>
          <w:spacing w:val="-1"/>
          <w:sz w:val="21"/>
          <w:szCs w:val="21"/>
        </w:rPr>
        <w:t>1.2.4</w:t>
      </w:r>
      <w:r>
        <w:rPr>
          <w:rFonts w:ascii="宋体" w:hAnsi="宋体" w:eastAsia="宋体" w:cs="宋体"/>
          <w:spacing w:val="-32"/>
          <w:sz w:val="21"/>
          <w:szCs w:val="21"/>
        </w:rPr>
        <w:t xml:space="preserve"> </w:t>
      </w:r>
      <w:r>
        <w:rPr>
          <w:rFonts w:ascii="宋体" w:hAnsi="宋体" w:eastAsia="宋体" w:cs="宋体"/>
          <w:spacing w:val="-1"/>
          <w:sz w:val="21"/>
          <w:szCs w:val="21"/>
        </w:rPr>
        <w:t>承包人被认为已在本工程投标阶段踏勘现场时充分了解本工程现场条件和周围环境，并已在其投标时就此给予了充分的考虑。</w:t>
      </w:r>
    </w:p>
    <w:p w14:paraId="24F03598">
      <w:pPr>
        <w:spacing w:before="34" w:line="220" w:lineRule="auto"/>
        <w:ind w:left="9"/>
        <w:rPr>
          <w:rFonts w:ascii="黑体" w:hAnsi="黑体" w:eastAsia="黑体" w:cs="黑体"/>
          <w:sz w:val="21"/>
          <w:szCs w:val="21"/>
        </w:rPr>
      </w:pPr>
      <w:r>
        <w:rPr>
          <w:rFonts w:ascii="黑体" w:hAnsi="黑体" w:eastAsia="黑体" w:cs="黑体"/>
          <w:spacing w:val="-3"/>
          <w:sz w:val="21"/>
          <w:szCs w:val="21"/>
        </w:rPr>
        <w:t>1.3</w:t>
      </w:r>
      <w:r>
        <w:rPr>
          <w:rFonts w:ascii="黑体" w:hAnsi="黑体" w:eastAsia="黑体" w:cs="黑体"/>
          <w:spacing w:val="-39"/>
          <w:sz w:val="21"/>
          <w:szCs w:val="21"/>
        </w:rPr>
        <w:t xml:space="preserve"> </w:t>
      </w:r>
      <w:r>
        <w:rPr>
          <w:rFonts w:ascii="黑体" w:hAnsi="黑体" w:eastAsia="黑体" w:cs="黑体"/>
          <w:spacing w:val="-3"/>
          <w:sz w:val="21"/>
          <w:szCs w:val="21"/>
        </w:rPr>
        <w:t>地质及水文资料</w:t>
      </w:r>
    </w:p>
    <w:p w14:paraId="1AE0EC3E">
      <w:pPr>
        <w:spacing w:before="189" w:line="221" w:lineRule="auto"/>
        <w:ind w:left="434"/>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32"/>
          <w:sz w:val="21"/>
          <w:szCs w:val="21"/>
        </w:rPr>
        <w:t xml:space="preserve"> </w:t>
      </w:r>
      <w:r>
        <w:rPr>
          <w:rFonts w:ascii="宋体" w:hAnsi="宋体" w:eastAsia="宋体" w:cs="宋体"/>
          <w:spacing w:val="-3"/>
          <w:sz w:val="21"/>
          <w:szCs w:val="21"/>
        </w:rPr>
        <w:t>现场地质及水文资料和信息数据如下：</w:t>
      </w:r>
    </w:p>
    <w:p w14:paraId="1429C288">
      <w:pPr>
        <w:pStyle w:val="5"/>
        <w:spacing w:line="254" w:lineRule="auto"/>
      </w:pPr>
    </w:p>
    <w:p w14:paraId="5FEE3C28">
      <w:pPr>
        <w:pStyle w:val="5"/>
        <w:spacing w:line="254" w:lineRule="auto"/>
      </w:pPr>
    </w:p>
    <w:p w14:paraId="3DA3E391">
      <w:pPr>
        <w:pStyle w:val="5"/>
        <w:spacing w:line="254" w:lineRule="auto"/>
      </w:pPr>
    </w:p>
    <w:p w14:paraId="23C8A4FA">
      <w:pPr>
        <w:spacing w:before="69" w:line="46" w:lineRule="exact"/>
        <w:ind w:left="7895"/>
        <w:rPr>
          <w:rFonts w:ascii="宋体" w:hAnsi="宋体" w:eastAsia="宋体" w:cs="宋体"/>
          <w:sz w:val="21"/>
          <w:szCs w:val="21"/>
        </w:rPr>
      </w:pPr>
      <w:r>
        <w:pict>
          <v:shape id="_x0000_s1131" o:spid="_x0000_s1131" o:spt="202" type="#_x0000_t202" style="position:absolute;left:0pt;margin-left:35.35pt;margin-top:-3.35pt;height:14.1pt;width:358.95pt;z-index:251661312;mso-width-relative:page;mso-height-relative:page;" filled="f" stroked="f" coordsize="21600,21600">
            <v:path/>
            <v:fill on="f" focussize="0,0"/>
            <v:stroke on="f"/>
            <v:imagedata o:title=""/>
            <o:lock v:ext="edit" aspectratio="f"/>
            <v:textbox inset="0mm,0mm,0mm,0mm">
              <w:txbxContent>
                <w:p w14:paraId="0669A445">
                  <w:pPr>
                    <w:pStyle w:val="5"/>
                    <w:tabs>
                      <w:tab w:val="left" w:pos="7157"/>
                    </w:tabs>
                    <w:spacing w:before="19"/>
                    <w:ind w:left="20"/>
                  </w:pPr>
                  <w:r>
                    <w:rPr>
                      <w:u w:val="single" w:color="auto"/>
                    </w:rPr>
                    <w:tab/>
                  </w:r>
                </w:p>
              </w:txbxContent>
            </v:textbox>
          </v:shape>
        </w:pict>
      </w:r>
      <w:r>
        <w:rPr>
          <w:rFonts w:ascii="宋体" w:hAnsi="宋体" w:eastAsia="宋体" w:cs="宋体"/>
          <w:position w:val="-1"/>
          <w:sz w:val="21"/>
          <w:szCs w:val="21"/>
        </w:rPr>
        <w:t>。</w:t>
      </w:r>
    </w:p>
    <w:p w14:paraId="71609F74">
      <w:pPr>
        <w:spacing w:before="211" w:line="219" w:lineRule="auto"/>
        <w:ind w:left="12"/>
        <w:rPr>
          <w:rFonts w:ascii="黑体" w:hAnsi="黑体" w:eastAsia="黑体" w:cs="黑体"/>
          <w:sz w:val="24"/>
          <w:szCs w:val="24"/>
        </w:rPr>
      </w:pPr>
      <w:r>
        <w:rPr>
          <w:rFonts w:ascii="黑体" w:hAnsi="黑体" w:eastAsia="黑体" w:cs="黑体"/>
          <w:spacing w:val="-4"/>
          <w:sz w:val="24"/>
          <w:szCs w:val="24"/>
        </w:rPr>
        <w:t>1.4</w:t>
      </w:r>
      <w:r>
        <w:rPr>
          <w:rFonts w:ascii="黑体" w:hAnsi="黑体" w:eastAsia="黑体" w:cs="黑体"/>
          <w:spacing w:val="-37"/>
          <w:sz w:val="24"/>
          <w:szCs w:val="24"/>
        </w:rPr>
        <w:t xml:space="preserve"> </w:t>
      </w:r>
      <w:r>
        <w:rPr>
          <w:rFonts w:ascii="黑体" w:hAnsi="黑体" w:eastAsia="黑体" w:cs="黑体"/>
          <w:spacing w:val="-4"/>
          <w:sz w:val="24"/>
          <w:szCs w:val="24"/>
        </w:rPr>
        <w:t>资料和信息的使用</w:t>
      </w:r>
    </w:p>
    <w:p w14:paraId="29181361">
      <w:pPr>
        <w:spacing w:before="163" w:line="379" w:lineRule="auto"/>
        <w:ind w:right="200" w:firstLine="434"/>
        <w:jc w:val="both"/>
        <w:rPr>
          <w:rFonts w:ascii="宋体" w:hAnsi="宋体" w:eastAsia="宋体" w:cs="宋体"/>
          <w:sz w:val="21"/>
          <w:szCs w:val="21"/>
        </w:rPr>
      </w:pPr>
      <w:r>
        <w:rPr>
          <w:rFonts w:ascii="宋体" w:hAnsi="宋体" w:eastAsia="宋体" w:cs="宋体"/>
          <w:spacing w:val="1"/>
          <w:sz w:val="21"/>
          <w:szCs w:val="21"/>
        </w:rPr>
        <w:t>1.4.1 合同文件中载明的涉及本工程现场条件、周围环境、地质及水文等情况的资料和信息</w:t>
      </w:r>
      <w:r>
        <w:rPr>
          <w:rFonts w:ascii="宋体" w:hAnsi="宋体" w:eastAsia="宋体" w:cs="宋体"/>
          <w:spacing w:val="2"/>
          <w:sz w:val="21"/>
          <w:szCs w:val="21"/>
        </w:rPr>
        <w:t>数据，是发包人现有的和客观的，发包人保证有关资料和信息数据</w:t>
      </w:r>
      <w:r>
        <w:rPr>
          <w:rFonts w:ascii="宋体" w:hAnsi="宋体" w:eastAsia="宋体" w:cs="宋体"/>
          <w:spacing w:val="1"/>
          <w:sz w:val="21"/>
          <w:szCs w:val="21"/>
        </w:rPr>
        <w:t>的真实、准确。但承包人据此</w:t>
      </w:r>
      <w:r>
        <w:rPr>
          <w:rFonts w:ascii="宋体" w:hAnsi="宋体" w:eastAsia="宋体" w:cs="宋体"/>
          <w:spacing w:val="-1"/>
          <w:sz w:val="21"/>
          <w:szCs w:val="21"/>
        </w:rPr>
        <w:t>作出的推论、判断和决策，由承包人自行负责。</w:t>
      </w:r>
    </w:p>
    <w:p w14:paraId="0882819A">
      <w:pPr>
        <w:spacing w:line="379" w:lineRule="auto"/>
        <w:rPr>
          <w:rFonts w:ascii="宋体" w:hAnsi="宋体" w:eastAsia="宋体" w:cs="宋体"/>
          <w:sz w:val="21"/>
          <w:szCs w:val="21"/>
        </w:rPr>
        <w:sectPr>
          <w:footerReference r:id="rId181" w:type="default"/>
          <w:pgSz w:w="11905" w:h="16843"/>
          <w:pgMar w:top="969" w:right="1355" w:bottom="1026" w:left="1480" w:header="0" w:footer="754" w:gutter="0"/>
          <w:cols w:space="0" w:num="1"/>
          <w:rtlGutter w:val="0"/>
          <w:docGrid w:linePitch="0" w:charSpace="0"/>
        </w:sectPr>
      </w:pPr>
    </w:p>
    <w:p w14:paraId="3399CE82">
      <w:pPr>
        <w:pStyle w:val="5"/>
        <w:spacing w:line="256" w:lineRule="auto"/>
      </w:pPr>
    </w:p>
    <w:p w14:paraId="02FE4859">
      <w:pPr>
        <w:pStyle w:val="5"/>
        <w:spacing w:line="256" w:lineRule="auto"/>
      </w:pPr>
    </w:p>
    <w:p w14:paraId="6CFF71CD">
      <w:pPr>
        <w:pStyle w:val="5"/>
        <w:spacing w:line="256" w:lineRule="auto"/>
      </w:pPr>
    </w:p>
    <w:p w14:paraId="7D2575D2">
      <w:pPr>
        <w:pStyle w:val="5"/>
        <w:spacing w:line="256" w:lineRule="auto"/>
      </w:pPr>
    </w:p>
    <w:p w14:paraId="74911B07">
      <w:pPr>
        <w:pStyle w:val="5"/>
        <w:spacing w:line="256" w:lineRule="auto"/>
      </w:pPr>
    </w:p>
    <w:p w14:paraId="1BE6DABB">
      <w:pPr>
        <w:spacing w:before="91" w:line="234" w:lineRule="auto"/>
        <w:outlineLvl w:val="2"/>
        <w:rPr>
          <w:rFonts w:ascii="黑体" w:hAnsi="黑体" w:eastAsia="黑体" w:cs="黑体"/>
          <w:sz w:val="28"/>
          <w:szCs w:val="28"/>
        </w:rPr>
      </w:pPr>
      <w:bookmarkStart w:id="1303" w:name="bookmark408"/>
      <w:bookmarkEnd w:id="1303"/>
      <w:bookmarkStart w:id="1304" w:name="bookmark633"/>
      <w:bookmarkEnd w:id="1304"/>
      <w:r>
        <w:rPr>
          <w:rFonts w:ascii="Times New Roman" w:hAnsi="Times New Roman" w:eastAsia="Times New Roman" w:cs="Times New Roman"/>
          <w:spacing w:val="-1"/>
          <w:sz w:val="28"/>
          <w:szCs w:val="28"/>
        </w:rPr>
        <w:t>2.</w:t>
      </w:r>
      <w:r>
        <w:rPr>
          <w:rFonts w:ascii="黑体" w:hAnsi="黑体" w:eastAsia="黑体" w:cs="黑体"/>
          <w:spacing w:val="-1"/>
          <w:sz w:val="28"/>
          <w:szCs w:val="28"/>
        </w:rPr>
        <w:t>承包范围</w:t>
      </w:r>
    </w:p>
    <w:p w14:paraId="529579DD">
      <w:pPr>
        <w:spacing w:before="80" w:line="220" w:lineRule="auto"/>
        <w:ind w:left="1"/>
        <w:rPr>
          <w:rFonts w:ascii="黑体" w:hAnsi="黑体" w:eastAsia="黑体" w:cs="黑体"/>
          <w:sz w:val="24"/>
          <w:szCs w:val="24"/>
        </w:rPr>
      </w:pPr>
      <w:r>
        <w:rPr>
          <w:rFonts w:ascii="黑体" w:hAnsi="黑体" w:eastAsia="黑体" w:cs="黑体"/>
          <w:spacing w:val="-2"/>
          <w:sz w:val="24"/>
          <w:szCs w:val="24"/>
        </w:rPr>
        <w:t>2.1</w:t>
      </w:r>
      <w:r>
        <w:rPr>
          <w:rFonts w:ascii="黑体" w:hAnsi="黑体" w:eastAsia="黑体" w:cs="黑体"/>
          <w:spacing w:val="-52"/>
          <w:sz w:val="24"/>
          <w:szCs w:val="24"/>
        </w:rPr>
        <w:t xml:space="preserve"> </w:t>
      </w:r>
      <w:r>
        <w:rPr>
          <w:rFonts w:ascii="黑体" w:hAnsi="黑体" w:eastAsia="黑体" w:cs="黑体"/>
          <w:spacing w:val="-2"/>
          <w:sz w:val="24"/>
          <w:szCs w:val="24"/>
        </w:rPr>
        <w:t>承包范围</w:t>
      </w:r>
    </w:p>
    <w:p w14:paraId="148DDEC7">
      <w:pPr>
        <w:spacing w:before="139" w:line="220" w:lineRule="auto"/>
        <w:rPr>
          <w:rFonts w:ascii="黑体" w:hAnsi="黑体" w:eastAsia="黑体" w:cs="黑体"/>
          <w:sz w:val="21"/>
          <w:szCs w:val="21"/>
        </w:rPr>
      </w:pPr>
      <w:r>
        <w:rPr>
          <w:rFonts w:ascii="黑体" w:hAnsi="黑体" w:eastAsia="黑体" w:cs="黑体"/>
          <w:spacing w:val="-1"/>
          <w:sz w:val="21"/>
          <w:szCs w:val="21"/>
        </w:rPr>
        <w:t>2.1.1</w:t>
      </w:r>
      <w:r>
        <w:rPr>
          <w:rFonts w:ascii="黑体" w:hAnsi="黑体" w:eastAsia="黑体" w:cs="黑体"/>
          <w:spacing w:val="-43"/>
          <w:sz w:val="21"/>
          <w:szCs w:val="21"/>
        </w:rPr>
        <w:t xml:space="preserve"> </w:t>
      </w:r>
      <w:r>
        <w:rPr>
          <w:rFonts w:ascii="黑体" w:hAnsi="黑体" w:eastAsia="黑体" w:cs="黑体"/>
          <w:spacing w:val="-1"/>
          <w:sz w:val="21"/>
          <w:szCs w:val="21"/>
        </w:rPr>
        <w:t>承包人自行施工范围</w:t>
      </w:r>
    </w:p>
    <w:p w14:paraId="4651150E">
      <w:pPr>
        <w:spacing w:before="172" w:line="220" w:lineRule="auto"/>
        <w:ind w:left="739"/>
        <w:rPr>
          <w:rFonts w:ascii="宋体" w:hAnsi="宋体" w:eastAsia="宋体" w:cs="宋体"/>
          <w:sz w:val="21"/>
          <w:szCs w:val="21"/>
        </w:rPr>
      </w:pPr>
      <w:r>
        <w:rPr>
          <w:rFonts w:ascii="宋体" w:hAnsi="宋体" w:eastAsia="宋体" w:cs="宋体"/>
          <w:spacing w:val="-1"/>
          <w:sz w:val="21"/>
          <w:szCs w:val="21"/>
        </w:rPr>
        <w:t>本工程承包人自行施工的工程范围如下：</w:t>
      </w:r>
    </w:p>
    <w:p w14:paraId="1877ACD1">
      <w:pPr>
        <w:pStyle w:val="5"/>
        <w:spacing w:line="303" w:lineRule="auto"/>
      </w:pPr>
    </w:p>
    <w:p w14:paraId="55D22592">
      <w:pPr>
        <w:tabs>
          <w:tab w:val="left" w:pos="7865"/>
        </w:tabs>
        <w:spacing w:before="68" w:line="360" w:lineRule="auto"/>
        <w:ind w:left="0" w:leftChars="0" w:firstLine="420" w:firstLineChars="200"/>
        <w:rPr>
          <w:rFonts w:ascii="宋体" w:hAnsi="宋体" w:eastAsia="宋体" w:cs="宋体"/>
          <w:sz w:val="21"/>
          <w:szCs w:val="21"/>
        </w:rPr>
      </w:pPr>
      <w:r>
        <w:rPr>
          <w:rFonts w:hint="eastAsia" w:ascii="宋体" w:hAnsi="宋体" w:eastAsia="宋体" w:cs="宋体"/>
          <w:sz w:val="21"/>
          <w:szCs w:val="21"/>
          <w:u w:val="single" w:color="auto"/>
          <w:lang w:val="en-US" w:eastAsia="zh-CN"/>
        </w:rPr>
        <w:t>实验室改造470平方米。改造内容包括实验室地面和门窗改造，给排水改造工程1项、电气改造工程1项、实验台柜改造1项，净化通风改造1项。购置并安装实验设备31台/套。其中，包括实验室洁净系统1套、酶标仪1台/套、多功能酶标仪1台、96针双板自动洗板机1台、实验室冷冻冷藏设备4台、低速台式离心机1台、高速冷冻离心机1台、电子天平1台、生化培养箱1台、连续自动分液器1台、电热恒温鼓风干燥箱1台、细胞成像计数系统1套、显微镜1台、微孔板振荡器1台、红外灭菌器3台、细菌鉴定及药敏分析系统1套、荧光定量 PCR 仪1台、高通量核酸提取仪 1套、移液器1套、组织研磨仪1台、高压灭菌器2台、细胞助吸器2台、掌上离心机1台、二氧化碳培养箱1台。</w:t>
      </w:r>
    </w:p>
    <w:p w14:paraId="63E0A759">
      <w:pPr>
        <w:spacing w:before="177" w:line="220" w:lineRule="auto"/>
        <w:rPr>
          <w:rFonts w:ascii="黑体" w:hAnsi="黑体" w:eastAsia="黑体" w:cs="黑体"/>
          <w:sz w:val="21"/>
          <w:szCs w:val="21"/>
        </w:rPr>
      </w:pPr>
      <w:r>
        <w:rPr>
          <w:rFonts w:ascii="黑体" w:hAnsi="黑体" w:eastAsia="黑体" w:cs="黑体"/>
          <w:spacing w:val="-1"/>
          <w:sz w:val="21"/>
          <w:szCs w:val="21"/>
        </w:rPr>
        <w:t>2.1.2 承包范围内的暂估价项目</w:t>
      </w:r>
    </w:p>
    <w:p w14:paraId="0E5E364C">
      <w:pPr>
        <w:spacing w:before="174" w:line="298" w:lineRule="auto"/>
        <w:ind w:left="4" w:right="2" w:firstLine="420"/>
        <w:rPr>
          <w:rFonts w:ascii="宋体" w:hAnsi="宋体" w:eastAsia="宋体" w:cs="宋体"/>
          <w:sz w:val="21"/>
          <w:szCs w:val="21"/>
        </w:rPr>
      </w:pPr>
      <w:r>
        <w:rPr>
          <w:rFonts w:ascii="宋体" w:hAnsi="宋体" w:eastAsia="宋体" w:cs="宋体"/>
          <w:sz w:val="21"/>
          <w:szCs w:val="21"/>
        </w:rPr>
        <w:t>2.1.2.1</w:t>
      </w:r>
      <w:r>
        <w:rPr>
          <w:rFonts w:ascii="宋体" w:hAnsi="宋体" w:eastAsia="宋体" w:cs="宋体"/>
          <w:spacing w:val="-56"/>
          <w:sz w:val="21"/>
          <w:szCs w:val="21"/>
        </w:rPr>
        <w:t xml:space="preserve"> </w:t>
      </w:r>
      <w:r>
        <w:rPr>
          <w:rFonts w:ascii="宋体" w:hAnsi="宋体" w:eastAsia="宋体" w:cs="宋体"/>
          <w:sz w:val="21"/>
          <w:szCs w:val="21"/>
        </w:rPr>
        <w:t>承包范围内以暂估价形式实施的专业工</w:t>
      </w:r>
      <w:r>
        <w:rPr>
          <w:rFonts w:ascii="宋体" w:hAnsi="宋体" w:eastAsia="宋体" w:cs="宋体"/>
          <w:spacing w:val="-1"/>
          <w:sz w:val="21"/>
          <w:szCs w:val="21"/>
        </w:rPr>
        <w:t>程见第五章“工程量清单”表</w:t>
      </w:r>
      <w:r>
        <w:rPr>
          <w:rFonts w:ascii="宋体" w:hAnsi="宋体" w:eastAsia="宋体" w:cs="宋体"/>
          <w:spacing w:val="-59"/>
          <w:sz w:val="21"/>
          <w:szCs w:val="21"/>
        </w:rPr>
        <w:t xml:space="preserve"> </w:t>
      </w:r>
      <w:r>
        <w:rPr>
          <w:rFonts w:ascii="宋体" w:hAnsi="宋体" w:eastAsia="宋体" w:cs="宋体"/>
          <w:spacing w:val="-1"/>
          <w:sz w:val="21"/>
          <w:szCs w:val="21"/>
        </w:rPr>
        <w:t>4.11—3“专业工程暂估价表”。</w:t>
      </w:r>
    </w:p>
    <w:p w14:paraId="1756AF5F">
      <w:pPr>
        <w:spacing w:before="181" w:line="298" w:lineRule="auto"/>
        <w:ind w:left="4" w:firstLine="420"/>
        <w:rPr>
          <w:rFonts w:ascii="宋体" w:hAnsi="宋体" w:eastAsia="宋体" w:cs="宋体"/>
          <w:sz w:val="21"/>
          <w:szCs w:val="21"/>
        </w:rPr>
      </w:pPr>
      <w:r>
        <w:rPr>
          <w:rFonts w:ascii="宋体" w:hAnsi="宋体" w:eastAsia="宋体" w:cs="宋体"/>
          <w:spacing w:val="-1"/>
          <w:sz w:val="21"/>
          <w:szCs w:val="21"/>
        </w:rPr>
        <w:t>2.1.2.2 承包范围内以暂估价形式实施的材料和工程设备见第五章“工程量清单”表 4.11—</w:t>
      </w:r>
      <w:r>
        <w:rPr>
          <w:rFonts w:ascii="宋体" w:hAnsi="宋体" w:eastAsia="宋体" w:cs="宋体"/>
          <w:spacing w:val="18"/>
          <w:sz w:val="21"/>
          <w:szCs w:val="21"/>
        </w:rPr>
        <w:t xml:space="preserve"> </w:t>
      </w:r>
      <w:r>
        <w:rPr>
          <w:rFonts w:ascii="宋体" w:hAnsi="宋体" w:eastAsia="宋体" w:cs="宋体"/>
          <w:spacing w:val="-1"/>
          <w:sz w:val="21"/>
          <w:szCs w:val="21"/>
        </w:rPr>
        <w:t>2“材料和工程设备暂估单价表”。</w:t>
      </w:r>
    </w:p>
    <w:p w14:paraId="217FC91C">
      <w:pPr>
        <w:spacing w:before="183" w:line="219" w:lineRule="auto"/>
        <w:ind w:left="424"/>
        <w:rPr>
          <w:rFonts w:ascii="宋体" w:hAnsi="宋体" w:eastAsia="宋体" w:cs="宋体"/>
          <w:sz w:val="21"/>
          <w:szCs w:val="21"/>
        </w:rPr>
      </w:pPr>
      <w:r>
        <w:rPr>
          <w:rFonts w:ascii="宋体" w:hAnsi="宋体" w:eastAsia="宋体" w:cs="宋体"/>
          <w:spacing w:val="-1"/>
          <w:sz w:val="21"/>
          <w:szCs w:val="21"/>
        </w:rPr>
        <w:t>2.1.2.3</w:t>
      </w:r>
      <w:r>
        <w:rPr>
          <w:rFonts w:ascii="宋体" w:hAnsi="宋体" w:eastAsia="宋体" w:cs="宋体"/>
          <w:spacing w:val="-42"/>
          <w:sz w:val="21"/>
          <w:szCs w:val="21"/>
        </w:rPr>
        <w:t xml:space="preserve"> </w:t>
      </w:r>
      <w:r>
        <w:rPr>
          <w:rFonts w:ascii="宋体" w:hAnsi="宋体" w:eastAsia="宋体" w:cs="宋体"/>
          <w:spacing w:val="-1"/>
          <w:sz w:val="21"/>
          <w:szCs w:val="21"/>
        </w:rPr>
        <w:t>上述暂估价项目与本节第</w:t>
      </w:r>
      <w:r>
        <w:rPr>
          <w:rFonts w:ascii="宋体" w:hAnsi="宋体" w:eastAsia="宋体" w:cs="宋体"/>
          <w:spacing w:val="-41"/>
          <w:sz w:val="21"/>
          <w:szCs w:val="21"/>
        </w:rPr>
        <w:t xml:space="preserve"> </w:t>
      </w:r>
      <w:r>
        <w:rPr>
          <w:rFonts w:ascii="宋体" w:hAnsi="宋体" w:eastAsia="宋体" w:cs="宋体"/>
          <w:spacing w:val="-1"/>
          <w:sz w:val="21"/>
          <w:szCs w:val="21"/>
        </w:rPr>
        <w:t>2.1.1</w:t>
      </w:r>
      <w:r>
        <w:rPr>
          <w:rFonts w:ascii="宋体" w:hAnsi="宋体" w:eastAsia="宋体" w:cs="宋体"/>
          <w:spacing w:val="-43"/>
          <w:sz w:val="21"/>
          <w:szCs w:val="21"/>
        </w:rPr>
        <w:t xml:space="preserve"> </w:t>
      </w:r>
      <w:r>
        <w:rPr>
          <w:rFonts w:ascii="宋体" w:hAnsi="宋体" w:eastAsia="宋体" w:cs="宋体"/>
          <w:spacing w:val="-1"/>
          <w:sz w:val="21"/>
          <w:szCs w:val="21"/>
        </w:rPr>
        <w:t>项承包</w:t>
      </w:r>
      <w:r>
        <w:rPr>
          <w:rFonts w:ascii="宋体" w:hAnsi="宋体" w:eastAsia="宋体" w:cs="宋体"/>
          <w:spacing w:val="-2"/>
          <w:sz w:val="21"/>
          <w:szCs w:val="21"/>
        </w:rPr>
        <w:t>人自行施工范围的工作界面划分如下：</w:t>
      </w:r>
    </w:p>
    <w:p w14:paraId="3FED96D3">
      <w:pPr>
        <w:tabs>
          <w:tab w:val="left" w:pos="8080"/>
        </w:tabs>
        <w:spacing w:before="293" w:line="93" w:lineRule="auto"/>
        <w:ind w:left="104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04D61460">
      <w:pPr>
        <w:spacing w:before="159" w:line="220" w:lineRule="auto"/>
        <w:rPr>
          <w:rFonts w:ascii="黑体" w:hAnsi="黑体" w:eastAsia="黑体" w:cs="黑体"/>
          <w:sz w:val="21"/>
          <w:szCs w:val="21"/>
        </w:rPr>
      </w:pPr>
      <w:r>
        <w:rPr>
          <w:rFonts w:ascii="黑体" w:hAnsi="黑体" w:eastAsia="黑体" w:cs="黑体"/>
          <w:spacing w:val="-1"/>
          <w:sz w:val="21"/>
          <w:szCs w:val="21"/>
        </w:rPr>
        <w:t>2.1.3 承包范围内的暂列金额项目</w:t>
      </w:r>
    </w:p>
    <w:p w14:paraId="5A5C62B1">
      <w:pPr>
        <w:spacing w:before="172" w:line="325" w:lineRule="auto"/>
        <w:ind w:left="1" w:right="2" w:firstLine="423"/>
        <w:rPr>
          <w:rFonts w:ascii="宋体" w:hAnsi="宋体" w:eastAsia="宋体" w:cs="宋体"/>
          <w:sz w:val="21"/>
          <w:szCs w:val="21"/>
        </w:rPr>
      </w:pPr>
      <w:r>
        <w:rPr>
          <w:rFonts w:ascii="宋体" w:hAnsi="宋体" w:eastAsia="宋体" w:cs="宋体"/>
          <w:spacing w:val="2"/>
          <w:sz w:val="21"/>
          <w:szCs w:val="21"/>
        </w:rPr>
        <w:t>2.1.3.1 承包范围内以暂列金额（包括计日工</w:t>
      </w:r>
      <w:r>
        <w:rPr>
          <w:rFonts w:ascii="宋体" w:hAnsi="宋体" w:eastAsia="宋体" w:cs="宋体"/>
          <w:spacing w:val="1"/>
          <w:sz w:val="21"/>
          <w:szCs w:val="21"/>
        </w:rPr>
        <w:t>）方式实施的项目见第五章“工程量清单”表</w:t>
      </w:r>
      <w:r>
        <w:rPr>
          <w:rFonts w:ascii="宋体" w:hAnsi="宋体" w:eastAsia="宋体" w:cs="宋体"/>
          <w:spacing w:val="-5"/>
          <w:sz w:val="21"/>
          <w:szCs w:val="21"/>
        </w:rPr>
        <w:t>4.1l—l“暂列金额明细表”（不包括计日工）和表 4.1l 一 4“计日工表”，其中计日工金额为承</w:t>
      </w:r>
      <w:r>
        <w:rPr>
          <w:rFonts w:ascii="宋体" w:hAnsi="宋体" w:eastAsia="宋体" w:cs="宋体"/>
          <w:sz w:val="21"/>
          <w:szCs w:val="21"/>
        </w:rPr>
        <w:t>包人在其投标报价中按表</w:t>
      </w:r>
      <w:r>
        <w:rPr>
          <w:rFonts w:ascii="宋体" w:hAnsi="宋体" w:eastAsia="宋体" w:cs="宋体"/>
          <w:spacing w:val="-47"/>
          <w:sz w:val="21"/>
          <w:szCs w:val="21"/>
        </w:rPr>
        <w:t xml:space="preserve"> </w:t>
      </w:r>
      <w:r>
        <w:rPr>
          <w:rFonts w:ascii="宋体" w:hAnsi="宋体" w:eastAsia="宋体" w:cs="宋体"/>
          <w:sz w:val="21"/>
          <w:szCs w:val="21"/>
        </w:rPr>
        <w:t>4.11—4“计日工表”所列计日工子目、数量和</w:t>
      </w:r>
      <w:r>
        <w:rPr>
          <w:rFonts w:ascii="宋体" w:hAnsi="宋体" w:eastAsia="宋体" w:cs="宋体"/>
          <w:spacing w:val="-1"/>
          <w:sz w:val="21"/>
          <w:szCs w:val="21"/>
        </w:rPr>
        <w:t>相应规定填报的金额。</w:t>
      </w:r>
    </w:p>
    <w:p w14:paraId="24D84796">
      <w:pPr>
        <w:spacing w:before="183" w:line="325" w:lineRule="auto"/>
        <w:ind w:left="5" w:right="5" w:firstLine="419"/>
        <w:rPr>
          <w:rFonts w:ascii="宋体" w:hAnsi="宋体" w:eastAsia="宋体" w:cs="宋体"/>
          <w:sz w:val="21"/>
          <w:szCs w:val="21"/>
        </w:rPr>
      </w:pPr>
      <w:r>
        <w:rPr>
          <w:rFonts w:ascii="宋体" w:hAnsi="宋体" w:eastAsia="宋体" w:cs="宋体"/>
          <w:spacing w:val="2"/>
          <w:sz w:val="21"/>
          <w:szCs w:val="21"/>
        </w:rPr>
        <w:t>2.1.3.2 暂列金额明细表中每笔暂列金</w:t>
      </w:r>
      <w:r>
        <w:rPr>
          <w:rFonts w:ascii="宋体" w:hAnsi="宋体" w:eastAsia="宋体" w:cs="宋体"/>
          <w:spacing w:val="1"/>
          <w:sz w:val="21"/>
          <w:szCs w:val="21"/>
        </w:rPr>
        <w:t>额所对应的子目，包括计日工，均只是可能发生的子</w:t>
      </w:r>
      <w:r>
        <w:rPr>
          <w:rFonts w:ascii="宋体" w:hAnsi="宋体" w:eastAsia="宋体" w:cs="宋体"/>
          <w:spacing w:val="2"/>
          <w:sz w:val="21"/>
          <w:szCs w:val="21"/>
        </w:rPr>
        <w:t>目。承包人应当充分认识到，合同履行过程中所列暂列金额可</w:t>
      </w:r>
      <w:r>
        <w:rPr>
          <w:rFonts w:ascii="宋体" w:hAnsi="宋体" w:eastAsia="宋体" w:cs="宋体"/>
          <w:spacing w:val="1"/>
          <w:sz w:val="21"/>
          <w:szCs w:val="21"/>
        </w:rPr>
        <w:t>能不发生，也可能部分发生。即便</w:t>
      </w:r>
      <w:r>
        <w:rPr>
          <w:rFonts w:ascii="宋体" w:hAnsi="宋体" w:eastAsia="宋体" w:cs="宋体"/>
          <w:sz w:val="21"/>
          <w:szCs w:val="21"/>
        </w:rPr>
        <w:t>发生，监理人按照合同约定发出的使用暂列金额的指示也不限于只能用于表中</w:t>
      </w:r>
      <w:r>
        <w:rPr>
          <w:rFonts w:ascii="宋体" w:hAnsi="宋体" w:eastAsia="宋体" w:cs="宋体"/>
          <w:spacing w:val="-1"/>
          <w:sz w:val="21"/>
          <w:szCs w:val="21"/>
        </w:rPr>
        <w:t>所列子目。</w:t>
      </w:r>
    </w:p>
    <w:p w14:paraId="6086A3DB">
      <w:pPr>
        <w:spacing w:before="180" w:line="299" w:lineRule="auto"/>
        <w:ind w:left="8" w:right="4" w:firstLine="416"/>
        <w:rPr>
          <w:rFonts w:ascii="宋体" w:hAnsi="宋体" w:eastAsia="宋体" w:cs="宋体"/>
          <w:sz w:val="21"/>
          <w:szCs w:val="21"/>
        </w:rPr>
      </w:pPr>
      <w:r>
        <w:rPr>
          <w:rFonts w:ascii="宋体" w:hAnsi="宋体" w:eastAsia="宋体" w:cs="宋体"/>
          <w:spacing w:val="7"/>
          <w:sz w:val="21"/>
          <w:szCs w:val="21"/>
        </w:rPr>
        <w:t>2.1.3.3 暂列金额是否实际发生、其再分和</w:t>
      </w:r>
      <w:r>
        <w:rPr>
          <w:rFonts w:ascii="宋体" w:hAnsi="宋体" w:eastAsia="宋体" w:cs="宋体"/>
          <w:spacing w:val="6"/>
          <w:sz w:val="21"/>
          <w:szCs w:val="21"/>
        </w:rPr>
        <w:t>合并等均不应成为承包人要求任何追加费用和</w:t>
      </w:r>
      <w:r>
        <w:rPr>
          <w:rFonts w:ascii="宋体" w:hAnsi="宋体" w:eastAsia="宋体" w:cs="宋体"/>
          <w:spacing w:val="-3"/>
          <w:sz w:val="21"/>
          <w:szCs w:val="21"/>
        </w:rPr>
        <w:t>（或）延长工期的理由。</w:t>
      </w:r>
    </w:p>
    <w:p w14:paraId="19F66D3C">
      <w:pPr>
        <w:spacing w:before="178" w:line="221" w:lineRule="auto"/>
        <w:ind w:left="424"/>
        <w:rPr>
          <w:rFonts w:ascii="宋体" w:hAnsi="宋体" w:eastAsia="宋体" w:cs="宋体"/>
          <w:sz w:val="21"/>
          <w:szCs w:val="21"/>
        </w:rPr>
      </w:pPr>
      <w:r>
        <w:rPr>
          <w:rFonts w:ascii="宋体" w:hAnsi="宋体" w:eastAsia="宋体" w:cs="宋体"/>
          <w:spacing w:val="-3"/>
          <w:sz w:val="21"/>
          <w:szCs w:val="21"/>
        </w:rPr>
        <w:t>2.1.3.4</w:t>
      </w:r>
      <w:r>
        <w:rPr>
          <w:rFonts w:ascii="宋体" w:hAnsi="宋体" w:eastAsia="宋体" w:cs="宋体"/>
          <w:spacing w:val="-28"/>
          <w:sz w:val="21"/>
          <w:szCs w:val="21"/>
        </w:rPr>
        <w:t xml:space="preserve"> </w:t>
      </w:r>
      <w:r>
        <w:rPr>
          <w:rFonts w:ascii="宋体" w:hAnsi="宋体" w:eastAsia="宋体" w:cs="宋体"/>
          <w:spacing w:val="-3"/>
          <w:sz w:val="21"/>
          <w:szCs w:val="21"/>
        </w:rPr>
        <w:t>关于暂列金额的其他说明：</w:t>
      </w:r>
    </w:p>
    <w:p w14:paraId="316EF7A9">
      <w:pPr>
        <w:tabs>
          <w:tab w:val="left" w:pos="8289"/>
        </w:tabs>
        <w:spacing w:before="294" w:line="93" w:lineRule="auto"/>
        <w:ind w:left="94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62BEB64F">
      <w:pPr>
        <w:spacing w:before="158" w:line="219" w:lineRule="auto"/>
        <w:rPr>
          <w:rFonts w:ascii="黑体" w:hAnsi="黑体" w:eastAsia="黑体" w:cs="黑体"/>
          <w:sz w:val="21"/>
          <w:szCs w:val="21"/>
        </w:rPr>
      </w:pPr>
      <w:r>
        <w:rPr>
          <w:rFonts w:ascii="黑体" w:hAnsi="黑体" w:eastAsia="黑体" w:cs="黑体"/>
          <w:sz w:val="21"/>
          <w:szCs w:val="21"/>
        </w:rPr>
        <w:t>2.2 发包人发包专业工程和发包人供应的材料和工程设备</w:t>
      </w:r>
    </w:p>
    <w:p w14:paraId="5A3206ED">
      <w:pPr>
        <w:spacing w:before="174" w:line="380" w:lineRule="auto"/>
        <w:ind w:left="5" w:right="34" w:firstLine="419"/>
        <w:rPr>
          <w:rFonts w:ascii="宋体" w:hAnsi="宋体" w:eastAsia="宋体" w:cs="宋体"/>
          <w:sz w:val="21"/>
          <w:szCs w:val="21"/>
        </w:rPr>
      </w:pPr>
      <w:r>
        <w:rPr>
          <w:rFonts w:ascii="宋体" w:hAnsi="宋体" w:eastAsia="宋体" w:cs="宋体"/>
          <w:spacing w:val="-1"/>
          <w:sz w:val="21"/>
          <w:szCs w:val="21"/>
        </w:rPr>
        <w:t>2.2.1</w:t>
      </w:r>
      <w:r>
        <w:rPr>
          <w:rFonts w:ascii="宋体" w:hAnsi="宋体" w:eastAsia="宋体" w:cs="宋体"/>
          <w:spacing w:val="85"/>
          <w:sz w:val="21"/>
          <w:szCs w:val="21"/>
        </w:rPr>
        <w:t xml:space="preserve"> </w:t>
      </w:r>
      <w:r>
        <w:rPr>
          <w:rFonts w:ascii="宋体" w:hAnsi="宋体" w:eastAsia="宋体" w:cs="宋体"/>
          <w:spacing w:val="-1"/>
          <w:sz w:val="21"/>
          <w:szCs w:val="21"/>
        </w:rPr>
        <w:t>由发包人发包的专业工程属于与本工程有关的其他工程，不属于承包人的承包范</w:t>
      </w:r>
      <w:r>
        <w:rPr>
          <w:rFonts w:ascii="宋体" w:hAnsi="宋体" w:eastAsia="宋体" w:cs="宋体"/>
          <w:spacing w:val="-2"/>
          <w:sz w:val="21"/>
          <w:szCs w:val="21"/>
        </w:rPr>
        <w:t>围。</w:t>
      </w:r>
      <w:r>
        <w:rPr>
          <w:rFonts w:ascii="宋体" w:hAnsi="宋体" w:eastAsia="宋体" w:cs="宋体"/>
          <w:spacing w:val="-3"/>
          <w:sz w:val="21"/>
          <w:szCs w:val="21"/>
        </w:rPr>
        <w:t>发包人发包的专业工程如下：</w:t>
      </w:r>
    </w:p>
    <w:p w14:paraId="0382BDE8">
      <w:pPr>
        <w:tabs>
          <w:tab w:val="left" w:pos="7344"/>
        </w:tabs>
        <w:spacing w:before="188" w:line="93" w:lineRule="auto"/>
        <w:ind w:left="73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70594A3F">
      <w:pPr>
        <w:spacing w:before="203" w:line="368" w:lineRule="auto"/>
        <w:ind w:left="5" w:right="3" w:firstLine="419"/>
        <w:rPr>
          <w:rFonts w:ascii="宋体" w:hAnsi="宋体" w:eastAsia="宋体" w:cs="宋体"/>
          <w:sz w:val="21"/>
          <w:szCs w:val="21"/>
        </w:rPr>
      </w:pPr>
      <w:r>
        <w:rPr>
          <w:rFonts w:ascii="宋体" w:hAnsi="宋体" w:eastAsia="宋体" w:cs="宋体"/>
          <w:sz w:val="21"/>
          <w:szCs w:val="21"/>
        </w:rPr>
        <w:t>2.2.2</w:t>
      </w:r>
      <w:r>
        <w:rPr>
          <w:rFonts w:ascii="宋体" w:hAnsi="宋体" w:eastAsia="宋体" w:cs="宋体"/>
          <w:spacing w:val="85"/>
          <w:sz w:val="21"/>
          <w:szCs w:val="21"/>
        </w:rPr>
        <w:t xml:space="preserve"> </w:t>
      </w:r>
      <w:r>
        <w:rPr>
          <w:rFonts w:ascii="宋体" w:hAnsi="宋体" w:eastAsia="宋体" w:cs="宋体"/>
          <w:sz w:val="21"/>
          <w:szCs w:val="21"/>
        </w:rPr>
        <w:t>由发包人供应的材料和工程设备不属于承包人的承包范</w:t>
      </w:r>
      <w:r>
        <w:rPr>
          <w:rFonts w:ascii="宋体" w:hAnsi="宋体" w:eastAsia="宋体" w:cs="宋体"/>
          <w:spacing w:val="-1"/>
          <w:sz w:val="21"/>
          <w:szCs w:val="21"/>
        </w:rPr>
        <w:t>围。发包人供应的材料和工程</w:t>
      </w:r>
      <w:r>
        <w:rPr>
          <w:rFonts w:ascii="宋体" w:hAnsi="宋体" w:eastAsia="宋体" w:cs="宋体"/>
          <w:sz w:val="21"/>
          <w:szCs w:val="21"/>
        </w:rPr>
        <w:t>设备见合同附件二“发包人供应的材料和工程</w:t>
      </w:r>
      <w:r>
        <w:rPr>
          <w:rFonts w:ascii="宋体" w:hAnsi="宋体" w:eastAsia="宋体" w:cs="宋体"/>
          <w:spacing w:val="-1"/>
          <w:sz w:val="21"/>
          <w:szCs w:val="21"/>
        </w:rPr>
        <w:t>设备一览表”。</w:t>
      </w:r>
    </w:p>
    <w:p w14:paraId="13662C15">
      <w:pPr>
        <w:spacing w:line="219" w:lineRule="auto"/>
        <w:rPr>
          <w:rFonts w:ascii="黑体" w:hAnsi="黑体" w:eastAsia="黑体" w:cs="黑体"/>
          <w:sz w:val="21"/>
          <w:szCs w:val="21"/>
        </w:rPr>
      </w:pPr>
      <w:r>
        <w:rPr>
          <w:rFonts w:ascii="黑体" w:hAnsi="黑体" w:eastAsia="黑体" w:cs="黑体"/>
          <w:sz w:val="21"/>
          <w:szCs w:val="21"/>
        </w:rPr>
        <w:t>2.3 承包人与发包人发包专业工程承包人的工</w:t>
      </w:r>
      <w:r>
        <w:rPr>
          <w:rFonts w:ascii="黑体" w:hAnsi="黑体" w:eastAsia="黑体" w:cs="黑体"/>
          <w:spacing w:val="-1"/>
          <w:sz w:val="21"/>
          <w:szCs w:val="21"/>
        </w:rPr>
        <w:t>作界面</w:t>
      </w:r>
    </w:p>
    <w:p w14:paraId="29569751">
      <w:pPr>
        <w:spacing w:before="173" w:line="220" w:lineRule="auto"/>
        <w:ind w:right="8"/>
        <w:jc w:val="right"/>
        <w:rPr>
          <w:rFonts w:ascii="宋体" w:hAnsi="宋体" w:eastAsia="宋体" w:cs="宋体"/>
          <w:sz w:val="21"/>
          <w:szCs w:val="21"/>
        </w:rPr>
      </w:pPr>
      <w:r>
        <w:rPr>
          <w:rFonts w:ascii="宋体" w:hAnsi="宋体" w:eastAsia="宋体" w:cs="宋体"/>
          <w:spacing w:val="2"/>
          <w:sz w:val="21"/>
          <w:szCs w:val="21"/>
        </w:rPr>
        <w:t>2.3.1 承包人与发包人发包专业工程承包人以及</w:t>
      </w:r>
      <w:r>
        <w:rPr>
          <w:rFonts w:ascii="宋体" w:hAnsi="宋体" w:eastAsia="宋体" w:cs="宋体"/>
          <w:spacing w:val="1"/>
          <w:sz w:val="21"/>
          <w:szCs w:val="21"/>
        </w:rPr>
        <w:t>与发包人供应的材料和设备的供应商之间的</w:t>
      </w:r>
    </w:p>
    <w:p w14:paraId="645C2A6D">
      <w:pPr>
        <w:spacing w:before="68" w:line="221" w:lineRule="auto"/>
        <w:ind w:left="7"/>
        <w:rPr>
          <w:rFonts w:ascii="宋体" w:hAnsi="宋体" w:eastAsia="宋体" w:cs="宋体"/>
          <w:sz w:val="21"/>
          <w:szCs w:val="21"/>
        </w:rPr>
      </w:pPr>
      <w:bookmarkStart w:id="1305" w:name="bookmark634"/>
      <w:bookmarkEnd w:id="1305"/>
      <w:r>
        <w:rPr>
          <w:rFonts w:ascii="宋体" w:hAnsi="宋体" w:eastAsia="宋体" w:cs="宋体"/>
          <w:spacing w:val="-4"/>
          <w:sz w:val="21"/>
          <w:szCs w:val="21"/>
        </w:rPr>
        <w:t>工作界面划分如下：</w:t>
      </w:r>
    </w:p>
    <w:p w14:paraId="21F4B9EC">
      <w:pPr>
        <w:pStyle w:val="5"/>
        <w:spacing w:line="301" w:lineRule="auto"/>
      </w:pPr>
    </w:p>
    <w:p w14:paraId="15471A89">
      <w:pPr>
        <w:tabs>
          <w:tab w:val="left" w:pos="7977"/>
        </w:tabs>
        <w:spacing w:before="69" w:line="93" w:lineRule="auto"/>
        <w:ind w:left="73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11E4481E">
      <w:pPr>
        <w:spacing w:before="177" w:line="219" w:lineRule="auto"/>
        <w:ind w:left="3"/>
        <w:rPr>
          <w:rFonts w:ascii="黑体" w:hAnsi="黑体" w:eastAsia="黑体" w:cs="黑体"/>
          <w:sz w:val="21"/>
          <w:szCs w:val="21"/>
        </w:rPr>
      </w:pPr>
      <w:r>
        <w:rPr>
          <w:rFonts w:ascii="黑体" w:hAnsi="黑体" w:eastAsia="黑体" w:cs="黑体"/>
          <w:sz w:val="21"/>
          <w:szCs w:val="21"/>
        </w:rPr>
        <w:t>2.4 承包人需要为发包人和监理人提供的现场办公条件和设施</w:t>
      </w:r>
    </w:p>
    <w:p w14:paraId="1843597C">
      <w:pPr>
        <w:spacing w:before="172" w:line="220" w:lineRule="auto"/>
        <w:ind w:left="427"/>
        <w:rPr>
          <w:rFonts w:ascii="宋体" w:hAnsi="宋体" w:eastAsia="宋体" w:cs="宋体"/>
          <w:sz w:val="21"/>
          <w:szCs w:val="21"/>
        </w:rPr>
      </w:pPr>
      <w:r>
        <w:rPr>
          <w:rFonts w:ascii="宋体" w:hAnsi="宋体" w:eastAsia="宋体" w:cs="宋体"/>
          <w:sz w:val="21"/>
          <w:szCs w:val="21"/>
        </w:rPr>
        <w:t>2.4.1</w:t>
      </w:r>
      <w:r>
        <w:rPr>
          <w:rFonts w:ascii="宋体" w:hAnsi="宋体" w:eastAsia="宋体" w:cs="宋体"/>
          <w:spacing w:val="-47"/>
          <w:sz w:val="21"/>
          <w:szCs w:val="21"/>
        </w:rPr>
        <w:t xml:space="preserve"> </w:t>
      </w:r>
      <w:r>
        <w:rPr>
          <w:rFonts w:ascii="宋体" w:hAnsi="宋体" w:eastAsia="宋体" w:cs="宋体"/>
          <w:sz w:val="21"/>
          <w:szCs w:val="21"/>
        </w:rPr>
        <w:t>承包人需要为发包人和监理人提供的现场办公条件和设</w:t>
      </w:r>
      <w:r>
        <w:rPr>
          <w:rFonts w:ascii="宋体" w:hAnsi="宋体" w:eastAsia="宋体" w:cs="宋体"/>
          <w:spacing w:val="-1"/>
          <w:sz w:val="21"/>
          <w:szCs w:val="21"/>
        </w:rPr>
        <w:t>施及其详细要求如下：</w:t>
      </w:r>
    </w:p>
    <w:p w14:paraId="0A54F3BE">
      <w:pPr>
        <w:spacing w:before="294" w:line="46" w:lineRule="exact"/>
        <w:ind w:left="7587"/>
        <w:rPr>
          <w:rFonts w:ascii="宋体" w:hAnsi="宋体" w:eastAsia="宋体" w:cs="宋体"/>
          <w:sz w:val="21"/>
          <w:szCs w:val="21"/>
        </w:rPr>
      </w:pPr>
      <w:r>
        <w:pict>
          <v:shape id="_x0000_s1132" o:spid="_x0000_s1132" o:spt="202" type="#_x0000_t202" style="position:absolute;left:0pt;margin-left:35.65pt;margin-top:7.85pt;height:14.1pt;width:343.25pt;z-index:251662336;mso-width-relative:page;mso-height-relative:page;" filled="f" stroked="f" coordsize="21600,21600">
            <v:path/>
            <v:fill on="f" focussize="0,0"/>
            <v:stroke on="f"/>
            <v:imagedata o:title=""/>
            <o:lock v:ext="edit" aspectratio="f"/>
            <v:textbox inset="0mm,0mm,0mm,0mm">
              <w:txbxContent>
                <w:p w14:paraId="25550988">
                  <w:pPr>
                    <w:pStyle w:val="5"/>
                    <w:tabs>
                      <w:tab w:val="left" w:pos="6844"/>
                    </w:tabs>
                    <w:spacing w:before="20"/>
                    <w:ind w:left="20"/>
                  </w:pPr>
                  <w:r>
                    <w:rPr>
                      <w:u w:val="single" w:color="auto"/>
                    </w:rPr>
                    <w:tab/>
                  </w:r>
                </w:p>
              </w:txbxContent>
            </v:textbox>
          </v:shape>
        </w:pict>
      </w:r>
      <w:r>
        <w:rPr>
          <w:rFonts w:ascii="宋体" w:hAnsi="宋体" w:eastAsia="宋体" w:cs="宋体"/>
          <w:position w:val="-1"/>
          <w:sz w:val="21"/>
          <w:szCs w:val="21"/>
        </w:rPr>
        <w:t>。</w:t>
      </w:r>
    </w:p>
    <w:p w14:paraId="099066AC">
      <w:pPr>
        <w:spacing w:before="156" w:line="234" w:lineRule="auto"/>
        <w:ind w:left="8"/>
        <w:outlineLvl w:val="2"/>
        <w:rPr>
          <w:rFonts w:ascii="黑体" w:hAnsi="黑体" w:eastAsia="黑体" w:cs="黑体"/>
          <w:sz w:val="28"/>
          <w:szCs w:val="28"/>
        </w:rPr>
      </w:pPr>
      <w:bookmarkStart w:id="1306" w:name="bookmark409"/>
      <w:bookmarkEnd w:id="1306"/>
      <w:r>
        <w:rPr>
          <w:rFonts w:ascii="Times New Roman" w:hAnsi="Times New Roman" w:eastAsia="Times New Roman" w:cs="Times New Roman"/>
          <w:spacing w:val="-2"/>
          <w:sz w:val="28"/>
          <w:szCs w:val="28"/>
        </w:rPr>
        <w:t>3.</w:t>
      </w:r>
      <w:r>
        <w:rPr>
          <w:rFonts w:ascii="黑体" w:hAnsi="黑体" w:eastAsia="黑体" w:cs="黑体"/>
          <w:spacing w:val="-2"/>
          <w:sz w:val="28"/>
          <w:szCs w:val="28"/>
        </w:rPr>
        <w:t>工期要求</w:t>
      </w:r>
    </w:p>
    <w:p w14:paraId="74DFB0B9">
      <w:pPr>
        <w:spacing w:before="82" w:line="220" w:lineRule="auto"/>
        <w:ind w:left="6"/>
        <w:rPr>
          <w:rFonts w:ascii="黑体" w:hAnsi="黑体" w:eastAsia="黑体" w:cs="黑体"/>
          <w:sz w:val="24"/>
          <w:szCs w:val="24"/>
        </w:rPr>
      </w:pPr>
      <w:r>
        <w:rPr>
          <w:rFonts w:ascii="黑体" w:hAnsi="黑体" w:eastAsia="黑体" w:cs="黑体"/>
          <w:spacing w:val="-1"/>
          <w:sz w:val="24"/>
          <w:szCs w:val="24"/>
        </w:rPr>
        <w:t>3.1 合同工期</w:t>
      </w:r>
    </w:p>
    <w:p w14:paraId="5C9727DB">
      <w:pPr>
        <w:spacing w:before="162" w:line="357" w:lineRule="auto"/>
        <w:ind w:left="7" w:right="8" w:firstLine="418"/>
        <w:rPr>
          <w:rFonts w:ascii="宋体" w:hAnsi="宋体" w:eastAsia="宋体" w:cs="宋体"/>
          <w:sz w:val="21"/>
          <w:szCs w:val="21"/>
        </w:rPr>
      </w:pPr>
      <w:r>
        <w:rPr>
          <w:rFonts w:ascii="宋体" w:hAnsi="宋体" w:eastAsia="宋体" w:cs="宋体"/>
          <w:spacing w:val="2"/>
          <w:sz w:val="21"/>
          <w:szCs w:val="21"/>
        </w:rPr>
        <w:t>本工程合同工期和计划开、竣工日期为承包人在投标函附录中承诺</w:t>
      </w:r>
      <w:r>
        <w:rPr>
          <w:rFonts w:ascii="宋体" w:hAnsi="宋体" w:eastAsia="宋体" w:cs="宋体"/>
          <w:spacing w:val="1"/>
          <w:sz w:val="21"/>
          <w:szCs w:val="21"/>
        </w:rPr>
        <w:t>的工期和计划开、竣工日</w:t>
      </w:r>
      <w:r>
        <w:rPr>
          <w:rFonts w:ascii="宋体" w:hAnsi="宋体" w:eastAsia="宋体" w:cs="宋体"/>
          <w:spacing w:val="-2"/>
          <w:sz w:val="21"/>
          <w:szCs w:val="21"/>
        </w:rPr>
        <w:t>期，并在合同协议书中载明。</w:t>
      </w:r>
    </w:p>
    <w:p w14:paraId="00709087">
      <w:pPr>
        <w:spacing w:line="218" w:lineRule="auto"/>
        <w:ind w:left="6"/>
        <w:rPr>
          <w:rFonts w:ascii="黑体" w:hAnsi="黑体" w:eastAsia="黑体" w:cs="黑体"/>
          <w:sz w:val="24"/>
          <w:szCs w:val="24"/>
        </w:rPr>
      </w:pPr>
      <w:r>
        <w:rPr>
          <w:rFonts w:ascii="黑体" w:hAnsi="黑体" w:eastAsia="黑体" w:cs="黑体"/>
          <w:spacing w:val="-1"/>
          <w:sz w:val="24"/>
          <w:szCs w:val="24"/>
        </w:rPr>
        <w:t>3.2 关于工期的一般规定</w:t>
      </w:r>
    </w:p>
    <w:p w14:paraId="69DFE3A8">
      <w:pPr>
        <w:spacing w:before="165" w:line="325" w:lineRule="auto"/>
        <w:ind w:left="5" w:firstLine="424"/>
        <w:rPr>
          <w:rFonts w:ascii="宋体" w:hAnsi="宋体" w:eastAsia="宋体" w:cs="宋体"/>
          <w:sz w:val="21"/>
          <w:szCs w:val="21"/>
        </w:rPr>
      </w:pPr>
      <w:r>
        <w:rPr>
          <w:rFonts w:ascii="宋体" w:hAnsi="宋体" w:eastAsia="宋体" w:cs="宋体"/>
          <w:spacing w:val="2"/>
          <w:sz w:val="21"/>
          <w:szCs w:val="21"/>
        </w:rPr>
        <w:t>3.2.1 承包人在投标函中承诺的工期和计划</w:t>
      </w:r>
      <w:r>
        <w:rPr>
          <w:rFonts w:ascii="宋体" w:hAnsi="宋体" w:eastAsia="宋体" w:cs="宋体"/>
          <w:spacing w:val="1"/>
          <w:sz w:val="21"/>
          <w:szCs w:val="21"/>
        </w:rPr>
        <w:t>开、竣工日期之间发生矛盾或者不一致时，以承</w:t>
      </w:r>
      <w:r>
        <w:rPr>
          <w:rFonts w:ascii="宋体" w:hAnsi="宋体" w:eastAsia="宋体" w:cs="宋体"/>
          <w:spacing w:val="-1"/>
          <w:sz w:val="21"/>
          <w:szCs w:val="21"/>
        </w:rPr>
        <w:t>包人承诺的工期为准。实际开工日期以通用合同条款第</w:t>
      </w:r>
      <w:r>
        <w:rPr>
          <w:rFonts w:ascii="宋体" w:hAnsi="宋体" w:eastAsia="宋体" w:cs="宋体"/>
          <w:spacing w:val="-33"/>
          <w:sz w:val="21"/>
          <w:szCs w:val="21"/>
        </w:rPr>
        <w:t xml:space="preserve"> </w:t>
      </w:r>
      <w:r>
        <w:rPr>
          <w:rFonts w:ascii="宋体" w:hAnsi="宋体" w:eastAsia="宋体" w:cs="宋体"/>
          <w:spacing w:val="-1"/>
          <w:sz w:val="21"/>
          <w:szCs w:val="21"/>
        </w:rPr>
        <w:t>11.1</w:t>
      </w:r>
      <w:r>
        <w:rPr>
          <w:rFonts w:ascii="宋体" w:hAnsi="宋体" w:eastAsia="宋体" w:cs="宋体"/>
          <w:spacing w:val="-55"/>
          <w:sz w:val="21"/>
          <w:szCs w:val="21"/>
        </w:rPr>
        <w:t xml:space="preserve"> </w:t>
      </w:r>
      <w:r>
        <w:rPr>
          <w:rFonts w:ascii="宋体" w:hAnsi="宋体" w:eastAsia="宋体" w:cs="宋体"/>
          <w:spacing w:val="-1"/>
          <w:sz w:val="21"/>
          <w:szCs w:val="21"/>
        </w:rPr>
        <w:t>款约定的监理人发出的开工通知中载</w:t>
      </w:r>
      <w:r>
        <w:rPr>
          <w:rFonts w:ascii="宋体" w:hAnsi="宋体" w:eastAsia="宋体" w:cs="宋体"/>
          <w:spacing w:val="-3"/>
          <w:sz w:val="21"/>
          <w:szCs w:val="21"/>
        </w:rPr>
        <w:t>明的开工日期为准。</w:t>
      </w:r>
    </w:p>
    <w:p w14:paraId="1DCCFC2A">
      <w:pPr>
        <w:spacing w:before="183" w:line="338" w:lineRule="auto"/>
        <w:ind w:left="5" w:right="5" w:firstLine="424"/>
        <w:rPr>
          <w:rFonts w:ascii="宋体" w:hAnsi="宋体" w:eastAsia="宋体" w:cs="宋体"/>
          <w:sz w:val="21"/>
          <w:szCs w:val="21"/>
        </w:rPr>
      </w:pPr>
      <w:r>
        <w:rPr>
          <w:rFonts w:ascii="宋体" w:hAnsi="宋体" w:eastAsia="宋体" w:cs="宋体"/>
          <w:spacing w:val="2"/>
          <w:sz w:val="21"/>
          <w:szCs w:val="21"/>
        </w:rPr>
        <w:t>3.2.2 如果承包人在投标函附录中承诺的工</w:t>
      </w:r>
      <w:r>
        <w:rPr>
          <w:rFonts w:ascii="宋体" w:hAnsi="宋体" w:eastAsia="宋体" w:cs="宋体"/>
          <w:spacing w:val="1"/>
          <w:sz w:val="21"/>
          <w:szCs w:val="21"/>
        </w:rPr>
        <w:t>期提前于发包人在本工程招标文件中所要求的工</w:t>
      </w:r>
      <w:r>
        <w:rPr>
          <w:rFonts w:ascii="宋体" w:hAnsi="宋体" w:eastAsia="宋体" w:cs="宋体"/>
          <w:spacing w:val="2"/>
          <w:sz w:val="21"/>
          <w:szCs w:val="21"/>
        </w:rPr>
        <w:t>期，承包人在施工组织设计中应当制定相应的工期保证措施，由此而</w:t>
      </w:r>
      <w:r>
        <w:rPr>
          <w:rFonts w:ascii="宋体" w:hAnsi="宋体" w:eastAsia="宋体" w:cs="宋体"/>
          <w:spacing w:val="1"/>
          <w:sz w:val="21"/>
          <w:szCs w:val="21"/>
        </w:rPr>
        <w:t>增加的费用应当被认为已经</w:t>
      </w:r>
      <w:r>
        <w:rPr>
          <w:rFonts w:ascii="宋体" w:hAnsi="宋体" w:eastAsia="宋体" w:cs="宋体"/>
          <w:spacing w:val="2"/>
          <w:sz w:val="21"/>
          <w:szCs w:val="21"/>
        </w:rPr>
        <w:t>包括在投标总价中。除合同另有约定外，合同履约过程中发包人不会</w:t>
      </w:r>
      <w:r>
        <w:rPr>
          <w:rFonts w:ascii="宋体" w:hAnsi="宋体" w:eastAsia="宋体" w:cs="宋体"/>
          <w:spacing w:val="1"/>
          <w:sz w:val="21"/>
          <w:szCs w:val="21"/>
        </w:rPr>
        <w:t>因此再向承包人支付任何性</w:t>
      </w:r>
      <w:r>
        <w:rPr>
          <w:rFonts w:ascii="宋体" w:hAnsi="宋体" w:eastAsia="宋体" w:cs="宋体"/>
          <w:spacing w:val="-1"/>
          <w:sz w:val="21"/>
          <w:szCs w:val="21"/>
        </w:rPr>
        <w:t>质的技术措施费用、赶工费用或其他任何性质的提前完工奖励等费用。</w:t>
      </w:r>
    </w:p>
    <w:p w14:paraId="026F47B2">
      <w:pPr>
        <w:spacing w:before="179" w:line="220" w:lineRule="auto"/>
        <w:ind w:right="1"/>
        <w:jc w:val="right"/>
        <w:rPr>
          <w:rFonts w:ascii="宋体" w:hAnsi="宋体" w:eastAsia="宋体" w:cs="宋体"/>
          <w:sz w:val="21"/>
          <w:szCs w:val="21"/>
        </w:rPr>
      </w:pPr>
      <w:r>
        <w:rPr>
          <w:rFonts w:ascii="宋体" w:hAnsi="宋体" w:eastAsia="宋体" w:cs="宋体"/>
          <w:spacing w:val="-1"/>
          <w:sz w:val="21"/>
          <w:szCs w:val="21"/>
        </w:rPr>
        <w:t>3.2.3 承包人在投标函附录中所承诺的工期应当包括实施并完成本节上述 2.1.2 项规定的暂</w:t>
      </w:r>
    </w:p>
    <w:p w14:paraId="34D0790A">
      <w:pPr>
        <w:spacing w:before="179" w:line="219" w:lineRule="auto"/>
        <w:ind w:left="5"/>
        <w:rPr>
          <w:rFonts w:ascii="宋体" w:hAnsi="宋体" w:eastAsia="宋体" w:cs="宋体"/>
          <w:sz w:val="21"/>
          <w:szCs w:val="21"/>
        </w:rPr>
      </w:pPr>
      <w:r>
        <w:rPr>
          <w:rFonts w:ascii="宋体" w:hAnsi="宋体" w:eastAsia="宋体" w:cs="宋体"/>
          <w:spacing w:val="-1"/>
          <w:sz w:val="21"/>
          <w:szCs w:val="21"/>
        </w:rPr>
        <w:t>估价项目和上述</w:t>
      </w:r>
      <w:r>
        <w:rPr>
          <w:rFonts w:ascii="宋体" w:hAnsi="宋体" w:eastAsia="宋体" w:cs="宋体"/>
          <w:spacing w:val="-41"/>
          <w:sz w:val="21"/>
          <w:szCs w:val="21"/>
        </w:rPr>
        <w:t xml:space="preserve"> </w:t>
      </w:r>
      <w:r>
        <w:rPr>
          <w:rFonts w:ascii="宋体" w:hAnsi="宋体" w:eastAsia="宋体" w:cs="宋体"/>
          <w:spacing w:val="-1"/>
          <w:sz w:val="21"/>
          <w:szCs w:val="21"/>
        </w:rPr>
        <w:t>2.1.3</w:t>
      </w:r>
      <w:r>
        <w:rPr>
          <w:rFonts w:ascii="宋体" w:hAnsi="宋体" w:eastAsia="宋体" w:cs="宋体"/>
          <w:spacing w:val="-41"/>
          <w:sz w:val="21"/>
          <w:szCs w:val="21"/>
        </w:rPr>
        <w:t xml:space="preserve"> </w:t>
      </w:r>
      <w:r>
        <w:rPr>
          <w:rFonts w:ascii="宋体" w:hAnsi="宋体" w:eastAsia="宋体" w:cs="宋体"/>
          <w:spacing w:val="-1"/>
          <w:sz w:val="21"/>
          <w:szCs w:val="21"/>
        </w:rPr>
        <w:t>项规定的实际可能发生的暂列金额在内的</w:t>
      </w:r>
      <w:r>
        <w:rPr>
          <w:rFonts w:ascii="宋体" w:hAnsi="宋体" w:eastAsia="宋体" w:cs="宋体"/>
          <w:spacing w:val="-2"/>
          <w:sz w:val="21"/>
          <w:szCs w:val="21"/>
        </w:rPr>
        <w:t>所有工作的工期。</w:t>
      </w:r>
    </w:p>
    <w:p w14:paraId="046E456D">
      <w:pPr>
        <w:spacing w:before="99" w:line="234" w:lineRule="auto"/>
        <w:ind w:left="1"/>
        <w:outlineLvl w:val="2"/>
        <w:rPr>
          <w:rFonts w:ascii="黑体" w:hAnsi="黑体" w:eastAsia="黑体" w:cs="黑体"/>
          <w:sz w:val="28"/>
          <w:szCs w:val="28"/>
        </w:rPr>
      </w:pPr>
      <w:bookmarkStart w:id="1307" w:name="bookmark410"/>
      <w:bookmarkEnd w:id="1307"/>
      <w:r>
        <w:rPr>
          <w:rFonts w:ascii="Times New Roman" w:hAnsi="Times New Roman" w:eastAsia="Times New Roman" w:cs="Times New Roman"/>
          <w:spacing w:val="-1"/>
          <w:sz w:val="28"/>
          <w:szCs w:val="28"/>
        </w:rPr>
        <w:t>4.</w:t>
      </w:r>
      <w:r>
        <w:rPr>
          <w:rFonts w:ascii="黑体" w:hAnsi="黑体" w:eastAsia="黑体" w:cs="黑体"/>
          <w:spacing w:val="-1"/>
          <w:sz w:val="28"/>
          <w:szCs w:val="28"/>
        </w:rPr>
        <w:t>质量要求</w:t>
      </w:r>
    </w:p>
    <w:p w14:paraId="7D78F36E">
      <w:pPr>
        <w:spacing w:before="80" w:line="220" w:lineRule="auto"/>
        <w:rPr>
          <w:rFonts w:ascii="黑体" w:hAnsi="黑体" w:eastAsia="黑体" w:cs="黑体"/>
          <w:sz w:val="24"/>
          <w:szCs w:val="24"/>
        </w:rPr>
      </w:pPr>
      <w:r>
        <w:rPr>
          <w:rFonts w:ascii="黑体" w:hAnsi="黑体" w:eastAsia="黑体" w:cs="黑体"/>
          <w:spacing w:val="-2"/>
          <w:sz w:val="24"/>
          <w:szCs w:val="24"/>
        </w:rPr>
        <w:t>4.1</w:t>
      </w:r>
      <w:r>
        <w:rPr>
          <w:rFonts w:ascii="黑体" w:hAnsi="黑体" w:eastAsia="黑体" w:cs="黑体"/>
          <w:spacing w:val="-48"/>
          <w:sz w:val="24"/>
          <w:szCs w:val="24"/>
        </w:rPr>
        <w:t xml:space="preserve"> </w:t>
      </w:r>
      <w:r>
        <w:rPr>
          <w:rFonts w:ascii="黑体" w:hAnsi="黑体" w:eastAsia="黑体" w:cs="黑体"/>
          <w:spacing w:val="-2"/>
          <w:sz w:val="24"/>
          <w:szCs w:val="24"/>
        </w:rPr>
        <w:t>质量标准</w:t>
      </w:r>
    </w:p>
    <w:p w14:paraId="226C5DB2">
      <w:pPr>
        <w:spacing w:before="163" w:line="374" w:lineRule="auto"/>
        <w:ind w:left="5" w:right="8" w:firstLine="419"/>
        <w:rPr>
          <w:rFonts w:ascii="宋体" w:hAnsi="宋体" w:eastAsia="宋体" w:cs="宋体"/>
          <w:sz w:val="21"/>
          <w:szCs w:val="21"/>
        </w:rPr>
      </w:pPr>
      <w:r>
        <w:rPr>
          <w:rFonts w:ascii="宋体" w:hAnsi="宋体" w:eastAsia="宋体" w:cs="宋体"/>
          <w:spacing w:val="2"/>
          <w:sz w:val="21"/>
          <w:szCs w:val="21"/>
        </w:rPr>
        <w:t>4.1.1 本工程要求的质量标准为符合现行国家有关工程</w:t>
      </w:r>
      <w:r>
        <w:rPr>
          <w:rFonts w:ascii="宋体" w:hAnsi="宋体" w:eastAsia="宋体" w:cs="宋体"/>
          <w:spacing w:val="1"/>
          <w:sz w:val="21"/>
          <w:szCs w:val="21"/>
        </w:rPr>
        <w:t>施工验收规范和标准的要求（也称合</w:t>
      </w:r>
      <w:r>
        <w:rPr>
          <w:rFonts w:ascii="宋体" w:hAnsi="宋体" w:eastAsia="宋体" w:cs="宋体"/>
          <w:spacing w:val="-42"/>
          <w:sz w:val="21"/>
          <w:szCs w:val="21"/>
        </w:rPr>
        <w:t>格）。</w:t>
      </w:r>
    </w:p>
    <w:p w14:paraId="48CB211E">
      <w:pPr>
        <w:spacing w:before="1" w:line="218" w:lineRule="auto"/>
        <w:rPr>
          <w:rFonts w:ascii="黑体" w:hAnsi="黑体" w:eastAsia="黑体" w:cs="黑体"/>
          <w:sz w:val="24"/>
          <w:szCs w:val="24"/>
        </w:rPr>
      </w:pPr>
      <w:r>
        <w:rPr>
          <w:rFonts w:ascii="黑体" w:hAnsi="黑体" w:eastAsia="黑体" w:cs="黑体"/>
          <w:spacing w:val="-2"/>
          <w:sz w:val="24"/>
          <w:szCs w:val="24"/>
        </w:rPr>
        <w:t>4.2</w:t>
      </w:r>
      <w:r>
        <w:rPr>
          <w:rFonts w:ascii="黑体" w:hAnsi="黑体" w:eastAsia="黑体" w:cs="黑体"/>
          <w:spacing w:val="-45"/>
          <w:sz w:val="24"/>
          <w:szCs w:val="24"/>
        </w:rPr>
        <w:t xml:space="preserve"> </w:t>
      </w:r>
      <w:r>
        <w:rPr>
          <w:rFonts w:ascii="黑体" w:hAnsi="黑体" w:eastAsia="黑体" w:cs="黑体"/>
          <w:spacing w:val="-2"/>
          <w:sz w:val="24"/>
          <w:szCs w:val="24"/>
        </w:rPr>
        <w:t>特殊质量要求</w:t>
      </w:r>
    </w:p>
    <w:p w14:paraId="65C242A3">
      <w:pPr>
        <w:spacing w:before="192" w:line="220" w:lineRule="auto"/>
        <w:ind w:left="424"/>
        <w:rPr>
          <w:rFonts w:ascii="宋体" w:hAnsi="宋体" w:eastAsia="宋体" w:cs="宋体"/>
          <w:sz w:val="21"/>
          <w:szCs w:val="21"/>
        </w:rPr>
      </w:pPr>
      <w:r>
        <w:rPr>
          <w:rFonts w:ascii="宋体" w:hAnsi="宋体" w:eastAsia="宋体" w:cs="宋体"/>
          <w:spacing w:val="-2"/>
          <w:sz w:val="21"/>
          <w:szCs w:val="21"/>
        </w:rPr>
        <w:t>4.2.1 有关本工程质量方面的特殊要求如下：</w:t>
      </w:r>
    </w:p>
    <w:p w14:paraId="6C8A4B02">
      <w:pPr>
        <w:pStyle w:val="5"/>
        <w:spacing w:line="303" w:lineRule="auto"/>
      </w:pPr>
    </w:p>
    <w:p w14:paraId="0A57E12D">
      <w:pPr>
        <w:spacing w:before="68" w:line="46" w:lineRule="exact"/>
        <w:ind w:left="7376"/>
        <w:rPr>
          <w:rFonts w:ascii="宋体" w:hAnsi="宋体" w:eastAsia="宋体" w:cs="宋体"/>
          <w:sz w:val="21"/>
          <w:szCs w:val="21"/>
        </w:rPr>
      </w:pPr>
      <w:r>
        <w:pict>
          <v:shape id="_x0000_s1133" o:spid="_x0000_s1133" o:spt="202" type="#_x0000_t202" style="position:absolute;left:0pt;margin-left:35.65pt;margin-top:-3.4pt;height:14.1pt;width:332.7pt;z-index:251663360;mso-width-relative:page;mso-height-relative:page;" filled="f" stroked="f" coordsize="21600,21600">
            <v:path/>
            <v:fill on="f" focussize="0,0"/>
            <v:stroke on="f"/>
            <v:imagedata o:title=""/>
            <o:lock v:ext="edit" aspectratio="f"/>
            <v:textbox inset="0mm,0mm,0mm,0mm">
              <w:txbxContent>
                <w:p w14:paraId="10ABC571">
                  <w:pPr>
                    <w:pStyle w:val="5"/>
                    <w:tabs>
                      <w:tab w:val="left" w:pos="6632"/>
                    </w:tabs>
                    <w:spacing w:before="19"/>
                    <w:ind w:left="20"/>
                  </w:pPr>
                  <w:r>
                    <w:rPr>
                      <w:u w:val="single" w:color="auto"/>
                    </w:rPr>
                    <w:tab/>
                  </w:r>
                </w:p>
              </w:txbxContent>
            </v:textbox>
          </v:shape>
        </w:pict>
      </w:r>
      <w:r>
        <w:rPr>
          <w:rFonts w:ascii="宋体" w:hAnsi="宋体" w:eastAsia="宋体" w:cs="宋体"/>
          <w:position w:val="-1"/>
          <w:sz w:val="21"/>
          <w:szCs w:val="21"/>
        </w:rPr>
        <w:t>。</w:t>
      </w:r>
    </w:p>
    <w:p w14:paraId="3FF03B96">
      <w:pPr>
        <w:spacing w:before="178" w:line="235" w:lineRule="auto"/>
        <w:ind w:left="10"/>
        <w:outlineLvl w:val="2"/>
        <w:rPr>
          <w:rFonts w:ascii="黑体" w:hAnsi="黑体" w:eastAsia="黑体" w:cs="黑体"/>
          <w:sz w:val="28"/>
          <w:szCs w:val="28"/>
        </w:rPr>
      </w:pPr>
      <w:bookmarkStart w:id="1308" w:name="bookmark411"/>
      <w:bookmarkEnd w:id="1308"/>
      <w:r>
        <w:rPr>
          <w:rFonts w:ascii="Times New Roman" w:hAnsi="Times New Roman" w:eastAsia="Times New Roman" w:cs="Times New Roman"/>
          <w:spacing w:val="-2"/>
          <w:sz w:val="28"/>
          <w:szCs w:val="28"/>
        </w:rPr>
        <w:t>5.</w:t>
      </w:r>
      <w:r>
        <w:rPr>
          <w:rFonts w:ascii="黑体" w:hAnsi="黑体" w:eastAsia="黑体" w:cs="黑体"/>
          <w:spacing w:val="-2"/>
          <w:sz w:val="28"/>
          <w:szCs w:val="28"/>
        </w:rPr>
        <w:t>适用规范和标准</w:t>
      </w:r>
    </w:p>
    <w:p w14:paraId="72E9A814">
      <w:pPr>
        <w:spacing w:before="118" w:line="219" w:lineRule="auto"/>
        <w:rPr>
          <w:rFonts w:ascii="黑体" w:hAnsi="黑体" w:eastAsia="黑体" w:cs="黑体"/>
          <w:sz w:val="24"/>
          <w:szCs w:val="24"/>
        </w:rPr>
      </w:pPr>
      <w:r>
        <w:rPr>
          <w:rFonts w:ascii="黑体" w:hAnsi="黑体" w:eastAsia="黑体" w:cs="黑体"/>
          <w:spacing w:val="-2"/>
          <w:sz w:val="24"/>
          <w:szCs w:val="24"/>
        </w:rPr>
        <w:t>5.1</w:t>
      </w:r>
      <w:r>
        <w:rPr>
          <w:rFonts w:ascii="黑体" w:hAnsi="黑体" w:eastAsia="黑体" w:cs="黑体"/>
          <w:spacing w:val="-36"/>
          <w:sz w:val="24"/>
          <w:szCs w:val="24"/>
        </w:rPr>
        <w:t xml:space="preserve"> </w:t>
      </w:r>
      <w:r>
        <w:rPr>
          <w:rFonts w:ascii="黑体" w:hAnsi="黑体" w:eastAsia="黑体" w:cs="黑体"/>
          <w:spacing w:val="-2"/>
          <w:sz w:val="24"/>
          <w:szCs w:val="24"/>
        </w:rPr>
        <w:t>适用的规范、标准和规程</w:t>
      </w:r>
    </w:p>
    <w:p w14:paraId="0BD0D420">
      <w:pPr>
        <w:spacing w:before="191" w:line="379" w:lineRule="auto"/>
        <w:ind w:left="7" w:right="8" w:firstLine="421"/>
        <w:rPr>
          <w:rFonts w:ascii="宋体" w:hAnsi="宋体" w:eastAsia="宋体" w:cs="宋体"/>
          <w:sz w:val="21"/>
          <w:szCs w:val="21"/>
        </w:rPr>
      </w:pPr>
      <w:r>
        <w:rPr>
          <w:rFonts w:ascii="宋体" w:hAnsi="宋体" w:eastAsia="宋体" w:cs="宋体"/>
          <w:spacing w:val="2"/>
          <w:sz w:val="21"/>
          <w:szCs w:val="21"/>
        </w:rPr>
        <w:t>5.1.1 除合同另有约定外，本工程适用现行</w:t>
      </w:r>
      <w:r>
        <w:rPr>
          <w:rFonts w:ascii="宋体" w:hAnsi="宋体" w:eastAsia="宋体" w:cs="宋体"/>
          <w:spacing w:val="1"/>
          <w:sz w:val="21"/>
          <w:szCs w:val="21"/>
        </w:rPr>
        <w:t>国家、行业和地方规范、标准和规程。适用于本</w:t>
      </w:r>
      <w:r>
        <w:rPr>
          <w:rFonts w:ascii="宋体" w:hAnsi="宋体" w:eastAsia="宋体" w:cs="宋体"/>
          <w:spacing w:val="-1"/>
          <w:sz w:val="21"/>
          <w:szCs w:val="21"/>
        </w:rPr>
        <w:t>工程的国家、行业和地方的规范、标准和规范等的名录见本章第三节。</w:t>
      </w:r>
    </w:p>
    <w:p w14:paraId="15297E3E">
      <w:pPr>
        <w:spacing w:before="1" w:line="219" w:lineRule="auto"/>
        <w:ind w:right="8"/>
        <w:jc w:val="right"/>
        <w:rPr>
          <w:rFonts w:ascii="宋体" w:hAnsi="宋体" w:eastAsia="宋体" w:cs="宋体"/>
          <w:sz w:val="21"/>
          <w:szCs w:val="21"/>
        </w:rPr>
      </w:pPr>
      <w:r>
        <w:rPr>
          <w:rFonts w:ascii="宋体" w:hAnsi="宋体" w:eastAsia="宋体" w:cs="宋体"/>
          <w:spacing w:val="2"/>
          <w:sz w:val="21"/>
          <w:szCs w:val="21"/>
        </w:rPr>
        <w:t>构成合同文件的任何内容与适用的规范、标准和规程之间出现</w:t>
      </w:r>
      <w:r>
        <w:rPr>
          <w:rFonts w:ascii="宋体" w:hAnsi="宋体" w:eastAsia="宋体" w:cs="宋体"/>
          <w:spacing w:val="1"/>
          <w:sz w:val="21"/>
          <w:szCs w:val="21"/>
        </w:rPr>
        <w:t>矛盾，承包人应书面要求监理</w:t>
      </w:r>
    </w:p>
    <w:p w14:paraId="6B19E12A">
      <w:pPr>
        <w:spacing w:before="68" w:line="221" w:lineRule="auto"/>
        <w:ind w:left="6"/>
        <w:rPr>
          <w:rFonts w:ascii="宋体" w:hAnsi="宋体" w:eastAsia="宋体" w:cs="宋体"/>
          <w:sz w:val="21"/>
          <w:szCs w:val="21"/>
        </w:rPr>
      </w:pPr>
      <w:bookmarkStart w:id="1309" w:name="bookmark635"/>
      <w:bookmarkEnd w:id="1309"/>
      <w:r>
        <w:rPr>
          <w:rFonts w:ascii="宋体" w:hAnsi="宋体" w:eastAsia="宋体" w:cs="宋体"/>
          <w:spacing w:val="-1"/>
          <w:sz w:val="21"/>
          <w:szCs w:val="21"/>
        </w:rPr>
        <w:t>人予以澄清，除监理人有特别指示外，承包人应按照其中要求最严格的标准执行。</w:t>
      </w:r>
    </w:p>
    <w:p w14:paraId="79D5B536">
      <w:pPr>
        <w:spacing w:before="180" w:line="376" w:lineRule="auto"/>
        <w:ind w:left="6" w:firstLine="422"/>
        <w:jc w:val="both"/>
        <w:rPr>
          <w:rFonts w:ascii="宋体" w:hAnsi="宋体" w:eastAsia="宋体" w:cs="宋体"/>
          <w:sz w:val="21"/>
          <w:szCs w:val="21"/>
        </w:rPr>
      </w:pPr>
      <w:r>
        <w:rPr>
          <w:rFonts w:ascii="宋体" w:hAnsi="宋体" w:eastAsia="宋体" w:cs="宋体"/>
          <w:spacing w:val="2"/>
          <w:sz w:val="21"/>
          <w:szCs w:val="21"/>
        </w:rPr>
        <w:t>5.1.2 除合同另有约定外，材料、施工工艺</w:t>
      </w:r>
      <w:r>
        <w:rPr>
          <w:rFonts w:ascii="宋体" w:hAnsi="宋体" w:eastAsia="宋体" w:cs="宋体"/>
          <w:spacing w:val="1"/>
          <w:sz w:val="21"/>
          <w:szCs w:val="21"/>
        </w:rPr>
        <w:t>和本工程都应依照本技术标准和要求以及适用的</w:t>
      </w:r>
      <w:r>
        <w:rPr>
          <w:rFonts w:ascii="宋体" w:hAnsi="宋体" w:eastAsia="宋体" w:cs="宋体"/>
          <w:spacing w:val="2"/>
          <w:sz w:val="21"/>
          <w:szCs w:val="21"/>
        </w:rPr>
        <w:t>现行规范、标准和规程的最新版本执行。若适用的现行规范、标准</w:t>
      </w:r>
      <w:r>
        <w:rPr>
          <w:rFonts w:ascii="宋体" w:hAnsi="宋体" w:eastAsia="宋体" w:cs="宋体"/>
          <w:spacing w:val="1"/>
          <w:sz w:val="21"/>
          <w:szCs w:val="21"/>
        </w:rPr>
        <w:t>和规程的最新版本是在基准日</w:t>
      </w:r>
      <w:r>
        <w:rPr>
          <w:rFonts w:ascii="宋体" w:hAnsi="宋体" w:eastAsia="宋体" w:cs="宋体"/>
          <w:spacing w:val="-1"/>
          <w:sz w:val="21"/>
          <w:szCs w:val="21"/>
        </w:rPr>
        <w:t>后颁布的，且相应标准发生变更并成为合同文件中最严格的标准，则应按合同条款第</w:t>
      </w:r>
      <w:r>
        <w:rPr>
          <w:rFonts w:ascii="宋体" w:hAnsi="宋体" w:eastAsia="宋体" w:cs="宋体"/>
          <w:spacing w:val="-34"/>
          <w:sz w:val="21"/>
          <w:szCs w:val="21"/>
        </w:rPr>
        <w:t xml:space="preserve"> </w:t>
      </w:r>
      <w:r>
        <w:rPr>
          <w:rFonts w:ascii="宋体" w:hAnsi="宋体" w:eastAsia="宋体" w:cs="宋体"/>
          <w:spacing w:val="-1"/>
          <w:sz w:val="21"/>
          <w:szCs w:val="21"/>
        </w:rPr>
        <w:t>15</w:t>
      </w:r>
      <w:r>
        <w:rPr>
          <w:rFonts w:ascii="宋体" w:hAnsi="宋体" w:eastAsia="宋体" w:cs="宋体"/>
          <w:spacing w:val="-56"/>
          <w:sz w:val="21"/>
          <w:szCs w:val="21"/>
        </w:rPr>
        <w:t xml:space="preserve"> </w:t>
      </w:r>
      <w:r>
        <w:rPr>
          <w:rFonts w:ascii="宋体" w:hAnsi="宋体" w:eastAsia="宋体" w:cs="宋体"/>
          <w:spacing w:val="-1"/>
          <w:sz w:val="21"/>
          <w:szCs w:val="21"/>
        </w:rPr>
        <w:t>条的约定</w:t>
      </w:r>
      <w:r>
        <w:rPr>
          <w:rFonts w:ascii="宋体" w:hAnsi="宋体" w:eastAsia="宋体" w:cs="宋体"/>
          <w:spacing w:val="-9"/>
          <w:sz w:val="21"/>
          <w:szCs w:val="21"/>
        </w:rPr>
        <w:t>办理。</w:t>
      </w:r>
    </w:p>
    <w:p w14:paraId="096C26FA">
      <w:pPr>
        <w:spacing w:before="1" w:line="218" w:lineRule="auto"/>
        <w:rPr>
          <w:rFonts w:ascii="黑体" w:hAnsi="黑体" w:eastAsia="黑体" w:cs="黑体"/>
          <w:sz w:val="24"/>
          <w:szCs w:val="24"/>
        </w:rPr>
      </w:pPr>
      <w:r>
        <w:rPr>
          <w:rFonts w:ascii="黑体" w:hAnsi="黑体" w:eastAsia="黑体" w:cs="黑体"/>
          <w:spacing w:val="-1"/>
          <w:sz w:val="24"/>
          <w:szCs w:val="24"/>
        </w:rPr>
        <w:t>5.2 特殊技术标准和要求</w:t>
      </w:r>
    </w:p>
    <w:p w14:paraId="144B5DB3">
      <w:pPr>
        <w:spacing w:before="191" w:line="220" w:lineRule="auto"/>
        <w:ind w:left="428"/>
        <w:rPr>
          <w:rFonts w:ascii="宋体" w:hAnsi="宋体" w:eastAsia="宋体" w:cs="宋体"/>
          <w:sz w:val="21"/>
          <w:szCs w:val="21"/>
        </w:rPr>
      </w:pPr>
      <w:r>
        <w:rPr>
          <w:rFonts w:ascii="宋体" w:hAnsi="宋体" w:eastAsia="宋体" w:cs="宋体"/>
          <w:spacing w:val="-1"/>
          <w:sz w:val="21"/>
          <w:szCs w:val="21"/>
        </w:rPr>
        <w:t>5.2.1</w:t>
      </w:r>
      <w:r>
        <w:rPr>
          <w:rFonts w:ascii="宋体" w:hAnsi="宋体" w:eastAsia="宋体" w:cs="宋体"/>
          <w:spacing w:val="-46"/>
          <w:sz w:val="21"/>
          <w:szCs w:val="21"/>
        </w:rPr>
        <w:t xml:space="preserve"> </w:t>
      </w:r>
      <w:r>
        <w:rPr>
          <w:rFonts w:ascii="宋体" w:hAnsi="宋体" w:eastAsia="宋体" w:cs="宋体"/>
          <w:spacing w:val="-1"/>
          <w:sz w:val="21"/>
          <w:szCs w:val="21"/>
        </w:rPr>
        <w:t>适用本工程的特殊技术标准和要</w:t>
      </w:r>
      <w:r>
        <w:rPr>
          <w:rFonts w:ascii="宋体" w:hAnsi="宋体" w:eastAsia="宋体" w:cs="宋体"/>
          <w:spacing w:val="-2"/>
          <w:sz w:val="21"/>
          <w:szCs w:val="21"/>
        </w:rPr>
        <w:t>求见本章第二节。</w:t>
      </w:r>
    </w:p>
    <w:p w14:paraId="079686EA">
      <w:pPr>
        <w:spacing w:before="179" w:line="220" w:lineRule="auto"/>
        <w:ind w:left="428"/>
        <w:rPr>
          <w:rFonts w:ascii="宋体" w:hAnsi="宋体" w:eastAsia="宋体" w:cs="宋体"/>
          <w:sz w:val="21"/>
          <w:szCs w:val="21"/>
        </w:rPr>
      </w:pPr>
      <w:r>
        <w:rPr>
          <w:rFonts w:ascii="宋体" w:hAnsi="宋体" w:eastAsia="宋体" w:cs="宋体"/>
          <w:spacing w:val="-1"/>
          <w:sz w:val="21"/>
          <w:szCs w:val="21"/>
        </w:rPr>
        <w:t>5.2.2</w:t>
      </w:r>
      <w:r>
        <w:rPr>
          <w:rFonts w:ascii="宋体" w:hAnsi="宋体" w:eastAsia="宋体" w:cs="宋体"/>
          <w:spacing w:val="-42"/>
          <w:sz w:val="21"/>
          <w:szCs w:val="21"/>
        </w:rPr>
        <w:t xml:space="preserve"> </w:t>
      </w:r>
      <w:r>
        <w:rPr>
          <w:rFonts w:ascii="宋体" w:hAnsi="宋体" w:eastAsia="宋体" w:cs="宋体"/>
          <w:spacing w:val="-1"/>
          <w:sz w:val="21"/>
          <w:szCs w:val="21"/>
        </w:rPr>
        <w:t>有合同约束力的图纸和其他设计文件中的有关文字说明是本节的组成内容。</w:t>
      </w:r>
    </w:p>
    <w:p w14:paraId="78009F47">
      <w:pPr>
        <w:spacing w:before="99" w:line="232" w:lineRule="auto"/>
        <w:ind w:left="8"/>
        <w:outlineLvl w:val="2"/>
        <w:rPr>
          <w:rFonts w:ascii="黑体" w:hAnsi="黑体" w:eastAsia="黑体" w:cs="黑体"/>
          <w:sz w:val="28"/>
          <w:szCs w:val="28"/>
        </w:rPr>
      </w:pPr>
      <w:bookmarkStart w:id="1310" w:name="bookmark412"/>
      <w:bookmarkEnd w:id="1310"/>
      <w:r>
        <w:rPr>
          <w:rFonts w:ascii="Times New Roman" w:hAnsi="Times New Roman" w:eastAsia="Times New Roman" w:cs="Times New Roman"/>
          <w:spacing w:val="-2"/>
          <w:sz w:val="28"/>
          <w:szCs w:val="28"/>
        </w:rPr>
        <w:t>6.</w:t>
      </w:r>
      <w:r>
        <w:rPr>
          <w:rFonts w:ascii="黑体" w:hAnsi="黑体" w:eastAsia="黑体" w:cs="黑体"/>
          <w:spacing w:val="-2"/>
          <w:sz w:val="28"/>
          <w:szCs w:val="28"/>
        </w:rPr>
        <w:t>安全文明施工</w:t>
      </w:r>
    </w:p>
    <w:p w14:paraId="64B4F7FB">
      <w:pPr>
        <w:spacing w:before="81" w:line="218" w:lineRule="auto"/>
        <w:ind w:left="4"/>
        <w:rPr>
          <w:rFonts w:ascii="黑体" w:hAnsi="黑体" w:eastAsia="黑体" w:cs="黑体"/>
          <w:sz w:val="24"/>
          <w:szCs w:val="24"/>
        </w:rPr>
      </w:pPr>
      <w:r>
        <w:rPr>
          <w:rFonts w:ascii="黑体" w:hAnsi="黑体" w:eastAsia="黑体" w:cs="黑体"/>
          <w:spacing w:val="-4"/>
          <w:sz w:val="24"/>
          <w:szCs w:val="24"/>
        </w:rPr>
        <w:t>6.1</w:t>
      </w:r>
      <w:r>
        <w:rPr>
          <w:rFonts w:ascii="黑体" w:hAnsi="黑体" w:eastAsia="黑体" w:cs="黑体"/>
          <w:spacing w:val="-37"/>
          <w:sz w:val="24"/>
          <w:szCs w:val="24"/>
        </w:rPr>
        <w:t xml:space="preserve"> </w:t>
      </w:r>
      <w:r>
        <w:rPr>
          <w:rFonts w:ascii="黑体" w:hAnsi="黑体" w:eastAsia="黑体" w:cs="黑体"/>
          <w:spacing w:val="-4"/>
          <w:sz w:val="24"/>
          <w:szCs w:val="24"/>
        </w:rPr>
        <w:t>安全防护</w:t>
      </w:r>
    </w:p>
    <w:p w14:paraId="67FCE192">
      <w:pPr>
        <w:spacing w:before="165" w:line="326" w:lineRule="auto"/>
        <w:ind w:left="4" w:firstLine="421"/>
        <w:rPr>
          <w:rFonts w:ascii="宋体" w:hAnsi="宋体" w:eastAsia="宋体" w:cs="宋体"/>
          <w:sz w:val="21"/>
          <w:szCs w:val="21"/>
        </w:rPr>
      </w:pPr>
      <w:r>
        <w:rPr>
          <w:rFonts w:ascii="宋体" w:hAnsi="宋体" w:eastAsia="宋体" w:cs="宋体"/>
          <w:spacing w:val="2"/>
          <w:sz w:val="21"/>
          <w:szCs w:val="21"/>
        </w:rPr>
        <w:t>6.1.1 在工程施工、竣工、交付及修补任何缺陷的</w:t>
      </w:r>
      <w:r>
        <w:rPr>
          <w:rFonts w:ascii="宋体" w:hAnsi="宋体" w:eastAsia="宋体" w:cs="宋体"/>
          <w:spacing w:val="1"/>
          <w:sz w:val="21"/>
          <w:szCs w:val="21"/>
        </w:rPr>
        <w:t>过程中，承包人应当始终遵守国家和地方</w:t>
      </w:r>
      <w:r>
        <w:rPr>
          <w:rFonts w:ascii="宋体" w:hAnsi="宋体" w:eastAsia="宋体" w:cs="宋体"/>
          <w:spacing w:val="-1"/>
          <w:sz w:val="21"/>
          <w:szCs w:val="21"/>
        </w:rPr>
        <w:t>有关安全生产的法律、法规、规范、标准和规程等，按照通用合同条款第 9.2 款的约定履行其安全施工职责。</w:t>
      </w:r>
    </w:p>
    <w:p w14:paraId="77FEAA74">
      <w:pPr>
        <w:spacing w:before="179" w:line="325" w:lineRule="auto"/>
        <w:ind w:left="5" w:right="1" w:firstLine="420"/>
        <w:rPr>
          <w:rFonts w:ascii="宋体" w:hAnsi="宋体" w:eastAsia="宋体" w:cs="宋体"/>
          <w:sz w:val="21"/>
          <w:szCs w:val="21"/>
        </w:rPr>
      </w:pPr>
      <w:r>
        <w:rPr>
          <w:rFonts w:ascii="宋体" w:hAnsi="宋体" w:eastAsia="宋体" w:cs="宋体"/>
          <w:spacing w:val="2"/>
          <w:sz w:val="21"/>
          <w:szCs w:val="21"/>
        </w:rPr>
        <w:t>6.1.2 承包人应坚持“安全第一，预防为主”的方</w:t>
      </w:r>
      <w:r>
        <w:rPr>
          <w:rFonts w:ascii="宋体" w:hAnsi="宋体" w:eastAsia="宋体" w:cs="宋体"/>
          <w:spacing w:val="1"/>
          <w:sz w:val="21"/>
          <w:szCs w:val="21"/>
        </w:rPr>
        <w:t>针，建立、健全安全生产责任制度和安全</w:t>
      </w:r>
      <w:r>
        <w:rPr>
          <w:rFonts w:ascii="宋体" w:hAnsi="宋体" w:eastAsia="宋体" w:cs="宋体"/>
          <w:spacing w:val="2"/>
          <w:sz w:val="21"/>
          <w:szCs w:val="21"/>
        </w:rPr>
        <w:t>生产教育培训制度。在整个工程施工期间，承包人应在施工场地（现场）设立</w:t>
      </w:r>
      <w:r>
        <w:rPr>
          <w:rFonts w:ascii="宋体" w:hAnsi="宋体" w:eastAsia="宋体" w:cs="宋体"/>
          <w:spacing w:val="1"/>
          <w:sz w:val="21"/>
          <w:szCs w:val="21"/>
        </w:rPr>
        <w:t>、提供和维护并在</w:t>
      </w:r>
      <w:r>
        <w:rPr>
          <w:rFonts w:ascii="宋体" w:hAnsi="宋体" w:eastAsia="宋体" w:cs="宋体"/>
          <w:spacing w:val="-3"/>
          <w:sz w:val="21"/>
          <w:szCs w:val="21"/>
        </w:rPr>
        <w:t>有关工作完成或竣工后撤除：</w:t>
      </w:r>
    </w:p>
    <w:p w14:paraId="79E16331">
      <w:pPr>
        <w:spacing w:before="170" w:line="295" w:lineRule="auto"/>
        <w:ind w:left="4" w:right="41" w:firstLine="426"/>
        <w:rPr>
          <w:rFonts w:ascii="宋体" w:hAnsi="宋体" w:eastAsia="宋体" w:cs="宋体"/>
          <w:sz w:val="21"/>
          <w:szCs w:val="21"/>
        </w:rPr>
      </w:pPr>
      <w:r>
        <w:rPr>
          <w:rFonts w:ascii="宋体" w:hAnsi="宋体" w:eastAsia="宋体" w:cs="宋体"/>
          <w:spacing w:val="3"/>
          <w:sz w:val="21"/>
          <w:szCs w:val="21"/>
        </w:rPr>
        <w:t>（1）设立在现场入口显著位置的现场施工总平面图、总平面管理、安全生产、文明施工、</w:t>
      </w:r>
      <w:r>
        <w:rPr>
          <w:rFonts w:ascii="宋体" w:hAnsi="宋体" w:eastAsia="宋体" w:cs="宋体"/>
          <w:sz w:val="21"/>
          <w:szCs w:val="21"/>
        </w:rPr>
        <w:t>环境保护、质量控制、材料管理等的规章制度和主要参建单位名称和工程概况等说明的图板；</w:t>
      </w:r>
    </w:p>
    <w:p w14:paraId="0D6B29E2">
      <w:pPr>
        <w:spacing w:before="157" w:line="286" w:lineRule="auto"/>
        <w:ind w:left="16" w:right="41" w:firstLine="413"/>
        <w:rPr>
          <w:rFonts w:ascii="宋体" w:hAnsi="宋体" w:eastAsia="宋体" w:cs="宋体"/>
          <w:sz w:val="21"/>
          <w:szCs w:val="21"/>
        </w:rPr>
      </w:pPr>
      <w:r>
        <w:rPr>
          <w:rFonts w:ascii="宋体" w:hAnsi="宋体" w:eastAsia="宋体" w:cs="宋体"/>
          <w:spacing w:val="3"/>
          <w:sz w:val="21"/>
          <w:szCs w:val="21"/>
        </w:rPr>
        <w:t>（2）为确保工程安全施工须设立的足够的标志、宣传画、标语、指示牌、警告牌、火警、</w:t>
      </w:r>
      <w:r>
        <w:rPr>
          <w:rFonts w:ascii="宋体" w:hAnsi="宋体" w:eastAsia="宋体" w:cs="宋体"/>
          <w:spacing w:val="-4"/>
          <w:sz w:val="21"/>
          <w:szCs w:val="21"/>
        </w:rPr>
        <w:t>匪警和急救电话提示牌等等；</w:t>
      </w:r>
    </w:p>
    <w:p w14:paraId="0C9C73D3">
      <w:pPr>
        <w:spacing w:before="147" w:line="287" w:lineRule="auto"/>
        <w:ind w:left="5" w:right="21" w:firstLine="425"/>
        <w:rPr>
          <w:rFonts w:ascii="宋体" w:hAnsi="宋体" w:eastAsia="宋体" w:cs="宋体"/>
          <w:sz w:val="21"/>
          <w:szCs w:val="21"/>
        </w:rPr>
      </w:pPr>
      <w:r>
        <w:rPr>
          <w:rFonts w:ascii="宋体" w:hAnsi="宋体" w:eastAsia="宋体" w:cs="宋体"/>
          <w:spacing w:val="4"/>
          <w:sz w:val="21"/>
          <w:szCs w:val="21"/>
        </w:rPr>
        <w:t>（3）洞口和临边位置的安全防护设施，包括护身栏杆、脚手架、洞口盖板和加筋</w:t>
      </w:r>
      <w:r>
        <w:rPr>
          <w:rFonts w:ascii="宋体" w:hAnsi="宋体" w:eastAsia="宋体" w:cs="宋体"/>
          <w:spacing w:val="3"/>
          <w:sz w:val="21"/>
          <w:szCs w:val="21"/>
        </w:rPr>
        <w:t>、竖井防</w:t>
      </w:r>
      <w:r>
        <w:rPr>
          <w:rFonts w:ascii="宋体" w:hAnsi="宋体" w:eastAsia="宋体" w:cs="宋体"/>
          <w:spacing w:val="-1"/>
          <w:sz w:val="21"/>
          <w:szCs w:val="21"/>
        </w:rPr>
        <w:t>护栏杆、防护棚、防护网、坡道等等；</w:t>
      </w:r>
    </w:p>
    <w:p w14:paraId="620486F4">
      <w:pPr>
        <w:spacing w:before="151" w:line="285" w:lineRule="auto"/>
        <w:ind w:left="4" w:right="19" w:firstLine="426"/>
        <w:rPr>
          <w:rFonts w:ascii="宋体" w:hAnsi="宋体" w:eastAsia="宋体" w:cs="宋体"/>
          <w:sz w:val="21"/>
          <w:szCs w:val="21"/>
        </w:rPr>
      </w:pPr>
      <w:r>
        <w:rPr>
          <w:rFonts w:ascii="宋体" w:hAnsi="宋体" w:eastAsia="宋体" w:cs="宋体"/>
          <w:spacing w:val="4"/>
          <w:sz w:val="21"/>
          <w:szCs w:val="21"/>
        </w:rPr>
        <w:t>（4）安全带、安全绳、安全帽、安全网、绝缘鞋、绝缘手套、防护口罩和防护衣等</w:t>
      </w:r>
      <w:r>
        <w:rPr>
          <w:rFonts w:ascii="宋体" w:hAnsi="宋体" w:eastAsia="宋体" w:cs="宋体"/>
          <w:spacing w:val="3"/>
          <w:sz w:val="21"/>
          <w:szCs w:val="21"/>
        </w:rPr>
        <w:t>安全生</w:t>
      </w:r>
      <w:r>
        <w:rPr>
          <w:rFonts w:ascii="宋体" w:hAnsi="宋体" w:eastAsia="宋体" w:cs="宋体"/>
          <w:spacing w:val="-2"/>
          <w:sz w:val="21"/>
          <w:szCs w:val="21"/>
        </w:rPr>
        <w:t>产用品；</w:t>
      </w:r>
    </w:p>
    <w:p w14:paraId="2C1DEF36">
      <w:pPr>
        <w:spacing w:before="149" w:line="220" w:lineRule="auto"/>
        <w:ind w:left="430"/>
        <w:rPr>
          <w:rFonts w:ascii="宋体" w:hAnsi="宋体" w:eastAsia="宋体" w:cs="宋体"/>
          <w:sz w:val="21"/>
          <w:szCs w:val="21"/>
        </w:rPr>
      </w:pPr>
      <w:r>
        <w:rPr>
          <w:rFonts w:ascii="宋体" w:hAnsi="宋体" w:eastAsia="宋体" w:cs="宋体"/>
          <w:sz w:val="21"/>
          <w:szCs w:val="21"/>
        </w:rPr>
        <w:t>（5）所有机械设备包括各类电动工具的安全保护</w:t>
      </w:r>
      <w:r>
        <w:rPr>
          <w:rFonts w:ascii="宋体" w:hAnsi="宋体" w:eastAsia="宋体" w:cs="宋体"/>
          <w:spacing w:val="-1"/>
          <w:sz w:val="21"/>
          <w:szCs w:val="21"/>
        </w:rPr>
        <w:t>和接地装置和操作说明；</w:t>
      </w:r>
    </w:p>
    <w:p w14:paraId="6406901D">
      <w:pPr>
        <w:spacing w:before="151" w:line="221" w:lineRule="auto"/>
        <w:ind w:left="430"/>
        <w:rPr>
          <w:rFonts w:ascii="宋体" w:hAnsi="宋体" w:eastAsia="宋体" w:cs="宋体"/>
          <w:sz w:val="21"/>
          <w:szCs w:val="21"/>
        </w:rPr>
      </w:pPr>
      <w:r>
        <w:rPr>
          <w:rFonts w:ascii="宋体" w:hAnsi="宋体" w:eastAsia="宋体" w:cs="宋体"/>
          <w:spacing w:val="-1"/>
          <w:sz w:val="21"/>
          <w:szCs w:val="21"/>
        </w:rPr>
        <w:t>（6）装备良好的临时急救站和配备称职的医护人员；</w:t>
      </w:r>
    </w:p>
    <w:p w14:paraId="5106F262">
      <w:pPr>
        <w:spacing w:before="147" w:line="287" w:lineRule="auto"/>
        <w:ind w:left="12" w:firstLine="418"/>
        <w:rPr>
          <w:rFonts w:ascii="宋体" w:hAnsi="宋体" w:eastAsia="宋体" w:cs="宋体"/>
          <w:sz w:val="21"/>
          <w:szCs w:val="21"/>
        </w:rPr>
      </w:pPr>
      <w:r>
        <w:rPr>
          <w:rFonts w:ascii="宋体" w:hAnsi="宋体" w:eastAsia="宋体" w:cs="宋体"/>
          <w:spacing w:val="-1"/>
          <w:sz w:val="21"/>
          <w:szCs w:val="21"/>
        </w:rPr>
        <w:t>（7）主要作业场所和临时安全疏散通道</w:t>
      </w:r>
      <w:r>
        <w:rPr>
          <w:rFonts w:ascii="宋体" w:hAnsi="宋体" w:eastAsia="宋体" w:cs="宋体"/>
          <w:spacing w:val="-51"/>
          <w:sz w:val="21"/>
          <w:szCs w:val="21"/>
        </w:rPr>
        <w:t xml:space="preserve"> </w:t>
      </w:r>
      <w:r>
        <w:rPr>
          <w:rFonts w:ascii="宋体" w:hAnsi="宋体" w:eastAsia="宋体" w:cs="宋体"/>
          <w:spacing w:val="-1"/>
          <w:sz w:val="21"/>
          <w:szCs w:val="21"/>
        </w:rPr>
        <w:t>24</w:t>
      </w:r>
      <w:r>
        <w:rPr>
          <w:rFonts w:ascii="宋体" w:hAnsi="宋体" w:eastAsia="宋体" w:cs="宋体"/>
          <w:spacing w:val="-45"/>
          <w:sz w:val="21"/>
          <w:szCs w:val="21"/>
        </w:rPr>
        <w:t xml:space="preserve"> </w:t>
      </w:r>
      <w:r>
        <w:rPr>
          <w:rFonts w:ascii="宋体" w:hAnsi="宋体" w:eastAsia="宋体" w:cs="宋体"/>
          <w:spacing w:val="-1"/>
          <w:sz w:val="21"/>
          <w:szCs w:val="21"/>
        </w:rPr>
        <w:t>小时</w:t>
      </w:r>
      <w:r>
        <w:rPr>
          <w:rFonts w:ascii="宋体" w:hAnsi="宋体" w:eastAsia="宋体" w:cs="宋体"/>
          <w:spacing w:val="-47"/>
          <w:sz w:val="21"/>
          <w:szCs w:val="21"/>
        </w:rPr>
        <w:t xml:space="preserve"> </w:t>
      </w:r>
      <w:r>
        <w:rPr>
          <w:rFonts w:ascii="宋体" w:hAnsi="宋体" w:eastAsia="宋体" w:cs="宋体"/>
          <w:spacing w:val="-1"/>
          <w:sz w:val="21"/>
          <w:szCs w:val="21"/>
        </w:rPr>
        <w:t>36</w:t>
      </w:r>
      <w:r>
        <w:rPr>
          <w:rFonts w:ascii="宋体" w:hAnsi="宋体" w:eastAsia="宋体" w:cs="宋体"/>
          <w:spacing w:val="-53"/>
          <w:sz w:val="21"/>
          <w:szCs w:val="21"/>
        </w:rPr>
        <w:t xml:space="preserve"> </w:t>
      </w:r>
      <w:r>
        <w:rPr>
          <w:rFonts w:ascii="宋体" w:hAnsi="宋体" w:eastAsia="宋体" w:cs="宋体"/>
          <w:spacing w:val="-1"/>
          <w:sz w:val="21"/>
          <w:szCs w:val="21"/>
        </w:rPr>
        <w:t>伏安全照明和必要的警示等以</w:t>
      </w:r>
      <w:r>
        <w:rPr>
          <w:rFonts w:ascii="宋体" w:hAnsi="宋体" w:eastAsia="宋体" w:cs="宋体"/>
          <w:spacing w:val="-2"/>
          <w:sz w:val="21"/>
          <w:szCs w:val="21"/>
        </w:rPr>
        <w:t>防止各种可</w:t>
      </w:r>
      <w:r>
        <w:rPr>
          <w:rFonts w:ascii="宋体" w:hAnsi="宋体" w:eastAsia="宋体" w:cs="宋体"/>
          <w:spacing w:val="-8"/>
          <w:sz w:val="21"/>
          <w:szCs w:val="21"/>
        </w:rPr>
        <w:t>能的事故；</w:t>
      </w:r>
    </w:p>
    <w:p w14:paraId="506386D0">
      <w:pPr>
        <w:spacing w:before="148" w:line="221" w:lineRule="auto"/>
        <w:ind w:left="430"/>
        <w:rPr>
          <w:rFonts w:ascii="宋体" w:hAnsi="宋体" w:eastAsia="宋体" w:cs="宋体"/>
          <w:sz w:val="21"/>
          <w:szCs w:val="21"/>
        </w:rPr>
      </w:pPr>
      <w:r>
        <w:rPr>
          <w:rFonts w:ascii="宋体" w:hAnsi="宋体" w:eastAsia="宋体" w:cs="宋体"/>
          <w:spacing w:val="-1"/>
          <w:sz w:val="21"/>
          <w:szCs w:val="21"/>
        </w:rPr>
        <w:t>（8）足够数量的和合格的手提灭火器；</w:t>
      </w:r>
    </w:p>
    <w:p w14:paraId="54C25684">
      <w:pPr>
        <w:spacing w:before="148" w:line="219" w:lineRule="auto"/>
        <w:ind w:left="430"/>
        <w:rPr>
          <w:rFonts w:ascii="宋体" w:hAnsi="宋体" w:eastAsia="宋体" w:cs="宋体"/>
          <w:sz w:val="21"/>
          <w:szCs w:val="21"/>
        </w:rPr>
      </w:pPr>
      <w:r>
        <w:rPr>
          <w:rFonts w:ascii="宋体" w:hAnsi="宋体" w:eastAsia="宋体" w:cs="宋体"/>
          <w:spacing w:val="-1"/>
          <w:sz w:val="21"/>
          <w:szCs w:val="21"/>
        </w:rPr>
        <w:t>（9）装备良好的易燃易爆物品仓库和相应的使用管理制度；</w:t>
      </w:r>
    </w:p>
    <w:p w14:paraId="3BB973D6">
      <w:pPr>
        <w:spacing w:before="151" w:line="221" w:lineRule="auto"/>
        <w:ind w:left="430"/>
        <w:rPr>
          <w:rFonts w:ascii="宋体" w:hAnsi="宋体" w:eastAsia="宋体" w:cs="宋体"/>
          <w:sz w:val="21"/>
          <w:szCs w:val="21"/>
        </w:rPr>
      </w:pPr>
      <w:r>
        <w:rPr>
          <w:rFonts w:ascii="宋体" w:hAnsi="宋体" w:eastAsia="宋体" w:cs="宋体"/>
          <w:spacing w:val="-1"/>
          <w:sz w:val="21"/>
          <w:szCs w:val="21"/>
        </w:rPr>
        <w:t>（10）对涉及明火施工的工作制定诸如用火证等</w:t>
      </w:r>
      <w:r>
        <w:rPr>
          <w:rFonts w:ascii="宋体" w:hAnsi="宋体" w:eastAsia="宋体" w:cs="宋体"/>
          <w:spacing w:val="-2"/>
          <w:sz w:val="21"/>
          <w:szCs w:val="21"/>
        </w:rPr>
        <w:t>的管理制度；</w:t>
      </w:r>
    </w:p>
    <w:p w14:paraId="384A1B2F">
      <w:pPr>
        <w:spacing w:before="151" w:line="360" w:lineRule="auto"/>
        <w:ind w:left="430"/>
        <w:rPr>
          <w:rFonts w:ascii="宋体" w:hAnsi="宋体" w:eastAsia="宋体" w:cs="宋体"/>
          <w:sz w:val="21"/>
          <w:szCs w:val="21"/>
        </w:rPr>
      </w:pPr>
      <w:r>
        <w:rPr>
          <w:rFonts w:ascii="宋体" w:hAnsi="宋体" w:eastAsia="宋体" w:cs="宋体"/>
          <w:sz w:val="21"/>
          <w:szCs w:val="21"/>
        </w:rPr>
        <w:t>（11）其他：</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 xml:space="preserve">承包人还需定期组织安全检查和隐患排查，对发现的安全问题及时整改，确保施工安全无死角；同时，应建立安全事故应急预案，定期组织演练，提高应对突发事件的能力；此外，承包人还需对进入施工现场的人员进行安全教育，确保其了解并遵守施工现场的安全规定，共同营造一个安全、有序的施工环境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67F14324">
      <w:pPr>
        <w:pStyle w:val="5"/>
        <w:spacing w:line="272" w:lineRule="auto"/>
      </w:pPr>
    </w:p>
    <w:p w14:paraId="294CCBEA">
      <w:pPr>
        <w:pStyle w:val="5"/>
        <w:spacing w:line="273" w:lineRule="auto"/>
      </w:pPr>
    </w:p>
    <w:p w14:paraId="7FE67BF7">
      <w:pPr>
        <w:pStyle w:val="5"/>
        <w:spacing w:line="273" w:lineRule="auto"/>
      </w:pPr>
    </w:p>
    <w:p w14:paraId="4F8BEB6B">
      <w:pPr>
        <w:pStyle w:val="5"/>
        <w:spacing w:line="273" w:lineRule="auto"/>
      </w:pPr>
    </w:p>
    <w:p w14:paraId="35361081">
      <w:pPr>
        <w:pStyle w:val="5"/>
        <w:spacing w:line="273" w:lineRule="auto"/>
      </w:pPr>
    </w:p>
    <w:p w14:paraId="14E2C6AE">
      <w:pPr>
        <w:spacing w:before="68" w:line="286" w:lineRule="auto"/>
        <w:ind w:right="185" w:firstLine="422"/>
        <w:rPr>
          <w:rFonts w:ascii="宋体" w:hAnsi="宋体" w:eastAsia="宋体" w:cs="宋体"/>
          <w:sz w:val="21"/>
          <w:szCs w:val="21"/>
        </w:rPr>
      </w:pPr>
      <w:bookmarkStart w:id="1311" w:name="bookmark636"/>
      <w:bookmarkEnd w:id="1311"/>
      <w:r>
        <w:rPr>
          <w:rFonts w:ascii="宋体" w:hAnsi="宋体" w:eastAsia="宋体" w:cs="宋体"/>
          <w:spacing w:val="2"/>
          <w:sz w:val="21"/>
          <w:szCs w:val="21"/>
        </w:rPr>
        <w:t>6.1.3 安全文明施工费用必须专款专用，承包人应</w:t>
      </w:r>
      <w:r>
        <w:rPr>
          <w:rFonts w:ascii="宋体" w:hAnsi="宋体" w:eastAsia="宋体" w:cs="宋体"/>
          <w:spacing w:val="1"/>
          <w:sz w:val="21"/>
          <w:szCs w:val="21"/>
        </w:rPr>
        <w:t>对其由于安全文明施工费用和施工安全措</w:t>
      </w:r>
      <w:r>
        <w:rPr>
          <w:rFonts w:ascii="宋体" w:hAnsi="宋体" w:eastAsia="宋体" w:cs="宋体"/>
          <w:spacing w:val="-1"/>
          <w:sz w:val="21"/>
          <w:szCs w:val="21"/>
        </w:rPr>
        <w:t>施不到位而发生的安全事故承担全部责任。</w:t>
      </w:r>
    </w:p>
    <w:p w14:paraId="73E8BEED">
      <w:pPr>
        <w:spacing w:before="147" w:line="330" w:lineRule="auto"/>
        <w:ind w:right="182" w:firstLine="421"/>
        <w:rPr>
          <w:rFonts w:ascii="宋体" w:hAnsi="宋体" w:eastAsia="宋体" w:cs="宋体"/>
          <w:sz w:val="21"/>
          <w:szCs w:val="21"/>
        </w:rPr>
      </w:pPr>
      <w:r>
        <w:rPr>
          <w:rFonts w:ascii="宋体" w:hAnsi="宋体" w:eastAsia="宋体" w:cs="宋体"/>
          <w:spacing w:val="2"/>
          <w:sz w:val="21"/>
          <w:szCs w:val="21"/>
        </w:rPr>
        <w:t>6.1.4 承包人应建立专门的施工场地（现场）安全生产管</w:t>
      </w:r>
      <w:r>
        <w:rPr>
          <w:rFonts w:ascii="宋体" w:hAnsi="宋体" w:eastAsia="宋体" w:cs="宋体"/>
          <w:spacing w:val="1"/>
          <w:sz w:val="21"/>
          <w:szCs w:val="21"/>
        </w:rPr>
        <w:t>理机构，配备足够数量的和符合有</w:t>
      </w:r>
      <w:r>
        <w:rPr>
          <w:rFonts w:ascii="宋体" w:hAnsi="宋体" w:eastAsia="宋体" w:cs="宋体"/>
          <w:spacing w:val="2"/>
          <w:sz w:val="21"/>
          <w:szCs w:val="21"/>
        </w:rPr>
        <w:t>关规定的专职安全生产管理人员，负责日常安全生产巡查和专项检查</w:t>
      </w:r>
      <w:r>
        <w:rPr>
          <w:rFonts w:ascii="宋体" w:hAnsi="宋体" w:eastAsia="宋体" w:cs="宋体"/>
          <w:spacing w:val="1"/>
          <w:sz w:val="21"/>
          <w:szCs w:val="21"/>
        </w:rPr>
        <w:t>，召集和主持现场全体人员</w:t>
      </w:r>
      <w:r>
        <w:rPr>
          <w:rFonts w:ascii="宋体" w:hAnsi="宋体" w:eastAsia="宋体" w:cs="宋体"/>
          <w:spacing w:val="4"/>
          <w:sz w:val="21"/>
          <w:szCs w:val="21"/>
        </w:rPr>
        <w:t>参加的安全生产例会（每周至少一次</w:t>
      </w:r>
      <w:r>
        <w:rPr>
          <w:rFonts w:ascii="宋体" w:hAnsi="宋体" w:eastAsia="宋体" w:cs="宋体"/>
          <w:spacing w:val="-37"/>
          <w:sz w:val="21"/>
          <w:szCs w:val="21"/>
        </w:rPr>
        <w:t>），</w:t>
      </w:r>
      <w:r>
        <w:rPr>
          <w:rFonts w:ascii="宋体" w:hAnsi="宋体" w:eastAsia="宋体" w:cs="宋体"/>
          <w:spacing w:val="4"/>
          <w:sz w:val="21"/>
          <w:szCs w:val="21"/>
        </w:rPr>
        <w:t>负责安全技术</w:t>
      </w:r>
      <w:r>
        <w:rPr>
          <w:rFonts w:ascii="宋体" w:hAnsi="宋体" w:eastAsia="宋体" w:cs="宋体"/>
          <w:spacing w:val="3"/>
          <w:sz w:val="21"/>
          <w:szCs w:val="21"/>
        </w:rPr>
        <w:t>交底和技术方案的安全把关，负责制定或</w:t>
      </w:r>
      <w:r>
        <w:rPr>
          <w:rFonts w:ascii="宋体" w:hAnsi="宋体" w:eastAsia="宋体" w:cs="宋体"/>
          <w:spacing w:val="2"/>
          <w:sz w:val="21"/>
          <w:szCs w:val="21"/>
        </w:rPr>
        <w:t>审核安全隐患的整改措施并监督落实，负责安全资料的整理和管理，</w:t>
      </w:r>
      <w:r>
        <w:rPr>
          <w:rFonts w:ascii="宋体" w:hAnsi="宋体" w:eastAsia="宋体" w:cs="宋体"/>
          <w:spacing w:val="1"/>
          <w:sz w:val="21"/>
          <w:szCs w:val="21"/>
        </w:rPr>
        <w:t>及时消除安全隐患，做好安</w:t>
      </w:r>
      <w:r>
        <w:rPr>
          <w:rFonts w:ascii="宋体" w:hAnsi="宋体" w:eastAsia="宋体" w:cs="宋体"/>
          <w:spacing w:val="2"/>
          <w:sz w:val="21"/>
          <w:szCs w:val="21"/>
        </w:rPr>
        <w:t>全检查记录，确保所有的安全设施都处于良好的运转状态。承包人项</w:t>
      </w:r>
      <w:r>
        <w:rPr>
          <w:rFonts w:ascii="宋体" w:hAnsi="宋体" w:eastAsia="宋体" w:cs="宋体"/>
          <w:spacing w:val="1"/>
          <w:sz w:val="21"/>
          <w:szCs w:val="21"/>
        </w:rPr>
        <w:t>目经理和专职安全生产管理</w:t>
      </w:r>
      <w:r>
        <w:rPr>
          <w:rFonts w:ascii="宋体" w:hAnsi="宋体" w:eastAsia="宋体" w:cs="宋体"/>
          <w:spacing w:val="-1"/>
          <w:sz w:val="21"/>
          <w:szCs w:val="21"/>
        </w:rPr>
        <w:t>人员均应当具备有效的安全生产考核合格证书。</w:t>
      </w:r>
    </w:p>
    <w:p w14:paraId="2E0EC37D">
      <w:pPr>
        <w:spacing w:before="151" w:line="325" w:lineRule="auto"/>
        <w:ind w:right="182" w:firstLine="421"/>
        <w:rPr>
          <w:rFonts w:ascii="宋体" w:hAnsi="宋体" w:eastAsia="宋体" w:cs="宋体"/>
          <w:sz w:val="21"/>
          <w:szCs w:val="21"/>
        </w:rPr>
      </w:pPr>
      <w:r>
        <w:rPr>
          <w:rFonts w:ascii="宋体" w:hAnsi="宋体" w:eastAsia="宋体" w:cs="宋体"/>
          <w:spacing w:val="2"/>
          <w:sz w:val="21"/>
          <w:szCs w:val="21"/>
        </w:rPr>
        <w:t>6.1.5 承包人应遵照有关法规要求，编印安全防护</w:t>
      </w:r>
      <w:r>
        <w:rPr>
          <w:rFonts w:ascii="宋体" w:hAnsi="宋体" w:eastAsia="宋体" w:cs="宋体"/>
          <w:spacing w:val="1"/>
          <w:sz w:val="21"/>
          <w:szCs w:val="21"/>
        </w:rPr>
        <w:t>手册发给进场施工人员，做好进场施工人</w:t>
      </w:r>
      <w:r>
        <w:rPr>
          <w:rFonts w:ascii="宋体" w:hAnsi="宋体" w:eastAsia="宋体" w:cs="宋体"/>
          <w:spacing w:val="2"/>
          <w:sz w:val="21"/>
          <w:szCs w:val="21"/>
        </w:rPr>
        <w:t>员上岗前的安全教育和培训工作，并建立考核制度，</w:t>
      </w:r>
      <w:r>
        <w:rPr>
          <w:rFonts w:ascii="宋体" w:hAnsi="宋体" w:eastAsia="宋体" w:cs="宋体"/>
          <w:spacing w:val="1"/>
          <w:sz w:val="21"/>
          <w:szCs w:val="21"/>
        </w:rPr>
        <w:t>只有考核合格的人员才能进场施工作业。特</w:t>
      </w:r>
      <w:r>
        <w:rPr>
          <w:rFonts w:ascii="宋体" w:hAnsi="宋体" w:eastAsia="宋体" w:cs="宋体"/>
          <w:spacing w:val="2"/>
          <w:sz w:val="21"/>
          <w:szCs w:val="21"/>
        </w:rPr>
        <w:t>种作业人员还应经过专门的安全作业培训，并取得特种作业操作资格</w:t>
      </w:r>
      <w:r>
        <w:rPr>
          <w:rFonts w:ascii="宋体" w:hAnsi="宋体" w:eastAsia="宋体" w:cs="宋体"/>
          <w:spacing w:val="1"/>
          <w:sz w:val="21"/>
          <w:szCs w:val="21"/>
        </w:rPr>
        <w:t>证书后方可上岗。在任何分</w:t>
      </w:r>
      <w:r>
        <w:rPr>
          <w:rFonts w:ascii="宋体" w:hAnsi="宋体" w:eastAsia="宋体" w:cs="宋体"/>
          <w:spacing w:val="2"/>
          <w:sz w:val="21"/>
          <w:szCs w:val="21"/>
        </w:rPr>
        <w:t>部分项工程开始施工前，承包人应当就有关安全施工的技术要求向施</w:t>
      </w:r>
      <w:r>
        <w:rPr>
          <w:rFonts w:ascii="宋体" w:hAnsi="宋体" w:eastAsia="宋体" w:cs="宋体"/>
          <w:spacing w:val="1"/>
          <w:sz w:val="21"/>
          <w:szCs w:val="21"/>
        </w:rPr>
        <w:t>工作业班组和作业人员等进</w:t>
      </w:r>
      <w:r>
        <w:rPr>
          <w:rFonts w:ascii="宋体" w:hAnsi="宋体" w:eastAsia="宋体" w:cs="宋体"/>
          <w:spacing w:val="-1"/>
          <w:sz w:val="21"/>
          <w:szCs w:val="21"/>
        </w:rPr>
        <w:t>行安全交底，并由双方签字确认。</w:t>
      </w:r>
    </w:p>
    <w:p w14:paraId="3B8F2941">
      <w:pPr>
        <w:spacing w:before="116" w:line="284" w:lineRule="auto"/>
        <w:ind w:left="1" w:right="185" w:firstLine="420"/>
        <w:rPr>
          <w:rFonts w:ascii="宋体" w:hAnsi="宋体" w:eastAsia="宋体" w:cs="宋体"/>
          <w:sz w:val="21"/>
          <w:szCs w:val="21"/>
        </w:rPr>
      </w:pPr>
      <w:r>
        <w:rPr>
          <w:rFonts w:ascii="宋体" w:hAnsi="宋体" w:eastAsia="宋体" w:cs="宋体"/>
          <w:spacing w:val="2"/>
          <w:sz w:val="21"/>
          <w:szCs w:val="21"/>
        </w:rPr>
        <w:t>6.1.6 承包人应为其进场施工人员配备必需的安全</w:t>
      </w:r>
      <w:r>
        <w:rPr>
          <w:rFonts w:ascii="宋体" w:hAnsi="宋体" w:eastAsia="宋体" w:cs="宋体"/>
          <w:spacing w:val="1"/>
          <w:sz w:val="21"/>
          <w:szCs w:val="21"/>
        </w:rPr>
        <w:t>防护设施和设备，承包人还应为施工场地（现场）邻近地区的所有者和占有者、公众和其他人员，提供一切必要的临时道路、人行道、防</w:t>
      </w:r>
      <w:r>
        <w:rPr>
          <w:rFonts w:ascii="宋体" w:hAnsi="宋体" w:eastAsia="宋体" w:cs="宋体"/>
          <w:sz w:val="21"/>
          <w:szCs w:val="21"/>
        </w:rPr>
        <w:t>护棚、围栏及警告等，以确保财产和人身安全以及最大程度地降低施工可能造成的不</w:t>
      </w:r>
      <w:r>
        <w:rPr>
          <w:rFonts w:ascii="宋体" w:hAnsi="宋体" w:eastAsia="宋体" w:cs="宋体"/>
          <w:spacing w:val="-1"/>
          <w:sz w:val="21"/>
          <w:szCs w:val="21"/>
        </w:rPr>
        <w:t>便。</w:t>
      </w:r>
    </w:p>
    <w:p w14:paraId="5D8861CC">
      <w:pPr>
        <w:spacing w:before="113" w:line="297" w:lineRule="auto"/>
        <w:ind w:right="182" w:firstLine="421"/>
        <w:rPr>
          <w:rFonts w:ascii="宋体" w:hAnsi="宋体" w:eastAsia="宋体" w:cs="宋体"/>
          <w:sz w:val="21"/>
          <w:szCs w:val="21"/>
        </w:rPr>
      </w:pPr>
      <w:r>
        <w:rPr>
          <w:rFonts w:ascii="宋体" w:hAnsi="宋体" w:eastAsia="宋体" w:cs="宋体"/>
          <w:spacing w:val="2"/>
          <w:sz w:val="21"/>
          <w:szCs w:val="21"/>
        </w:rPr>
        <w:t>6.1.7 承包人应在施工场地（现场）入口处、施工起重</w:t>
      </w:r>
      <w:r>
        <w:rPr>
          <w:rFonts w:ascii="宋体" w:hAnsi="宋体" w:eastAsia="宋体" w:cs="宋体"/>
          <w:spacing w:val="1"/>
          <w:sz w:val="21"/>
          <w:szCs w:val="21"/>
        </w:rPr>
        <w:t>机械、临时用电设施、脚手架、出入</w:t>
      </w:r>
      <w:r>
        <w:rPr>
          <w:rFonts w:ascii="宋体" w:hAnsi="宋体" w:eastAsia="宋体" w:cs="宋体"/>
          <w:spacing w:val="2"/>
          <w:sz w:val="21"/>
          <w:szCs w:val="21"/>
        </w:rPr>
        <w:t>通道口、楼梯口、电梯井口、孔洞口、隧道口、基坑边沿、危险品存</w:t>
      </w:r>
      <w:r>
        <w:rPr>
          <w:rFonts w:ascii="宋体" w:hAnsi="宋体" w:eastAsia="宋体" w:cs="宋体"/>
          <w:spacing w:val="1"/>
          <w:sz w:val="21"/>
          <w:szCs w:val="21"/>
        </w:rPr>
        <w:t>放处等危险部位设置一切必需的安全警示标志，包括但不限于标准道路标志、报警标志、危险标志、控制标志、安全标志、</w:t>
      </w:r>
      <w:r>
        <w:rPr>
          <w:rFonts w:ascii="宋体" w:hAnsi="宋体" w:eastAsia="宋体" w:cs="宋体"/>
          <w:spacing w:val="2"/>
          <w:sz w:val="21"/>
          <w:szCs w:val="21"/>
        </w:rPr>
        <w:t>指示标志、警告标志等，并配备必要的照明、防护和看守。承包人应</w:t>
      </w:r>
      <w:r>
        <w:rPr>
          <w:rFonts w:ascii="宋体" w:hAnsi="宋体" w:eastAsia="宋体" w:cs="宋体"/>
          <w:spacing w:val="1"/>
          <w:sz w:val="21"/>
          <w:szCs w:val="21"/>
        </w:rPr>
        <w:t>当按监理人的指示，经常补</w:t>
      </w:r>
      <w:r>
        <w:rPr>
          <w:rFonts w:ascii="宋体" w:hAnsi="宋体" w:eastAsia="宋体" w:cs="宋体"/>
          <w:spacing w:val="-2"/>
          <w:sz w:val="21"/>
          <w:szCs w:val="21"/>
        </w:rPr>
        <w:t>充或更换失效的警示和标志。</w:t>
      </w:r>
    </w:p>
    <w:p w14:paraId="4C4DD584">
      <w:pPr>
        <w:spacing w:before="107" w:line="293" w:lineRule="auto"/>
        <w:ind w:left="2" w:right="182" w:firstLine="420"/>
        <w:rPr>
          <w:rFonts w:ascii="宋体" w:hAnsi="宋体" w:eastAsia="宋体" w:cs="宋体"/>
          <w:sz w:val="21"/>
          <w:szCs w:val="21"/>
        </w:rPr>
      </w:pPr>
      <w:r>
        <w:rPr>
          <w:rFonts w:ascii="宋体" w:hAnsi="宋体" w:eastAsia="宋体" w:cs="宋体"/>
          <w:spacing w:val="2"/>
          <w:sz w:val="21"/>
          <w:szCs w:val="21"/>
        </w:rPr>
        <w:t>6.1.8 承包人应对施工场地（现场）内由其提供并安装</w:t>
      </w:r>
      <w:r>
        <w:rPr>
          <w:rFonts w:ascii="宋体" w:hAnsi="宋体" w:eastAsia="宋体" w:cs="宋体"/>
          <w:spacing w:val="1"/>
          <w:sz w:val="21"/>
          <w:szCs w:val="21"/>
        </w:rPr>
        <w:t>的所有提升架、外用电梯和塔吊等垂</w:t>
      </w:r>
      <w:r>
        <w:rPr>
          <w:rFonts w:ascii="宋体" w:hAnsi="宋体" w:eastAsia="宋体" w:cs="宋体"/>
          <w:spacing w:val="2"/>
          <w:sz w:val="21"/>
          <w:szCs w:val="21"/>
        </w:rPr>
        <w:t>直和水平运输机械进行安全围护，包括卸料平台门的安全开关、警</w:t>
      </w:r>
      <w:r>
        <w:rPr>
          <w:rFonts w:ascii="宋体" w:hAnsi="宋体" w:eastAsia="宋体" w:cs="宋体"/>
          <w:spacing w:val="1"/>
          <w:sz w:val="21"/>
          <w:szCs w:val="21"/>
        </w:rPr>
        <w:t>示铃和警示灯，卸料平台的护</w:t>
      </w:r>
      <w:r>
        <w:rPr>
          <w:rFonts w:ascii="宋体" w:hAnsi="宋体" w:eastAsia="宋体" w:cs="宋体"/>
          <w:spacing w:val="2"/>
          <w:sz w:val="21"/>
          <w:szCs w:val="21"/>
        </w:rPr>
        <w:t>身栏杆，脚手架和安全网等等；所有的机械设备应设置安全操作防</w:t>
      </w:r>
      <w:r>
        <w:rPr>
          <w:rFonts w:ascii="宋体" w:hAnsi="宋体" w:eastAsia="宋体" w:cs="宋体"/>
          <w:spacing w:val="1"/>
          <w:sz w:val="21"/>
          <w:szCs w:val="21"/>
        </w:rPr>
        <w:t>护罩，并在醒目位置张挂详细</w:t>
      </w:r>
      <w:r>
        <w:rPr>
          <w:rFonts w:ascii="宋体" w:hAnsi="宋体" w:eastAsia="宋体" w:cs="宋体"/>
          <w:spacing w:val="-3"/>
          <w:sz w:val="21"/>
          <w:szCs w:val="21"/>
        </w:rPr>
        <w:t>的安全操作要点等。</w:t>
      </w:r>
    </w:p>
    <w:p w14:paraId="330BD77C">
      <w:pPr>
        <w:spacing w:before="107" w:line="293" w:lineRule="auto"/>
        <w:ind w:left="1" w:right="5" w:firstLine="420"/>
        <w:rPr>
          <w:rFonts w:ascii="宋体" w:hAnsi="宋体" w:eastAsia="宋体" w:cs="宋体"/>
          <w:sz w:val="21"/>
          <w:szCs w:val="21"/>
        </w:rPr>
      </w:pPr>
      <w:r>
        <w:rPr>
          <w:rFonts w:ascii="宋体" w:hAnsi="宋体" w:eastAsia="宋体" w:cs="宋体"/>
          <w:spacing w:val="2"/>
          <w:sz w:val="21"/>
          <w:szCs w:val="21"/>
        </w:rPr>
        <w:t>6.1.9 承包人应对所有用于提升的挂钩、挂环、钢</w:t>
      </w:r>
      <w:r>
        <w:rPr>
          <w:rFonts w:ascii="宋体" w:hAnsi="宋体" w:eastAsia="宋体" w:cs="宋体"/>
          <w:spacing w:val="1"/>
          <w:sz w:val="21"/>
          <w:szCs w:val="21"/>
        </w:rPr>
        <w:t>丝绳、铁扁担等进行定期检测、检查和标</w:t>
      </w:r>
      <w:r>
        <w:rPr>
          <w:rFonts w:ascii="宋体" w:hAnsi="宋体" w:eastAsia="宋体" w:cs="宋体"/>
          <w:spacing w:val="2"/>
          <w:sz w:val="21"/>
          <w:szCs w:val="21"/>
        </w:rPr>
        <w:t>定；如果监理人认为，任何此类设施已经损坏或有使用不当之处，</w:t>
      </w:r>
      <w:r>
        <w:rPr>
          <w:rFonts w:ascii="宋体" w:hAnsi="宋体" w:eastAsia="宋体" w:cs="宋体"/>
          <w:spacing w:val="1"/>
          <w:sz w:val="21"/>
          <w:szCs w:val="21"/>
        </w:rPr>
        <w:t>承包人应立即以合格的产品进行更换；所有垂直和水平运输机械的搭设、顶升、使用和拆除必须严格依照现行有关法规</w:t>
      </w:r>
      <w:r>
        <w:rPr>
          <w:rFonts w:ascii="宋体" w:hAnsi="宋体" w:eastAsia="宋体" w:cs="宋体"/>
          <w:sz w:val="21"/>
          <w:szCs w:val="21"/>
        </w:rPr>
        <w:t>、规章、</w:t>
      </w:r>
      <w:r>
        <w:rPr>
          <w:rFonts w:ascii="宋体" w:hAnsi="宋体" w:eastAsia="宋体" w:cs="宋体"/>
          <w:spacing w:val="-2"/>
          <w:sz w:val="21"/>
          <w:szCs w:val="21"/>
        </w:rPr>
        <w:t>规范、标准和规程等的要求。</w:t>
      </w:r>
    </w:p>
    <w:p w14:paraId="4E3B1345">
      <w:pPr>
        <w:spacing w:before="107" w:line="285" w:lineRule="auto"/>
        <w:ind w:firstLine="421"/>
        <w:rPr>
          <w:rFonts w:ascii="宋体" w:hAnsi="宋体" w:eastAsia="宋体" w:cs="宋体"/>
          <w:sz w:val="21"/>
          <w:szCs w:val="21"/>
        </w:rPr>
      </w:pPr>
      <w:r>
        <w:rPr>
          <w:rFonts w:ascii="宋体" w:hAnsi="宋体" w:eastAsia="宋体" w:cs="宋体"/>
          <w:spacing w:val="-1"/>
          <w:sz w:val="21"/>
          <w:szCs w:val="21"/>
        </w:rPr>
        <w:t>6.1.10 所有机械和工器具应定期保养、校核和维护，以保</w:t>
      </w:r>
      <w:r>
        <w:rPr>
          <w:rFonts w:ascii="宋体" w:hAnsi="宋体" w:eastAsia="宋体" w:cs="宋体"/>
          <w:spacing w:val="-2"/>
          <w:sz w:val="21"/>
          <w:szCs w:val="21"/>
        </w:rPr>
        <w:t>证它们处于良好和安全的工作状态。</w:t>
      </w:r>
      <w:r>
        <w:rPr>
          <w:rFonts w:ascii="宋体" w:hAnsi="宋体" w:eastAsia="宋体" w:cs="宋体"/>
          <w:spacing w:val="2"/>
          <w:sz w:val="21"/>
          <w:szCs w:val="21"/>
        </w:rPr>
        <w:t>保养、校核和维护工作应尽可能安排在非工作时间进行，并为上述机</w:t>
      </w:r>
      <w:r>
        <w:rPr>
          <w:rFonts w:ascii="宋体" w:hAnsi="宋体" w:eastAsia="宋体" w:cs="宋体"/>
          <w:spacing w:val="1"/>
          <w:sz w:val="21"/>
          <w:szCs w:val="21"/>
        </w:rPr>
        <w:t>械和工器具准备足够的备用</w:t>
      </w:r>
      <w:r>
        <w:rPr>
          <w:rFonts w:ascii="宋体" w:hAnsi="宋体" w:eastAsia="宋体" w:cs="宋体"/>
          <w:spacing w:val="-1"/>
          <w:sz w:val="21"/>
          <w:szCs w:val="21"/>
        </w:rPr>
        <w:t>配件，以确保工程的施工能不间断地进行。</w:t>
      </w:r>
    </w:p>
    <w:p w14:paraId="664B1641">
      <w:pPr>
        <w:spacing w:before="108" w:line="285" w:lineRule="auto"/>
        <w:ind w:left="5" w:right="177" w:firstLine="416"/>
        <w:rPr>
          <w:rFonts w:ascii="宋体" w:hAnsi="宋体" w:eastAsia="宋体" w:cs="宋体"/>
          <w:sz w:val="21"/>
          <w:szCs w:val="21"/>
        </w:rPr>
      </w:pPr>
      <w:r>
        <w:rPr>
          <w:rFonts w:ascii="宋体" w:hAnsi="宋体" w:eastAsia="宋体" w:cs="宋体"/>
          <w:sz w:val="21"/>
          <w:szCs w:val="21"/>
        </w:rPr>
        <w:t>6.1.11</w:t>
      </w:r>
      <w:r>
        <w:rPr>
          <w:rFonts w:ascii="宋体" w:hAnsi="宋体" w:eastAsia="宋体" w:cs="宋体"/>
          <w:spacing w:val="-19"/>
          <w:sz w:val="21"/>
          <w:szCs w:val="21"/>
        </w:rPr>
        <w:t xml:space="preserve"> </w:t>
      </w:r>
      <w:r>
        <w:rPr>
          <w:rFonts w:ascii="宋体" w:hAnsi="宋体" w:eastAsia="宋体" w:cs="宋体"/>
          <w:sz w:val="21"/>
          <w:szCs w:val="21"/>
        </w:rPr>
        <w:t>在永久工程和施工边坡、建筑物基坑、地下洞室等的开挖过程</w:t>
      </w:r>
      <w:r>
        <w:rPr>
          <w:rFonts w:ascii="宋体" w:hAnsi="宋体" w:eastAsia="宋体" w:cs="宋体"/>
          <w:spacing w:val="-1"/>
          <w:sz w:val="21"/>
          <w:szCs w:val="21"/>
        </w:rPr>
        <w:t>中，应根据其施工安全</w:t>
      </w:r>
      <w:r>
        <w:rPr>
          <w:rFonts w:ascii="宋体" w:hAnsi="宋体" w:eastAsia="宋体" w:cs="宋体"/>
          <w:spacing w:val="1"/>
          <w:sz w:val="21"/>
          <w:szCs w:val="21"/>
        </w:rPr>
        <w:t>的需要和（或）监理人指示，安装必要的施工安全监测仪器，及时进行必要的施工安全监测，并</w:t>
      </w:r>
      <w:r>
        <w:rPr>
          <w:rFonts w:ascii="宋体" w:hAnsi="宋体" w:eastAsia="宋体" w:cs="宋体"/>
          <w:sz w:val="21"/>
          <w:szCs w:val="21"/>
        </w:rPr>
        <w:t>定期将安全监测成果提交监理人，以防止引起</w:t>
      </w:r>
      <w:r>
        <w:rPr>
          <w:rFonts w:ascii="宋体" w:hAnsi="宋体" w:eastAsia="宋体" w:cs="宋体"/>
          <w:spacing w:val="-1"/>
          <w:sz w:val="21"/>
          <w:szCs w:val="21"/>
        </w:rPr>
        <w:t>任何沉降、变形或其他影响正常施工进度的损害。</w:t>
      </w:r>
    </w:p>
    <w:p w14:paraId="1274DF63">
      <w:pPr>
        <w:spacing w:before="108" w:line="221" w:lineRule="auto"/>
        <w:ind w:left="422"/>
        <w:rPr>
          <w:rFonts w:ascii="宋体" w:hAnsi="宋体" w:eastAsia="宋体" w:cs="宋体"/>
          <w:sz w:val="21"/>
          <w:szCs w:val="21"/>
        </w:rPr>
      </w:pPr>
      <w:r>
        <w:rPr>
          <w:rFonts w:ascii="宋体" w:hAnsi="宋体" w:eastAsia="宋体" w:cs="宋体"/>
          <w:spacing w:val="-1"/>
          <w:sz w:val="21"/>
          <w:szCs w:val="21"/>
        </w:rPr>
        <w:t>6.1.12 承包人应对任何施工中的永久工程进行必要的支撑或临时加固。除非承包人已获得监</w:t>
      </w:r>
    </w:p>
    <w:p w14:paraId="54D020A2">
      <w:pPr>
        <w:spacing w:line="221" w:lineRule="auto"/>
        <w:rPr>
          <w:rFonts w:ascii="宋体" w:hAnsi="宋体" w:eastAsia="宋体" w:cs="宋体"/>
          <w:sz w:val="21"/>
          <w:szCs w:val="21"/>
        </w:rPr>
        <w:sectPr>
          <w:footerReference r:id="rId182" w:type="default"/>
          <w:pgSz w:w="11905" w:h="16843"/>
          <w:pgMar w:top="969" w:right="1355" w:bottom="1026" w:left="1480" w:header="0" w:footer="754" w:gutter="0"/>
          <w:cols w:space="0" w:num="1"/>
          <w:rtlGutter w:val="0"/>
          <w:docGrid w:linePitch="0" w:charSpace="0"/>
        </w:sectPr>
      </w:pPr>
    </w:p>
    <w:p w14:paraId="08A07794">
      <w:pPr>
        <w:pStyle w:val="5"/>
        <w:spacing w:line="266" w:lineRule="auto"/>
      </w:pPr>
    </w:p>
    <w:p w14:paraId="3AB55F25">
      <w:pPr>
        <w:pStyle w:val="5"/>
        <w:spacing w:line="266" w:lineRule="auto"/>
      </w:pPr>
    </w:p>
    <w:p w14:paraId="13A705BC">
      <w:pPr>
        <w:pStyle w:val="5"/>
        <w:spacing w:line="267" w:lineRule="auto"/>
      </w:pPr>
    </w:p>
    <w:p w14:paraId="7DBF18F0">
      <w:pPr>
        <w:pStyle w:val="5"/>
        <w:spacing w:line="267" w:lineRule="auto"/>
      </w:pPr>
    </w:p>
    <w:p w14:paraId="515406ED">
      <w:pPr>
        <w:pStyle w:val="5"/>
        <w:spacing w:line="267" w:lineRule="auto"/>
      </w:pPr>
    </w:p>
    <w:p w14:paraId="6E1364DD">
      <w:pPr>
        <w:spacing w:before="69" w:line="316" w:lineRule="auto"/>
        <w:ind w:left="1" w:right="177" w:firstLine="2"/>
        <w:jc w:val="both"/>
        <w:rPr>
          <w:rFonts w:ascii="宋体" w:hAnsi="宋体" w:eastAsia="宋体" w:cs="宋体"/>
          <w:sz w:val="21"/>
          <w:szCs w:val="21"/>
        </w:rPr>
      </w:pPr>
      <w:bookmarkStart w:id="1312" w:name="bookmark637"/>
      <w:bookmarkEnd w:id="1312"/>
      <w:r>
        <w:rPr>
          <w:rFonts w:ascii="宋体" w:hAnsi="宋体" w:eastAsia="宋体" w:cs="宋体"/>
          <w:spacing w:val="2"/>
          <w:sz w:val="21"/>
          <w:szCs w:val="21"/>
        </w:rPr>
        <w:t>理人书面许可并按要求进行了必要的加固或支撑，不允许承包人</w:t>
      </w:r>
      <w:r>
        <w:rPr>
          <w:rFonts w:ascii="宋体" w:hAnsi="宋体" w:eastAsia="宋体" w:cs="宋体"/>
          <w:spacing w:val="1"/>
          <w:sz w:val="21"/>
          <w:szCs w:val="21"/>
        </w:rPr>
        <w:t>在任何已完成的永久性结构上堆</w:t>
      </w:r>
      <w:r>
        <w:rPr>
          <w:rFonts w:ascii="宋体" w:hAnsi="宋体" w:eastAsia="宋体" w:cs="宋体"/>
          <w:spacing w:val="2"/>
          <w:sz w:val="21"/>
          <w:szCs w:val="21"/>
        </w:rPr>
        <w:t>放超过设计允许荷载的任何材料、物品或设备。在任何情况下，承包</w:t>
      </w:r>
      <w:r>
        <w:rPr>
          <w:rFonts w:ascii="宋体" w:hAnsi="宋体" w:eastAsia="宋体" w:cs="宋体"/>
          <w:spacing w:val="1"/>
          <w:sz w:val="21"/>
          <w:szCs w:val="21"/>
        </w:rPr>
        <w:t>人均应对其任何上述超载行</w:t>
      </w:r>
      <w:r>
        <w:rPr>
          <w:rFonts w:ascii="宋体" w:hAnsi="宋体" w:eastAsia="宋体" w:cs="宋体"/>
          <w:spacing w:val="-1"/>
          <w:sz w:val="21"/>
          <w:szCs w:val="21"/>
        </w:rPr>
        <w:t>为引起的后果负责，并承担相应的修缮费用。</w:t>
      </w:r>
    </w:p>
    <w:p w14:paraId="17853664">
      <w:pPr>
        <w:spacing w:before="1" w:line="284" w:lineRule="auto"/>
        <w:ind w:left="1" w:firstLine="421"/>
        <w:rPr>
          <w:rFonts w:ascii="宋体" w:hAnsi="宋体" w:eastAsia="宋体" w:cs="宋体"/>
          <w:sz w:val="21"/>
          <w:szCs w:val="21"/>
        </w:rPr>
      </w:pPr>
      <w:r>
        <w:rPr>
          <w:rFonts w:ascii="宋体" w:hAnsi="宋体" w:eastAsia="宋体" w:cs="宋体"/>
          <w:spacing w:val="-1"/>
          <w:sz w:val="21"/>
          <w:szCs w:val="21"/>
        </w:rPr>
        <w:t>6.1.13 承包人应成立应急救援小组，配备必要的应急救援器材和设备，制定灾害和生产安全</w:t>
      </w:r>
      <w:r>
        <w:rPr>
          <w:rFonts w:ascii="宋体" w:hAnsi="宋体" w:eastAsia="宋体" w:cs="宋体"/>
          <w:spacing w:val="1"/>
          <w:sz w:val="21"/>
          <w:szCs w:val="21"/>
        </w:rPr>
        <w:t>事故的应急救援预案，并将应急救援预案报送监理人。应急救援预案应能随时组织应救专职</w:t>
      </w:r>
      <w:r>
        <w:rPr>
          <w:rFonts w:ascii="宋体" w:hAnsi="宋体" w:eastAsia="宋体" w:cs="宋体"/>
          <w:sz w:val="21"/>
          <w:szCs w:val="21"/>
        </w:rPr>
        <w:t>人员、</w:t>
      </w:r>
      <w:r>
        <w:rPr>
          <w:rFonts w:ascii="宋体" w:hAnsi="宋体" w:eastAsia="宋体" w:cs="宋体"/>
          <w:spacing w:val="-1"/>
          <w:sz w:val="21"/>
          <w:szCs w:val="21"/>
        </w:rPr>
        <w:t>并定期组织演练。</w:t>
      </w:r>
    </w:p>
    <w:p w14:paraId="63E43C4D">
      <w:pPr>
        <w:spacing w:before="109" w:line="219" w:lineRule="auto"/>
        <w:ind w:left="423"/>
        <w:rPr>
          <w:rFonts w:ascii="宋体" w:hAnsi="宋体" w:eastAsia="宋体" w:cs="宋体"/>
          <w:sz w:val="21"/>
          <w:szCs w:val="21"/>
        </w:rPr>
      </w:pPr>
      <w:r>
        <w:rPr>
          <w:rFonts w:ascii="宋体" w:hAnsi="宋体" w:eastAsia="宋体" w:cs="宋体"/>
          <w:sz w:val="21"/>
          <w:szCs w:val="21"/>
        </w:rPr>
        <w:t>6.1.14</w:t>
      </w:r>
      <w:r>
        <w:rPr>
          <w:rFonts w:ascii="宋体" w:hAnsi="宋体" w:eastAsia="宋体" w:cs="宋体"/>
          <w:spacing w:val="-45"/>
          <w:sz w:val="21"/>
          <w:szCs w:val="21"/>
        </w:rPr>
        <w:t xml:space="preserve"> </w:t>
      </w:r>
      <w:r>
        <w:rPr>
          <w:rFonts w:ascii="宋体" w:hAnsi="宋体" w:eastAsia="宋体" w:cs="宋体"/>
          <w:sz w:val="21"/>
          <w:szCs w:val="21"/>
        </w:rPr>
        <w:t>施工过程中需要使用爆破或带炸药的工具等危险性</w:t>
      </w:r>
      <w:r>
        <w:rPr>
          <w:rFonts w:ascii="宋体" w:hAnsi="宋体" w:eastAsia="宋体" w:cs="宋体"/>
          <w:spacing w:val="-1"/>
          <w:sz w:val="21"/>
          <w:szCs w:val="21"/>
        </w:rPr>
        <w:t>施工方法时，承包人应提前通</w:t>
      </w:r>
    </w:p>
    <w:p w14:paraId="6AFA0428">
      <w:pPr>
        <w:spacing w:before="108" w:line="317" w:lineRule="auto"/>
        <w:ind w:left="1" w:right="177" w:firstLine="424"/>
        <w:jc w:val="both"/>
        <w:rPr>
          <w:rFonts w:ascii="宋体" w:hAnsi="宋体" w:eastAsia="宋体" w:cs="宋体"/>
          <w:sz w:val="21"/>
          <w:szCs w:val="21"/>
        </w:rPr>
      </w:pPr>
      <w:r>
        <w:rPr>
          <w:rFonts w:ascii="宋体" w:hAnsi="宋体" w:eastAsia="宋体" w:cs="宋体"/>
          <w:spacing w:val="2"/>
          <w:sz w:val="21"/>
          <w:szCs w:val="21"/>
        </w:rPr>
        <w:t>知监理人。经监理人批准后，承包人应依照有关法律、法规</w:t>
      </w:r>
      <w:r>
        <w:rPr>
          <w:rFonts w:ascii="宋体" w:hAnsi="宋体" w:eastAsia="宋体" w:cs="宋体"/>
          <w:spacing w:val="1"/>
          <w:sz w:val="21"/>
          <w:szCs w:val="21"/>
        </w:rPr>
        <w:t>、规章以及政府有关主管机构制</w:t>
      </w:r>
      <w:r>
        <w:rPr>
          <w:rFonts w:ascii="宋体" w:hAnsi="宋体" w:eastAsia="宋体" w:cs="宋体"/>
          <w:spacing w:val="2"/>
          <w:sz w:val="21"/>
          <w:szCs w:val="21"/>
        </w:rPr>
        <w:t>定的规范性文件等的规定，向有关机构提出申请并获得相关许可。承</w:t>
      </w:r>
      <w:r>
        <w:rPr>
          <w:rFonts w:ascii="宋体" w:hAnsi="宋体" w:eastAsia="宋体" w:cs="宋体"/>
          <w:spacing w:val="1"/>
          <w:sz w:val="21"/>
          <w:szCs w:val="21"/>
        </w:rPr>
        <w:t>包人应严格依照上述规定使</w:t>
      </w:r>
      <w:r>
        <w:rPr>
          <w:rFonts w:ascii="宋体" w:hAnsi="宋体" w:eastAsia="宋体" w:cs="宋体"/>
          <w:spacing w:val="2"/>
          <w:sz w:val="21"/>
          <w:szCs w:val="21"/>
        </w:rPr>
        <w:t>用、储藏、管理爆破物品或带炸药的工具等，并负责由于这类物品的</w:t>
      </w:r>
      <w:r>
        <w:rPr>
          <w:rFonts w:ascii="宋体" w:hAnsi="宋体" w:eastAsia="宋体" w:cs="宋体"/>
          <w:spacing w:val="1"/>
          <w:sz w:val="21"/>
          <w:szCs w:val="21"/>
        </w:rPr>
        <w:t>使用可能引起的任何损失或</w:t>
      </w:r>
      <w:r>
        <w:rPr>
          <w:rFonts w:ascii="宋体" w:hAnsi="宋体" w:eastAsia="宋体" w:cs="宋体"/>
          <w:sz w:val="21"/>
          <w:szCs w:val="21"/>
        </w:rPr>
        <w:t>损害的赔偿。任何情况下，承包人不得在已完永久性工程中和空心砌体中使用爆破方法。</w:t>
      </w:r>
    </w:p>
    <w:p w14:paraId="2095E39B">
      <w:pPr>
        <w:spacing w:line="284" w:lineRule="auto"/>
        <w:ind w:left="2" w:right="172" w:firstLine="420"/>
        <w:rPr>
          <w:rFonts w:ascii="宋体" w:hAnsi="宋体" w:eastAsia="宋体" w:cs="宋体"/>
          <w:sz w:val="21"/>
          <w:szCs w:val="21"/>
        </w:rPr>
      </w:pPr>
      <w:r>
        <w:rPr>
          <w:rFonts w:ascii="宋体" w:hAnsi="宋体" w:eastAsia="宋体" w:cs="宋体"/>
          <w:spacing w:val="-1"/>
          <w:sz w:val="21"/>
          <w:szCs w:val="21"/>
        </w:rPr>
        <w:t>6.1.15 基坑支护与降水工程、土方开挖工程、模板工程、起重吊装工程、脚手架工程、拆除</w:t>
      </w:r>
      <w:r>
        <w:rPr>
          <w:rFonts w:ascii="宋体" w:hAnsi="宋体" w:eastAsia="宋体" w:cs="宋体"/>
          <w:spacing w:val="2"/>
          <w:sz w:val="21"/>
          <w:szCs w:val="21"/>
        </w:rPr>
        <w:t>工程和爆破工程等达到一定规模和危险性较大的分部分项</w:t>
      </w:r>
      <w:r>
        <w:rPr>
          <w:rFonts w:ascii="宋体" w:hAnsi="宋体" w:eastAsia="宋体" w:cs="宋体"/>
          <w:spacing w:val="1"/>
          <w:sz w:val="21"/>
          <w:szCs w:val="21"/>
        </w:rPr>
        <w:t>工程，承包人应当编制专项施工方案，</w:t>
      </w:r>
      <w:r>
        <w:rPr>
          <w:rFonts w:ascii="宋体" w:hAnsi="宋体" w:eastAsia="宋体" w:cs="宋体"/>
          <w:sz w:val="21"/>
          <w:szCs w:val="21"/>
        </w:rPr>
        <w:t>其中深基坑、地下暗挖和高大模板工程的专项施工方案，还应组织专家进行论证和审</w:t>
      </w:r>
      <w:r>
        <w:rPr>
          <w:rFonts w:ascii="宋体" w:hAnsi="宋体" w:eastAsia="宋体" w:cs="宋体"/>
          <w:spacing w:val="-1"/>
          <w:sz w:val="21"/>
          <w:szCs w:val="21"/>
        </w:rPr>
        <w:t>查。</w:t>
      </w:r>
    </w:p>
    <w:p w14:paraId="2341582E">
      <w:pPr>
        <w:spacing w:before="113" w:line="300" w:lineRule="auto"/>
        <w:ind w:right="172" w:firstLine="423"/>
        <w:rPr>
          <w:rFonts w:ascii="宋体" w:hAnsi="宋体" w:eastAsia="宋体" w:cs="宋体"/>
          <w:sz w:val="21"/>
          <w:szCs w:val="21"/>
        </w:rPr>
      </w:pPr>
      <w:r>
        <w:rPr>
          <w:rFonts w:ascii="宋体" w:hAnsi="宋体" w:eastAsia="宋体" w:cs="宋体"/>
          <w:spacing w:val="-1"/>
          <w:sz w:val="21"/>
          <w:szCs w:val="21"/>
        </w:rPr>
        <w:t>6.1.16</w:t>
      </w:r>
      <w:r>
        <w:rPr>
          <w:rFonts w:ascii="宋体" w:hAnsi="宋体" w:eastAsia="宋体" w:cs="宋体"/>
          <w:spacing w:val="-18"/>
          <w:sz w:val="21"/>
          <w:szCs w:val="21"/>
        </w:rPr>
        <w:t xml:space="preserve"> </w:t>
      </w:r>
      <w:r>
        <w:rPr>
          <w:rFonts w:ascii="宋体" w:hAnsi="宋体" w:eastAsia="宋体" w:cs="宋体"/>
          <w:spacing w:val="-1"/>
          <w:sz w:val="21"/>
          <w:szCs w:val="21"/>
        </w:rPr>
        <w:t>承包人应按照通用合同条款第</w:t>
      </w:r>
      <w:r>
        <w:rPr>
          <w:rFonts w:ascii="宋体" w:hAnsi="宋体" w:eastAsia="宋体" w:cs="宋体"/>
          <w:spacing w:val="-36"/>
          <w:sz w:val="21"/>
          <w:szCs w:val="21"/>
        </w:rPr>
        <w:t xml:space="preserve"> </w:t>
      </w:r>
      <w:r>
        <w:rPr>
          <w:rFonts w:ascii="宋体" w:hAnsi="宋体" w:eastAsia="宋体" w:cs="宋体"/>
          <w:spacing w:val="-1"/>
          <w:sz w:val="21"/>
          <w:szCs w:val="21"/>
        </w:rPr>
        <w:t>9.5</w:t>
      </w:r>
      <w:r>
        <w:rPr>
          <w:rFonts w:ascii="宋体" w:hAnsi="宋体" w:eastAsia="宋体" w:cs="宋体"/>
          <w:spacing w:val="-36"/>
          <w:sz w:val="21"/>
          <w:szCs w:val="21"/>
        </w:rPr>
        <w:t xml:space="preserve"> </w:t>
      </w:r>
      <w:r>
        <w:rPr>
          <w:rFonts w:ascii="宋体" w:hAnsi="宋体" w:eastAsia="宋体" w:cs="宋体"/>
          <w:spacing w:val="-1"/>
          <w:sz w:val="21"/>
          <w:szCs w:val="21"/>
        </w:rPr>
        <w:t>款的约定处理本工程施工过程中发生的事故。发生</w:t>
      </w:r>
      <w:r>
        <w:rPr>
          <w:rFonts w:ascii="宋体" w:hAnsi="宋体" w:eastAsia="宋体" w:cs="宋体"/>
          <w:spacing w:val="2"/>
          <w:sz w:val="21"/>
          <w:szCs w:val="21"/>
        </w:rPr>
        <w:t>施工安全事故后，承包人必须立即报告监理人和发包人，并在事故发生后</w:t>
      </w:r>
      <w:r>
        <w:rPr>
          <w:rFonts w:ascii="宋体" w:hAnsi="宋体" w:eastAsia="宋体" w:cs="宋体"/>
          <w:spacing w:val="1"/>
          <w:sz w:val="21"/>
          <w:szCs w:val="21"/>
        </w:rPr>
        <w:t>一小时内向发包人提交</w:t>
      </w:r>
      <w:r>
        <w:rPr>
          <w:rFonts w:ascii="宋体" w:hAnsi="宋体" w:eastAsia="宋体" w:cs="宋体"/>
          <w:spacing w:val="2"/>
          <w:sz w:val="21"/>
          <w:szCs w:val="21"/>
        </w:rPr>
        <w:t>事故情况书面报告，并根据《生产安全事故报告和调查处理条例》的规定</w:t>
      </w:r>
      <w:r>
        <w:rPr>
          <w:rFonts w:ascii="宋体" w:hAnsi="宋体" w:eastAsia="宋体" w:cs="宋体"/>
          <w:spacing w:val="1"/>
          <w:sz w:val="21"/>
          <w:szCs w:val="21"/>
        </w:rPr>
        <w:t>，及时向工程所在地县</w:t>
      </w:r>
      <w:r>
        <w:rPr>
          <w:rFonts w:ascii="宋体" w:hAnsi="宋体" w:eastAsia="宋体" w:cs="宋体"/>
          <w:spacing w:val="2"/>
          <w:sz w:val="21"/>
          <w:szCs w:val="21"/>
        </w:rPr>
        <w:t>级以上地方人民政府安全生产监督管理部门和建设行政主管部门报告。情</w:t>
      </w:r>
      <w:r>
        <w:rPr>
          <w:rFonts w:ascii="宋体" w:hAnsi="宋体" w:eastAsia="宋体" w:cs="宋体"/>
          <w:spacing w:val="1"/>
          <w:sz w:val="21"/>
          <w:szCs w:val="21"/>
        </w:rPr>
        <w:t>况紧急时，事故现场有</w:t>
      </w:r>
      <w:r>
        <w:rPr>
          <w:rFonts w:ascii="宋体" w:hAnsi="宋体" w:eastAsia="宋体" w:cs="宋体"/>
          <w:spacing w:val="2"/>
          <w:sz w:val="21"/>
          <w:szCs w:val="21"/>
        </w:rPr>
        <w:t>关人员可以直接向工程所在地县级以上地方人民政府安全生产监督管理部</w:t>
      </w:r>
      <w:r>
        <w:rPr>
          <w:rFonts w:ascii="宋体" w:hAnsi="宋体" w:eastAsia="宋体" w:cs="宋体"/>
          <w:spacing w:val="1"/>
          <w:sz w:val="21"/>
          <w:szCs w:val="21"/>
        </w:rPr>
        <w:t>门和建设行政主管部门</w:t>
      </w:r>
      <w:r>
        <w:rPr>
          <w:rFonts w:ascii="宋体" w:hAnsi="宋体" w:eastAsia="宋体" w:cs="宋体"/>
          <w:spacing w:val="-8"/>
          <w:sz w:val="21"/>
          <w:szCs w:val="21"/>
        </w:rPr>
        <w:t>报告。</w:t>
      </w:r>
    </w:p>
    <w:p w14:paraId="3A076DCA">
      <w:pPr>
        <w:spacing w:before="109" w:line="285" w:lineRule="auto"/>
        <w:ind w:left="2" w:right="172" w:firstLine="420"/>
        <w:rPr>
          <w:rFonts w:ascii="宋体" w:hAnsi="宋体" w:eastAsia="宋体" w:cs="宋体"/>
          <w:sz w:val="21"/>
          <w:szCs w:val="21"/>
        </w:rPr>
      </w:pPr>
      <w:r>
        <w:rPr>
          <w:rFonts w:ascii="宋体" w:hAnsi="宋体" w:eastAsia="宋体" w:cs="宋体"/>
          <w:spacing w:val="-1"/>
          <w:sz w:val="21"/>
          <w:szCs w:val="21"/>
        </w:rPr>
        <w:t>6.1.17 承包人还应根据有关法律、法规、规定和条例等的要求，制定一套安全生产应急措施</w:t>
      </w:r>
      <w:r>
        <w:rPr>
          <w:rFonts w:ascii="宋体" w:hAnsi="宋体" w:eastAsia="宋体" w:cs="宋体"/>
          <w:spacing w:val="2"/>
          <w:sz w:val="21"/>
          <w:szCs w:val="21"/>
        </w:rPr>
        <w:t>和程序，保证一旦出现任何安全事故，能立即保护好现场，抢救伤</w:t>
      </w:r>
      <w:r>
        <w:rPr>
          <w:rFonts w:ascii="宋体" w:hAnsi="宋体" w:eastAsia="宋体" w:cs="宋体"/>
          <w:spacing w:val="1"/>
          <w:sz w:val="21"/>
          <w:szCs w:val="21"/>
        </w:rPr>
        <w:t>员和财产，保证施工生产的正</w:t>
      </w:r>
      <w:r>
        <w:rPr>
          <w:rFonts w:ascii="宋体" w:hAnsi="宋体" w:eastAsia="宋体" w:cs="宋体"/>
          <w:spacing w:val="-2"/>
          <w:sz w:val="21"/>
          <w:szCs w:val="21"/>
        </w:rPr>
        <w:t>常进行，防止损失扩大。</w:t>
      </w:r>
    </w:p>
    <w:p w14:paraId="6CDD72BF">
      <w:pPr>
        <w:spacing w:before="109" w:line="221" w:lineRule="auto"/>
        <w:ind w:left="423"/>
      </w:pPr>
      <w:r>
        <w:rPr>
          <w:rFonts w:ascii="宋体" w:hAnsi="宋体" w:eastAsia="宋体" w:cs="宋体"/>
          <w:spacing w:val="-1"/>
          <w:sz w:val="21"/>
          <w:szCs w:val="21"/>
        </w:rPr>
        <w:t>6.1.18</w:t>
      </w:r>
      <w:r>
        <w:rPr>
          <w:rFonts w:ascii="宋体" w:hAnsi="宋体" w:eastAsia="宋体" w:cs="宋体"/>
          <w:spacing w:val="-40"/>
          <w:sz w:val="21"/>
          <w:szCs w:val="21"/>
        </w:rPr>
        <w:t xml:space="preserve"> </w:t>
      </w:r>
      <w:r>
        <w:rPr>
          <w:rFonts w:ascii="宋体" w:hAnsi="宋体" w:eastAsia="宋体" w:cs="宋体"/>
          <w:spacing w:val="-1"/>
          <w:sz w:val="21"/>
          <w:szCs w:val="21"/>
        </w:rPr>
        <w:t>安全防护方面的其他要求如下：</w:t>
      </w:r>
    </w:p>
    <w:p w14:paraId="07500463">
      <w:pPr>
        <w:spacing w:line="360" w:lineRule="auto"/>
        <w:ind w:firstLine="420" w:firstLineChars="200"/>
        <w:rPr>
          <w:rFonts w:ascii="宋体" w:hAnsi="宋体" w:eastAsia="宋体" w:cs="宋体"/>
          <w:sz w:val="21"/>
          <w:szCs w:val="21"/>
        </w:rPr>
      </w:pPr>
      <w:r>
        <w:rPr>
          <w:rFonts w:hint="eastAsia"/>
          <w:color w:val="auto"/>
          <w:sz w:val="21"/>
          <w:highlight w:val="none"/>
          <w:u w:val="single"/>
          <w:lang w:val="en-US" w:eastAsia="zh-CN"/>
        </w:rPr>
        <w:t>承包人需确保所有施工活动均在严格的安全监管下进行，对于特殊作业环境或高风险作业，应实施更为严格的安全管控措施。例如，在有毒有害气体可能积聚的场所作业前，必须进行气体检测并确保通风良好，作业人员需佩戴适当的防护装备。同时，承包人应定期对施工现场进行安全检查，及时发现并消除安全隐患，确保施工环境符合国家及地方的安全生产标准。此外，承包人还需对施工人员进行定期的安全教育和培训，提高其安全意识和应急处理能力，确保在紧急情况下能够迅速、有效地采取应对措施，保障人员生命安全和工程顺利进行。</w:t>
      </w:r>
    </w:p>
    <w:p w14:paraId="116450DA">
      <w:pPr>
        <w:spacing w:before="191" w:line="218" w:lineRule="auto"/>
        <w:ind w:left="1"/>
        <w:rPr>
          <w:rFonts w:ascii="黑体" w:hAnsi="黑体" w:eastAsia="黑体" w:cs="黑体"/>
          <w:sz w:val="24"/>
          <w:szCs w:val="24"/>
        </w:rPr>
      </w:pPr>
      <w:r>
        <w:rPr>
          <w:rFonts w:ascii="黑体" w:hAnsi="黑体" w:eastAsia="黑体" w:cs="黑体"/>
          <w:spacing w:val="-3"/>
          <w:sz w:val="24"/>
          <w:szCs w:val="24"/>
        </w:rPr>
        <w:t>6.2</w:t>
      </w:r>
      <w:r>
        <w:rPr>
          <w:rFonts w:ascii="黑体" w:hAnsi="黑体" w:eastAsia="黑体" w:cs="黑体"/>
          <w:spacing w:val="-44"/>
          <w:sz w:val="24"/>
          <w:szCs w:val="24"/>
        </w:rPr>
        <w:t xml:space="preserve"> </w:t>
      </w:r>
      <w:r>
        <w:rPr>
          <w:rFonts w:ascii="黑体" w:hAnsi="黑体" w:eastAsia="黑体" w:cs="黑体"/>
          <w:spacing w:val="-3"/>
          <w:sz w:val="24"/>
          <w:szCs w:val="24"/>
        </w:rPr>
        <w:t>临时消防</w:t>
      </w:r>
    </w:p>
    <w:p w14:paraId="1CE09A8E">
      <w:pPr>
        <w:spacing w:before="174" w:line="268" w:lineRule="auto"/>
        <w:ind w:left="1" w:right="180" w:firstLine="421"/>
        <w:rPr>
          <w:rFonts w:ascii="宋体" w:hAnsi="宋体" w:eastAsia="宋体" w:cs="宋体"/>
          <w:sz w:val="21"/>
          <w:szCs w:val="21"/>
        </w:rPr>
      </w:pPr>
      <w:r>
        <w:rPr>
          <w:rFonts w:ascii="宋体" w:hAnsi="宋体" w:eastAsia="宋体" w:cs="宋体"/>
          <w:spacing w:val="2"/>
          <w:sz w:val="21"/>
          <w:szCs w:val="21"/>
        </w:rPr>
        <w:t>6.2.1 承包人应建立消防安全责任制度，制定用火</w:t>
      </w:r>
      <w:r>
        <w:rPr>
          <w:rFonts w:ascii="宋体" w:hAnsi="宋体" w:eastAsia="宋体" w:cs="宋体"/>
          <w:spacing w:val="1"/>
          <w:sz w:val="21"/>
          <w:szCs w:val="21"/>
        </w:rPr>
        <w:t>、用电和使用易燃易爆等危险品的消防安</w:t>
      </w:r>
      <w:r>
        <w:rPr>
          <w:rFonts w:ascii="宋体" w:hAnsi="宋体" w:eastAsia="宋体" w:cs="宋体"/>
          <w:sz w:val="21"/>
          <w:szCs w:val="21"/>
        </w:rPr>
        <w:t>全管理制度和操作规程。各项制度和规程等应满足相关法律法规和政府消防管理部门的要求。</w:t>
      </w:r>
    </w:p>
    <w:p w14:paraId="490DAD5D">
      <w:pPr>
        <w:spacing w:before="107" w:line="303" w:lineRule="auto"/>
        <w:ind w:left="1" w:right="176" w:firstLine="421"/>
        <w:rPr>
          <w:rFonts w:ascii="宋体" w:hAnsi="宋体" w:eastAsia="宋体" w:cs="宋体"/>
          <w:sz w:val="21"/>
          <w:szCs w:val="21"/>
        </w:rPr>
      </w:pPr>
      <w:r>
        <w:rPr>
          <w:rFonts w:ascii="宋体" w:hAnsi="宋体" w:eastAsia="宋体" w:cs="宋体"/>
          <w:spacing w:val="2"/>
          <w:sz w:val="21"/>
          <w:szCs w:val="21"/>
        </w:rPr>
        <w:t>6.2.2 承包人应根据相关法律法规和消防管理部门</w:t>
      </w:r>
      <w:r>
        <w:rPr>
          <w:rFonts w:ascii="宋体" w:hAnsi="宋体" w:eastAsia="宋体" w:cs="宋体"/>
          <w:spacing w:val="1"/>
          <w:sz w:val="21"/>
          <w:szCs w:val="21"/>
        </w:rPr>
        <w:t>的要求，为施工中的永久工程和所有临时</w:t>
      </w:r>
      <w:r>
        <w:rPr>
          <w:rFonts w:ascii="宋体" w:hAnsi="宋体" w:eastAsia="宋体" w:cs="宋体"/>
          <w:spacing w:val="2"/>
          <w:sz w:val="21"/>
          <w:szCs w:val="21"/>
        </w:rPr>
        <w:t>工程提供必要的临时消防和紧急疏散设施，包括提供并维持畅通的消</w:t>
      </w:r>
      <w:r>
        <w:rPr>
          <w:rFonts w:ascii="宋体" w:hAnsi="宋体" w:eastAsia="宋体" w:cs="宋体"/>
          <w:spacing w:val="1"/>
          <w:sz w:val="21"/>
          <w:szCs w:val="21"/>
        </w:rPr>
        <w:t>防通道、临时消火栓、灭火</w:t>
      </w:r>
      <w:r>
        <w:rPr>
          <w:rFonts w:ascii="宋体" w:hAnsi="宋体" w:eastAsia="宋体" w:cs="宋体"/>
          <w:spacing w:val="2"/>
          <w:sz w:val="21"/>
          <w:szCs w:val="21"/>
        </w:rPr>
        <w:t>器、水龙带、灭火桶、灭火铲、灭火斧、消防水管、阀门、检查井、</w:t>
      </w:r>
      <w:r>
        <w:rPr>
          <w:rFonts w:ascii="宋体" w:hAnsi="宋体" w:eastAsia="宋体" w:cs="宋体"/>
          <w:spacing w:val="1"/>
          <w:sz w:val="21"/>
          <w:szCs w:val="21"/>
        </w:rPr>
        <w:t>临时消防水箱、泵房和紧随</w:t>
      </w:r>
      <w:r>
        <w:rPr>
          <w:rFonts w:ascii="宋体" w:hAnsi="宋体" w:eastAsia="宋体" w:cs="宋体"/>
          <w:spacing w:val="2"/>
          <w:sz w:val="21"/>
          <w:szCs w:val="21"/>
        </w:rPr>
        <w:t>工作面的临时疏散楼梯或疏散设施，消防设施的设立和消防设备的型</w:t>
      </w:r>
      <w:r>
        <w:rPr>
          <w:rFonts w:ascii="宋体" w:hAnsi="宋体" w:eastAsia="宋体" w:cs="宋体"/>
          <w:spacing w:val="1"/>
          <w:sz w:val="21"/>
          <w:szCs w:val="21"/>
        </w:rPr>
        <w:t>号和功率应满足消防任务的</w:t>
      </w:r>
      <w:r>
        <w:rPr>
          <w:rFonts w:ascii="宋体" w:hAnsi="宋体" w:eastAsia="宋体" w:cs="宋体"/>
          <w:spacing w:val="2"/>
          <w:sz w:val="21"/>
          <w:szCs w:val="21"/>
        </w:rPr>
        <w:t>需要，始终保持能够随时投入正常使用的状态，并设立明显标志。承</w:t>
      </w:r>
      <w:r>
        <w:rPr>
          <w:rFonts w:ascii="宋体" w:hAnsi="宋体" w:eastAsia="宋体" w:cs="宋体"/>
          <w:spacing w:val="1"/>
          <w:sz w:val="21"/>
          <w:szCs w:val="21"/>
        </w:rPr>
        <w:t>包人的临时消防系统和配置</w:t>
      </w:r>
      <w:r>
        <w:rPr>
          <w:rFonts w:ascii="宋体" w:hAnsi="宋体" w:eastAsia="宋体" w:cs="宋体"/>
          <w:spacing w:val="2"/>
          <w:sz w:val="21"/>
          <w:szCs w:val="21"/>
        </w:rPr>
        <w:t>应分别经过监理人和消防管理部门的审批和验收；承包人还应自费获</w:t>
      </w:r>
      <w:r>
        <w:rPr>
          <w:rFonts w:ascii="宋体" w:hAnsi="宋体" w:eastAsia="宋体" w:cs="宋体"/>
          <w:spacing w:val="1"/>
          <w:sz w:val="21"/>
          <w:szCs w:val="21"/>
        </w:rPr>
        <w:t>得消防管理部门的临时消防</w:t>
      </w:r>
      <w:r>
        <w:rPr>
          <w:rFonts w:ascii="宋体" w:hAnsi="宋体" w:eastAsia="宋体" w:cs="宋体"/>
          <w:spacing w:val="2"/>
          <w:sz w:val="21"/>
          <w:szCs w:val="21"/>
        </w:rPr>
        <w:t>证书。所有的临时消防设施属于承包人所有，至工程实际竣工时且永久</w:t>
      </w:r>
      <w:r>
        <w:rPr>
          <w:rFonts w:ascii="宋体" w:hAnsi="宋体" w:eastAsia="宋体" w:cs="宋体"/>
          <w:spacing w:val="1"/>
          <w:sz w:val="21"/>
          <w:szCs w:val="21"/>
        </w:rPr>
        <w:t>性消防系统投入使用后从</w:t>
      </w:r>
      <w:r>
        <w:rPr>
          <w:rFonts w:ascii="宋体" w:hAnsi="宋体" w:eastAsia="宋体" w:cs="宋体"/>
          <w:spacing w:val="-5"/>
          <w:sz w:val="21"/>
          <w:szCs w:val="21"/>
        </w:rPr>
        <w:t>现场拆除。</w:t>
      </w:r>
    </w:p>
    <w:p w14:paraId="48C4B8C5">
      <w:pPr>
        <w:spacing w:before="109" w:line="285" w:lineRule="auto"/>
        <w:ind w:left="3" w:right="6" w:firstLine="420"/>
        <w:rPr>
          <w:rFonts w:ascii="宋体" w:hAnsi="宋体" w:eastAsia="宋体" w:cs="宋体"/>
          <w:sz w:val="21"/>
          <w:szCs w:val="21"/>
        </w:rPr>
      </w:pPr>
      <w:r>
        <w:rPr>
          <w:rFonts w:ascii="宋体" w:hAnsi="宋体" w:eastAsia="宋体" w:cs="宋体"/>
          <w:spacing w:val="2"/>
          <w:sz w:val="21"/>
          <w:szCs w:val="21"/>
        </w:rPr>
        <w:t>6.2.3 承包人应当成立由项目主要负责人担任组长</w:t>
      </w:r>
      <w:r>
        <w:rPr>
          <w:rFonts w:ascii="宋体" w:hAnsi="宋体" w:eastAsia="宋体" w:cs="宋体"/>
          <w:spacing w:val="1"/>
          <w:sz w:val="21"/>
          <w:szCs w:val="21"/>
        </w:rPr>
        <w:t>的临时消防组或消防队，宣传消防基本知</w:t>
      </w:r>
      <w:r>
        <w:rPr>
          <w:rFonts w:ascii="宋体" w:hAnsi="宋体" w:eastAsia="宋体" w:cs="宋体"/>
          <w:spacing w:val="2"/>
          <w:sz w:val="21"/>
          <w:szCs w:val="21"/>
        </w:rPr>
        <w:t>识和基本操作培训，组织消防演练，保证一旦发生火灾，能够组织</w:t>
      </w:r>
      <w:r>
        <w:rPr>
          <w:rFonts w:ascii="宋体" w:hAnsi="宋体" w:eastAsia="宋体" w:cs="宋体"/>
          <w:spacing w:val="1"/>
          <w:sz w:val="21"/>
          <w:szCs w:val="21"/>
        </w:rPr>
        <w:t>有效的自救，保护生命和财产</w:t>
      </w:r>
      <w:r>
        <w:rPr>
          <w:rFonts w:ascii="宋体" w:hAnsi="宋体" w:eastAsia="宋体" w:cs="宋体"/>
          <w:spacing w:val="-9"/>
          <w:sz w:val="21"/>
          <w:szCs w:val="21"/>
        </w:rPr>
        <w:t>安全。</w:t>
      </w:r>
    </w:p>
    <w:p w14:paraId="0AB08401">
      <w:pPr>
        <w:spacing w:before="105" w:line="285" w:lineRule="auto"/>
        <w:ind w:left="5" w:right="4" w:firstLine="418"/>
        <w:rPr>
          <w:rFonts w:ascii="宋体" w:hAnsi="宋体" w:eastAsia="宋体" w:cs="宋体"/>
          <w:sz w:val="21"/>
          <w:szCs w:val="21"/>
        </w:rPr>
      </w:pPr>
      <w:r>
        <w:rPr>
          <w:rFonts w:ascii="宋体" w:hAnsi="宋体" w:eastAsia="宋体" w:cs="宋体"/>
          <w:spacing w:val="2"/>
          <w:sz w:val="21"/>
          <w:szCs w:val="21"/>
        </w:rPr>
        <w:t>6.2.4 施工场地（现场）内的易燃、易爆物品应单独</w:t>
      </w:r>
      <w:r>
        <w:rPr>
          <w:rFonts w:ascii="宋体" w:hAnsi="宋体" w:eastAsia="宋体" w:cs="宋体"/>
          <w:spacing w:val="1"/>
          <w:sz w:val="21"/>
          <w:szCs w:val="21"/>
        </w:rPr>
        <w:t>和安全地存放，设专人进行存放和领用</w:t>
      </w:r>
      <w:r>
        <w:rPr>
          <w:rFonts w:ascii="宋体" w:hAnsi="宋体" w:eastAsia="宋体" w:cs="宋体"/>
          <w:spacing w:val="2"/>
          <w:sz w:val="21"/>
          <w:szCs w:val="21"/>
        </w:rPr>
        <w:t>管理。施工场地（现场）储有或正在使用易燃、易爆或可燃材料时</w:t>
      </w:r>
      <w:r>
        <w:rPr>
          <w:rFonts w:ascii="宋体" w:hAnsi="宋体" w:eastAsia="宋体" w:cs="宋体"/>
          <w:spacing w:val="1"/>
          <w:sz w:val="21"/>
          <w:szCs w:val="21"/>
        </w:rPr>
        <w:t>或有明火施工的工序，应当实</w:t>
      </w:r>
      <w:r>
        <w:rPr>
          <w:rFonts w:ascii="宋体" w:hAnsi="宋体" w:eastAsia="宋体" w:cs="宋体"/>
          <w:spacing w:val="-2"/>
          <w:sz w:val="21"/>
          <w:szCs w:val="21"/>
        </w:rPr>
        <w:t>行严格的“用火证”管理制度。</w:t>
      </w:r>
    </w:p>
    <w:p w14:paraId="2E65176F">
      <w:pPr>
        <w:spacing w:before="108" w:line="221" w:lineRule="auto"/>
        <w:ind w:left="423"/>
        <w:rPr>
          <w:rFonts w:ascii="宋体" w:hAnsi="宋体" w:eastAsia="宋体" w:cs="宋体"/>
          <w:sz w:val="21"/>
          <w:szCs w:val="21"/>
        </w:rPr>
      </w:pPr>
      <w:r>
        <w:rPr>
          <w:rFonts w:ascii="宋体" w:hAnsi="宋体" w:eastAsia="宋体" w:cs="宋体"/>
          <w:spacing w:val="-2"/>
          <w:sz w:val="21"/>
          <w:szCs w:val="21"/>
        </w:rPr>
        <w:t>6.2.5</w:t>
      </w:r>
      <w:r>
        <w:rPr>
          <w:rFonts w:ascii="宋体" w:hAnsi="宋体" w:eastAsia="宋体" w:cs="宋体"/>
          <w:spacing w:val="-21"/>
          <w:sz w:val="21"/>
          <w:szCs w:val="21"/>
        </w:rPr>
        <w:t xml:space="preserve"> </w:t>
      </w:r>
      <w:r>
        <w:rPr>
          <w:rFonts w:ascii="宋体" w:hAnsi="宋体" w:eastAsia="宋体" w:cs="宋体"/>
          <w:spacing w:val="-2"/>
          <w:sz w:val="21"/>
          <w:szCs w:val="21"/>
        </w:rPr>
        <w:t>临时消防方面的其他要求如下：</w:t>
      </w:r>
    </w:p>
    <w:p w14:paraId="45FCCBAD">
      <w:pPr>
        <w:spacing w:before="192" w:line="360" w:lineRule="auto"/>
        <w:ind w:left="1" w:firstLine="420" w:firstLineChars="200"/>
        <w:rPr>
          <w:rFonts w:hint="default"/>
          <w:color w:val="auto"/>
          <w:sz w:val="21"/>
          <w:highlight w:val="none"/>
          <w:u w:val="single"/>
          <w:lang w:val="en-US" w:eastAsia="zh-CN"/>
        </w:rPr>
      </w:pPr>
      <w:r>
        <w:rPr>
          <w:rFonts w:hint="eastAsia"/>
          <w:color w:val="auto"/>
          <w:sz w:val="21"/>
          <w:highlight w:val="none"/>
          <w:u w:val="single"/>
          <w:lang w:val="en-US" w:eastAsia="zh-CN"/>
        </w:rPr>
        <w:t>承包人需定期对施工现场进行消防安全检查，及时发现并消除火灾隐患。对于检查中发现的消防安全问题，应立即整改，不能立即整改的，要制定整改计划，明确整改期限和责任人。同时，要建立消防安全检查档案，记录检查情况、发现问题及整改情况等。在施工过程中，如遇消防法规和标准发生变化，承包人应及时调整临时消防措施，确保始终符合最新的消防安全要求。此外，承包人还应积极配合监理人和消防管理部门开展的消防安全监督检查工作，对提出的问题认真对待，按要求及时整改到位</w:t>
      </w:r>
      <w:r>
        <w:rPr>
          <w:rFonts w:hint="default"/>
          <w:color w:val="auto"/>
          <w:sz w:val="21"/>
          <w:highlight w:val="none"/>
          <w:u w:val="single"/>
          <w:lang w:val="en-US" w:eastAsia="zh-CN"/>
        </w:rPr>
        <w:t>。</w:t>
      </w:r>
    </w:p>
    <w:p w14:paraId="615A876F">
      <w:pPr>
        <w:spacing w:before="192" w:line="220" w:lineRule="auto"/>
        <w:ind w:left="1"/>
        <w:rPr>
          <w:rFonts w:ascii="黑体" w:hAnsi="黑体" w:eastAsia="黑体" w:cs="黑体"/>
          <w:sz w:val="24"/>
          <w:szCs w:val="24"/>
        </w:rPr>
      </w:pPr>
      <w:r>
        <w:rPr>
          <w:rFonts w:ascii="黑体" w:hAnsi="黑体" w:eastAsia="黑体" w:cs="黑体"/>
          <w:spacing w:val="-3"/>
          <w:sz w:val="24"/>
          <w:szCs w:val="24"/>
        </w:rPr>
        <w:t>6.3</w:t>
      </w:r>
      <w:r>
        <w:rPr>
          <w:rFonts w:ascii="黑体" w:hAnsi="黑体" w:eastAsia="黑体" w:cs="黑体"/>
          <w:spacing w:val="-44"/>
          <w:sz w:val="24"/>
          <w:szCs w:val="24"/>
        </w:rPr>
        <w:t xml:space="preserve"> </w:t>
      </w:r>
      <w:r>
        <w:rPr>
          <w:rFonts w:ascii="黑体" w:hAnsi="黑体" w:eastAsia="黑体" w:cs="黑体"/>
          <w:spacing w:val="-3"/>
          <w:sz w:val="24"/>
          <w:szCs w:val="24"/>
        </w:rPr>
        <w:t>临时供电</w:t>
      </w:r>
    </w:p>
    <w:p w14:paraId="391AF987">
      <w:pPr>
        <w:spacing w:before="168" w:line="293" w:lineRule="auto"/>
        <w:ind w:firstLine="422"/>
        <w:rPr>
          <w:rFonts w:ascii="宋体" w:hAnsi="宋体" w:eastAsia="宋体" w:cs="宋体"/>
          <w:sz w:val="21"/>
          <w:szCs w:val="21"/>
        </w:rPr>
      </w:pPr>
      <w:r>
        <w:rPr>
          <w:rFonts w:ascii="宋体" w:hAnsi="宋体" w:eastAsia="宋体" w:cs="宋体"/>
          <w:spacing w:val="-3"/>
          <w:sz w:val="21"/>
          <w:szCs w:val="21"/>
        </w:rPr>
        <w:t>6.3.1</w:t>
      </w:r>
      <w:r>
        <w:rPr>
          <w:rFonts w:ascii="宋体" w:hAnsi="宋体" w:eastAsia="宋体" w:cs="宋体"/>
          <w:spacing w:val="-29"/>
          <w:sz w:val="21"/>
          <w:szCs w:val="21"/>
        </w:rPr>
        <w:t xml:space="preserve"> </w:t>
      </w:r>
      <w:r>
        <w:rPr>
          <w:rFonts w:ascii="宋体" w:hAnsi="宋体" w:eastAsia="宋体" w:cs="宋体"/>
          <w:spacing w:val="-3"/>
          <w:sz w:val="21"/>
          <w:szCs w:val="21"/>
        </w:rPr>
        <w:t>承包人应当根据《施工现场临时用电安全技术规范》（JGJ</w:t>
      </w:r>
      <w:r>
        <w:rPr>
          <w:rFonts w:ascii="宋体" w:hAnsi="宋体" w:eastAsia="宋体" w:cs="宋体"/>
          <w:spacing w:val="37"/>
          <w:sz w:val="21"/>
          <w:szCs w:val="21"/>
        </w:rPr>
        <w:t xml:space="preserve"> </w:t>
      </w:r>
      <w:r>
        <w:rPr>
          <w:rFonts w:ascii="宋体" w:hAnsi="宋体" w:eastAsia="宋体" w:cs="宋体"/>
          <w:spacing w:val="-3"/>
          <w:sz w:val="21"/>
          <w:szCs w:val="21"/>
        </w:rPr>
        <w:t>46—2005）及其适用的修订</w:t>
      </w:r>
      <w:r>
        <w:rPr>
          <w:rFonts w:ascii="宋体" w:hAnsi="宋体" w:eastAsia="宋体" w:cs="宋体"/>
          <w:spacing w:val="1"/>
          <w:sz w:val="21"/>
          <w:szCs w:val="21"/>
        </w:rPr>
        <w:t>版本的规定和施工要求编制施工临时用电方案。临时用电方案及其变更必须履行“编制、审核、</w:t>
      </w:r>
      <w:r>
        <w:rPr>
          <w:rFonts w:ascii="宋体" w:hAnsi="宋体" w:eastAsia="宋体" w:cs="宋体"/>
          <w:spacing w:val="2"/>
          <w:sz w:val="21"/>
          <w:szCs w:val="21"/>
        </w:rPr>
        <w:t>批准”程序。施工临时用电方案应当由电气工程技术人员组织编制，经</w:t>
      </w:r>
      <w:r>
        <w:rPr>
          <w:rFonts w:ascii="宋体" w:hAnsi="宋体" w:eastAsia="宋体" w:cs="宋体"/>
          <w:spacing w:val="1"/>
          <w:sz w:val="21"/>
          <w:szCs w:val="21"/>
        </w:rPr>
        <w:t>企业技术负责人批准后实</w:t>
      </w:r>
      <w:r>
        <w:rPr>
          <w:rFonts w:ascii="宋体" w:hAnsi="宋体" w:eastAsia="宋体" w:cs="宋体"/>
          <w:sz w:val="21"/>
          <w:szCs w:val="21"/>
        </w:rPr>
        <w:t>施，经编制、审核、批准部门和使用单位共同验收合格后方可投入使</w:t>
      </w:r>
      <w:r>
        <w:rPr>
          <w:rFonts w:ascii="宋体" w:hAnsi="宋体" w:eastAsia="宋体" w:cs="宋体"/>
          <w:spacing w:val="-1"/>
          <w:sz w:val="21"/>
          <w:szCs w:val="21"/>
        </w:rPr>
        <w:t>用。</w:t>
      </w:r>
    </w:p>
    <w:p w14:paraId="1394EC3B">
      <w:pPr>
        <w:spacing w:before="108" w:line="285" w:lineRule="auto"/>
        <w:ind w:left="13" w:right="6" w:firstLine="410"/>
        <w:rPr>
          <w:rFonts w:ascii="宋体" w:hAnsi="宋体" w:eastAsia="宋体" w:cs="宋体"/>
          <w:sz w:val="21"/>
          <w:szCs w:val="21"/>
        </w:rPr>
      </w:pPr>
      <w:r>
        <w:rPr>
          <w:rFonts w:ascii="宋体" w:hAnsi="宋体" w:eastAsia="宋体" w:cs="宋体"/>
          <w:sz w:val="21"/>
          <w:szCs w:val="21"/>
        </w:rPr>
        <w:t>6.3.2 承包人应为施工场地（现场</w:t>
      </w:r>
      <w:r>
        <w:rPr>
          <w:rFonts w:ascii="宋体" w:hAnsi="宋体" w:eastAsia="宋体" w:cs="宋体"/>
          <w:spacing w:val="-53"/>
          <w:w w:val="97"/>
          <w:sz w:val="21"/>
          <w:szCs w:val="21"/>
        </w:rPr>
        <w:t>），</w:t>
      </w:r>
      <w:r>
        <w:rPr>
          <w:rFonts w:ascii="宋体" w:hAnsi="宋体" w:eastAsia="宋体" w:cs="宋体"/>
          <w:sz w:val="21"/>
          <w:szCs w:val="21"/>
        </w:rPr>
        <w:t>包</w:t>
      </w:r>
      <w:r>
        <w:rPr>
          <w:rFonts w:ascii="宋体" w:hAnsi="宋体" w:eastAsia="宋体" w:cs="宋体"/>
          <w:spacing w:val="-1"/>
          <w:sz w:val="21"/>
          <w:szCs w:val="21"/>
        </w:rPr>
        <w:t>括为工程楼层或者各区域，提供、设立和维护必要的</w:t>
      </w:r>
      <w:r>
        <w:rPr>
          <w:rFonts w:ascii="宋体" w:hAnsi="宋体" w:eastAsia="宋体" w:cs="宋体"/>
          <w:spacing w:val="2"/>
          <w:sz w:val="21"/>
          <w:szCs w:val="21"/>
        </w:rPr>
        <w:t>临时电力供应系统，并保证电力供应系统始</w:t>
      </w:r>
      <w:r>
        <w:rPr>
          <w:rFonts w:ascii="宋体" w:hAnsi="宋体" w:eastAsia="宋体" w:cs="宋体"/>
          <w:spacing w:val="1"/>
          <w:sz w:val="21"/>
          <w:szCs w:val="21"/>
        </w:rPr>
        <w:t>终处于满足供电管理部门要求和正常施工生产所要求</w:t>
      </w:r>
      <w:r>
        <w:rPr>
          <w:rFonts w:ascii="宋体" w:hAnsi="宋体" w:eastAsia="宋体" w:cs="宋体"/>
          <w:spacing w:val="-1"/>
          <w:sz w:val="21"/>
          <w:szCs w:val="21"/>
        </w:rPr>
        <w:t>的状态，并在工程实际竣工和相应永久系统投入使用后从现场拆除。</w:t>
      </w:r>
    </w:p>
    <w:p w14:paraId="6AA1AF9B">
      <w:pPr>
        <w:spacing w:before="112" w:line="300" w:lineRule="auto"/>
        <w:ind w:right="6" w:firstLine="422"/>
        <w:rPr>
          <w:rFonts w:ascii="宋体" w:hAnsi="宋体" w:eastAsia="宋体" w:cs="宋体"/>
          <w:sz w:val="21"/>
          <w:szCs w:val="21"/>
        </w:rPr>
      </w:pPr>
      <w:r>
        <w:rPr>
          <w:rFonts w:ascii="宋体" w:hAnsi="宋体" w:eastAsia="宋体" w:cs="宋体"/>
          <w:spacing w:val="2"/>
          <w:sz w:val="21"/>
          <w:szCs w:val="21"/>
        </w:rPr>
        <w:t>6.3.3 临时供电系统的电缆、电线、配电箱、控制</w:t>
      </w:r>
      <w:r>
        <w:rPr>
          <w:rFonts w:ascii="宋体" w:hAnsi="宋体" w:eastAsia="宋体" w:cs="宋体"/>
          <w:spacing w:val="1"/>
          <w:sz w:val="21"/>
          <w:szCs w:val="21"/>
        </w:rPr>
        <w:t>柜、开关箱、漏电保护器等材料设备均应</w:t>
      </w:r>
      <w:r>
        <w:rPr>
          <w:rFonts w:ascii="宋体" w:hAnsi="宋体" w:eastAsia="宋体" w:cs="宋体"/>
          <w:spacing w:val="2"/>
          <w:sz w:val="21"/>
          <w:szCs w:val="21"/>
        </w:rPr>
        <w:t>当具有生产（制造）许可证、产品合格证并经过检验合</w:t>
      </w:r>
      <w:r>
        <w:rPr>
          <w:rFonts w:ascii="宋体" w:hAnsi="宋体" w:eastAsia="宋体" w:cs="宋体"/>
          <w:spacing w:val="1"/>
          <w:sz w:val="21"/>
          <w:szCs w:val="21"/>
        </w:rPr>
        <w:t>格的产品。临时用电采用三相五线制、三</w:t>
      </w:r>
      <w:r>
        <w:rPr>
          <w:rFonts w:ascii="宋体" w:hAnsi="宋体" w:eastAsia="宋体" w:cs="宋体"/>
          <w:spacing w:val="2"/>
          <w:sz w:val="21"/>
          <w:szCs w:val="21"/>
        </w:rPr>
        <w:t>级配电和两极漏电保护供电，三相四线制配电的电缆线路必须采用五芯</w:t>
      </w:r>
      <w:r>
        <w:rPr>
          <w:rFonts w:ascii="宋体" w:hAnsi="宋体" w:eastAsia="宋体" w:cs="宋体"/>
          <w:spacing w:val="1"/>
          <w:sz w:val="21"/>
          <w:szCs w:val="21"/>
        </w:rPr>
        <w:t>电缆，按规定设立零线和</w:t>
      </w:r>
      <w:r>
        <w:rPr>
          <w:rFonts w:ascii="宋体" w:hAnsi="宋体" w:eastAsia="宋体" w:cs="宋体"/>
          <w:spacing w:val="2"/>
          <w:sz w:val="21"/>
          <w:szCs w:val="21"/>
        </w:rPr>
        <w:t>接地线。电缆和电线的铺设要符合安全用电标准要求，电缆线路应采用</w:t>
      </w:r>
      <w:r>
        <w:rPr>
          <w:rFonts w:ascii="宋体" w:hAnsi="宋体" w:eastAsia="宋体" w:cs="宋体"/>
          <w:spacing w:val="1"/>
          <w:sz w:val="21"/>
          <w:szCs w:val="21"/>
        </w:rPr>
        <w:t>埋地或架空敷设，严禁地</w:t>
      </w:r>
      <w:r>
        <w:rPr>
          <w:rFonts w:ascii="宋体" w:hAnsi="宋体" w:eastAsia="宋体" w:cs="宋体"/>
          <w:spacing w:val="2"/>
          <w:sz w:val="21"/>
          <w:szCs w:val="21"/>
        </w:rPr>
        <w:t>面明设，并应避免机械损伤和介质腐蚀。埋地电缆路径应设方位标志。</w:t>
      </w:r>
      <w:r>
        <w:rPr>
          <w:rFonts w:ascii="宋体" w:hAnsi="宋体" w:eastAsia="宋体" w:cs="宋体"/>
          <w:spacing w:val="1"/>
          <w:sz w:val="21"/>
          <w:szCs w:val="21"/>
        </w:rPr>
        <w:t>各种配电设备均设有防止</w:t>
      </w:r>
      <w:r>
        <w:rPr>
          <w:rFonts w:ascii="宋体" w:hAnsi="宋体" w:eastAsia="宋体" w:cs="宋体"/>
          <w:spacing w:val="-1"/>
          <w:sz w:val="21"/>
          <w:szCs w:val="21"/>
        </w:rPr>
        <w:t>漏电和防雨防水设施。</w:t>
      </w:r>
    </w:p>
    <w:p w14:paraId="005976E7">
      <w:pPr>
        <w:spacing w:before="111" w:line="284" w:lineRule="auto"/>
        <w:ind w:left="5" w:right="17" w:firstLine="418"/>
        <w:rPr>
          <w:rFonts w:ascii="宋体" w:hAnsi="宋体" w:eastAsia="宋体" w:cs="宋体"/>
          <w:sz w:val="21"/>
          <w:szCs w:val="21"/>
        </w:rPr>
      </w:pPr>
      <w:r>
        <w:rPr>
          <w:rFonts w:ascii="宋体" w:hAnsi="宋体" w:eastAsia="宋体" w:cs="宋体"/>
          <w:spacing w:val="1"/>
          <w:sz w:val="21"/>
          <w:szCs w:val="21"/>
        </w:rPr>
        <w:t>6.3.4 承包人应在施工作业区、施工道路、临时设施、办公区和生活区设置足够的照明，地</w:t>
      </w:r>
      <w:r>
        <w:rPr>
          <w:rFonts w:ascii="宋体" w:hAnsi="宋体" w:eastAsia="宋体" w:cs="宋体"/>
          <w:spacing w:val="-1"/>
          <w:sz w:val="21"/>
          <w:szCs w:val="21"/>
        </w:rPr>
        <w:t>下工程照明系统的电压不得高于</w:t>
      </w:r>
      <w:r>
        <w:rPr>
          <w:rFonts w:ascii="宋体" w:hAnsi="宋体" w:eastAsia="宋体" w:cs="宋体"/>
          <w:spacing w:val="-54"/>
          <w:sz w:val="21"/>
          <w:szCs w:val="21"/>
        </w:rPr>
        <w:t xml:space="preserve"> </w:t>
      </w:r>
      <w:r>
        <w:rPr>
          <w:rFonts w:ascii="宋体" w:hAnsi="宋体" w:eastAsia="宋体" w:cs="宋体"/>
          <w:spacing w:val="-1"/>
          <w:sz w:val="21"/>
          <w:szCs w:val="21"/>
        </w:rPr>
        <w:t>36V，在潮湿和易触及带电体场所的照明供电电压不应大于</w:t>
      </w:r>
      <w:r>
        <w:rPr>
          <w:rFonts w:ascii="宋体" w:hAnsi="宋体" w:eastAsia="宋体" w:cs="宋体"/>
          <w:spacing w:val="-53"/>
          <w:sz w:val="21"/>
          <w:szCs w:val="21"/>
        </w:rPr>
        <w:t xml:space="preserve"> </w:t>
      </w:r>
      <w:r>
        <w:rPr>
          <w:rFonts w:ascii="宋体" w:hAnsi="宋体" w:eastAsia="宋体" w:cs="宋体"/>
          <w:spacing w:val="-1"/>
          <w:sz w:val="21"/>
          <w:szCs w:val="21"/>
        </w:rPr>
        <w:t>24V。不便于使用电器照明的工作面应采用特殊照明设施。</w:t>
      </w:r>
    </w:p>
    <w:p w14:paraId="57218682">
      <w:pPr>
        <w:spacing w:before="110" w:line="268" w:lineRule="auto"/>
        <w:ind w:right="8" w:firstLine="423"/>
        <w:rPr>
          <w:rFonts w:ascii="宋体" w:hAnsi="宋体" w:eastAsia="宋体" w:cs="宋体"/>
          <w:sz w:val="21"/>
          <w:szCs w:val="21"/>
        </w:rPr>
      </w:pPr>
      <w:r>
        <w:rPr>
          <w:rFonts w:ascii="宋体" w:hAnsi="宋体" w:eastAsia="宋体" w:cs="宋体"/>
          <w:spacing w:val="2"/>
          <w:sz w:val="21"/>
          <w:szCs w:val="21"/>
        </w:rPr>
        <w:t>6.3.5 凡可能漏电伤人或易受雷击的电器及建筑物</w:t>
      </w:r>
      <w:r>
        <w:rPr>
          <w:rFonts w:ascii="宋体" w:hAnsi="宋体" w:eastAsia="宋体" w:cs="宋体"/>
          <w:spacing w:val="1"/>
          <w:sz w:val="21"/>
          <w:szCs w:val="21"/>
        </w:rPr>
        <w:t>均应设置接地和避雷装置。承包人应负责</w:t>
      </w:r>
      <w:r>
        <w:rPr>
          <w:rFonts w:ascii="宋体" w:hAnsi="宋体" w:eastAsia="宋体" w:cs="宋体"/>
          <w:spacing w:val="-1"/>
          <w:sz w:val="21"/>
          <w:szCs w:val="21"/>
        </w:rPr>
        <w:t>避雷装置的采购、安装、管理和维修，并建立定期检查制度。</w:t>
      </w:r>
    </w:p>
    <w:p w14:paraId="1F8B569A">
      <w:pPr>
        <w:spacing w:before="110" w:line="221" w:lineRule="auto"/>
        <w:ind w:left="423"/>
        <w:rPr>
          <w:rFonts w:ascii="宋体" w:hAnsi="宋体" w:eastAsia="宋体" w:cs="宋体"/>
          <w:sz w:val="21"/>
          <w:szCs w:val="21"/>
        </w:rPr>
      </w:pPr>
      <w:r>
        <w:rPr>
          <w:rFonts w:ascii="宋体" w:hAnsi="宋体" w:eastAsia="宋体" w:cs="宋体"/>
          <w:spacing w:val="-2"/>
          <w:sz w:val="21"/>
          <w:szCs w:val="21"/>
        </w:rPr>
        <w:t>6.3.6</w:t>
      </w:r>
      <w:r>
        <w:rPr>
          <w:rFonts w:ascii="宋体" w:hAnsi="宋体" w:eastAsia="宋体" w:cs="宋体"/>
          <w:spacing w:val="-21"/>
          <w:sz w:val="21"/>
          <w:szCs w:val="21"/>
        </w:rPr>
        <w:t xml:space="preserve"> </w:t>
      </w:r>
      <w:r>
        <w:rPr>
          <w:rFonts w:ascii="宋体" w:hAnsi="宋体" w:eastAsia="宋体" w:cs="宋体"/>
          <w:spacing w:val="-2"/>
          <w:sz w:val="21"/>
          <w:szCs w:val="21"/>
        </w:rPr>
        <w:t>临时用电方面的其他要求如下：</w:t>
      </w:r>
    </w:p>
    <w:p w14:paraId="1D3B071A">
      <w:pPr>
        <w:spacing w:before="182" w:line="360" w:lineRule="auto"/>
        <w:ind w:left="1" w:firstLine="420" w:firstLineChars="200"/>
        <w:rPr>
          <w:rFonts w:hint="eastAsia"/>
          <w:color w:val="auto"/>
          <w:sz w:val="21"/>
          <w:highlight w:val="none"/>
          <w:u w:val="single"/>
          <w:lang w:val="en-US" w:eastAsia="zh-CN"/>
        </w:rPr>
      </w:pPr>
      <w:r>
        <w:rPr>
          <w:rFonts w:hint="eastAsia"/>
          <w:color w:val="auto"/>
          <w:sz w:val="21"/>
          <w:highlight w:val="none"/>
          <w:u w:val="single"/>
          <w:lang w:val="en-US" w:eastAsia="zh-CN"/>
        </w:rPr>
        <w:t>承包人需确保所有临时用电设施的操作人员均具备相应资质，并定期进行安全用电知识培训，提高其安全意识和应急处理能力。同时，应建立完善的用电安全管理制度，明确各级人员的安全职责，加强现场用电安全的监督检查，及时发现并消除安全隐患。对于违规用电行为，应制定相应的处罚措施，确保临时用电安全。此外，承包人还应密切关注当地供电管理部门的相关政策和要求，及时调整和完善临时用电方案，确保符合最新规定。</w:t>
      </w:r>
    </w:p>
    <w:p w14:paraId="5BF21B3F">
      <w:pPr>
        <w:spacing w:before="182" w:line="219" w:lineRule="auto"/>
        <w:ind w:left="1"/>
        <w:rPr>
          <w:rFonts w:ascii="黑体" w:hAnsi="黑体" w:eastAsia="黑体" w:cs="黑体"/>
          <w:sz w:val="24"/>
          <w:szCs w:val="24"/>
        </w:rPr>
      </w:pPr>
      <w:r>
        <w:rPr>
          <w:rFonts w:ascii="黑体" w:hAnsi="黑体" w:eastAsia="黑体" w:cs="黑体"/>
          <w:spacing w:val="-4"/>
          <w:sz w:val="24"/>
          <w:szCs w:val="24"/>
        </w:rPr>
        <w:t>6.4</w:t>
      </w:r>
      <w:r>
        <w:rPr>
          <w:rFonts w:ascii="黑体" w:hAnsi="黑体" w:eastAsia="黑体" w:cs="黑体"/>
          <w:spacing w:val="-37"/>
          <w:sz w:val="24"/>
          <w:szCs w:val="24"/>
        </w:rPr>
        <w:t xml:space="preserve"> </w:t>
      </w:r>
      <w:r>
        <w:rPr>
          <w:rFonts w:ascii="黑体" w:hAnsi="黑体" w:eastAsia="黑体" w:cs="黑体"/>
          <w:spacing w:val="-4"/>
          <w:sz w:val="24"/>
          <w:szCs w:val="24"/>
        </w:rPr>
        <w:t>劳动保护</w:t>
      </w:r>
    </w:p>
    <w:p w14:paraId="0BB2F7C9">
      <w:pPr>
        <w:spacing w:before="106" w:line="317" w:lineRule="auto"/>
        <w:ind w:left="5" w:right="6" w:firstLine="418"/>
        <w:jc w:val="both"/>
        <w:rPr>
          <w:rFonts w:ascii="宋体" w:hAnsi="宋体" w:eastAsia="宋体" w:cs="宋体"/>
          <w:sz w:val="21"/>
          <w:szCs w:val="21"/>
        </w:rPr>
      </w:pPr>
      <w:r>
        <w:rPr>
          <w:rFonts w:ascii="宋体" w:hAnsi="宋体" w:eastAsia="宋体" w:cs="宋体"/>
          <w:spacing w:val="2"/>
          <w:sz w:val="21"/>
          <w:szCs w:val="21"/>
        </w:rPr>
        <w:t>6.4.1 承包人应遵守所有适用于本合同的劳动法规</w:t>
      </w:r>
      <w:r>
        <w:rPr>
          <w:rFonts w:ascii="宋体" w:hAnsi="宋体" w:eastAsia="宋体" w:cs="宋体"/>
          <w:spacing w:val="1"/>
          <w:sz w:val="21"/>
          <w:szCs w:val="21"/>
        </w:rPr>
        <w:t>及其他有关法律、法规、规章和规定中关</w:t>
      </w:r>
      <w:r>
        <w:rPr>
          <w:rFonts w:ascii="宋体" w:hAnsi="宋体" w:eastAsia="宋体" w:cs="宋体"/>
          <w:spacing w:val="2"/>
          <w:sz w:val="21"/>
          <w:szCs w:val="21"/>
        </w:rPr>
        <w:t>于工人工资标准、劳动时间和劳动条件的规定，合理安排现场</w:t>
      </w:r>
      <w:r>
        <w:rPr>
          <w:rFonts w:ascii="宋体" w:hAnsi="宋体" w:eastAsia="宋体" w:cs="宋体"/>
          <w:spacing w:val="1"/>
          <w:sz w:val="21"/>
          <w:szCs w:val="21"/>
        </w:rPr>
        <w:t>作业人员的劳动和休息时间，保障</w:t>
      </w:r>
      <w:r>
        <w:rPr>
          <w:rFonts w:ascii="宋体" w:hAnsi="宋体" w:eastAsia="宋体" w:cs="宋体"/>
          <w:spacing w:val="2"/>
          <w:sz w:val="21"/>
          <w:szCs w:val="21"/>
        </w:rPr>
        <w:t>劳动者必须的休息时间，支付合理的报酬和费用。承包人应按</w:t>
      </w:r>
      <w:r>
        <w:rPr>
          <w:rFonts w:ascii="宋体" w:hAnsi="宋体" w:eastAsia="宋体" w:cs="宋体"/>
          <w:spacing w:val="1"/>
          <w:sz w:val="21"/>
          <w:szCs w:val="21"/>
        </w:rPr>
        <w:t>有关行政管理部门的规定为本合同</w:t>
      </w:r>
      <w:r>
        <w:rPr>
          <w:rFonts w:ascii="宋体" w:hAnsi="宋体" w:eastAsia="宋体" w:cs="宋体"/>
          <w:spacing w:val="2"/>
          <w:sz w:val="21"/>
          <w:szCs w:val="21"/>
        </w:rPr>
        <w:t>下雇佣的职员和工人办理任何必要的证件、许可、保险和注册</w:t>
      </w:r>
      <w:r>
        <w:rPr>
          <w:rFonts w:ascii="宋体" w:hAnsi="宋体" w:eastAsia="宋体" w:cs="宋体"/>
          <w:spacing w:val="1"/>
          <w:sz w:val="21"/>
          <w:szCs w:val="21"/>
        </w:rPr>
        <w:t>等，并保障发包人免于因承包人不能依照或完全依照上述所有法律、法规、规章和规定等可能给发包人带来的任何处罚、索赔、损</w:t>
      </w:r>
      <w:bookmarkStart w:id="1313" w:name="bookmark638"/>
      <w:bookmarkEnd w:id="1313"/>
      <w:r>
        <w:rPr>
          <w:rFonts w:ascii="宋体" w:hAnsi="宋体" w:eastAsia="宋体" w:cs="宋体"/>
          <w:spacing w:val="-2"/>
          <w:sz w:val="21"/>
          <w:szCs w:val="21"/>
        </w:rPr>
        <w:t>失和损害等。</w:t>
      </w:r>
    </w:p>
    <w:p w14:paraId="324A4B5C">
      <w:pPr>
        <w:spacing w:before="110" w:line="284" w:lineRule="auto"/>
        <w:ind w:left="3" w:right="1" w:firstLine="419"/>
        <w:rPr>
          <w:rFonts w:ascii="宋体" w:hAnsi="宋体" w:eastAsia="宋体" w:cs="宋体"/>
          <w:sz w:val="21"/>
          <w:szCs w:val="21"/>
        </w:rPr>
      </w:pPr>
      <w:r>
        <w:rPr>
          <w:rFonts w:ascii="宋体" w:hAnsi="宋体" w:eastAsia="宋体" w:cs="宋体"/>
          <w:spacing w:val="2"/>
          <w:sz w:val="21"/>
          <w:szCs w:val="21"/>
        </w:rPr>
        <w:t>6.4.2 承包人应按照国家《劳动保护法》的规定，</w:t>
      </w:r>
      <w:r>
        <w:rPr>
          <w:rFonts w:ascii="宋体" w:hAnsi="宋体" w:eastAsia="宋体" w:cs="宋体"/>
          <w:spacing w:val="1"/>
          <w:sz w:val="21"/>
          <w:szCs w:val="21"/>
        </w:rPr>
        <w:t>保障现场施工人员的劳动安全。承包人应为本合同下雇佣的职员和工人提供适当和充分的劳动保护，包括但不限于安全防护、</w:t>
      </w:r>
      <w:r>
        <w:rPr>
          <w:rFonts w:ascii="宋体" w:hAnsi="宋体" w:eastAsia="宋体" w:cs="宋体"/>
          <w:sz w:val="21"/>
          <w:szCs w:val="21"/>
        </w:rPr>
        <w:t>防寒、防雨、</w:t>
      </w:r>
      <w:r>
        <w:rPr>
          <w:rFonts w:ascii="宋体" w:hAnsi="宋体" w:eastAsia="宋体" w:cs="宋体"/>
          <w:spacing w:val="-1"/>
          <w:sz w:val="21"/>
          <w:szCs w:val="21"/>
        </w:rPr>
        <w:t>防尘、绝缘保护、常用药品、急救设备、传染病预防</w:t>
      </w:r>
      <w:r>
        <w:rPr>
          <w:rFonts w:ascii="宋体" w:hAnsi="宋体" w:eastAsia="宋体" w:cs="宋体"/>
          <w:spacing w:val="-2"/>
          <w:sz w:val="21"/>
          <w:szCs w:val="21"/>
        </w:rPr>
        <w:t>等。</w:t>
      </w:r>
    </w:p>
    <w:p w14:paraId="7C40A367">
      <w:pPr>
        <w:spacing w:before="111" w:line="292" w:lineRule="auto"/>
        <w:ind w:firstLine="422"/>
        <w:rPr>
          <w:rFonts w:ascii="宋体" w:hAnsi="宋体" w:eastAsia="宋体" w:cs="宋体"/>
          <w:sz w:val="21"/>
          <w:szCs w:val="21"/>
        </w:rPr>
      </w:pPr>
      <w:r>
        <w:rPr>
          <w:rFonts w:ascii="宋体" w:hAnsi="宋体" w:eastAsia="宋体" w:cs="宋体"/>
          <w:spacing w:val="2"/>
          <w:sz w:val="21"/>
          <w:szCs w:val="21"/>
        </w:rPr>
        <w:t>6.4.3 承包人应为其履行本合同所雇佣的职员和工</w:t>
      </w:r>
      <w:r>
        <w:rPr>
          <w:rFonts w:ascii="宋体" w:hAnsi="宋体" w:eastAsia="宋体" w:cs="宋体"/>
          <w:spacing w:val="1"/>
          <w:sz w:val="21"/>
          <w:szCs w:val="21"/>
        </w:rPr>
        <w:t>人提供和维护任何必要的膳宿条件和生活环境，包括但不限于宿舍、围栏、供水（饮用及其他目的用水）、供电、卫生设备、食堂及炊具、</w:t>
      </w:r>
      <w:r>
        <w:rPr>
          <w:rFonts w:ascii="宋体" w:hAnsi="宋体" w:eastAsia="宋体" w:cs="宋体"/>
          <w:spacing w:val="2"/>
          <w:sz w:val="21"/>
          <w:szCs w:val="21"/>
        </w:rPr>
        <w:t>防火及灭火设备、供热、家具及其他正常膳宿条件和生活环境所需的必</w:t>
      </w:r>
      <w:r>
        <w:rPr>
          <w:rFonts w:ascii="宋体" w:hAnsi="宋体" w:eastAsia="宋体" w:cs="宋体"/>
          <w:spacing w:val="1"/>
          <w:sz w:val="21"/>
          <w:szCs w:val="21"/>
        </w:rPr>
        <w:t>需品，并应考虑宗教和民</w:t>
      </w:r>
      <w:r>
        <w:rPr>
          <w:rFonts w:ascii="宋体" w:hAnsi="宋体" w:eastAsia="宋体" w:cs="宋体"/>
          <w:spacing w:val="-1"/>
          <w:sz w:val="21"/>
          <w:szCs w:val="21"/>
        </w:rPr>
        <w:t>族习惯。</w:t>
      </w:r>
    </w:p>
    <w:p w14:paraId="234C2237">
      <w:pPr>
        <w:spacing w:before="108" w:line="293" w:lineRule="auto"/>
        <w:ind w:left="14" w:right="179" w:firstLine="408"/>
        <w:rPr>
          <w:rFonts w:ascii="宋体" w:hAnsi="宋体" w:eastAsia="宋体" w:cs="宋体"/>
          <w:sz w:val="21"/>
          <w:szCs w:val="21"/>
        </w:rPr>
      </w:pPr>
      <w:r>
        <w:rPr>
          <w:rFonts w:ascii="宋体" w:hAnsi="宋体" w:eastAsia="宋体" w:cs="宋体"/>
          <w:spacing w:val="2"/>
          <w:sz w:val="21"/>
          <w:szCs w:val="21"/>
        </w:rPr>
        <w:t>6.4.4 承包人应为现场工人提供符合政府卫生规定</w:t>
      </w:r>
      <w:r>
        <w:rPr>
          <w:rFonts w:ascii="宋体" w:hAnsi="宋体" w:eastAsia="宋体" w:cs="宋体"/>
          <w:spacing w:val="1"/>
          <w:sz w:val="21"/>
          <w:szCs w:val="21"/>
        </w:rPr>
        <w:t>的生活条件并获得必要的许可，保证工人的健康和防止任何传染病，包括工人的食堂、厕所、工具房、宿舍等；承包人应聘请专业的卫生防疫部门定期对现场、工人生活基地和工程进行防疫和卫生的专</w:t>
      </w:r>
      <w:r>
        <w:rPr>
          <w:rFonts w:ascii="宋体" w:hAnsi="宋体" w:eastAsia="宋体" w:cs="宋体"/>
          <w:sz w:val="21"/>
          <w:szCs w:val="21"/>
        </w:rPr>
        <w:t>业检查和处理，包括消灭白蚁、</w:t>
      </w:r>
      <w:r>
        <w:rPr>
          <w:rFonts w:ascii="宋体" w:hAnsi="宋体" w:eastAsia="宋体" w:cs="宋体"/>
          <w:spacing w:val="-1"/>
          <w:sz w:val="21"/>
          <w:szCs w:val="21"/>
        </w:rPr>
        <w:t>鼠害、蚊蝇和其它害虫，以防对施工人员、现场和永久工程造成任何危害。</w:t>
      </w:r>
    </w:p>
    <w:p w14:paraId="262F1183">
      <w:pPr>
        <w:spacing w:before="108" w:line="269" w:lineRule="auto"/>
        <w:ind w:right="229" w:firstLine="421"/>
        <w:rPr>
          <w:rFonts w:ascii="宋体" w:hAnsi="宋体" w:eastAsia="宋体" w:cs="宋体"/>
          <w:sz w:val="21"/>
          <w:szCs w:val="21"/>
        </w:rPr>
      </w:pPr>
      <w:r>
        <w:rPr>
          <w:rFonts w:ascii="宋体" w:hAnsi="宋体" w:eastAsia="宋体" w:cs="宋体"/>
          <w:spacing w:val="1"/>
          <w:sz w:val="21"/>
          <w:szCs w:val="21"/>
        </w:rPr>
        <w:t>6.4.5 承包人应在现场设立专门的临时</w:t>
      </w:r>
      <w:r>
        <w:rPr>
          <w:rFonts w:ascii="宋体" w:hAnsi="宋体" w:eastAsia="宋体" w:cs="宋体"/>
          <w:sz w:val="21"/>
          <w:szCs w:val="21"/>
        </w:rPr>
        <w:t>医疗站，配备足够的设施、药物和称职的医务人员，承包人还应准备急救担架，用于一旦发生安全事故时对受伤人员的</w:t>
      </w:r>
      <w:r>
        <w:rPr>
          <w:rFonts w:ascii="宋体" w:hAnsi="宋体" w:eastAsia="宋体" w:cs="宋体"/>
          <w:spacing w:val="-1"/>
          <w:sz w:val="21"/>
          <w:szCs w:val="21"/>
        </w:rPr>
        <w:t>急救。</w:t>
      </w:r>
    </w:p>
    <w:p w14:paraId="124153E5">
      <w:pPr>
        <w:spacing w:line="400" w:lineRule="exact"/>
        <w:ind w:firstLine="416" w:firstLineChars="200"/>
        <w:rPr>
          <w:rFonts w:ascii="宋体" w:hAnsi="宋体" w:eastAsia="宋体" w:cs="宋体"/>
          <w:spacing w:val="-1"/>
          <w:sz w:val="21"/>
          <w:szCs w:val="21"/>
        </w:rPr>
      </w:pPr>
      <w:r>
        <w:rPr>
          <w:rFonts w:ascii="宋体" w:hAnsi="宋体" w:eastAsia="宋体" w:cs="宋体"/>
          <w:spacing w:val="-1"/>
          <w:sz w:val="21"/>
          <w:szCs w:val="21"/>
        </w:rPr>
        <w:t>6.4.6</w:t>
      </w:r>
      <w:r>
        <w:rPr>
          <w:rFonts w:ascii="宋体" w:hAnsi="宋体" w:eastAsia="宋体" w:cs="宋体"/>
          <w:spacing w:val="-40"/>
          <w:sz w:val="21"/>
          <w:szCs w:val="21"/>
        </w:rPr>
        <w:t xml:space="preserve"> </w:t>
      </w:r>
      <w:r>
        <w:rPr>
          <w:rFonts w:ascii="宋体" w:hAnsi="宋体" w:eastAsia="宋体" w:cs="宋体"/>
          <w:spacing w:val="-1"/>
          <w:sz w:val="21"/>
          <w:szCs w:val="21"/>
        </w:rPr>
        <w:t>劳动保护方面的其他要求如下：</w:t>
      </w:r>
    </w:p>
    <w:p w14:paraId="07BCFCFA">
      <w:pPr>
        <w:spacing w:line="360" w:lineRule="auto"/>
        <w:ind w:firstLine="420" w:firstLineChars="200"/>
      </w:pPr>
      <w:r>
        <w:rPr>
          <w:rFonts w:hint="eastAsia"/>
          <w:color w:val="auto"/>
          <w:sz w:val="21"/>
          <w:highlight w:val="none"/>
          <w:u w:val="single"/>
          <w:lang w:val="en-US" w:eastAsia="zh-CN"/>
        </w:rPr>
        <w:t>承包人需定期组织现场作业人员进行安全教育培训，提高其安全意识与自我保护能力，培训内容应涵盖施工安全操作规范、应急处理措施等。对于从事特殊工种的人员，必须要求其持有相应的专业资格证书方可上岗作业，并且要定期对这些特殊工种人员进行技能复审与安全再教育。同时，承包人要建立完善的劳动保护监督机制，安排专人定期检查劳动保护措施的落实情况，如发现存在安全隐患或劳动保护不到位的情况，应及时整改，确保现场施工人员的劳动安全与健康始终处于受控状态。</w:t>
      </w:r>
      <w:r>
        <w:pict>
          <v:shape id="_x0000_s1135" o:spid="_x0000_s1135" o:spt="202" type="#_x0000_t202" style="position:absolute;left:0pt;margin-left:46pt;margin-top:-3.35pt;height:14.1pt;width:332.7pt;z-index:251664384;mso-width-relative:page;mso-height-relative:page;" filled="f" stroked="f" coordsize="21600,21600">
            <v:path/>
            <v:fill on="f" focussize="0,0"/>
            <v:stroke on="f"/>
            <v:imagedata o:title=""/>
            <o:lock v:ext="edit" aspectratio="f"/>
            <v:textbox inset="0mm,0mm,0mm,0mm">
              <w:txbxContent>
                <w:p w14:paraId="61444EB0">
                  <w:pPr>
                    <w:pStyle w:val="5"/>
                    <w:tabs>
                      <w:tab w:val="left" w:pos="6632"/>
                    </w:tabs>
                    <w:spacing w:before="19"/>
                    <w:ind w:left="20"/>
                  </w:pPr>
                </w:p>
              </w:txbxContent>
            </v:textbox>
          </v:shape>
        </w:pict>
      </w:r>
    </w:p>
    <w:p w14:paraId="0DF5293B">
      <w:pPr>
        <w:spacing w:line="400" w:lineRule="exact"/>
        <w:ind w:firstLine="468" w:firstLineChars="200"/>
        <w:rPr>
          <w:rFonts w:ascii="黑体" w:hAnsi="黑体" w:eastAsia="黑体" w:cs="黑体"/>
          <w:sz w:val="24"/>
          <w:szCs w:val="24"/>
        </w:rPr>
      </w:pPr>
      <w:r>
        <w:rPr>
          <w:rFonts w:ascii="黑体" w:hAnsi="黑体" w:eastAsia="黑体" w:cs="黑体"/>
          <w:spacing w:val="-3"/>
          <w:sz w:val="24"/>
          <w:szCs w:val="24"/>
        </w:rPr>
        <w:t>6.5</w:t>
      </w:r>
      <w:r>
        <w:rPr>
          <w:rFonts w:ascii="黑体" w:hAnsi="黑体" w:eastAsia="黑体" w:cs="黑体"/>
          <w:spacing w:val="-50"/>
          <w:sz w:val="24"/>
          <w:szCs w:val="24"/>
        </w:rPr>
        <w:t xml:space="preserve"> </w:t>
      </w:r>
      <w:r>
        <w:rPr>
          <w:rFonts w:ascii="黑体" w:hAnsi="黑体" w:eastAsia="黑体" w:cs="黑体"/>
          <w:spacing w:val="-3"/>
          <w:sz w:val="24"/>
          <w:szCs w:val="24"/>
        </w:rPr>
        <w:t>脚手架</w:t>
      </w:r>
    </w:p>
    <w:p w14:paraId="0CFBCB6C">
      <w:pPr>
        <w:spacing w:before="99" w:line="292" w:lineRule="auto"/>
        <w:ind w:right="182" w:firstLine="422"/>
        <w:rPr>
          <w:rFonts w:ascii="宋体" w:hAnsi="宋体" w:eastAsia="宋体" w:cs="宋体"/>
          <w:sz w:val="21"/>
          <w:szCs w:val="21"/>
        </w:rPr>
      </w:pPr>
      <w:r>
        <w:rPr>
          <w:rFonts w:ascii="宋体" w:hAnsi="宋体" w:eastAsia="宋体" w:cs="宋体"/>
          <w:spacing w:val="2"/>
          <w:sz w:val="21"/>
          <w:szCs w:val="21"/>
        </w:rPr>
        <w:t>6.5.1 承包人应搭设并维护一切必要的临时脚手架</w:t>
      </w:r>
      <w:r>
        <w:rPr>
          <w:rFonts w:ascii="宋体" w:hAnsi="宋体" w:eastAsia="宋体" w:cs="宋体"/>
          <w:spacing w:val="1"/>
          <w:sz w:val="21"/>
          <w:szCs w:val="21"/>
        </w:rPr>
        <w:t>、挑平台并配以脚手板、安全网、护身栏杆、门架、马道、坡道、爬梯等等。脚手架和挑平台的搭设应满足有关安全生产的法律、法规、</w:t>
      </w:r>
      <w:r>
        <w:rPr>
          <w:rFonts w:ascii="宋体" w:hAnsi="宋体" w:eastAsia="宋体" w:cs="宋体"/>
          <w:spacing w:val="2"/>
          <w:sz w:val="21"/>
          <w:szCs w:val="21"/>
        </w:rPr>
        <w:t>规范、标准和规程等的要求。新搭设的脚手架投入</w:t>
      </w:r>
      <w:r>
        <w:rPr>
          <w:rFonts w:ascii="宋体" w:hAnsi="宋体" w:eastAsia="宋体" w:cs="宋体"/>
          <w:spacing w:val="1"/>
          <w:sz w:val="21"/>
          <w:szCs w:val="21"/>
        </w:rPr>
        <w:t>使用前，承包人必须组织安全检查和验收，并</w:t>
      </w:r>
      <w:r>
        <w:rPr>
          <w:rFonts w:ascii="宋体" w:hAnsi="宋体" w:eastAsia="宋体" w:cs="宋体"/>
          <w:spacing w:val="-1"/>
          <w:sz w:val="21"/>
          <w:szCs w:val="21"/>
        </w:rPr>
        <w:t>对使用脚手架的作业人员进行安全交底。</w:t>
      </w:r>
    </w:p>
    <w:p w14:paraId="126270EE">
      <w:pPr>
        <w:spacing w:before="111" w:line="268" w:lineRule="auto"/>
        <w:ind w:left="14" w:right="182" w:firstLine="408"/>
        <w:rPr>
          <w:rFonts w:ascii="宋体" w:hAnsi="宋体" w:eastAsia="宋体" w:cs="宋体"/>
          <w:sz w:val="21"/>
          <w:szCs w:val="21"/>
        </w:rPr>
      </w:pPr>
      <w:r>
        <w:rPr>
          <w:rFonts w:ascii="宋体" w:hAnsi="宋体" w:eastAsia="宋体" w:cs="宋体"/>
          <w:spacing w:val="2"/>
          <w:sz w:val="21"/>
          <w:szCs w:val="21"/>
        </w:rPr>
        <w:t>6.5.2 所有脚手架，尤其是大型、复杂、高耸和非</w:t>
      </w:r>
      <w:r>
        <w:rPr>
          <w:rFonts w:ascii="宋体" w:hAnsi="宋体" w:eastAsia="宋体" w:cs="宋体"/>
          <w:spacing w:val="1"/>
          <w:sz w:val="21"/>
          <w:szCs w:val="21"/>
        </w:rPr>
        <w:t>常规脚手架，要编制专项施工方案，还应</w:t>
      </w:r>
      <w:r>
        <w:rPr>
          <w:rFonts w:ascii="宋体" w:hAnsi="宋体" w:eastAsia="宋体" w:cs="宋体"/>
          <w:spacing w:val="-1"/>
          <w:sz w:val="21"/>
          <w:szCs w:val="21"/>
        </w:rPr>
        <w:t>当经过安全验算，脚手架安全验算结果必须报送监理人核查后方可实施。</w:t>
      </w:r>
    </w:p>
    <w:p w14:paraId="48365B60">
      <w:pPr>
        <w:spacing w:before="111" w:line="268" w:lineRule="auto"/>
        <w:ind w:right="182" w:firstLine="421"/>
        <w:rPr>
          <w:rFonts w:ascii="宋体" w:hAnsi="宋体" w:eastAsia="宋体" w:cs="宋体"/>
          <w:sz w:val="21"/>
          <w:szCs w:val="21"/>
        </w:rPr>
      </w:pPr>
      <w:r>
        <w:rPr>
          <w:rFonts w:ascii="宋体" w:hAnsi="宋体" w:eastAsia="宋体" w:cs="宋体"/>
          <w:spacing w:val="2"/>
          <w:sz w:val="21"/>
          <w:szCs w:val="21"/>
        </w:rPr>
        <w:t>6.5.3 搭设爬架、挂架、超高脚手架等特种或新型</w:t>
      </w:r>
      <w:r>
        <w:rPr>
          <w:rFonts w:ascii="宋体" w:hAnsi="宋体" w:eastAsia="宋体" w:cs="宋体"/>
          <w:spacing w:val="1"/>
          <w:sz w:val="21"/>
          <w:szCs w:val="21"/>
        </w:rPr>
        <w:t>脚手架时，承包人应确保此类脚手架的安</w:t>
      </w:r>
      <w:r>
        <w:rPr>
          <w:rFonts w:ascii="宋体" w:hAnsi="宋体" w:eastAsia="宋体" w:cs="宋体"/>
          <w:sz w:val="21"/>
          <w:szCs w:val="21"/>
        </w:rPr>
        <w:t>全性和保证此类脚手架已经过有关行政管理部门允许使用</w:t>
      </w:r>
      <w:r>
        <w:rPr>
          <w:rFonts w:ascii="宋体" w:hAnsi="宋体" w:eastAsia="宋体" w:cs="宋体"/>
          <w:spacing w:val="-1"/>
          <w:sz w:val="21"/>
          <w:szCs w:val="21"/>
        </w:rPr>
        <w:t>的批准，并承担与此有关的一切费用。</w:t>
      </w:r>
    </w:p>
    <w:p w14:paraId="4191531B">
      <w:pPr>
        <w:spacing w:before="110" w:line="285" w:lineRule="auto"/>
        <w:ind w:left="1" w:right="179" w:firstLine="420"/>
        <w:rPr>
          <w:rFonts w:ascii="宋体" w:hAnsi="宋体" w:eastAsia="宋体" w:cs="宋体"/>
          <w:sz w:val="21"/>
          <w:szCs w:val="21"/>
        </w:rPr>
      </w:pPr>
      <w:r>
        <w:rPr>
          <w:rFonts w:ascii="宋体" w:hAnsi="宋体" w:eastAsia="宋体" w:cs="宋体"/>
          <w:spacing w:val="2"/>
          <w:sz w:val="21"/>
          <w:szCs w:val="21"/>
        </w:rPr>
        <w:t>6.5.4 承包人应当加强脚手架的日常安全巡查，及</w:t>
      </w:r>
      <w:r>
        <w:rPr>
          <w:rFonts w:ascii="宋体" w:hAnsi="宋体" w:eastAsia="宋体" w:cs="宋体"/>
          <w:spacing w:val="1"/>
          <w:sz w:val="21"/>
          <w:szCs w:val="21"/>
        </w:rPr>
        <w:t>时对其中的安全隐患进行整改，确保脚手</w:t>
      </w:r>
      <w:r>
        <w:rPr>
          <w:rFonts w:ascii="宋体" w:hAnsi="宋体" w:eastAsia="宋体" w:cs="宋体"/>
          <w:spacing w:val="2"/>
          <w:sz w:val="21"/>
          <w:szCs w:val="21"/>
        </w:rPr>
        <w:t>架使用安全。雨、雪、雾、霜和大风等天气后，承包人必须对脚手</w:t>
      </w:r>
      <w:r>
        <w:rPr>
          <w:rFonts w:ascii="宋体" w:hAnsi="宋体" w:eastAsia="宋体" w:cs="宋体"/>
          <w:spacing w:val="1"/>
          <w:sz w:val="21"/>
          <w:szCs w:val="21"/>
        </w:rPr>
        <w:t>架进行安全巡查，并及时消除</w:t>
      </w:r>
      <w:r>
        <w:rPr>
          <w:rFonts w:ascii="宋体" w:hAnsi="宋体" w:eastAsia="宋体" w:cs="宋体"/>
          <w:spacing w:val="-5"/>
          <w:sz w:val="21"/>
          <w:szCs w:val="21"/>
        </w:rPr>
        <w:t>安全隐患。</w:t>
      </w:r>
    </w:p>
    <w:p w14:paraId="37E6A109">
      <w:pPr>
        <w:spacing w:before="108" w:line="297" w:lineRule="auto"/>
        <w:ind w:right="176" w:firstLine="422"/>
        <w:rPr>
          <w:rFonts w:ascii="宋体" w:hAnsi="宋体" w:eastAsia="宋体" w:cs="宋体"/>
          <w:sz w:val="21"/>
          <w:szCs w:val="21"/>
        </w:rPr>
      </w:pPr>
      <w:r>
        <w:rPr>
          <w:rFonts w:ascii="宋体" w:hAnsi="宋体" w:eastAsia="宋体" w:cs="宋体"/>
          <w:spacing w:val="2"/>
          <w:sz w:val="21"/>
          <w:szCs w:val="21"/>
        </w:rPr>
        <w:t>6.5.5 承包人应允许发包人、监理人、专业分包人、独立承包</w:t>
      </w:r>
      <w:r>
        <w:rPr>
          <w:rFonts w:ascii="宋体" w:hAnsi="宋体" w:eastAsia="宋体" w:cs="宋体"/>
          <w:spacing w:val="1"/>
          <w:sz w:val="21"/>
          <w:szCs w:val="21"/>
        </w:rPr>
        <w:t>人（如果有）和有关行政管理部门或者机构免费使用承包人在现场搭设的任何已有脚手架，并就其安全使用做必要交底说明。</w:t>
      </w:r>
      <w:r>
        <w:rPr>
          <w:rFonts w:ascii="宋体" w:hAnsi="宋体" w:eastAsia="宋体" w:cs="宋体"/>
          <w:spacing w:val="2"/>
          <w:sz w:val="21"/>
          <w:szCs w:val="21"/>
        </w:rPr>
        <w:t>承包人在拆除任何脚手架前，应书面请示监理</w:t>
      </w:r>
      <w:r>
        <w:rPr>
          <w:rFonts w:ascii="宋体" w:hAnsi="宋体" w:eastAsia="宋体" w:cs="宋体"/>
          <w:spacing w:val="1"/>
          <w:sz w:val="21"/>
          <w:szCs w:val="21"/>
        </w:rPr>
        <w:t>人他将要拆除的脚手架是否为发包人、监理人、专</w:t>
      </w:r>
      <w:r>
        <w:rPr>
          <w:rFonts w:ascii="宋体" w:hAnsi="宋体" w:eastAsia="宋体" w:cs="宋体"/>
          <w:spacing w:val="2"/>
          <w:sz w:val="21"/>
          <w:szCs w:val="21"/>
        </w:rPr>
        <w:t>业分包人、独立承包人（如果有）和政府有关机构所需，只有在获得监理人</w:t>
      </w:r>
      <w:r>
        <w:rPr>
          <w:rFonts w:ascii="宋体" w:hAnsi="宋体" w:eastAsia="宋体" w:cs="宋体"/>
          <w:spacing w:val="1"/>
          <w:sz w:val="21"/>
          <w:szCs w:val="21"/>
        </w:rPr>
        <w:t>书面批准后，承包人</w:t>
      </w:r>
      <w:r>
        <w:rPr>
          <w:rFonts w:ascii="宋体" w:hAnsi="宋体" w:eastAsia="宋体" w:cs="宋体"/>
          <w:sz w:val="21"/>
          <w:szCs w:val="21"/>
        </w:rPr>
        <w:t>才能拆除相关脚手架，否则承包人应自费重新</w:t>
      </w:r>
      <w:r>
        <w:rPr>
          <w:rFonts w:ascii="宋体" w:hAnsi="宋体" w:eastAsia="宋体" w:cs="宋体"/>
          <w:spacing w:val="-1"/>
          <w:sz w:val="21"/>
          <w:szCs w:val="21"/>
        </w:rPr>
        <w:t>搭设。</w:t>
      </w:r>
    </w:p>
    <w:p w14:paraId="62475F8D">
      <w:pPr>
        <w:spacing w:before="110" w:line="220" w:lineRule="auto"/>
        <w:ind w:left="422"/>
        <w:rPr>
          <w:rFonts w:ascii="宋体" w:hAnsi="宋体" w:eastAsia="宋体" w:cs="宋体"/>
          <w:sz w:val="21"/>
          <w:szCs w:val="21"/>
        </w:rPr>
      </w:pPr>
      <w:r>
        <w:rPr>
          <w:rFonts w:ascii="宋体" w:hAnsi="宋体" w:eastAsia="宋体" w:cs="宋体"/>
          <w:spacing w:val="-3"/>
          <w:sz w:val="21"/>
          <w:szCs w:val="21"/>
        </w:rPr>
        <w:t>6.5.6</w:t>
      </w:r>
      <w:r>
        <w:rPr>
          <w:rFonts w:ascii="宋体" w:hAnsi="宋体" w:eastAsia="宋体" w:cs="宋体"/>
          <w:spacing w:val="-44"/>
          <w:sz w:val="21"/>
          <w:szCs w:val="21"/>
        </w:rPr>
        <w:t xml:space="preserve"> </w:t>
      </w:r>
      <w:r>
        <w:rPr>
          <w:rFonts w:ascii="宋体" w:hAnsi="宋体" w:eastAsia="宋体" w:cs="宋体"/>
          <w:spacing w:val="-3"/>
          <w:sz w:val="21"/>
          <w:szCs w:val="21"/>
        </w:rPr>
        <w:t>脚手架的其他要求如下：</w:t>
      </w:r>
    </w:p>
    <w:p w14:paraId="2CBC73EA">
      <w:pPr>
        <w:spacing w:line="400" w:lineRule="exact"/>
        <w:ind w:firstLine="420" w:firstLineChars="200"/>
        <w:rPr>
          <w:rFonts w:hint="eastAsia"/>
          <w:color w:val="auto"/>
          <w:highlight w:val="none"/>
          <w:u w:val="none"/>
        </w:rPr>
      </w:pPr>
      <w:r>
        <w:rPr>
          <w:rFonts w:hint="eastAsia"/>
          <w:color w:val="auto"/>
          <w:sz w:val="21"/>
          <w:highlight w:val="none"/>
          <w:u w:val="single"/>
          <w:lang w:val="en-US" w:eastAsia="zh-CN"/>
        </w:rPr>
        <w:t>脚手架的搭设间距、连接方式等应严格按照设计要求和相关规范执行，确保整体结构的稳定性和承载能力。在脚手架使用过程中，严禁超载使用，不得随意拆除或改动脚手架的构件。若因施工需要必须进行局部改动时，应事先制定详细的加固方案，并经监理人批准后方可实施。承包人应定期对脚手架进行全面检查和维护，记录检查情况，发现问题及时处理，确保脚手架始终处于安全可用状态</w:t>
      </w:r>
      <w:r>
        <w:rPr>
          <w:rFonts w:hint="eastAsia"/>
          <w:color w:val="auto"/>
          <w:sz w:val="21"/>
          <w:highlight w:val="none"/>
          <w:u w:val="none"/>
          <w:lang w:val="en-US" w:eastAsia="zh-CN"/>
        </w:rPr>
        <w:t>。</w:t>
      </w:r>
    </w:p>
    <w:p w14:paraId="3918FCCE">
      <w:pPr>
        <w:spacing w:before="192" w:line="220" w:lineRule="auto"/>
        <w:ind w:left="1"/>
        <w:rPr>
          <w:rFonts w:ascii="黑体" w:hAnsi="黑体" w:eastAsia="黑体" w:cs="黑体"/>
          <w:sz w:val="24"/>
          <w:szCs w:val="24"/>
        </w:rPr>
      </w:pPr>
      <w:r>
        <w:rPr>
          <w:rFonts w:ascii="黑体" w:hAnsi="黑体" w:eastAsia="黑体" w:cs="黑体"/>
          <w:spacing w:val="-1"/>
          <w:sz w:val="24"/>
          <w:szCs w:val="24"/>
        </w:rPr>
        <w:t>6.6 施工安全措施计划</w:t>
      </w:r>
    </w:p>
    <w:p w14:paraId="24EDD641">
      <w:pPr>
        <w:spacing w:before="68" w:line="293" w:lineRule="auto"/>
        <w:ind w:right="151" w:firstLine="420"/>
        <w:rPr>
          <w:rFonts w:ascii="宋体" w:hAnsi="宋体" w:eastAsia="宋体" w:cs="宋体"/>
          <w:sz w:val="21"/>
          <w:szCs w:val="21"/>
        </w:rPr>
      </w:pPr>
      <w:bookmarkStart w:id="1314" w:name="bookmark639"/>
      <w:bookmarkEnd w:id="1314"/>
      <w:r>
        <w:rPr>
          <w:rFonts w:ascii="宋体" w:hAnsi="宋体" w:eastAsia="宋体" w:cs="宋体"/>
          <w:spacing w:val="-8"/>
          <w:sz w:val="21"/>
          <w:szCs w:val="21"/>
        </w:rPr>
        <w:t>6.6.1 承包人应根据《中华人民共和国安全生产法》、《职业健康安全管理体系规范》、《中华人民共和国消防法》、《中华人民共和国道路交通安全法》、《中华人民共和国传染病防治法实施办</w:t>
      </w:r>
      <w:r>
        <w:rPr>
          <w:rFonts w:ascii="宋体" w:hAnsi="宋体" w:eastAsia="宋体" w:cs="宋体"/>
          <w:spacing w:val="-1"/>
          <w:sz w:val="21"/>
          <w:szCs w:val="21"/>
        </w:rPr>
        <w:t>法》和地方有关的法规等，按照合同条款第 9.2.1 项的约定，编制一份施工安全措施计划，报送监理人审批。</w:t>
      </w:r>
    </w:p>
    <w:p w14:paraId="32599068">
      <w:pPr>
        <w:spacing w:before="111" w:line="300" w:lineRule="auto"/>
        <w:ind w:right="151" w:firstLine="421"/>
        <w:rPr>
          <w:rFonts w:ascii="宋体" w:hAnsi="宋体" w:eastAsia="宋体" w:cs="宋体"/>
          <w:sz w:val="21"/>
          <w:szCs w:val="21"/>
        </w:rPr>
      </w:pPr>
      <w:r>
        <w:rPr>
          <w:rFonts w:ascii="宋体" w:hAnsi="宋体" w:eastAsia="宋体" w:cs="宋体"/>
          <w:spacing w:val="2"/>
          <w:sz w:val="21"/>
          <w:szCs w:val="21"/>
        </w:rPr>
        <w:t>6.6.2 施工安全措施计划是承包人阐明其安全管理</w:t>
      </w:r>
      <w:r>
        <w:rPr>
          <w:rFonts w:ascii="宋体" w:hAnsi="宋体" w:eastAsia="宋体" w:cs="宋体"/>
          <w:spacing w:val="1"/>
          <w:sz w:val="21"/>
          <w:szCs w:val="21"/>
        </w:rPr>
        <w:t>方针、管理体系、安全制度和安全措施等</w:t>
      </w:r>
      <w:r>
        <w:rPr>
          <w:rFonts w:ascii="宋体" w:hAnsi="宋体" w:eastAsia="宋体" w:cs="宋体"/>
          <w:spacing w:val="2"/>
          <w:sz w:val="21"/>
          <w:szCs w:val="21"/>
        </w:rPr>
        <w:t>的文件，其内容应当反映现行法律法规规定的和合同条款约定的以及</w:t>
      </w:r>
      <w:r>
        <w:rPr>
          <w:rFonts w:ascii="宋体" w:hAnsi="宋体" w:eastAsia="宋体" w:cs="宋体"/>
          <w:spacing w:val="1"/>
          <w:sz w:val="21"/>
          <w:szCs w:val="21"/>
        </w:rPr>
        <w:t>本条上述约定的承包人安全</w:t>
      </w:r>
      <w:r>
        <w:rPr>
          <w:rFonts w:ascii="宋体" w:hAnsi="宋体" w:eastAsia="宋体" w:cs="宋体"/>
          <w:spacing w:val="4"/>
          <w:sz w:val="21"/>
          <w:szCs w:val="21"/>
        </w:rPr>
        <w:t>职责，包括但不限于</w:t>
      </w:r>
      <w:r>
        <w:rPr>
          <w:rFonts w:ascii="宋体" w:hAnsi="宋体" w:eastAsia="宋体" w:cs="宋体"/>
          <w:spacing w:val="-52"/>
          <w:w w:val="93"/>
          <w:sz w:val="21"/>
          <w:szCs w:val="21"/>
        </w:rPr>
        <w:t>：（</w:t>
      </w:r>
      <w:r>
        <w:rPr>
          <w:rFonts w:ascii="宋体" w:hAnsi="宋体" w:eastAsia="宋体" w:cs="宋体"/>
          <w:spacing w:val="4"/>
          <w:sz w:val="21"/>
          <w:szCs w:val="21"/>
        </w:rPr>
        <w:t>1）施工安全管理机构的设置</w:t>
      </w:r>
      <w:r>
        <w:rPr>
          <w:rFonts w:ascii="宋体" w:hAnsi="宋体" w:eastAsia="宋体" w:cs="宋体"/>
          <w:spacing w:val="-52"/>
          <w:w w:val="93"/>
          <w:sz w:val="21"/>
          <w:szCs w:val="21"/>
        </w:rPr>
        <w:t>；（</w:t>
      </w:r>
      <w:r>
        <w:rPr>
          <w:rFonts w:ascii="宋体" w:hAnsi="宋体" w:eastAsia="宋体" w:cs="宋体"/>
          <w:spacing w:val="4"/>
          <w:sz w:val="21"/>
          <w:szCs w:val="21"/>
        </w:rPr>
        <w:t>2）专职安全管理人员的配备</w:t>
      </w:r>
      <w:r>
        <w:rPr>
          <w:rFonts w:ascii="宋体" w:hAnsi="宋体" w:eastAsia="宋体" w:cs="宋体"/>
          <w:spacing w:val="-52"/>
          <w:w w:val="93"/>
          <w:sz w:val="21"/>
          <w:szCs w:val="21"/>
        </w:rPr>
        <w:t>；（</w:t>
      </w:r>
      <w:r>
        <w:rPr>
          <w:rFonts w:ascii="宋体" w:hAnsi="宋体" w:eastAsia="宋体" w:cs="宋体"/>
          <w:spacing w:val="4"/>
          <w:sz w:val="21"/>
          <w:szCs w:val="21"/>
        </w:rPr>
        <w:t>3）安全</w:t>
      </w:r>
      <w:r>
        <w:rPr>
          <w:rFonts w:ascii="宋体" w:hAnsi="宋体" w:eastAsia="宋体" w:cs="宋体"/>
          <w:spacing w:val="3"/>
          <w:sz w:val="21"/>
          <w:szCs w:val="21"/>
        </w:rPr>
        <w:t>责任制度和管理措施</w:t>
      </w:r>
      <w:r>
        <w:rPr>
          <w:rFonts w:ascii="宋体" w:hAnsi="宋体" w:eastAsia="宋体" w:cs="宋体"/>
          <w:spacing w:val="-53"/>
          <w:w w:val="94"/>
          <w:sz w:val="21"/>
          <w:szCs w:val="21"/>
        </w:rPr>
        <w:t>；（</w:t>
      </w:r>
      <w:r>
        <w:rPr>
          <w:rFonts w:ascii="宋体" w:hAnsi="宋体" w:eastAsia="宋体" w:cs="宋体"/>
          <w:spacing w:val="3"/>
          <w:sz w:val="21"/>
          <w:szCs w:val="21"/>
        </w:rPr>
        <w:t>4）安全教育和培训制度及管理措施</w:t>
      </w:r>
      <w:r>
        <w:rPr>
          <w:rFonts w:ascii="宋体" w:hAnsi="宋体" w:eastAsia="宋体" w:cs="宋体"/>
          <w:spacing w:val="-53"/>
          <w:w w:val="94"/>
          <w:sz w:val="21"/>
          <w:szCs w:val="21"/>
        </w:rPr>
        <w:t>；（</w:t>
      </w:r>
      <w:r>
        <w:rPr>
          <w:rFonts w:ascii="宋体" w:hAnsi="宋体" w:eastAsia="宋体" w:cs="宋体"/>
          <w:spacing w:val="3"/>
          <w:sz w:val="21"/>
          <w:szCs w:val="21"/>
        </w:rPr>
        <w:t>5）各项安全生产规章制度和操作</w:t>
      </w:r>
      <w:r>
        <w:rPr>
          <w:rFonts w:ascii="宋体" w:hAnsi="宋体" w:eastAsia="宋体" w:cs="宋体"/>
          <w:spacing w:val="4"/>
          <w:sz w:val="21"/>
          <w:szCs w:val="21"/>
        </w:rPr>
        <w:t>规程</w:t>
      </w:r>
      <w:r>
        <w:rPr>
          <w:rFonts w:ascii="宋体" w:hAnsi="宋体" w:eastAsia="宋体" w:cs="宋体"/>
          <w:spacing w:val="-51"/>
          <w:w w:val="91"/>
          <w:sz w:val="21"/>
          <w:szCs w:val="21"/>
        </w:rPr>
        <w:t>；（</w:t>
      </w:r>
      <w:r>
        <w:rPr>
          <w:rFonts w:ascii="宋体" w:hAnsi="宋体" w:eastAsia="宋体" w:cs="宋体"/>
          <w:spacing w:val="4"/>
          <w:sz w:val="21"/>
          <w:szCs w:val="21"/>
        </w:rPr>
        <w:t>6）各项施工安全措施和防护措施</w:t>
      </w:r>
      <w:r>
        <w:rPr>
          <w:rFonts w:ascii="宋体" w:hAnsi="宋体" w:eastAsia="宋体" w:cs="宋体"/>
          <w:spacing w:val="-51"/>
          <w:w w:val="91"/>
          <w:sz w:val="21"/>
          <w:szCs w:val="21"/>
        </w:rPr>
        <w:t>；（</w:t>
      </w:r>
      <w:r>
        <w:rPr>
          <w:rFonts w:ascii="宋体" w:hAnsi="宋体" w:eastAsia="宋体" w:cs="宋体"/>
          <w:spacing w:val="4"/>
          <w:sz w:val="21"/>
          <w:szCs w:val="21"/>
        </w:rPr>
        <w:t>7）危险品</w:t>
      </w:r>
      <w:r>
        <w:rPr>
          <w:rFonts w:ascii="宋体" w:hAnsi="宋体" w:eastAsia="宋体" w:cs="宋体"/>
          <w:spacing w:val="3"/>
          <w:sz w:val="21"/>
          <w:szCs w:val="21"/>
        </w:rPr>
        <w:t>管理和使用制度</w:t>
      </w:r>
      <w:r>
        <w:rPr>
          <w:rFonts w:ascii="宋体" w:hAnsi="宋体" w:eastAsia="宋体" w:cs="宋体"/>
          <w:spacing w:val="-51"/>
          <w:w w:val="91"/>
          <w:sz w:val="21"/>
          <w:szCs w:val="21"/>
        </w:rPr>
        <w:t>；（</w:t>
      </w:r>
      <w:r>
        <w:rPr>
          <w:rFonts w:ascii="宋体" w:hAnsi="宋体" w:eastAsia="宋体" w:cs="宋体"/>
          <w:spacing w:val="3"/>
          <w:sz w:val="21"/>
          <w:szCs w:val="21"/>
        </w:rPr>
        <w:t>8）安全设施、设备、</w:t>
      </w:r>
      <w:r>
        <w:rPr>
          <w:rFonts w:ascii="宋体" w:hAnsi="宋体" w:eastAsia="宋体" w:cs="宋体"/>
          <w:spacing w:val="1"/>
          <w:sz w:val="21"/>
          <w:szCs w:val="21"/>
        </w:rPr>
        <w:t>器材和劳动保护用品的配置</w:t>
      </w:r>
      <w:r>
        <w:rPr>
          <w:rFonts w:ascii="宋体" w:hAnsi="宋体" w:eastAsia="宋体" w:cs="宋体"/>
          <w:spacing w:val="-52"/>
          <w:w w:val="93"/>
          <w:sz w:val="21"/>
          <w:szCs w:val="21"/>
        </w:rPr>
        <w:t>；（</w:t>
      </w:r>
      <w:r>
        <w:rPr>
          <w:rFonts w:ascii="宋体" w:hAnsi="宋体" w:eastAsia="宋体" w:cs="宋体"/>
          <w:spacing w:val="1"/>
          <w:sz w:val="21"/>
          <w:szCs w:val="21"/>
        </w:rPr>
        <w:t>9）其他：</w:t>
      </w:r>
      <w:r>
        <w:rPr>
          <w:rFonts w:ascii="宋体" w:hAnsi="宋体" w:eastAsia="宋体" w:cs="宋体"/>
          <w:spacing w:val="3"/>
          <w:sz w:val="21"/>
          <w:szCs w:val="21"/>
          <w:u w:val="single" w:color="auto"/>
        </w:rPr>
        <w:t xml:space="preserve"> </w:t>
      </w:r>
      <w:r>
        <w:rPr>
          <w:rFonts w:hint="eastAsia"/>
          <w:color w:val="auto"/>
          <w:highlight w:val="none"/>
          <w:u w:val="single"/>
          <w:lang w:val="en-US" w:eastAsia="zh-CN"/>
        </w:rPr>
        <w:t>事故应急救援预案和应急响应措施，包括针对可能发生的各类事故，如坍塌、触电、火灾、中毒等制定的详细应急处理流程、救援队伍组织、救援物资储备及调用方式等；针对特殊环境和气候条件下的施工安全保障措施，如在高温、严寒、暴雨、大风等恶劣天气时的施工安排和防护手段；与周边单位、居民及相关部门的沟通协调机制，确保在施工过程中及时处理可能影响安全的问题，避免因外部因素引发安全事故</w:t>
      </w:r>
      <w:r>
        <w:rPr>
          <w:rFonts w:hint="eastAsia" w:ascii="宋体" w:hAnsi="宋体"/>
          <w:color w:val="auto"/>
          <w:szCs w:val="21"/>
          <w:highlight w:val="none"/>
          <w:lang w:eastAsia="zh-CN"/>
        </w:rPr>
        <w:t>。</w:t>
      </w:r>
    </w:p>
    <w:p w14:paraId="1B84EB65">
      <w:pPr>
        <w:spacing w:before="112" w:line="316" w:lineRule="auto"/>
        <w:ind w:left="1" w:right="151" w:firstLine="417"/>
        <w:jc w:val="both"/>
        <w:rPr>
          <w:rFonts w:ascii="宋体" w:hAnsi="宋体" w:eastAsia="宋体" w:cs="宋体"/>
          <w:sz w:val="21"/>
          <w:szCs w:val="21"/>
        </w:rPr>
      </w:pPr>
      <w:r>
        <w:rPr>
          <w:rFonts w:ascii="宋体" w:hAnsi="宋体" w:eastAsia="宋体" w:cs="宋体"/>
          <w:spacing w:val="2"/>
          <w:sz w:val="21"/>
          <w:szCs w:val="21"/>
        </w:rPr>
        <w:t>施工安全措施的项目和范围，应符合国家颁发的《安全技术措施计划的</w:t>
      </w:r>
      <w:r>
        <w:rPr>
          <w:rFonts w:ascii="宋体" w:hAnsi="宋体" w:eastAsia="宋体" w:cs="宋体"/>
          <w:spacing w:val="1"/>
          <w:sz w:val="21"/>
          <w:szCs w:val="21"/>
        </w:rPr>
        <w:t>项目总名称表》及其</w:t>
      </w:r>
      <w:r>
        <w:rPr>
          <w:rFonts w:ascii="宋体" w:hAnsi="宋体" w:eastAsia="宋体" w:cs="宋体"/>
          <w:spacing w:val="-1"/>
          <w:sz w:val="21"/>
          <w:szCs w:val="21"/>
        </w:rPr>
        <w:t>附录 H、I、J 的规定，即应采取以改善劳动条件，防止工伤事故，预防职业病和职业中毒为目的</w:t>
      </w:r>
      <w:r>
        <w:rPr>
          <w:rFonts w:ascii="宋体" w:hAnsi="宋体" w:eastAsia="宋体" w:cs="宋体"/>
          <w:spacing w:val="2"/>
          <w:sz w:val="21"/>
          <w:szCs w:val="21"/>
        </w:rPr>
        <w:t>的一切施工安全措施，以及修建必要的安全设施、配备安全技术开</w:t>
      </w:r>
      <w:r>
        <w:rPr>
          <w:rFonts w:ascii="宋体" w:hAnsi="宋体" w:eastAsia="宋体" w:cs="宋体"/>
          <w:spacing w:val="1"/>
          <w:sz w:val="21"/>
          <w:szCs w:val="21"/>
        </w:rPr>
        <w:t>发试验所需的器材、设备和技</w:t>
      </w:r>
      <w:r>
        <w:rPr>
          <w:rFonts w:ascii="宋体" w:hAnsi="宋体" w:eastAsia="宋体" w:cs="宋体"/>
          <w:sz w:val="21"/>
          <w:szCs w:val="21"/>
        </w:rPr>
        <w:t>术资料，并对现场的施工管理及作业人员做好相应的安全</w:t>
      </w:r>
      <w:r>
        <w:rPr>
          <w:rFonts w:ascii="宋体" w:hAnsi="宋体" w:eastAsia="宋体" w:cs="宋体"/>
          <w:spacing w:val="-1"/>
          <w:sz w:val="21"/>
          <w:szCs w:val="21"/>
        </w:rPr>
        <w:t>宣传教育。</w:t>
      </w:r>
    </w:p>
    <w:p w14:paraId="0C881E06">
      <w:pPr>
        <w:spacing w:before="3" w:line="317" w:lineRule="auto"/>
        <w:ind w:right="153" w:firstLine="421"/>
        <w:jc w:val="both"/>
        <w:rPr>
          <w:rFonts w:ascii="宋体" w:hAnsi="宋体" w:eastAsia="宋体" w:cs="宋体"/>
          <w:sz w:val="21"/>
          <w:szCs w:val="21"/>
        </w:rPr>
      </w:pPr>
      <w:r>
        <w:rPr>
          <w:rFonts w:ascii="宋体" w:hAnsi="宋体" w:eastAsia="宋体" w:cs="宋体"/>
          <w:spacing w:val="-1"/>
          <w:sz w:val="21"/>
          <w:szCs w:val="21"/>
        </w:rPr>
        <w:t>6.6.3 施工安全措施计划应当在专用合同条款第 9.2.1 项约定的期限内报送监理人。承包人</w:t>
      </w:r>
      <w:r>
        <w:rPr>
          <w:rFonts w:ascii="宋体" w:hAnsi="宋体" w:eastAsia="宋体" w:cs="宋体"/>
          <w:spacing w:val="2"/>
          <w:sz w:val="21"/>
          <w:szCs w:val="21"/>
        </w:rPr>
        <w:t>应当严格执行经监理人批准的施工安全措施计划，并及时补</w:t>
      </w:r>
      <w:r>
        <w:rPr>
          <w:rFonts w:ascii="宋体" w:hAnsi="宋体" w:eastAsia="宋体" w:cs="宋体"/>
          <w:spacing w:val="1"/>
          <w:sz w:val="21"/>
          <w:szCs w:val="21"/>
        </w:rPr>
        <w:t>充、修订和完善施工安全措施计划，</w:t>
      </w:r>
      <w:r>
        <w:rPr>
          <w:rFonts w:ascii="宋体" w:hAnsi="宋体" w:eastAsia="宋体" w:cs="宋体"/>
          <w:spacing w:val="-3"/>
          <w:sz w:val="21"/>
          <w:szCs w:val="21"/>
        </w:rPr>
        <w:t>确保安全生产。</w:t>
      </w:r>
    </w:p>
    <w:p w14:paraId="23016BBA">
      <w:pPr>
        <w:spacing w:before="66" w:line="218" w:lineRule="auto"/>
        <w:rPr>
          <w:rFonts w:ascii="黑体" w:hAnsi="黑体" w:eastAsia="黑体" w:cs="黑体"/>
          <w:sz w:val="24"/>
          <w:szCs w:val="24"/>
        </w:rPr>
      </w:pPr>
      <w:r>
        <w:rPr>
          <w:rFonts w:ascii="黑体" w:hAnsi="黑体" w:eastAsia="黑体" w:cs="黑体"/>
          <w:spacing w:val="-3"/>
          <w:sz w:val="24"/>
          <w:szCs w:val="24"/>
        </w:rPr>
        <w:t>6.7</w:t>
      </w:r>
      <w:r>
        <w:rPr>
          <w:rFonts w:ascii="黑体" w:hAnsi="黑体" w:eastAsia="黑体" w:cs="黑体"/>
          <w:spacing w:val="-46"/>
          <w:sz w:val="24"/>
          <w:szCs w:val="24"/>
        </w:rPr>
        <w:t xml:space="preserve"> </w:t>
      </w:r>
      <w:r>
        <w:rPr>
          <w:rFonts w:ascii="黑体" w:hAnsi="黑体" w:eastAsia="黑体" w:cs="黑体"/>
          <w:spacing w:val="-3"/>
          <w:sz w:val="24"/>
          <w:szCs w:val="24"/>
        </w:rPr>
        <w:t>文明施工</w:t>
      </w:r>
    </w:p>
    <w:p w14:paraId="031D3CEA">
      <w:pPr>
        <w:spacing w:before="160" w:line="269" w:lineRule="auto"/>
        <w:ind w:left="2" w:right="159" w:firstLine="419"/>
        <w:rPr>
          <w:rFonts w:ascii="宋体" w:hAnsi="宋体" w:eastAsia="宋体" w:cs="宋体"/>
          <w:sz w:val="21"/>
          <w:szCs w:val="21"/>
        </w:rPr>
      </w:pPr>
      <w:r>
        <w:rPr>
          <w:rFonts w:ascii="宋体" w:hAnsi="宋体" w:eastAsia="宋体" w:cs="宋体"/>
          <w:spacing w:val="2"/>
          <w:sz w:val="21"/>
          <w:szCs w:val="21"/>
        </w:rPr>
        <w:t>6.7.1 承包人应遵守国家和工程所在地有关法规、</w:t>
      </w:r>
      <w:r>
        <w:rPr>
          <w:rFonts w:ascii="宋体" w:hAnsi="宋体" w:eastAsia="宋体" w:cs="宋体"/>
          <w:spacing w:val="1"/>
          <w:sz w:val="21"/>
          <w:szCs w:val="21"/>
        </w:rPr>
        <w:t>规范、规程和标准的规定，履行文明施工</w:t>
      </w:r>
      <w:r>
        <w:rPr>
          <w:rFonts w:ascii="宋体" w:hAnsi="宋体" w:eastAsia="宋体" w:cs="宋体"/>
          <w:spacing w:val="-2"/>
          <w:sz w:val="21"/>
          <w:szCs w:val="21"/>
        </w:rPr>
        <w:t>义务，确保文明施工专项费用专款专用。</w:t>
      </w:r>
    </w:p>
    <w:p w14:paraId="59939BCD">
      <w:pPr>
        <w:spacing w:before="109" w:line="221" w:lineRule="auto"/>
        <w:ind w:left="421"/>
        <w:rPr>
          <w:rFonts w:ascii="宋体" w:hAnsi="宋体" w:eastAsia="宋体" w:cs="宋体"/>
          <w:sz w:val="21"/>
          <w:szCs w:val="21"/>
        </w:rPr>
      </w:pPr>
      <w:r>
        <w:rPr>
          <w:rFonts w:ascii="宋体" w:hAnsi="宋体" w:eastAsia="宋体" w:cs="宋体"/>
          <w:spacing w:val="-2"/>
          <w:sz w:val="21"/>
          <w:szCs w:val="21"/>
        </w:rPr>
        <w:t>6.7.2</w:t>
      </w:r>
      <w:r>
        <w:rPr>
          <w:rFonts w:ascii="宋体" w:hAnsi="宋体" w:eastAsia="宋体" w:cs="宋体"/>
          <w:spacing w:val="-37"/>
          <w:sz w:val="21"/>
          <w:szCs w:val="21"/>
        </w:rPr>
        <w:t xml:space="preserve"> </w:t>
      </w:r>
      <w:r>
        <w:rPr>
          <w:rFonts w:ascii="宋体" w:hAnsi="宋体" w:eastAsia="宋体" w:cs="宋体"/>
          <w:spacing w:val="-2"/>
          <w:sz w:val="21"/>
          <w:szCs w:val="21"/>
        </w:rPr>
        <w:t>承包人应当规范现场施工秩序，实行标准化管理：</w:t>
      </w:r>
    </w:p>
    <w:p w14:paraId="3A58DDB6">
      <w:pPr>
        <w:spacing w:before="108" w:line="269" w:lineRule="auto"/>
        <w:ind w:right="157" w:firstLine="425"/>
        <w:rPr>
          <w:rFonts w:ascii="宋体" w:hAnsi="宋体" w:eastAsia="宋体" w:cs="宋体"/>
          <w:sz w:val="21"/>
          <w:szCs w:val="21"/>
        </w:rPr>
      </w:pPr>
      <w:r>
        <w:rPr>
          <w:rFonts w:ascii="宋体" w:hAnsi="宋体" w:eastAsia="宋体" w:cs="宋体"/>
          <w:spacing w:val="4"/>
          <w:sz w:val="21"/>
          <w:szCs w:val="21"/>
        </w:rPr>
        <w:t>（1）承包人的施工场地（现场）必须干净整治、做到无积水、无淤泥、无杂物，材料堆放</w:t>
      </w:r>
      <w:r>
        <w:rPr>
          <w:rFonts w:ascii="宋体" w:hAnsi="宋体" w:eastAsia="宋体" w:cs="宋体"/>
          <w:spacing w:val="-13"/>
          <w:sz w:val="21"/>
          <w:szCs w:val="21"/>
        </w:rPr>
        <w:t>整齐；</w:t>
      </w:r>
    </w:p>
    <w:p w14:paraId="06D348E9">
      <w:pPr>
        <w:spacing w:before="108" w:line="221" w:lineRule="auto"/>
        <w:ind w:left="426"/>
        <w:rPr>
          <w:rFonts w:ascii="宋体" w:hAnsi="宋体" w:eastAsia="宋体" w:cs="宋体"/>
          <w:sz w:val="21"/>
          <w:szCs w:val="21"/>
        </w:rPr>
      </w:pPr>
      <w:r>
        <w:rPr>
          <w:rFonts w:ascii="宋体" w:hAnsi="宋体" w:eastAsia="宋体" w:cs="宋体"/>
          <w:sz w:val="21"/>
          <w:szCs w:val="21"/>
        </w:rPr>
        <w:t>（2）施工场地（现场）应进行硬化处理，定期定时洒水，做好防治扬</w:t>
      </w:r>
      <w:r>
        <w:rPr>
          <w:rFonts w:ascii="宋体" w:hAnsi="宋体" w:eastAsia="宋体" w:cs="宋体"/>
          <w:spacing w:val="-1"/>
          <w:sz w:val="21"/>
          <w:szCs w:val="21"/>
        </w:rPr>
        <w:t>尘和大气污染工作；</w:t>
      </w:r>
    </w:p>
    <w:p w14:paraId="7B0C5BDC">
      <w:pPr>
        <w:spacing w:before="110" w:line="269" w:lineRule="auto"/>
        <w:ind w:left="2" w:firstLine="423"/>
        <w:rPr>
          <w:rFonts w:ascii="宋体" w:hAnsi="宋体" w:eastAsia="宋体" w:cs="宋体"/>
          <w:sz w:val="21"/>
          <w:szCs w:val="21"/>
        </w:rPr>
      </w:pPr>
      <w:r>
        <w:rPr>
          <w:rFonts w:ascii="宋体" w:hAnsi="宋体" w:eastAsia="宋体" w:cs="宋体"/>
          <w:spacing w:val="3"/>
          <w:sz w:val="21"/>
          <w:szCs w:val="21"/>
        </w:rPr>
        <w:t>（3）严格遵守“工完、料尽、场地净”的原则，不留垃圾、不留剩余施工材料和</w:t>
      </w:r>
      <w:r>
        <w:rPr>
          <w:rFonts w:ascii="宋体" w:hAnsi="宋体" w:eastAsia="宋体" w:cs="宋体"/>
          <w:spacing w:val="2"/>
          <w:sz w:val="21"/>
          <w:szCs w:val="21"/>
        </w:rPr>
        <w:t>施工机具，</w:t>
      </w:r>
      <w:r>
        <w:rPr>
          <w:rFonts w:ascii="宋体" w:hAnsi="宋体" w:eastAsia="宋体" w:cs="宋体"/>
          <w:spacing w:val="-4"/>
          <w:sz w:val="21"/>
          <w:szCs w:val="21"/>
        </w:rPr>
        <w:t>各种设备运转正常；</w:t>
      </w:r>
    </w:p>
    <w:p w14:paraId="0928D641">
      <w:pPr>
        <w:spacing w:before="108" w:line="269" w:lineRule="auto"/>
        <w:ind w:left="2" w:right="160" w:firstLine="423"/>
        <w:rPr>
          <w:rFonts w:ascii="宋体" w:hAnsi="宋体" w:eastAsia="宋体" w:cs="宋体"/>
          <w:sz w:val="21"/>
          <w:szCs w:val="21"/>
        </w:rPr>
      </w:pPr>
      <w:r>
        <w:rPr>
          <w:rFonts w:ascii="宋体" w:hAnsi="宋体" w:eastAsia="宋体" w:cs="宋体"/>
          <w:spacing w:val="4"/>
          <w:sz w:val="21"/>
          <w:szCs w:val="21"/>
        </w:rPr>
        <w:t>（4）承包人修建的施工临时设施应符合监理人批准的施工规划要求，并应满足本节规定的</w:t>
      </w:r>
      <w:r>
        <w:rPr>
          <w:rFonts w:ascii="宋体" w:hAnsi="宋体" w:eastAsia="宋体" w:cs="宋体"/>
          <w:spacing w:val="-5"/>
          <w:sz w:val="21"/>
          <w:szCs w:val="21"/>
        </w:rPr>
        <w:t>各项安全要求；</w:t>
      </w:r>
    </w:p>
    <w:p w14:paraId="6705DD99">
      <w:pPr>
        <w:spacing w:before="107" w:line="269" w:lineRule="auto"/>
        <w:ind w:left="19" w:right="155" w:firstLine="406"/>
        <w:rPr>
          <w:rFonts w:ascii="宋体" w:hAnsi="宋体" w:eastAsia="宋体" w:cs="宋体"/>
          <w:sz w:val="21"/>
          <w:szCs w:val="21"/>
        </w:rPr>
      </w:pPr>
      <w:r>
        <w:rPr>
          <w:rFonts w:ascii="宋体" w:hAnsi="宋体" w:eastAsia="宋体" w:cs="宋体"/>
          <w:spacing w:val="4"/>
          <w:sz w:val="21"/>
          <w:szCs w:val="21"/>
        </w:rPr>
        <w:t>（5）监理人可要求承包人在施工场地（现场）设置各级承包人的安全文明施工责任牌等文</w:t>
      </w:r>
      <w:r>
        <w:rPr>
          <w:rFonts w:ascii="宋体" w:hAnsi="宋体" w:eastAsia="宋体" w:cs="宋体"/>
          <w:spacing w:val="-8"/>
          <w:sz w:val="21"/>
          <w:szCs w:val="21"/>
        </w:rPr>
        <w:t>明施工警示牌；</w:t>
      </w:r>
    </w:p>
    <w:p w14:paraId="56CED177">
      <w:pPr>
        <w:spacing w:before="108" w:line="269" w:lineRule="auto"/>
        <w:ind w:right="160" w:firstLine="426"/>
        <w:rPr>
          <w:rFonts w:ascii="宋体" w:hAnsi="宋体" w:eastAsia="宋体" w:cs="宋体"/>
          <w:sz w:val="21"/>
          <w:szCs w:val="21"/>
        </w:rPr>
      </w:pPr>
      <w:r>
        <w:rPr>
          <w:rFonts w:ascii="宋体" w:hAnsi="宋体" w:eastAsia="宋体" w:cs="宋体"/>
          <w:spacing w:val="4"/>
          <w:sz w:val="21"/>
          <w:szCs w:val="21"/>
        </w:rPr>
        <w:t>（6）材料进入现场应按指定位置堆放整齐，不得影响现场施工和堵塞施工、消防通道。材</w:t>
      </w:r>
      <w:r>
        <w:rPr>
          <w:rFonts w:ascii="宋体" w:hAnsi="宋体" w:eastAsia="宋体" w:cs="宋体"/>
          <w:spacing w:val="-1"/>
          <w:sz w:val="21"/>
          <w:szCs w:val="21"/>
        </w:rPr>
        <w:t>料堆放场地应有专职的管理人员；</w:t>
      </w:r>
    </w:p>
    <w:p w14:paraId="3C72F307">
      <w:pPr>
        <w:spacing w:before="109" w:line="269" w:lineRule="auto"/>
        <w:ind w:left="1" w:right="160" w:firstLine="424"/>
        <w:rPr>
          <w:rFonts w:ascii="宋体" w:hAnsi="宋体" w:eastAsia="宋体" w:cs="宋体"/>
          <w:sz w:val="21"/>
          <w:szCs w:val="21"/>
        </w:rPr>
      </w:pPr>
      <w:r>
        <w:rPr>
          <w:rFonts w:ascii="宋体" w:hAnsi="宋体" w:eastAsia="宋体" w:cs="宋体"/>
          <w:spacing w:val="4"/>
          <w:sz w:val="21"/>
          <w:szCs w:val="21"/>
        </w:rPr>
        <w:t>（7）施工和安装用的各种扣件、紧固件、绳索具、小型配件、镙钉等应在专设的仓库内装</w:t>
      </w:r>
      <w:r>
        <w:rPr>
          <w:rFonts w:ascii="宋体" w:hAnsi="宋体" w:eastAsia="宋体" w:cs="宋体"/>
          <w:spacing w:val="-2"/>
          <w:sz w:val="21"/>
          <w:szCs w:val="21"/>
        </w:rPr>
        <w:t>箱放置；</w:t>
      </w:r>
    </w:p>
    <w:p w14:paraId="6395033A">
      <w:pPr>
        <w:spacing w:before="108" w:line="269" w:lineRule="auto"/>
        <w:ind w:left="5" w:right="160" w:firstLine="420"/>
        <w:rPr>
          <w:rFonts w:ascii="宋体" w:hAnsi="宋体" w:eastAsia="宋体" w:cs="宋体"/>
          <w:sz w:val="21"/>
          <w:szCs w:val="21"/>
        </w:rPr>
      </w:pPr>
      <w:r>
        <w:rPr>
          <w:rFonts w:ascii="宋体" w:hAnsi="宋体" w:eastAsia="宋体" w:cs="宋体"/>
          <w:spacing w:val="4"/>
          <w:sz w:val="21"/>
          <w:szCs w:val="21"/>
        </w:rPr>
        <w:t>（8）现场风、水管及照明电线的布置应安全、合理、规范、有序，做到整齐美观。不得随</w:t>
      </w:r>
      <w:r>
        <w:rPr>
          <w:rFonts w:ascii="宋体" w:hAnsi="宋体" w:eastAsia="宋体" w:cs="宋体"/>
          <w:spacing w:val="-3"/>
          <w:sz w:val="21"/>
          <w:szCs w:val="21"/>
        </w:rPr>
        <w:t>意架设和造成隐患或影响施工。</w:t>
      </w:r>
    </w:p>
    <w:p w14:paraId="27F1E258">
      <w:pPr>
        <w:spacing w:before="108" w:line="221" w:lineRule="auto"/>
        <w:ind w:left="421"/>
      </w:pPr>
      <w:r>
        <w:rPr>
          <w:rFonts w:ascii="宋体" w:hAnsi="宋体" w:eastAsia="宋体" w:cs="宋体"/>
          <w:spacing w:val="2"/>
          <w:sz w:val="21"/>
          <w:szCs w:val="21"/>
        </w:rPr>
        <w:t>6.7.3 承包人应为其雇佣的施工工人建立并维护相</w:t>
      </w:r>
      <w:r>
        <w:rPr>
          <w:rFonts w:ascii="宋体" w:hAnsi="宋体" w:eastAsia="宋体" w:cs="宋体"/>
          <w:spacing w:val="1"/>
          <w:sz w:val="21"/>
          <w:szCs w:val="21"/>
        </w:rPr>
        <w:t>应的生活宿舍、食堂、浴室、厕所和文化</w:t>
      </w:r>
    </w:p>
    <w:p w14:paraId="32FEA31F">
      <w:pPr>
        <w:spacing w:before="69" w:line="220" w:lineRule="auto"/>
        <w:ind w:left="4"/>
        <w:rPr>
          <w:rFonts w:ascii="宋体" w:hAnsi="宋体" w:eastAsia="宋体" w:cs="宋体"/>
          <w:sz w:val="21"/>
          <w:szCs w:val="21"/>
        </w:rPr>
      </w:pPr>
      <w:r>
        <w:rPr>
          <w:rFonts w:ascii="宋体" w:hAnsi="宋体" w:eastAsia="宋体" w:cs="宋体"/>
          <w:sz w:val="21"/>
          <w:szCs w:val="21"/>
        </w:rPr>
        <w:t>活动室等，其标准应满足政府有关机构的生活标准和卫生标</w:t>
      </w:r>
      <w:r>
        <w:rPr>
          <w:rFonts w:ascii="宋体" w:hAnsi="宋体" w:eastAsia="宋体" w:cs="宋体"/>
          <w:spacing w:val="-1"/>
          <w:sz w:val="21"/>
          <w:szCs w:val="21"/>
        </w:rPr>
        <w:t>准等的要求。</w:t>
      </w:r>
    </w:p>
    <w:p w14:paraId="25EEA0AF">
      <w:pPr>
        <w:spacing w:before="107" w:line="298" w:lineRule="auto"/>
        <w:ind w:left="5" w:right="177" w:firstLine="417"/>
        <w:rPr>
          <w:rFonts w:ascii="宋体" w:hAnsi="宋体" w:eastAsia="宋体" w:cs="宋体"/>
          <w:sz w:val="21"/>
          <w:szCs w:val="21"/>
        </w:rPr>
      </w:pPr>
      <w:r>
        <w:rPr>
          <w:rFonts w:ascii="宋体" w:hAnsi="宋体" w:eastAsia="宋体" w:cs="宋体"/>
          <w:spacing w:val="1"/>
          <w:sz w:val="21"/>
          <w:szCs w:val="21"/>
        </w:rPr>
        <w:t>6.7.4 承包人应为任何已完成的、正在施工的和将要进行的任何永久和临时工程、材料、物</w:t>
      </w:r>
      <w:r>
        <w:rPr>
          <w:rFonts w:ascii="宋体" w:hAnsi="宋体" w:eastAsia="宋体" w:cs="宋体"/>
          <w:spacing w:val="2"/>
          <w:sz w:val="21"/>
          <w:szCs w:val="21"/>
        </w:rPr>
        <w:t>品、设备、以及因永久工程施工而暴露的任何毗邻财产提供</w:t>
      </w:r>
      <w:r>
        <w:rPr>
          <w:rFonts w:ascii="宋体" w:hAnsi="宋体" w:eastAsia="宋体" w:cs="宋体"/>
          <w:spacing w:val="1"/>
          <w:sz w:val="21"/>
          <w:szCs w:val="21"/>
        </w:rPr>
        <w:t>必要的覆盖和保护措施，以避免恶劣</w:t>
      </w:r>
      <w:r>
        <w:rPr>
          <w:rFonts w:ascii="宋体" w:hAnsi="宋体" w:eastAsia="宋体" w:cs="宋体"/>
          <w:spacing w:val="2"/>
          <w:sz w:val="21"/>
          <w:szCs w:val="21"/>
        </w:rPr>
        <w:t>天气影响工程施工和造成损失。保护措施包括必要的冬季供</w:t>
      </w:r>
      <w:r>
        <w:rPr>
          <w:rFonts w:ascii="宋体" w:hAnsi="宋体" w:eastAsia="宋体" w:cs="宋体"/>
          <w:spacing w:val="1"/>
          <w:sz w:val="21"/>
          <w:szCs w:val="21"/>
        </w:rPr>
        <w:t>暖、雨季用阻燃防水油布覆盖、额外</w:t>
      </w:r>
      <w:r>
        <w:rPr>
          <w:rFonts w:ascii="宋体" w:hAnsi="宋体" w:eastAsia="宋体" w:cs="宋体"/>
          <w:spacing w:val="2"/>
          <w:sz w:val="21"/>
          <w:szCs w:val="21"/>
        </w:rPr>
        <w:t>的临时仓库等等。因承包人措施不得力或不到位而给工程带</w:t>
      </w:r>
      <w:r>
        <w:rPr>
          <w:rFonts w:ascii="宋体" w:hAnsi="宋体" w:eastAsia="宋体" w:cs="宋体"/>
          <w:spacing w:val="1"/>
          <w:sz w:val="21"/>
          <w:szCs w:val="21"/>
        </w:rPr>
        <w:t>来的任何损失或损害由承包人自己负</w:t>
      </w:r>
      <w:r>
        <w:rPr>
          <w:rFonts w:ascii="宋体" w:hAnsi="宋体" w:eastAsia="宋体" w:cs="宋体"/>
          <w:spacing w:val="-11"/>
          <w:sz w:val="21"/>
          <w:szCs w:val="21"/>
        </w:rPr>
        <w:t>责。</w:t>
      </w:r>
    </w:p>
    <w:p w14:paraId="2A8325CD">
      <w:pPr>
        <w:spacing w:before="107" w:line="268" w:lineRule="auto"/>
        <w:ind w:left="4" w:right="179" w:firstLine="418"/>
        <w:rPr>
          <w:rFonts w:ascii="宋体" w:hAnsi="宋体" w:eastAsia="宋体" w:cs="宋体"/>
          <w:sz w:val="21"/>
          <w:szCs w:val="21"/>
        </w:rPr>
      </w:pPr>
      <w:r>
        <w:rPr>
          <w:rFonts w:ascii="宋体" w:hAnsi="宋体" w:eastAsia="宋体" w:cs="宋体"/>
          <w:spacing w:val="2"/>
          <w:sz w:val="21"/>
          <w:szCs w:val="21"/>
        </w:rPr>
        <w:t>6.7.5 在工程施工期间，承包人应始终避免现场出</w:t>
      </w:r>
      <w:r>
        <w:rPr>
          <w:rFonts w:ascii="宋体" w:hAnsi="宋体" w:eastAsia="宋体" w:cs="宋体"/>
          <w:spacing w:val="1"/>
          <w:sz w:val="21"/>
          <w:szCs w:val="21"/>
        </w:rPr>
        <w:t>现不必要的障碍物，妥当存放并处置施工</w:t>
      </w:r>
      <w:r>
        <w:rPr>
          <w:rFonts w:ascii="宋体" w:hAnsi="宋体" w:eastAsia="宋体" w:cs="宋体"/>
          <w:sz w:val="21"/>
          <w:szCs w:val="21"/>
        </w:rPr>
        <w:t>设备和多余的材料，及时从现场清除运走任何废料、垃圾或不再需要的临时工</w:t>
      </w:r>
      <w:r>
        <w:rPr>
          <w:rFonts w:ascii="宋体" w:hAnsi="宋体" w:eastAsia="宋体" w:cs="宋体"/>
          <w:spacing w:val="-1"/>
          <w:sz w:val="21"/>
          <w:szCs w:val="21"/>
        </w:rPr>
        <w:t>程和设施。</w:t>
      </w:r>
    </w:p>
    <w:p w14:paraId="78FEF971">
      <w:pPr>
        <w:spacing w:before="108" w:line="293" w:lineRule="auto"/>
        <w:ind w:right="177" w:firstLine="421"/>
        <w:rPr>
          <w:rFonts w:ascii="宋体" w:hAnsi="宋体" w:eastAsia="宋体" w:cs="宋体"/>
          <w:sz w:val="21"/>
          <w:szCs w:val="21"/>
        </w:rPr>
      </w:pPr>
      <w:r>
        <w:rPr>
          <w:rFonts w:ascii="宋体" w:hAnsi="宋体" w:eastAsia="宋体" w:cs="宋体"/>
          <w:spacing w:val="2"/>
          <w:sz w:val="21"/>
          <w:szCs w:val="21"/>
        </w:rPr>
        <w:t>6.7.6 承包人应为现场的工人和其他所有工作人员</w:t>
      </w:r>
      <w:r>
        <w:rPr>
          <w:rFonts w:ascii="宋体" w:hAnsi="宋体" w:eastAsia="宋体" w:cs="宋体"/>
          <w:spacing w:val="1"/>
          <w:sz w:val="21"/>
          <w:szCs w:val="21"/>
        </w:rPr>
        <w:t>提供符合卫生要求的厕所，厕所应贴有磁</w:t>
      </w:r>
      <w:r>
        <w:rPr>
          <w:rFonts w:ascii="宋体" w:hAnsi="宋体" w:eastAsia="宋体" w:cs="宋体"/>
          <w:spacing w:val="2"/>
          <w:sz w:val="21"/>
          <w:szCs w:val="21"/>
        </w:rPr>
        <w:t>砖并带手动或自动冲刷设备和洗手盆；承包人负责支付与该厕所相关</w:t>
      </w:r>
      <w:r>
        <w:rPr>
          <w:rFonts w:ascii="宋体" w:hAnsi="宋体" w:eastAsia="宋体" w:cs="宋体"/>
          <w:spacing w:val="1"/>
          <w:sz w:val="21"/>
          <w:szCs w:val="21"/>
        </w:rPr>
        <w:t>的所有费用，并在工程竣工</w:t>
      </w:r>
      <w:r>
        <w:rPr>
          <w:rFonts w:ascii="宋体" w:hAnsi="宋体" w:eastAsia="宋体" w:cs="宋体"/>
          <w:spacing w:val="2"/>
          <w:sz w:val="21"/>
          <w:szCs w:val="21"/>
        </w:rPr>
        <w:t>时，从现场拆除。承包人应在工作区域设立必要的临时厕所，并安排</w:t>
      </w:r>
      <w:r>
        <w:rPr>
          <w:rFonts w:ascii="宋体" w:hAnsi="宋体" w:eastAsia="宋体" w:cs="宋体"/>
          <w:spacing w:val="1"/>
          <w:sz w:val="21"/>
          <w:szCs w:val="21"/>
        </w:rPr>
        <w:t>专门人员负责看护和定时清</w:t>
      </w:r>
      <w:r>
        <w:rPr>
          <w:rFonts w:ascii="宋体" w:hAnsi="宋体" w:eastAsia="宋体" w:cs="宋体"/>
          <w:spacing w:val="-2"/>
          <w:sz w:val="21"/>
          <w:szCs w:val="21"/>
        </w:rPr>
        <w:t>理，以确保现场免于随地大小便的污染。</w:t>
      </w:r>
    </w:p>
    <w:p w14:paraId="239D0C78">
      <w:pPr>
        <w:spacing w:before="108" w:line="269" w:lineRule="auto"/>
        <w:ind w:left="1" w:right="187" w:firstLine="420"/>
        <w:rPr>
          <w:rFonts w:ascii="宋体" w:hAnsi="宋体" w:eastAsia="宋体" w:cs="宋体"/>
          <w:sz w:val="21"/>
          <w:szCs w:val="21"/>
        </w:rPr>
      </w:pPr>
      <w:r>
        <w:rPr>
          <w:rFonts w:ascii="宋体" w:hAnsi="宋体" w:eastAsia="宋体" w:cs="宋体"/>
          <w:spacing w:val="1"/>
          <w:sz w:val="21"/>
          <w:szCs w:val="21"/>
        </w:rPr>
        <w:t>6.7.7 承包人应在现场设立固定的垃圾临时存放点并在各楼层或区域设立必要的垃圾箱；所</w:t>
      </w:r>
      <w:r>
        <w:rPr>
          <w:rFonts w:ascii="宋体" w:hAnsi="宋体" w:eastAsia="宋体" w:cs="宋体"/>
          <w:sz w:val="21"/>
          <w:szCs w:val="21"/>
        </w:rPr>
        <w:t>有垃圾必须在当天清除出现场，并按有关行政管理</w:t>
      </w:r>
      <w:r>
        <w:rPr>
          <w:rFonts w:ascii="宋体" w:hAnsi="宋体" w:eastAsia="宋体" w:cs="宋体"/>
          <w:spacing w:val="-1"/>
          <w:sz w:val="21"/>
          <w:szCs w:val="21"/>
        </w:rPr>
        <w:t>部门的规定，运送到指定的垃圾消纳场。</w:t>
      </w:r>
    </w:p>
    <w:p w14:paraId="257C8ECE">
      <w:pPr>
        <w:spacing w:before="110" w:line="292" w:lineRule="auto"/>
        <w:ind w:right="177" w:firstLine="422"/>
        <w:rPr>
          <w:rFonts w:ascii="宋体" w:hAnsi="宋体" w:eastAsia="宋体" w:cs="宋体"/>
          <w:sz w:val="21"/>
          <w:szCs w:val="21"/>
        </w:rPr>
      </w:pPr>
      <w:r>
        <w:rPr>
          <w:rFonts w:ascii="宋体" w:hAnsi="宋体" w:eastAsia="宋体" w:cs="宋体"/>
          <w:spacing w:val="2"/>
          <w:sz w:val="21"/>
          <w:szCs w:val="21"/>
        </w:rPr>
        <w:t>6.7.8 承包人应对离场垃圾和所有车辆进行防遗洒</w:t>
      </w:r>
      <w:r>
        <w:rPr>
          <w:rFonts w:ascii="宋体" w:hAnsi="宋体" w:eastAsia="宋体" w:cs="宋体"/>
          <w:spacing w:val="1"/>
          <w:sz w:val="21"/>
          <w:szCs w:val="21"/>
        </w:rPr>
        <w:t>和防污染公共道路的处理。承包人在运输</w:t>
      </w:r>
      <w:r>
        <w:rPr>
          <w:rFonts w:ascii="宋体" w:hAnsi="宋体" w:eastAsia="宋体" w:cs="宋体"/>
          <w:spacing w:val="2"/>
          <w:sz w:val="21"/>
          <w:szCs w:val="21"/>
        </w:rPr>
        <w:t>任何材料的过程中，应采取一切必要的措施，防止遗洒和污染公共道路</w:t>
      </w:r>
      <w:r>
        <w:rPr>
          <w:rFonts w:ascii="宋体" w:hAnsi="宋体" w:eastAsia="宋体" w:cs="宋体"/>
          <w:spacing w:val="1"/>
          <w:sz w:val="21"/>
          <w:szCs w:val="21"/>
        </w:rPr>
        <w:t>；一旦出现上述遗洒或污染现象，承包人应立即采取措施进行清扫，并承担所有费用。承包人在</w:t>
      </w:r>
      <w:r>
        <w:rPr>
          <w:rFonts w:hint="eastAsia" w:ascii="宋体" w:hAnsi="宋体" w:eastAsia="宋体" w:cs="宋体"/>
          <w:spacing w:val="1"/>
          <w:sz w:val="21"/>
          <w:szCs w:val="21"/>
          <w:lang w:eastAsia="zh-CN"/>
        </w:rPr>
        <w:t>混凝土浇筑</w:t>
      </w:r>
      <w:r>
        <w:rPr>
          <w:rFonts w:ascii="宋体" w:hAnsi="宋体" w:eastAsia="宋体" w:cs="宋体"/>
          <w:spacing w:val="1"/>
          <w:sz w:val="21"/>
          <w:szCs w:val="21"/>
        </w:rPr>
        <w:t>、材料运输、</w:t>
      </w:r>
      <w:r>
        <w:rPr>
          <w:rFonts w:ascii="宋体" w:hAnsi="宋体" w:eastAsia="宋体" w:cs="宋体"/>
          <w:sz w:val="21"/>
          <w:szCs w:val="21"/>
        </w:rPr>
        <w:t>材料装卸、现场清理等工作中应采取一切必要的措施防止影响公共交</w:t>
      </w:r>
      <w:r>
        <w:rPr>
          <w:rFonts w:ascii="宋体" w:hAnsi="宋体" w:eastAsia="宋体" w:cs="宋体"/>
          <w:spacing w:val="-1"/>
          <w:sz w:val="21"/>
          <w:szCs w:val="21"/>
        </w:rPr>
        <w:t>通。</w:t>
      </w:r>
    </w:p>
    <w:p w14:paraId="36654D38">
      <w:pPr>
        <w:spacing w:before="113" w:line="297" w:lineRule="auto"/>
        <w:ind w:left="1" w:right="171" w:firstLine="420"/>
        <w:rPr>
          <w:rFonts w:ascii="宋体" w:hAnsi="宋体" w:eastAsia="宋体" w:cs="宋体"/>
          <w:sz w:val="21"/>
          <w:szCs w:val="21"/>
        </w:rPr>
      </w:pPr>
      <w:r>
        <w:rPr>
          <w:rFonts w:ascii="宋体" w:hAnsi="宋体" w:eastAsia="宋体" w:cs="宋体"/>
          <w:spacing w:val="2"/>
          <w:sz w:val="21"/>
          <w:szCs w:val="21"/>
        </w:rPr>
        <w:t>6.7.9 承包人应当制订成品保护措施计划，并提供</w:t>
      </w:r>
      <w:r>
        <w:rPr>
          <w:rFonts w:ascii="宋体" w:hAnsi="宋体" w:eastAsia="宋体" w:cs="宋体"/>
          <w:spacing w:val="1"/>
          <w:sz w:val="21"/>
          <w:szCs w:val="21"/>
        </w:rPr>
        <w:t>必要的人员、材料和设备用于整个工程的</w:t>
      </w:r>
      <w:r>
        <w:rPr>
          <w:rFonts w:ascii="宋体" w:hAnsi="宋体" w:eastAsia="宋体" w:cs="宋体"/>
          <w:spacing w:val="2"/>
          <w:sz w:val="21"/>
          <w:szCs w:val="21"/>
        </w:rPr>
        <w:t>成品保护，包括对已完成的所有分包人和独立承包人（如果有）的工程或工</w:t>
      </w:r>
      <w:r>
        <w:rPr>
          <w:rFonts w:ascii="宋体" w:hAnsi="宋体" w:eastAsia="宋体" w:cs="宋体"/>
          <w:spacing w:val="1"/>
          <w:sz w:val="21"/>
          <w:szCs w:val="21"/>
        </w:rPr>
        <w:t>作的保护，防止已完</w:t>
      </w:r>
      <w:r>
        <w:rPr>
          <w:rFonts w:ascii="宋体" w:hAnsi="宋体" w:eastAsia="宋体" w:cs="宋体"/>
          <w:spacing w:val="2"/>
          <w:sz w:val="21"/>
          <w:szCs w:val="21"/>
        </w:rPr>
        <w:t>工作遭受任何损坏或破坏。成品保护措施应当合理安排工序，并包</w:t>
      </w:r>
      <w:r>
        <w:rPr>
          <w:rFonts w:ascii="宋体" w:hAnsi="宋体" w:eastAsia="宋体" w:cs="宋体"/>
          <w:spacing w:val="1"/>
          <w:sz w:val="21"/>
          <w:szCs w:val="21"/>
        </w:rPr>
        <w:t>括工作面移交制度和责任赔偿</w:t>
      </w:r>
      <w:r>
        <w:rPr>
          <w:rFonts w:ascii="宋体" w:hAnsi="宋体" w:eastAsia="宋体" w:cs="宋体"/>
          <w:spacing w:val="-1"/>
          <w:sz w:val="21"/>
          <w:szCs w:val="21"/>
        </w:rPr>
        <w:t>制度。成品保护措施计划最迟应当在任何专业分包人或独立承包人进场施工前不少于</w:t>
      </w:r>
      <w:r>
        <w:rPr>
          <w:rFonts w:ascii="宋体" w:hAnsi="宋体" w:eastAsia="宋体" w:cs="宋体"/>
          <w:spacing w:val="-35"/>
          <w:sz w:val="21"/>
          <w:szCs w:val="21"/>
        </w:rPr>
        <w:t xml:space="preserve"> </w:t>
      </w:r>
      <w:r>
        <w:rPr>
          <w:rFonts w:ascii="宋体" w:hAnsi="宋体" w:eastAsia="宋体" w:cs="宋体"/>
          <w:spacing w:val="-1"/>
          <w:sz w:val="21"/>
          <w:szCs w:val="21"/>
        </w:rPr>
        <w:t>28</w:t>
      </w:r>
      <w:r>
        <w:rPr>
          <w:rFonts w:ascii="宋体" w:hAnsi="宋体" w:eastAsia="宋体" w:cs="宋体"/>
          <w:spacing w:val="-55"/>
          <w:sz w:val="21"/>
          <w:szCs w:val="21"/>
        </w:rPr>
        <w:t xml:space="preserve"> </w:t>
      </w:r>
      <w:r>
        <w:rPr>
          <w:rFonts w:ascii="宋体" w:hAnsi="宋体" w:eastAsia="宋体" w:cs="宋体"/>
          <w:spacing w:val="-1"/>
          <w:sz w:val="21"/>
          <w:szCs w:val="21"/>
        </w:rPr>
        <w:t>天报监理</w:t>
      </w:r>
      <w:r>
        <w:rPr>
          <w:rFonts w:ascii="宋体" w:hAnsi="宋体" w:eastAsia="宋体" w:cs="宋体"/>
          <w:spacing w:val="-2"/>
          <w:sz w:val="21"/>
          <w:szCs w:val="21"/>
        </w:rPr>
        <w:t>人审批。</w:t>
      </w:r>
    </w:p>
    <w:p w14:paraId="67880642">
      <w:pPr>
        <w:spacing w:before="108" w:line="221" w:lineRule="auto"/>
        <w:ind w:left="422"/>
        <w:rPr>
          <w:rFonts w:ascii="宋体" w:hAnsi="宋体" w:eastAsia="宋体" w:cs="宋体"/>
          <w:spacing w:val="-1"/>
          <w:sz w:val="21"/>
          <w:szCs w:val="21"/>
        </w:rPr>
      </w:pPr>
      <w:r>
        <w:rPr>
          <w:rFonts w:ascii="宋体" w:hAnsi="宋体" w:eastAsia="宋体" w:cs="宋体"/>
          <w:spacing w:val="-1"/>
          <w:sz w:val="21"/>
          <w:szCs w:val="21"/>
        </w:rPr>
        <w:t>6.7.10</w:t>
      </w:r>
      <w:r>
        <w:rPr>
          <w:rFonts w:ascii="宋体" w:hAnsi="宋体" w:eastAsia="宋体" w:cs="宋体"/>
          <w:spacing w:val="-41"/>
          <w:sz w:val="21"/>
          <w:szCs w:val="21"/>
        </w:rPr>
        <w:t xml:space="preserve"> </w:t>
      </w:r>
      <w:r>
        <w:rPr>
          <w:rFonts w:ascii="宋体" w:hAnsi="宋体" w:eastAsia="宋体" w:cs="宋体"/>
          <w:spacing w:val="-1"/>
          <w:sz w:val="21"/>
          <w:szCs w:val="21"/>
        </w:rPr>
        <w:t>文明施工方面的其他要求如下：</w:t>
      </w:r>
    </w:p>
    <w:p w14:paraId="14703EAF">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承包人需积极组织文明施工宣传教育活动，提高全体施工人员的文明施工意识，确保每位员工都明确自身在文明施工中的责任与义务。对于施工产生的噪音、振动等可能对周边环境造成影响的因素，承包人应采取有效措施进行控制，确保施工活动符合环保要求，减少对周边居民生活的干扰。同时，承包人还需建立文明施工检查制度，定期对施工现场进行文明施工检查，及时发现并纠正存在的问题，确保文明施工各项措施得到有效执行。对于在文明施工中表现突出的个人或团队，承包人应给予适当的奖励，以激励全体施工人员积极参与文明施工，共同营造良好的施工环境。</w:t>
      </w:r>
    </w:p>
    <w:p w14:paraId="0C1514FC">
      <w:pPr>
        <w:spacing w:before="108" w:line="221" w:lineRule="auto"/>
        <w:ind w:left="422"/>
        <w:rPr>
          <w:rFonts w:ascii="宋体" w:hAnsi="宋体" w:eastAsia="宋体" w:cs="宋体"/>
          <w:spacing w:val="-1"/>
          <w:sz w:val="21"/>
          <w:szCs w:val="21"/>
        </w:rPr>
      </w:pPr>
    </w:p>
    <w:p w14:paraId="3D08B728">
      <w:pPr>
        <w:spacing w:before="196" w:line="221" w:lineRule="auto"/>
        <w:ind w:left="2"/>
        <w:rPr>
          <w:rFonts w:ascii="宋体" w:hAnsi="宋体" w:eastAsia="宋体" w:cs="宋体"/>
          <w:sz w:val="21"/>
          <w:szCs w:val="21"/>
        </w:rPr>
      </w:pPr>
      <w:r>
        <w:rPr>
          <w:rFonts w:ascii="宋体" w:hAnsi="宋体" w:eastAsia="宋体" w:cs="宋体"/>
          <w:b/>
          <w:bCs/>
          <w:spacing w:val="-4"/>
          <w:sz w:val="21"/>
          <w:szCs w:val="21"/>
        </w:rPr>
        <w:t>6.8</w:t>
      </w:r>
      <w:r>
        <w:rPr>
          <w:rFonts w:ascii="宋体" w:hAnsi="宋体" w:eastAsia="宋体" w:cs="宋体"/>
          <w:spacing w:val="-44"/>
          <w:sz w:val="21"/>
          <w:szCs w:val="21"/>
        </w:rPr>
        <w:t xml:space="preserve"> </w:t>
      </w:r>
      <w:r>
        <w:rPr>
          <w:rFonts w:ascii="宋体" w:hAnsi="宋体" w:eastAsia="宋体" w:cs="宋体"/>
          <w:b/>
          <w:bCs/>
          <w:spacing w:val="-4"/>
          <w:sz w:val="21"/>
          <w:szCs w:val="21"/>
        </w:rPr>
        <w:t>环境保护</w:t>
      </w:r>
    </w:p>
    <w:p w14:paraId="38AFF177">
      <w:pPr>
        <w:spacing w:before="111" w:line="285" w:lineRule="auto"/>
        <w:ind w:left="1" w:right="177" w:firstLine="420"/>
        <w:rPr>
          <w:rFonts w:ascii="宋体" w:hAnsi="宋体" w:eastAsia="宋体" w:cs="宋体"/>
          <w:sz w:val="21"/>
          <w:szCs w:val="21"/>
        </w:rPr>
      </w:pPr>
      <w:r>
        <w:rPr>
          <w:rFonts w:ascii="宋体" w:hAnsi="宋体" w:eastAsia="宋体" w:cs="宋体"/>
          <w:spacing w:val="2"/>
          <w:sz w:val="21"/>
          <w:szCs w:val="21"/>
        </w:rPr>
        <w:t>6.8.1 在工程施工、完工及修补任何缺陷的过程中</w:t>
      </w:r>
      <w:r>
        <w:rPr>
          <w:rFonts w:ascii="宋体" w:hAnsi="宋体" w:eastAsia="宋体" w:cs="宋体"/>
          <w:spacing w:val="1"/>
          <w:sz w:val="21"/>
          <w:szCs w:val="21"/>
        </w:rPr>
        <w:t>，承包人应当始终遵守国家和工程所在地</w:t>
      </w:r>
      <w:r>
        <w:rPr>
          <w:rFonts w:ascii="宋体" w:hAnsi="宋体" w:eastAsia="宋体" w:cs="宋体"/>
          <w:spacing w:val="2"/>
          <w:sz w:val="21"/>
          <w:szCs w:val="21"/>
        </w:rPr>
        <w:t>有关环境保护、水土保护和污染防治的法律、法规、规章、规范、</w:t>
      </w:r>
      <w:r>
        <w:rPr>
          <w:rFonts w:ascii="宋体" w:hAnsi="宋体" w:eastAsia="宋体" w:cs="宋体"/>
          <w:spacing w:val="1"/>
          <w:sz w:val="21"/>
          <w:szCs w:val="21"/>
        </w:rPr>
        <w:t>标准和规程等，按照通用合同</w:t>
      </w:r>
      <w:r>
        <w:rPr>
          <w:rFonts w:ascii="宋体" w:hAnsi="宋体" w:eastAsia="宋体" w:cs="宋体"/>
          <w:spacing w:val="-1"/>
          <w:sz w:val="21"/>
          <w:szCs w:val="21"/>
        </w:rPr>
        <w:t>条款第</w:t>
      </w:r>
      <w:r>
        <w:rPr>
          <w:rFonts w:ascii="宋体" w:hAnsi="宋体" w:eastAsia="宋体" w:cs="宋体"/>
          <w:spacing w:val="-45"/>
          <w:sz w:val="21"/>
          <w:szCs w:val="21"/>
        </w:rPr>
        <w:t xml:space="preserve"> </w:t>
      </w:r>
      <w:r>
        <w:rPr>
          <w:rFonts w:ascii="宋体" w:hAnsi="宋体" w:eastAsia="宋体" w:cs="宋体"/>
          <w:spacing w:val="-1"/>
          <w:sz w:val="21"/>
          <w:szCs w:val="21"/>
        </w:rPr>
        <w:t>4.1.6</w:t>
      </w:r>
      <w:r>
        <w:rPr>
          <w:rFonts w:ascii="宋体" w:hAnsi="宋体" w:eastAsia="宋体" w:cs="宋体"/>
          <w:spacing w:val="-41"/>
          <w:sz w:val="21"/>
          <w:szCs w:val="21"/>
        </w:rPr>
        <w:t xml:space="preserve"> </w:t>
      </w:r>
      <w:r>
        <w:rPr>
          <w:rFonts w:ascii="宋体" w:hAnsi="宋体" w:eastAsia="宋体" w:cs="宋体"/>
          <w:spacing w:val="-1"/>
          <w:sz w:val="21"/>
          <w:szCs w:val="21"/>
        </w:rPr>
        <w:t>项和第</w:t>
      </w:r>
      <w:r>
        <w:rPr>
          <w:rFonts w:ascii="宋体" w:hAnsi="宋体" w:eastAsia="宋体" w:cs="宋体"/>
          <w:spacing w:val="-43"/>
          <w:sz w:val="21"/>
          <w:szCs w:val="21"/>
        </w:rPr>
        <w:t xml:space="preserve"> </w:t>
      </w:r>
      <w:r>
        <w:rPr>
          <w:rFonts w:ascii="宋体" w:hAnsi="宋体" w:eastAsia="宋体" w:cs="宋体"/>
          <w:spacing w:val="-1"/>
          <w:sz w:val="21"/>
          <w:szCs w:val="21"/>
        </w:rPr>
        <w:t>9.4</w:t>
      </w:r>
      <w:r>
        <w:rPr>
          <w:rFonts w:ascii="宋体" w:hAnsi="宋体" w:eastAsia="宋体" w:cs="宋体"/>
          <w:spacing w:val="-45"/>
          <w:sz w:val="21"/>
          <w:szCs w:val="21"/>
        </w:rPr>
        <w:t xml:space="preserve"> </w:t>
      </w:r>
      <w:r>
        <w:rPr>
          <w:rFonts w:ascii="宋体" w:hAnsi="宋体" w:eastAsia="宋体" w:cs="宋体"/>
          <w:spacing w:val="-1"/>
          <w:sz w:val="21"/>
          <w:szCs w:val="21"/>
        </w:rPr>
        <w:t>款的约定履行其环</w:t>
      </w:r>
      <w:r>
        <w:rPr>
          <w:rFonts w:ascii="宋体" w:hAnsi="宋体" w:eastAsia="宋体" w:cs="宋体"/>
          <w:spacing w:val="-2"/>
          <w:sz w:val="21"/>
          <w:szCs w:val="21"/>
        </w:rPr>
        <w:t>境与生态保护职责。</w:t>
      </w:r>
    </w:p>
    <w:p w14:paraId="72DF8416">
      <w:pPr>
        <w:spacing w:before="108" w:line="285" w:lineRule="auto"/>
        <w:ind w:right="177" w:firstLine="422"/>
        <w:rPr>
          <w:rFonts w:ascii="宋体" w:hAnsi="宋体" w:eastAsia="宋体" w:cs="宋体"/>
          <w:sz w:val="21"/>
          <w:szCs w:val="21"/>
        </w:rPr>
      </w:pPr>
      <w:r>
        <w:rPr>
          <w:rFonts w:ascii="宋体" w:hAnsi="宋体" w:eastAsia="宋体" w:cs="宋体"/>
          <w:spacing w:val="1"/>
          <w:sz w:val="21"/>
          <w:szCs w:val="21"/>
        </w:rPr>
        <w:t>6.8.2 承包人应按合同约定和监理人指示，接受国家和地方环境保护行政主管</w:t>
      </w:r>
      <w:r>
        <w:rPr>
          <w:rFonts w:ascii="宋体" w:hAnsi="宋体" w:eastAsia="宋体" w:cs="宋体"/>
          <w:sz w:val="21"/>
          <w:szCs w:val="21"/>
        </w:rPr>
        <w:t>部门的监督、</w:t>
      </w:r>
      <w:r>
        <w:rPr>
          <w:rFonts w:ascii="宋体" w:hAnsi="宋体" w:eastAsia="宋体" w:cs="宋体"/>
          <w:spacing w:val="2"/>
          <w:sz w:val="21"/>
          <w:szCs w:val="21"/>
        </w:rPr>
        <w:t>监测和检查。承包人应对其违反现行法律、法规、规章、规范、标准和</w:t>
      </w:r>
      <w:r>
        <w:rPr>
          <w:rFonts w:ascii="宋体" w:hAnsi="宋体" w:eastAsia="宋体" w:cs="宋体"/>
          <w:spacing w:val="1"/>
          <w:sz w:val="21"/>
          <w:szCs w:val="21"/>
        </w:rPr>
        <w:t>规程等以及本合同约定所</w:t>
      </w:r>
      <w:r>
        <w:rPr>
          <w:rFonts w:ascii="宋体" w:hAnsi="宋体" w:eastAsia="宋体" w:cs="宋体"/>
          <w:sz w:val="21"/>
          <w:szCs w:val="21"/>
        </w:rPr>
        <w:t>造成的环境污染、水土流失、人员伤害和财产损失等承担赔偿责</w:t>
      </w:r>
      <w:r>
        <w:rPr>
          <w:rFonts w:ascii="宋体" w:hAnsi="宋体" w:eastAsia="宋体" w:cs="宋体"/>
          <w:spacing w:val="-1"/>
          <w:sz w:val="21"/>
          <w:szCs w:val="21"/>
        </w:rPr>
        <w:t>任。</w:t>
      </w:r>
    </w:p>
    <w:p w14:paraId="2914D862">
      <w:pPr>
        <w:spacing w:before="110" w:line="284" w:lineRule="auto"/>
        <w:ind w:left="5" w:firstLine="416"/>
        <w:rPr>
          <w:rFonts w:ascii="宋体" w:hAnsi="宋体" w:eastAsia="宋体" w:cs="宋体"/>
          <w:sz w:val="21"/>
          <w:szCs w:val="21"/>
        </w:rPr>
      </w:pPr>
      <w:r>
        <w:rPr>
          <w:rFonts w:ascii="宋体" w:hAnsi="宋体" w:eastAsia="宋体" w:cs="宋体"/>
          <w:spacing w:val="1"/>
          <w:sz w:val="21"/>
          <w:szCs w:val="21"/>
        </w:rPr>
        <w:t>6.8.3 承包人制订施工方案和组织措施时应当同步考虑环境和资源保护，包括水</w:t>
      </w:r>
      <w:r>
        <w:rPr>
          <w:rFonts w:ascii="宋体" w:hAnsi="宋体" w:eastAsia="宋体" w:cs="宋体"/>
          <w:sz w:val="21"/>
          <w:szCs w:val="21"/>
        </w:rPr>
        <w:t>土资源保护、</w:t>
      </w:r>
      <w:r>
        <w:rPr>
          <w:rFonts w:ascii="宋体" w:hAnsi="宋体" w:eastAsia="宋体" w:cs="宋体"/>
          <w:spacing w:val="2"/>
          <w:sz w:val="21"/>
          <w:szCs w:val="21"/>
        </w:rPr>
        <w:t>噪声、振动和照明污染防治、固体废弃物处理、污水和废</w:t>
      </w:r>
      <w:r>
        <w:rPr>
          <w:rFonts w:ascii="宋体" w:hAnsi="宋体" w:eastAsia="宋体" w:cs="宋体"/>
          <w:spacing w:val="1"/>
          <w:sz w:val="21"/>
          <w:szCs w:val="21"/>
        </w:rPr>
        <w:t>气处理、粉尘和扬尘控制、道路污染防</w:t>
      </w:r>
      <w:r>
        <w:rPr>
          <w:rFonts w:ascii="宋体" w:hAnsi="宋体" w:eastAsia="宋体" w:cs="宋体"/>
          <w:spacing w:val="-1"/>
          <w:sz w:val="21"/>
          <w:szCs w:val="21"/>
        </w:rPr>
        <w:t>治、卫生防疫、禁止有害材料、节能减排以及不可再生资源的循环使用等因素。</w:t>
      </w:r>
    </w:p>
    <w:p w14:paraId="3BB6E4FB">
      <w:pPr>
        <w:spacing w:before="110" w:line="268" w:lineRule="auto"/>
        <w:ind w:right="173" w:firstLine="421"/>
        <w:rPr>
          <w:rFonts w:ascii="宋体" w:hAnsi="宋体" w:eastAsia="宋体" w:cs="宋体"/>
          <w:sz w:val="21"/>
          <w:szCs w:val="21"/>
        </w:rPr>
      </w:pPr>
      <w:r>
        <w:rPr>
          <w:rFonts w:ascii="宋体" w:hAnsi="宋体" w:eastAsia="宋体" w:cs="宋体"/>
          <w:spacing w:val="1"/>
          <w:sz w:val="21"/>
          <w:szCs w:val="21"/>
        </w:rPr>
        <w:t>6.8.4 承包人应当做好施工场地（现场）范围内各项工程的开挖支护、截水、降水</w:t>
      </w:r>
      <w:r>
        <w:rPr>
          <w:rFonts w:ascii="宋体" w:hAnsi="宋体" w:eastAsia="宋体" w:cs="宋体"/>
          <w:sz w:val="21"/>
          <w:szCs w:val="21"/>
        </w:rPr>
        <w:t>、灌浆、</w:t>
      </w:r>
      <w:r>
        <w:rPr>
          <w:rFonts w:ascii="宋体" w:hAnsi="宋体" w:eastAsia="宋体" w:cs="宋体"/>
          <w:spacing w:val="2"/>
          <w:sz w:val="21"/>
          <w:szCs w:val="21"/>
        </w:rPr>
        <w:t>衬砌、挡护结构及排水等工程防护措施。施工场地（现场）内所有边坡应当采</w:t>
      </w:r>
      <w:r>
        <w:rPr>
          <w:rFonts w:ascii="宋体" w:hAnsi="宋体" w:eastAsia="宋体" w:cs="宋体"/>
          <w:spacing w:val="1"/>
          <w:sz w:val="21"/>
          <w:szCs w:val="21"/>
        </w:rPr>
        <w:t>取有效的水土流失</w:t>
      </w:r>
    </w:p>
    <w:p w14:paraId="5A247CC8">
      <w:pPr>
        <w:spacing w:before="69" w:line="316" w:lineRule="auto"/>
        <w:ind w:left="2" w:right="15" w:firstLine="12"/>
        <w:jc w:val="both"/>
        <w:rPr>
          <w:rFonts w:ascii="宋体" w:hAnsi="宋体" w:eastAsia="宋体" w:cs="宋体"/>
          <w:sz w:val="21"/>
          <w:szCs w:val="21"/>
        </w:rPr>
      </w:pPr>
      <w:bookmarkStart w:id="1315" w:name="bookmark640"/>
      <w:bookmarkEnd w:id="1315"/>
      <w:r>
        <w:rPr>
          <w:rFonts w:ascii="宋体" w:hAnsi="宋体" w:eastAsia="宋体" w:cs="宋体"/>
          <w:spacing w:val="1"/>
          <w:sz w:val="21"/>
          <w:szCs w:val="21"/>
        </w:rPr>
        <w:t>防治和保持措施。承包人采用的降水方案应当充分考虑对地下水的保护和合理使用，如果国家和（或）地方人民政府有特别规定的，承包人应当遵守</w:t>
      </w:r>
      <w:r>
        <w:rPr>
          <w:rFonts w:ascii="宋体" w:hAnsi="宋体" w:eastAsia="宋体" w:cs="宋体"/>
          <w:sz w:val="21"/>
          <w:szCs w:val="21"/>
        </w:rPr>
        <w:t>有关规定。承包人还应设置完善的排水系统，保持施工场地（现场）始终处于良好的排水状态，防止降雨径流对施工场地（现场）的冲</w:t>
      </w:r>
      <w:r>
        <w:rPr>
          <w:rFonts w:ascii="宋体" w:hAnsi="宋体" w:eastAsia="宋体" w:cs="宋体"/>
          <w:spacing w:val="-1"/>
          <w:sz w:val="21"/>
          <w:szCs w:val="21"/>
        </w:rPr>
        <w:t>刷。</w:t>
      </w:r>
    </w:p>
    <w:p w14:paraId="51C8E29C">
      <w:pPr>
        <w:spacing w:before="4" w:line="300" w:lineRule="auto"/>
        <w:ind w:left="2" w:right="16" w:firstLine="420"/>
        <w:rPr>
          <w:rFonts w:ascii="宋体" w:hAnsi="宋体" w:eastAsia="宋体" w:cs="宋体"/>
          <w:sz w:val="21"/>
          <w:szCs w:val="21"/>
        </w:rPr>
      </w:pPr>
      <w:r>
        <w:rPr>
          <w:rFonts w:ascii="宋体" w:hAnsi="宋体" w:eastAsia="宋体" w:cs="宋体"/>
          <w:spacing w:val="1"/>
          <w:sz w:val="21"/>
          <w:szCs w:val="21"/>
        </w:rPr>
        <w:t>6.8.5 承包人应当确保其所提供的材料、</w:t>
      </w:r>
      <w:r>
        <w:rPr>
          <w:rFonts w:ascii="宋体" w:hAnsi="宋体" w:eastAsia="宋体" w:cs="宋体"/>
          <w:sz w:val="21"/>
          <w:szCs w:val="21"/>
        </w:rPr>
        <w:t>工程设备、施工设备和其他材料都是绿色环保产品，</w:t>
      </w:r>
      <w:r>
        <w:rPr>
          <w:rFonts w:ascii="宋体" w:hAnsi="宋体" w:eastAsia="宋体" w:cs="宋体"/>
          <w:spacing w:val="2"/>
          <w:sz w:val="21"/>
          <w:szCs w:val="21"/>
        </w:rPr>
        <w:t>列入国家强制认证产品名录的，还应当是通过国家强制认证的产品</w:t>
      </w:r>
      <w:r>
        <w:rPr>
          <w:rFonts w:ascii="宋体" w:hAnsi="宋体" w:eastAsia="宋体" w:cs="宋体"/>
          <w:spacing w:val="1"/>
          <w:sz w:val="21"/>
          <w:szCs w:val="21"/>
        </w:rPr>
        <w:t>。承包人不得在任何临时和永</w:t>
      </w:r>
      <w:r>
        <w:rPr>
          <w:rFonts w:ascii="宋体" w:hAnsi="宋体" w:eastAsia="宋体" w:cs="宋体"/>
          <w:spacing w:val="2"/>
          <w:sz w:val="21"/>
          <w:szCs w:val="21"/>
        </w:rPr>
        <w:t>久性工程中使用任何政府明令禁止使用的对人体</w:t>
      </w:r>
      <w:r>
        <w:rPr>
          <w:rFonts w:ascii="宋体" w:hAnsi="宋体" w:eastAsia="宋体" w:cs="宋体"/>
          <w:spacing w:val="1"/>
          <w:sz w:val="21"/>
          <w:szCs w:val="21"/>
        </w:rPr>
        <w:t>有害的任何材料（如放射性材料、石棉制品等）</w:t>
      </w:r>
      <w:r>
        <w:rPr>
          <w:rFonts w:ascii="宋体" w:hAnsi="宋体" w:eastAsia="宋体" w:cs="宋体"/>
          <w:spacing w:val="2"/>
          <w:sz w:val="21"/>
          <w:szCs w:val="21"/>
        </w:rPr>
        <w:t>和方法，同时也不得在永久性工程中使用政府虽未明令禁止但会给</w:t>
      </w:r>
      <w:r>
        <w:rPr>
          <w:rFonts w:ascii="宋体" w:hAnsi="宋体" w:eastAsia="宋体" w:cs="宋体"/>
          <w:spacing w:val="1"/>
          <w:sz w:val="21"/>
          <w:szCs w:val="21"/>
        </w:rPr>
        <w:t>居住或使用人带来不适感觉或</w:t>
      </w:r>
      <w:r>
        <w:rPr>
          <w:rFonts w:ascii="宋体" w:hAnsi="宋体" w:eastAsia="宋体" w:cs="宋体"/>
          <w:spacing w:val="2"/>
          <w:sz w:val="21"/>
          <w:szCs w:val="21"/>
        </w:rPr>
        <w:t>味觉的任何材料和添加剂等；承包人应在其施工环保措施计划中明</w:t>
      </w:r>
      <w:r>
        <w:rPr>
          <w:rFonts w:ascii="宋体" w:hAnsi="宋体" w:eastAsia="宋体" w:cs="宋体"/>
          <w:spacing w:val="1"/>
          <w:sz w:val="21"/>
          <w:szCs w:val="21"/>
        </w:rPr>
        <w:t>确防止误用的保证措施；承包</w:t>
      </w:r>
      <w:r>
        <w:rPr>
          <w:rFonts w:ascii="宋体" w:hAnsi="宋体" w:eastAsia="宋体" w:cs="宋体"/>
          <w:spacing w:val="-1"/>
          <w:sz w:val="21"/>
          <w:szCs w:val="21"/>
        </w:rPr>
        <w:t>人违背此项约定的责任和后果全部由承包人承担。</w:t>
      </w:r>
    </w:p>
    <w:p w14:paraId="6B36F81D">
      <w:pPr>
        <w:spacing w:before="107" w:line="285" w:lineRule="auto"/>
        <w:ind w:left="3" w:right="177" w:firstLine="420"/>
        <w:rPr>
          <w:rFonts w:ascii="宋体" w:hAnsi="宋体" w:eastAsia="宋体" w:cs="宋体"/>
          <w:sz w:val="21"/>
          <w:szCs w:val="21"/>
        </w:rPr>
      </w:pPr>
      <w:r>
        <w:rPr>
          <w:rFonts w:ascii="宋体" w:hAnsi="宋体" w:eastAsia="宋体" w:cs="宋体"/>
          <w:spacing w:val="2"/>
          <w:sz w:val="21"/>
          <w:szCs w:val="21"/>
        </w:rPr>
        <w:t>6.8.6 承包人应为防止进出场的车辆的遗洒和轮胎</w:t>
      </w:r>
      <w:r>
        <w:rPr>
          <w:rFonts w:ascii="宋体" w:hAnsi="宋体" w:eastAsia="宋体" w:cs="宋体"/>
          <w:spacing w:val="1"/>
          <w:sz w:val="21"/>
          <w:szCs w:val="21"/>
        </w:rPr>
        <w:t>夹带物等污染周边和公共道路等行为制定</w:t>
      </w:r>
      <w:r>
        <w:rPr>
          <w:rFonts w:ascii="宋体" w:hAnsi="宋体" w:eastAsia="宋体" w:cs="宋体"/>
          <w:spacing w:val="2"/>
          <w:sz w:val="21"/>
          <w:szCs w:val="21"/>
        </w:rPr>
        <w:t>并落实必要的措施，这类措施应至少包括在现场出入口设立冲刷池</w:t>
      </w:r>
      <w:r>
        <w:rPr>
          <w:rFonts w:ascii="宋体" w:hAnsi="宋体" w:eastAsia="宋体" w:cs="宋体"/>
          <w:spacing w:val="1"/>
          <w:sz w:val="21"/>
          <w:szCs w:val="21"/>
        </w:rPr>
        <w:t>、对现场道路做硬化处理和采</w:t>
      </w:r>
      <w:r>
        <w:rPr>
          <w:rFonts w:ascii="宋体" w:hAnsi="宋体" w:eastAsia="宋体" w:cs="宋体"/>
          <w:spacing w:val="-2"/>
          <w:sz w:val="21"/>
          <w:szCs w:val="21"/>
        </w:rPr>
        <w:t>用密闭车厢或者对车厢进行必要的覆盖等等。</w:t>
      </w:r>
    </w:p>
    <w:p w14:paraId="12803164">
      <w:pPr>
        <w:spacing w:before="110" w:line="292" w:lineRule="auto"/>
        <w:ind w:left="1" w:firstLine="421"/>
        <w:rPr>
          <w:rFonts w:ascii="宋体" w:hAnsi="宋体" w:eastAsia="宋体" w:cs="宋体"/>
          <w:sz w:val="21"/>
          <w:szCs w:val="21"/>
        </w:rPr>
      </w:pPr>
      <w:r>
        <w:rPr>
          <w:rFonts w:ascii="宋体" w:hAnsi="宋体" w:eastAsia="宋体" w:cs="宋体"/>
          <w:spacing w:val="1"/>
          <w:sz w:val="21"/>
          <w:szCs w:val="21"/>
        </w:rPr>
        <w:t>6.8.7 承包人应当保证施工生产用水和生活用水符合国家有关标准的规定。承包</w:t>
      </w:r>
      <w:r>
        <w:rPr>
          <w:rFonts w:ascii="宋体" w:hAnsi="宋体" w:eastAsia="宋体" w:cs="宋体"/>
          <w:sz w:val="21"/>
          <w:szCs w:val="21"/>
        </w:rPr>
        <w:t>人还应建设、</w:t>
      </w:r>
      <w:r>
        <w:rPr>
          <w:rFonts w:ascii="宋体" w:hAnsi="宋体" w:eastAsia="宋体" w:cs="宋体"/>
          <w:spacing w:val="4"/>
          <w:sz w:val="21"/>
          <w:szCs w:val="21"/>
        </w:rPr>
        <w:t>运行和维护施工生产和生活污水收集和处理系统（包括排污口接入</w:t>
      </w:r>
      <w:r>
        <w:rPr>
          <w:rFonts w:ascii="宋体" w:hAnsi="宋体" w:eastAsia="宋体" w:cs="宋体"/>
          <w:spacing w:val="-41"/>
          <w:sz w:val="21"/>
          <w:szCs w:val="21"/>
        </w:rPr>
        <w:t>），</w:t>
      </w:r>
      <w:r>
        <w:rPr>
          <w:rFonts w:ascii="宋体" w:hAnsi="宋体" w:eastAsia="宋体" w:cs="宋体"/>
          <w:spacing w:val="4"/>
          <w:sz w:val="21"/>
          <w:szCs w:val="21"/>
        </w:rPr>
        <w:t>建立符合排</w:t>
      </w:r>
      <w:r>
        <w:rPr>
          <w:rFonts w:ascii="宋体" w:hAnsi="宋体" w:eastAsia="宋体" w:cs="宋体"/>
          <w:spacing w:val="3"/>
          <w:sz w:val="21"/>
          <w:szCs w:val="21"/>
        </w:rPr>
        <w:t>放标准的临时</w:t>
      </w:r>
      <w:r>
        <w:rPr>
          <w:rFonts w:ascii="宋体" w:hAnsi="宋体" w:eastAsia="宋体" w:cs="宋体"/>
          <w:spacing w:val="2"/>
          <w:sz w:val="21"/>
          <w:szCs w:val="21"/>
        </w:rPr>
        <w:t>沉淀池和化粪池等，不得将未处理的污水直接或间接排放或造成地表</w:t>
      </w:r>
      <w:r>
        <w:rPr>
          <w:rFonts w:ascii="宋体" w:hAnsi="宋体" w:eastAsia="宋体" w:cs="宋体"/>
          <w:spacing w:val="1"/>
          <w:sz w:val="21"/>
          <w:szCs w:val="21"/>
        </w:rPr>
        <w:t>水体、地下水体或生产和生</w:t>
      </w:r>
      <w:r>
        <w:rPr>
          <w:rFonts w:ascii="宋体" w:hAnsi="宋体" w:eastAsia="宋体" w:cs="宋体"/>
          <w:spacing w:val="-3"/>
          <w:sz w:val="21"/>
          <w:szCs w:val="21"/>
        </w:rPr>
        <w:t>活供水系统的污染。</w:t>
      </w:r>
    </w:p>
    <w:p w14:paraId="779953BA">
      <w:pPr>
        <w:spacing w:before="111" w:line="297" w:lineRule="auto"/>
        <w:ind w:right="175" w:firstLine="423"/>
        <w:rPr>
          <w:rFonts w:ascii="宋体" w:hAnsi="宋体" w:eastAsia="宋体" w:cs="宋体"/>
          <w:sz w:val="21"/>
          <w:szCs w:val="21"/>
        </w:rPr>
      </w:pPr>
      <w:r>
        <w:rPr>
          <w:rFonts w:ascii="宋体" w:hAnsi="宋体" w:eastAsia="宋体" w:cs="宋体"/>
          <w:spacing w:val="2"/>
          <w:sz w:val="21"/>
          <w:szCs w:val="21"/>
        </w:rPr>
        <w:t>6.8.8 承包人应当采取有效措施，建立相应的过滤</w:t>
      </w:r>
      <w:r>
        <w:rPr>
          <w:rFonts w:ascii="宋体" w:hAnsi="宋体" w:eastAsia="宋体" w:cs="宋体"/>
          <w:spacing w:val="1"/>
          <w:sz w:val="21"/>
          <w:szCs w:val="21"/>
        </w:rPr>
        <w:t>、分离、分解或沉淀等处理系统，不得让有害物质（如燃料、油料、化学品、酸等，以及超过剂量的有害气体和尘埃、污水、泥土或水、</w:t>
      </w:r>
      <w:r>
        <w:rPr>
          <w:rFonts w:ascii="宋体" w:hAnsi="宋体" w:eastAsia="宋体" w:cs="宋体"/>
          <w:spacing w:val="2"/>
          <w:sz w:val="21"/>
          <w:szCs w:val="21"/>
        </w:rPr>
        <w:t>弃渣等）污染施工场地（现场）及其周边环境。承包人施工工序、工作时间安</w:t>
      </w:r>
      <w:r>
        <w:rPr>
          <w:rFonts w:ascii="宋体" w:hAnsi="宋体" w:eastAsia="宋体" w:cs="宋体"/>
          <w:spacing w:val="1"/>
          <w:sz w:val="21"/>
          <w:szCs w:val="21"/>
        </w:rPr>
        <w:t>排和施工设备的配</w:t>
      </w:r>
      <w:r>
        <w:rPr>
          <w:rFonts w:ascii="宋体" w:hAnsi="宋体" w:eastAsia="宋体" w:cs="宋体"/>
          <w:spacing w:val="4"/>
          <w:sz w:val="21"/>
          <w:szCs w:val="21"/>
        </w:rPr>
        <w:t>置应当充分考虑降低噪声和照明等对施工场地 （现场）周边生产和生活的影响，并满足国家和</w:t>
      </w:r>
      <w:r>
        <w:rPr>
          <w:rFonts w:ascii="宋体" w:hAnsi="宋体" w:eastAsia="宋体" w:cs="宋体"/>
          <w:spacing w:val="-1"/>
          <w:sz w:val="21"/>
          <w:szCs w:val="21"/>
        </w:rPr>
        <w:t>地方政府有关规定的要求。</w:t>
      </w:r>
    </w:p>
    <w:p w14:paraId="5C15871C">
      <w:pPr>
        <w:spacing w:before="110" w:line="221" w:lineRule="auto"/>
        <w:ind w:left="423"/>
        <w:rPr>
          <w:rFonts w:ascii="宋体" w:hAnsi="宋体" w:eastAsia="宋体" w:cs="宋体"/>
          <w:spacing w:val="-1"/>
          <w:sz w:val="21"/>
          <w:szCs w:val="21"/>
        </w:rPr>
      </w:pPr>
      <w:r>
        <w:rPr>
          <w:rFonts w:ascii="宋体" w:hAnsi="宋体" w:eastAsia="宋体" w:cs="宋体"/>
          <w:spacing w:val="-1"/>
          <w:sz w:val="21"/>
          <w:szCs w:val="21"/>
        </w:rPr>
        <w:t>6.8.9</w:t>
      </w:r>
      <w:r>
        <w:rPr>
          <w:rFonts w:ascii="宋体" w:hAnsi="宋体" w:eastAsia="宋体" w:cs="宋体"/>
          <w:spacing w:val="-40"/>
          <w:sz w:val="21"/>
          <w:szCs w:val="21"/>
        </w:rPr>
        <w:t xml:space="preserve"> </w:t>
      </w:r>
      <w:r>
        <w:rPr>
          <w:rFonts w:ascii="宋体" w:hAnsi="宋体" w:eastAsia="宋体" w:cs="宋体"/>
          <w:spacing w:val="-1"/>
          <w:sz w:val="21"/>
          <w:szCs w:val="21"/>
        </w:rPr>
        <w:t>环境保护方面的其他要求如下：</w:t>
      </w:r>
    </w:p>
    <w:p w14:paraId="295AD5BE">
      <w:pPr>
        <w:spacing w:before="110" w:line="360" w:lineRule="auto"/>
        <w:ind w:left="423" w:firstLine="420" w:firstLineChars="200"/>
        <w:rPr>
          <w:rFonts w:ascii="宋体" w:hAnsi="宋体" w:eastAsia="宋体" w:cs="宋体"/>
          <w:spacing w:val="-1"/>
          <w:sz w:val="21"/>
          <w:szCs w:val="21"/>
        </w:rPr>
      </w:pPr>
      <w:r>
        <w:rPr>
          <w:rFonts w:hint="eastAsia"/>
          <w:color w:val="auto"/>
          <w:sz w:val="21"/>
          <w:highlight w:val="none"/>
          <w:u w:val="single"/>
          <w:lang w:val="en-US" w:eastAsia="zh-CN"/>
        </w:rPr>
        <w:t>承包人还需定期对施工场地（现场）及周边环境进行监测，确保各项环境指标符合国家和地方标准。对于监测过程中发现的环境问题，承包人应立即采取整改措施，防止问题扩大或对环境造成进一步损害。同时，承包人应建立环境应急预案，针对可能发生的突发环境事件，制定详细的应对措施和救援方案，确保在事件发生时能够迅速、有效地进行处置，减少对环境和人员的影响。此外，承包人还应加强与周边社区和居民的沟通与交流，及时了解他们的诉求和意见，积极采取措施解决可能存在的环境问题，共同营造良好的施工和生活环境。</w:t>
      </w:r>
    </w:p>
    <w:p w14:paraId="1CABAD66">
      <w:pPr>
        <w:spacing w:before="208" w:line="220" w:lineRule="auto"/>
        <w:ind w:left="1"/>
        <w:rPr>
          <w:rFonts w:ascii="黑体" w:hAnsi="黑体" w:eastAsia="黑体" w:cs="黑体"/>
          <w:sz w:val="24"/>
          <w:szCs w:val="24"/>
        </w:rPr>
      </w:pPr>
      <w:r>
        <w:rPr>
          <w:rFonts w:ascii="黑体" w:hAnsi="黑体" w:eastAsia="黑体" w:cs="黑体"/>
          <w:spacing w:val="-2"/>
          <w:sz w:val="24"/>
          <w:szCs w:val="24"/>
        </w:rPr>
        <w:t>6.9</w:t>
      </w:r>
      <w:r>
        <w:rPr>
          <w:rFonts w:ascii="黑体" w:hAnsi="黑体" w:eastAsia="黑体" w:cs="黑体"/>
          <w:spacing w:val="-47"/>
          <w:sz w:val="24"/>
          <w:szCs w:val="24"/>
        </w:rPr>
        <w:t xml:space="preserve"> </w:t>
      </w:r>
      <w:r>
        <w:rPr>
          <w:rFonts w:ascii="黑体" w:hAnsi="黑体" w:eastAsia="黑体" w:cs="黑体"/>
          <w:spacing w:val="-2"/>
          <w:sz w:val="24"/>
          <w:szCs w:val="24"/>
        </w:rPr>
        <w:t>施工环保措施计划</w:t>
      </w:r>
    </w:p>
    <w:p w14:paraId="0BB18F9C">
      <w:pPr>
        <w:spacing w:before="179" w:line="316" w:lineRule="auto"/>
        <w:ind w:left="1" w:right="171" w:firstLine="421"/>
        <w:rPr>
          <w:rFonts w:ascii="宋体" w:hAnsi="宋体" w:eastAsia="宋体" w:cs="宋体"/>
          <w:sz w:val="21"/>
          <w:szCs w:val="21"/>
        </w:rPr>
      </w:pPr>
      <w:r>
        <w:rPr>
          <w:rFonts w:ascii="宋体" w:hAnsi="宋体" w:eastAsia="宋体" w:cs="宋体"/>
          <w:spacing w:val="-1"/>
          <w:sz w:val="21"/>
          <w:szCs w:val="21"/>
        </w:rPr>
        <w:t>6.9.1 通用合同条款第 9.4.2 项约定的施工环保措施计划是承包人阐明环保方针和拟采用的</w:t>
      </w:r>
      <w:r>
        <w:rPr>
          <w:rFonts w:ascii="宋体" w:hAnsi="宋体" w:eastAsia="宋体" w:cs="宋体"/>
          <w:sz w:val="21"/>
          <w:szCs w:val="21"/>
        </w:rPr>
        <w:t>环保措施及方法等的文件，其内容应包括但</w:t>
      </w:r>
      <w:r>
        <w:rPr>
          <w:rFonts w:ascii="宋体" w:hAnsi="宋体" w:eastAsia="宋体" w:cs="宋体"/>
          <w:spacing w:val="-1"/>
          <w:sz w:val="21"/>
          <w:szCs w:val="21"/>
        </w:rPr>
        <w:t>不限于：</w:t>
      </w:r>
    </w:p>
    <w:p w14:paraId="6B5BE953">
      <w:pPr>
        <w:spacing w:before="1" w:line="220" w:lineRule="auto"/>
        <w:ind w:left="427"/>
        <w:rPr>
          <w:rFonts w:ascii="宋体" w:hAnsi="宋体" w:eastAsia="宋体" w:cs="宋体"/>
          <w:sz w:val="21"/>
          <w:szCs w:val="21"/>
        </w:rPr>
      </w:pPr>
      <w:r>
        <w:rPr>
          <w:rFonts w:ascii="宋体" w:hAnsi="宋体" w:eastAsia="宋体" w:cs="宋体"/>
          <w:spacing w:val="-1"/>
          <w:sz w:val="21"/>
          <w:szCs w:val="21"/>
        </w:rPr>
        <w:t>（1）承包人生活区（如果有）的生活用水和生活污水处理措施；</w:t>
      </w:r>
    </w:p>
    <w:p w14:paraId="5DC6481C">
      <w:pPr>
        <w:spacing w:before="109" w:line="221" w:lineRule="auto"/>
        <w:ind w:left="427"/>
        <w:rPr>
          <w:rFonts w:ascii="宋体" w:hAnsi="宋体" w:eastAsia="宋体" w:cs="宋体"/>
          <w:sz w:val="21"/>
          <w:szCs w:val="21"/>
        </w:rPr>
      </w:pPr>
      <w:r>
        <w:rPr>
          <w:rFonts w:ascii="宋体" w:hAnsi="宋体" w:eastAsia="宋体" w:cs="宋体"/>
          <w:spacing w:val="-3"/>
          <w:sz w:val="21"/>
          <w:szCs w:val="21"/>
        </w:rPr>
        <w:t>（2）施工生产废水处理措施；</w:t>
      </w:r>
    </w:p>
    <w:p w14:paraId="73E2D643">
      <w:pPr>
        <w:spacing w:before="109" w:line="221" w:lineRule="auto"/>
        <w:ind w:left="427"/>
        <w:rPr>
          <w:rFonts w:ascii="宋体" w:hAnsi="宋体" w:eastAsia="宋体" w:cs="宋体"/>
          <w:sz w:val="21"/>
          <w:szCs w:val="21"/>
        </w:rPr>
      </w:pPr>
      <w:r>
        <w:rPr>
          <w:rFonts w:ascii="宋体" w:hAnsi="宋体" w:eastAsia="宋体" w:cs="宋体"/>
          <w:spacing w:val="-1"/>
          <w:sz w:val="21"/>
          <w:szCs w:val="21"/>
        </w:rPr>
        <w:t>（3）施工扬尘和废气的处理措施；</w:t>
      </w:r>
    </w:p>
    <w:p w14:paraId="5665280B">
      <w:pPr>
        <w:spacing w:before="108" w:line="221" w:lineRule="auto"/>
        <w:ind w:left="427"/>
        <w:rPr>
          <w:rFonts w:ascii="宋体" w:hAnsi="宋体" w:eastAsia="宋体" w:cs="宋体"/>
          <w:sz w:val="21"/>
          <w:szCs w:val="21"/>
        </w:rPr>
      </w:pPr>
      <w:r>
        <w:rPr>
          <w:rFonts w:ascii="宋体" w:hAnsi="宋体" w:eastAsia="宋体" w:cs="宋体"/>
          <w:spacing w:val="-1"/>
          <w:sz w:val="21"/>
          <w:szCs w:val="21"/>
        </w:rPr>
        <w:t>（4）施工噪声和光污染控制措施；</w:t>
      </w:r>
    </w:p>
    <w:p w14:paraId="3A6342E8">
      <w:pPr>
        <w:spacing w:before="109" w:line="221" w:lineRule="auto"/>
        <w:ind w:left="427"/>
        <w:rPr>
          <w:rFonts w:ascii="宋体" w:hAnsi="宋体" w:eastAsia="宋体" w:cs="宋体"/>
          <w:sz w:val="21"/>
          <w:szCs w:val="21"/>
        </w:rPr>
      </w:pPr>
      <w:r>
        <w:rPr>
          <w:rFonts w:ascii="宋体" w:hAnsi="宋体" w:eastAsia="宋体" w:cs="宋体"/>
          <w:spacing w:val="-2"/>
          <w:sz w:val="21"/>
          <w:szCs w:val="21"/>
        </w:rPr>
        <w:t>（5）节能减排措施；</w:t>
      </w:r>
    </w:p>
    <w:p w14:paraId="2A6E656D">
      <w:pPr>
        <w:spacing w:before="108" w:line="221" w:lineRule="auto"/>
        <w:ind w:left="427"/>
        <w:rPr>
          <w:rFonts w:ascii="宋体" w:hAnsi="宋体" w:eastAsia="宋体" w:cs="宋体"/>
          <w:sz w:val="21"/>
          <w:szCs w:val="21"/>
        </w:rPr>
      </w:pPr>
      <w:r>
        <w:rPr>
          <w:rFonts w:ascii="宋体" w:hAnsi="宋体" w:eastAsia="宋体" w:cs="宋体"/>
          <w:spacing w:val="-1"/>
          <w:sz w:val="21"/>
          <w:szCs w:val="21"/>
        </w:rPr>
        <w:t>（6）不可再生资源循环利用措施；</w:t>
      </w:r>
    </w:p>
    <w:p w14:paraId="1930EBBE">
      <w:pPr>
        <w:spacing w:before="109" w:line="221" w:lineRule="auto"/>
        <w:ind w:left="427"/>
        <w:rPr>
          <w:rFonts w:ascii="宋体" w:hAnsi="宋体" w:eastAsia="宋体" w:cs="宋体"/>
          <w:sz w:val="21"/>
          <w:szCs w:val="21"/>
        </w:rPr>
      </w:pPr>
      <w:r>
        <w:rPr>
          <w:rFonts w:ascii="宋体" w:hAnsi="宋体" w:eastAsia="宋体" w:cs="宋体"/>
          <w:spacing w:val="-1"/>
          <w:sz w:val="21"/>
          <w:szCs w:val="21"/>
        </w:rPr>
        <w:t>（7）固体废弃物处理措施；</w:t>
      </w:r>
    </w:p>
    <w:p w14:paraId="29AB38BD">
      <w:pPr>
        <w:spacing w:before="109" w:line="221" w:lineRule="auto"/>
        <w:ind w:left="427"/>
        <w:rPr>
          <w:rFonts w:ascii="宋体" w:hAnsi="宋体" w:eastAsia="宋体" w:cs="宋体"/>
          <w:sz w:val="21"/>
          <w:szCs w:val="21"/>
        </w:rPr>
      </w:pPr>
      <w:r>
        <w:rPr>
          <w:rFonts w:ascii="宋体" w:hAnsi="宋体" w:eastAsia="宋体" w:cs="宋体"/>
          <w:spacing w:val="-3"/>
          <w:sz w:val="21"/>
          <w:szCs w:val="21"/>
        </w:rPr>
        <w:t>（8）人群健康保护和卫生防疫措施；</w:t>
      </w:r>
    </w:p>
    <w:p w14:paraId="5B59FA6C">
      <w:pPr>
        <w:spacing w:before="109" w:line="220" w:lineRule="auto"/>
        <w:ind w:left="427"/>
        <w:rPr>
          <w:rFonts w:ascii="宋体" w:hAnsi="宋体" w:eastAsia="宋体" w:cs="宋体"/>
          <w:sz w:val="21"/>
          <w:szCs w:val="21"/>
        </w:rPr>
      </w:pPr>
      <w:r>
        <w:rPr>
          <w:rFonts w:ascii="宋体" w:hAnsi="宋体" w:eastAsia="宋体" w:cs="宋体"/>
          <w:spacing w:val="-3"/>
          <w:sz w:val="21"/>
          <w:szCs w:val="21"/>
        </w:rPr>
        <w:t>（9）防止误用有害材料的保证措施；</w:t>
      </w:r>
    </w:p>
    <w:p w14:paraId="540D947E">
      <w:pPr>
        <w:spacing w:before="109" w:line="221" w:lineRule="auto"/>
        <w:ind w:left="427"/>
        <w:rPr>
          <w:rFonts w:ascii="宋体" w:hAnsi="宋体" w:eastAsia="宋体" w:cs="宋体"/>
          <w:sz w:val="21"/>
          <w:szCs w:val="21"/>
        </w:rPr>
      </w:pPr>
      <w:r>
        <w:rPr>
          <w:rFonts w:ascii="宋体" w:hAnsi="宋体" w:eastAsia="宋体" w:cs="宋体"/>
          <w:spacing w:val="-1"/>
          <w:sz w:val="21"/>
          <w:szCs w:val="21"/>
        </w:rPr>
        <w:t>（10）施工边坡工程的水土流失保护措施；</w:t>
      </w:r>
    </w:p>
    <w:p w14:paraId="5563E7D0">
      <w:pPr>
        <w:spacing w:before="68" w:line="221" w:lineRule="auto"/>
        <w:ind w:left="427"/>
        <w:rPr>
          <w:rFonts w:ascii="宋体" w:hAnsi="宋体" w:eastAsia="宋体" w:cs="宋体"/>
          <w:sz w:val="21"/>
          <w:szCs w:val="21"/>
        </w:rPr>
      </w:pPr>
      <w:bookmarkStart w:id="1316" w:name="bookmark641"/>
      <w:bookmarkEnd w:id="1316"/>
      <w:r>
        <w:rPr>
          <w:rFonts w:ascii="宋体" w:hAnsi="宋体" w:eastAsia="宋体" w:cs="宋体"/>
          <w:spacing w:val="-1"/>
          <w:sz w:val="21"/>
          <w:szCs w:val="21"/>
        </w:rPr>
        <w:t>（11）道路污染防治措施；</w:t>
      </w:r>
    </w:p>
    <w:p w14:paraId="0D2B3A98">
      <w:pPr>
        <w:spacing w:before="108" w:line="221" w:lineRule="auto"/>
        <w:ind w:left="427"/>
        <w:rPr>
          <w:rFonts w:ascii="宋体" w:hAnsi="宋体" w:eastAsia="宋体" w:cs="宋体"/>
          <w:sz w:val="21"/>
          <w:szCs w:val="21"/>
        </w:rPr>
      </w:pPr>
      <w:r>
        <w:rPr>
          <w:rFonts w:ascii="宋体" w:hAnsi="宋体" w:eastAsia="宋体" w:cs="宋体"/>
          <w:sz w:val="21"/>
          <w:szCs w:val="21"/>
        </w:rPr>
        <w:t>（12）完工后场地清理及其植被（如果有）</w:t>
      </w:r>
      <w:r>
        <w:rPr>
          <w:rFonts w:ascii="宋体" w:hAnsi="宋体" w:eastAsia="宋体" w:cs="宋体"/>
          <w:spacing w:val="-1"/>
          <w:sz w:val="21"/>
          <w:szCs w:val="21"/>
        </w:rPr>
        <w:t>恢复的规划和措施；</w:t>
      </w:r>
    </w:p>
    <w:p w14:paraId="0C66F7E7">
      <w:pPr>
        <w:spacing w:before="138" w:line="360" w:lineRule="auto"/>
        <w:ind w:left="427"/>
        <w:rPr>
          <w:rFonts w:ascii="宋体" w:hAnsi="宋体" w:eastAsia="宋体" w:cs="宋体"/>
          <w:sz w:val="21"/>
          <w:szCs w:val="21"/>
        </w:rPr>
      </w:pPr>
      <w:r>
        <w:rPr>
          <w:rFonts w:ascii="宋体" w:hAnsi="宋体" w:eastAsia="宋体" w:cs="宋体"/>
          <w:sz w:val="21"/>
          <w:szCs w:val="21"/>
        </w:rPr>
        <w:t>（13）其他：</w:t>
      </w:r>
      <w:r>
        <w:rPr>
          <w:rFonts w:hint="eastAsia"/>
          <w:color w:val="auto"/>
          <w:sz w:val="21"/>
          <w:highlight w:val="none"/>
          <w:u w:val="single"/>
          <w:lang w:val="en-US" w:eastAsia="zh-CN"/>
        </w:rPr>
        <w:t>若项目位于生态敏感区，需增加对周边动植物栖息地的保护措施；若涉及历史文化遗产区域，则需制定文化遗产保护及施工影响最小化方案；同时，针对突发环境事件的应急响应机制及预案也应纳入此部分，确保施工活动对环境的负面影响得到有效控制。 施工环保措施计划应当在专用合同条款第9.4款约定的期限内报送监理人。承包人应当严格执行经监理人批准的施工环保措施计划，并及时补充、修订和完善施工环保措施计划</w:t>
      </w:r>
      <w:r>
        <w:rPr>
          <w:rFonts w:hint="eastAsia" w:ascii="宋体" w:hAnsi="宋体"/>
          <w:color w:val="auto"/>
          <w:szCs w:val="21"/>
          <w:highlight w:val="none"/>
        </w:rPr>
        <w:t>。</w:t>
      </w:r>
    </w:p>
    <w:p w14:paraId="261C8CC2">
      <w:pPr>
        <w:spacing w:before="115" w:line="304" w:lineRule="auto"/>
        <w:ind w:left="14" w:right="155" w:firstLine="408"/>
        <w:rPr>
          <w:rFonts w:ascii="宋体" w:hAnsi="宋体" w:eastAsia="宋体" w:cs="宋体"/>
          <w:sz w:val="21"/>
          <w:szCs w:val="21"/>
        </w:rPr>
      </w:pPr>
      <w:r>
        <w:rPr>
          <w:rFonts w:ascii="宋体" w:hAnsi="宋体" w:eastAsia="宋体" w:cs="宋体"/>
          <w:spacing w:val="-1"/>
          <w:sz w:val="21"/>
          <w:szCs w:val="21"/>
        </w:rPr>
        <w:t>6.9.2 施工环保措施计划应当在专用合同条款第 9.4 款约定的期限内报送监理人。承包人应</w:t>
      </w:r>
      <w:r>
        <w:rPr>
          <w:rFonts w:ascii="宋体" w:hAnsi="宋体" w:eastAsia="宋体" w:cs="宋体"/>
          <w:sz w:val="21"/>
          <w:szCs w:val="21"/>
        </w:rPr>
        <w:t>当严格执行经监理人批准的施工环保措施计划，并及时补充</w:t>
      </w:r>
      <w:r>
        <w:rPr>
          <w:rFonts w:ascii="宋体" w:hAnsi="宋体" w:eastAsia="宋体" w:cs="宋体"/>
          <w:spacing w:val="-1"/>
          <w:sz w:val="21"/>
          <w:szCs w:val="21"/>
        </w:rPr>
        <w:t>、修订和完善施工环保措施计划。</w:t>
      </w:r>
    </w:p>
    <w:p w14:paraId="57792DA1">
      <w:pPr>
        <w:spacing w:line="233" w:lineRule="auto"/>
        <w:ind w:left="2"/>
        <w:outlineLvl w:val="2"/>
        <w:rPr>
          <w:rFonts w:ascii="黑体" w:hAnsi="黑体" w:eastAsia="黑体" w:cs="黑体"/>
          <w:sz w:val="28"/>
          <w:szCs w:val="28"/>
        </w:rPr>
      </w:pPr>
      <w:bookmarkStart w:id="1317" w:name="bookmark413"/>
      <w:bookmarkEnd w:id="1317"/>
      <w:r>
        <w:rPr>
          <w:rFonts w:ascii="Times New Roman" w:hAnsi="Times New Roman" w:eastAsia="Times New Roman" w:cs="Times New Roman"/>
          <w:spacing w:val="-2"/>
          <w:sz w:val="28"/>
          <w:szCs w:val="28"/>
        </w:rPr>
        <w:t>7.</w:t>
      </w:r>
      <w:r>
        <w:rPr>
          <w:rFonts w:ascii="黑体" w:hAnsi="黑体" w:eastAsia="黑体" w:cs="黑体"/>
          <w:spacing w:val="-2"/>
          <w:sz w:val="28"/>
          <w:szCs w:val="28"/>
        </w:rPr>
        <w:t>治安保卫</w:t>
      </w:r>
    </w:p>
    <w:p w14:paraId="1039833E">
      <w:pPr>
        <w:spacing w:before="72" w:line="285" w:lineRule="auto"/>
        <w:ind w:left="3" w:right="153" w:firstLine="422"/>
        <w:rPr>
          <w:rFonts w:ascii="宋体" w:hAnsi="宋体" w:eastAsia="宋体" w:cs="宋体"/>
          <w:sz w:val="21"/>
          <w:szCs w:val="21"/>
        </w:rPr>
      </w:pPr>
      <w:r>
        <w:rPr>
          <w:rFonts w:ascii="宋体" w:hAnsi="宋体" w:eastAsia="宋体" w:cs="宋体"/>
          <w:spacing w:val="-1"/>
          <w:sz w:val="21"/>
          <w:szCs w:val="21"/>
        </w:rPr>
        <w:t>7.1</w:t>
      </w:r>
      <w:r>
        <w:rPr>
          <w:rFonts w:ascii="宋体" w:hAnsi="宋体" w:eastAsia="宋体" w:cs="宋体"/>
          <w:spacing w:val="-35"/>
          <w:sz w:val="21"/>
          <w:szCs w:val="21"/>
        </w:rPr>
        <w:t xml:space="preserve"> </w:t>
      </w:r>
      <w:r>
        <w:rPr>
          <w:rFonts w:ascii="宋体" w:hAnsi="宋体" w:eastAsia="宋体" w:cs="宋体"/>
          <w:spacing w:val="-1"/>
          <w:sz w:val="21"/>
          <w:szCs w:val="21"/>
        </w:rPr>
        <w:t>承包人应为施工场地（现场）提供</w:t>
      </w:r>
      <w:r>
        <w:rPr>
          <w:rFonts w:ascii="宋体" w:hAnsi="宋体" w:eastAsia="宋体" w:cs="宋体"/>
          <w:spacing w:val="-31"/>
          <w:sz w:val="21"/>
          <w:szCs w:val="21"/>
        </w:rPr>
        <w:t xml:space="preserve"> </w:t>
      </w:r>
      <w:r>
        <w:rPr>
          <w:rFonts w:ascii="宋体" w:hAnsi="宋体" w:eastAsia="宋体" w:cs="宋体"/>
          <w:spacing w:val="-1"/>
          <w:sz w:val="21"/>
          <w:szCs w:val="21"/>
        </w:rPr>
        <w:t>24</w:t>
      </w:r>
      <w:r>
        <w:rPr>
          <w:rFonts w:ascii="宋体" w:hAnsi="宋体" w:eastAsia="宋体" w:cs="宋体"/>
          <w:spacing w:val="-29"/>
          <w:sz w:val="21"/>
          <w:szCs w:val="21"/>
        </w:rPr>
        <w:t xml:space="preserve"> </w:t>
      </w:r>
      <w:r>
        <w:rPr>
          <w:rFonts w:ascii="宋体" w:hAnsi="宋体" w:eastAsia="宋体" w:cs="宋体"/>
          <w:spacing w:val="-1"/>
          <w:sz w:val="21"/>
          <w:szCs w:val="21"/>
        </w:rPr>
        <w:t>小时的保安保卫服务，配备足够的保安人员和保安</w:t>
      </w:r>
      <w:r>
        <w:rPr>
          <w:rFonts w:ascii="宋体" w:hAnsi="宋体" w:eastAsia="宋体" w:cs="宋体"/>
          <w:spacing w:val="1"/>
          <w:sz w:val="21"/>
          <w:szCs w:val="21"/>
        </w:rPr>
        <w:t>设备，防止未经批准的任何人进入现场，控制人员、材料和设备等的进出场，防止现场材料、设</w:t>
      </w:r>
      <w:r>
        <w:rPr>
          <w:rFonts w:ascii="宋体" w:hAnsi="宋体" w:eastAsia="宋体" w:cs="宋体"/>
          <w:spacing w:val="-1"/>
          <w:sz w:val="21"/>
          <w:szCs w:val="21"/>
        </w:rPr>
        <w:t>备或其他任何物品的失窃，禁止任何现场内的打架斗殴事件。</w:t>
      </w:r>
    </w:p>
    <w:p w14:paraId="74CCCF55">
      <w:pPr>
        <w:spacing w:before="108" w:line="285" w:lineRule="auto"/>
        <w:ind w:right="159" w:firstLine="425"/>
        <w:rPr>
          <w:rFonts w:ascii="宋体" w:hAnsi="宋体" w:eastAsia="宋体" w:cs="宋体"/>
          <w:sz w:val="21"/>
          <w:szCs w:val="21"/>
        </w:rPr>
      </w:pPr>
      <w:r>
        <w:rPr>
          <w:rFonts w:ascii="宋体" w:hAnsi="宋体" w:eastAsia="宋体" w:cs="宋体"/>
          <w:spacing w:val="2"/>
          <w:sz w:val="21"/>
          <w:szCs w:val="21"/>
        </w:rPr>
        <w:t>7.2 承包人的保安人员应是训练有素的专业保安人员</w:t>
      </w:r>
      <w:r>
        <w:rPr>
          <w:rFonts w:ascii="宋体" w:hAnsi="宋体" w:eastAsia="宋体" w:cs="宋体"/>
          <w:spacing w:val="1"/>
          <w:sz w:val="21"/>
          <w:szCs w:val="21"/>
        </w:rPr>
        <w:t>，承包人可以雇佣专业保安公司负责现</w:t>
      </w:r>
      <w:r>
        <w:rPr>
          <w:rFonts w:ascii="宋体" w:hAnsi="宋体" w:eastAsia="宋体" w:cs="宋体"/>
          <w:spacing w:val="7"/>
          <w:sz w:val="21"/>
          <w:szCs w:val="21"/>
        </w:rPr>
        <w:t>场保安和保卫；保安保卫制度除规范现场出入大门控制外，还应规定定</w:t>
      </w:r>
      <w:r>
        <w:rPr>
          <w:rFonts w:ascii="宋体" w:hAnsi="宋体" w:eastAsia="宋体" w:cs="宋体"/>
          <w:spacing w:val="6"/>
          <w:sz w:val="21"/>
          <w:szCs w:val="21"/>
        </w:rPr>
        <w:t>时和不定时的施工场地</w:t>
      </w:r>
      <w:r>
        <w:rPr>
          <w:rFonts w:ascii="宋体" w:hAnsi="宋体" w:eastAsia="宋体" w:cs="宋体"/>
          <w:spacing w:val="-2"/>
          <w:sz w:val="21"/>
          <w:szCs w:val="21"/>
        </w:rPr>
        <w:t>（现场）周边和全现场的保安巡逻。</w:t>
      </w:r>
    </w:p>
    <w:p w14:paraId="4A9EACA2">
      <w:pPr>
        <w:spacing w:before="107" w:line="285" w:lineRule="auto"/>
        <w:ind w:right="155" w:firstLine="425"/>
        <w:rPr>
          <w:rFonts w:ascii="宋体" w:hAnsi="宋体" w:eastAsia="宋体" w:cs="宋体"/>
          <w:sz w:val="21"/>
          <w:szCs w:val="21"/>
        </w:rPr>
      </w:pPr>
      <w:r>
        <w:rPr>
          <w:rFonts w:ascii="宋体" w:hAnsi="宋体" w:eastAsia="宋体" w:cs="宋体"/>
          <w:spacing w:val="2"/>
          <w:sz w:val="21"/>
          <w:szCs w:val="21"/>
        </w:rPr>
        <w:t>7.3 承包人应制定并实施严格的施工场地（现场）出入制度</w:t>
      </w:r>
      <w:r>
        <w:rPr>
          <w:rFonts w:ascii="宋体" w:hAnsi="宋体" w:eastAsia="宋体" w:cs="宋体"/>
          <w:spacing w:val="1"/>
          <w:sz w:val="21"/>
          <w:szCs w:val="21"/>
        </w:rPr>
        <w:t>并报监理人审批；车辆的出入须</w:t>
      </w:r>
      <w:r>
        <w:rPr>
          <w:rFonts w:ascii="宋体" w:hAnsi="宋体" w:eastAsia="宋体" w:cs="宋体"/>
          <w:spacing w:val="2"/>
          <w:sz w:val="21"/>
          <w:szCs w:val="21"/>
        </w:rPr>
        <w:t>有出入审批制度，并有指定的专人负责管理；人员进出现场应有出入证</w:t>
      </w:r>
      <w:r>
        <w:rPr>
          <w:rFonts w:ascii="宋体" w:hAnsi="宋体" w:eastAsia="宋体" w:cs="宋体"/>
          <w:spacing w:val="1"/>
          <w:sz w:val="21"/>
          <w:szCs w:val="21"/>
        </w:rPr>
        <w:t>，出入证须以经过监理人</w:t>
      </w:r>
      <w:r>
        <w:rPr>
          <w:rFonts w:ascii="宋体" w:hAnsi="宋体" w:eastAsia="宋体" w:cs="宋体"/>
          <w:spacing w:val="-1"/>
          <w:sz w:val="21"/>
          <w:szCs w:val="21"/>
        </w:rPr>
        <w:t>批准的格式印制。</w:t>
      </w:r>
    </w:p>
    <w:p w14:paraId="43CF02EF">
      <w:pPr>
        <w:spacing w:before="111" w:line="292" w:lineRule="auto"/>
        <w:ind w:right="158" w:firstLine="425"/>
        <w:rPr>
          <w:rFonts w:ascii="宋体" w:hAnsi="宋体" w:eastAsia="宋体" w:cs="宋体"/>
          <w:sz w:val="21"/>
          <w:szCs w:val="21"/>
        </w:rPr>
      </w:pPr>
      <w:r>
        <w:rPr>
          <w:rFonts w:ascii="宋体" w:hAnsi="宋体" w:eastAsia="宋体" w:cs="宋体"/>
          <w:spacing w:val="2"/>
          <w:sz w:val="21"/>
          <w:szCs w:val="21"/>
        </w:rPr>
        <w:t>7.4 承包人应确保任何未经监理人同意的参观人员进</w:t>
      </w:r>
      <w:r>
        <w:rPr>
          <w:rFonts w:ascii="宋体" w:hAnsi="宋体" w:eastAsia="宋体" w:cs="宋体"/>
          <w:spacing w:val="1"/>
          <w:sz w:val="21"/>
          <w:szCs w:val="21"/>
        </w:rPr>
        <w:t>入现场；承包人应准备足够数量的专门</w:t>
      </w:r>
      <w:r>
        <w:rPr>
          <w:rFonts w:ascii="宋体" w:hAnsi="宋体" w:eastAsia="宋体" w:cs="宋体"/>
          <w:spacing w:val="2"/>
          <w:sz w:val="21"/>
          <w:szCs w:val="21"/>
        </w:rPr>
        <w:t>用于参观人员的安全帽并带明显标志，承包人同时应准备一个参观人员</w:t>
      </w:r>
      <w:r>
        <w:rPr>
          <w:rFonts w:ascii="宋体" w:hAnsi="宋体" w:eastAsia="宋体" w:cs="宋体"/>
          <w:spacing w:val="1"/>
          <w:sz w:val="21"/>
          <w:szCs w:val="21"/>
        </w:rPr>
        <w:t>登记簿用于记录所有参观</w:t>
      </w:r>
      <w:r>
        <w:rPr>
          <w:rFonts w:ascii="宋体" w:hAnsi="宋体" w:eastAsia="宋体" w:cs="宋体"/>
          <w:spacing w:val="2"/>
          <w:sz w:val="21"/>
          <w:szCs w:val="21"/>
        </w:rPr>
        <w:t>现场人员的姓名、参观目的和参观时间等内容；承包人应确保每个参观</w:t>
      </w:r>
      <w:r>
        <w:rPr>
          <w:rFonts w:ascii="宋体" w:hAnsi="宋体" w:eastAsia="宋体" w:cs="宋体"/>
          <w:spacing w:val="1"/>
          <w:sz w:val="21"/>
          <w:szCs w:val="21"/>
        </w:rPr>
        <w:t>现场的人员了解和遵守现</w:t>
      </w:r>
      <w:r>
        <w:rPr>
          <w:rFonts w:ascii="宋体" w:hAnsi="宋体" w:eastAsia="宋体" w:cs="宋体"/>
          <w:sz w:val="21"/>
          <w:szCs w:val="21"/>
        </w:rPr>
        <w:t>场的安全管理规章制度，佩带安全帽，确保所有经发包人和</w:t>
      </w:r>
      <w:r>
        <w:rPr>
          <w:rFonts w:ascii="宋体" w:hAnsi="宋体" w:eastAsia="宋体" w:cs="宋体"/>
          <w:spacing w:val="-1"/>
          <w:sz w:val="21"/>
          <w:szCs w:val="21"/>
        </w:rPr>
        <w:t>监理人批准的参观人员的人身安全。</w:t>
      </w:r>
    </w:p>
    <w:p w14:paraId="39271100">
      <w:pPr>
        <w:spacing w:before="111" w:line="292" w:lineRule="auto"/>
        <w:ind w:right="156" w:firstLine="425"/>
        <w:rPr>
          <w:rFonts w:ascii="宋体" w:hAnsi="宋体" w:eastAsia="宋体" w:cs="宋体"/>
          <w:sz w:val="21"/>
          <w:szCs w:val="21"/>
        </w:rPr>
      </w:pPr>
      <w:r>
        <w:rPr>
          <w:rFonts w:ascii="宋体" w:hAnsi="宋体" w:eastAsia="宋体" w:cs="宋体"/>
          <w:spacing w:val="2"/>
          <w:sz w:val="21"/>
          <w:szCs w:val="21"/>
        </w:rPr>
        <w:t>7.5 承包人应为施工场地（现场）提供和维护符合建设行</w:t>
      </w:r>
      <w:r>
        <w:rPr>
          <w:rFonts w:ascii="宋体" w:hAnsi="宋体" w:eastAsia="宋体" w:cs="宋体"/>
          <w:spacing w:val="1"/>
          <w:sz w:val="21"/>
          <w:szCs w:val="21"/>
        </w:rPr>
        <w:t>政主管部门和市容管理部门规定的</w:t>
      </w:r>
      <w:r>
        <w:rPr>
          <w:rFonts w:ascii="宋体" w:hAnsi="宋体" w:eastAsia="宋体" w:cs="宋体"/>
          <w:spacing w:val="2"/>
          <w:sz w:val="21"/>
          <w:szCs w:val="21"/>
        </w:rPr>
        <w:t>临时围墙和其他安全维护，并在工程进度需要时，进行必要的改造。</w:t>
      </w:r>
      <w:r>
        <w:rPr>
          <w:rFonts w:ascii="宋体" w:hAnsi="宋体" w:eastAsia="宋体" w:cs="宋体"/>
          <w:spacing w:val="1"/>
          <w:sz w:val="21"/>
          <w:szCs w:val="21"/>
        </w:rPr>
        <w:t>围墙和大门的表面维护应考</w:t>
      </w:r>
      <w:r>
        <w:rPr>
          <w:rFonts w:ascii="宋体" w:hAnsi="宋体" w:eastAsia="宋体" w:cs="宋体"/>
          <w:spacing w:val="2"/>
          <w:sz w:val="21"/>
          <w:szCs w:val="21"/>
        </w:rPr>
        <w:t>虑定期的修补和重新刷漆，并应保证所有的乱涂乱画或招贴广告随时</w:t>
      </w:r>
      <w:r>
        <w:rPr>
          <w:rFonts w:ascii="宋体" w:hAnsi="宋体" w:eastAsia="宋体" w:cs="宋体"/>
          <w:spacing w:val="1"/>
          <w:sz w:val="21"/>
          <w:szCs w:val="21"/>
        </w:rPr>
        <w:t>被清理。临时围墙和出入大</w:t>
      </w:r>
      <w:r>
        <w:rPr>
          <w:rFonts w:ascii="宋体" w:hAnsi="宋体" w:eastAsia="宋体" w:cs="宋体"/>
          <w:spacing w:val="-1"/>
          <w:sz w:val="21"/>
          <w:szCs w:val="21"/>
        </w:rPr>
        <w:t>门考虑必要的照明，照明系统要满足现场安全保卫和美观的要求。</w:t>
      </w:r>
    </w:p>
    <w:p w14:paraId="1CF03DFA">
      <w:pPr>
        <w:spacing w:before="109" w:line="293" w:lineRule="auto"/>
        <w:ind w:left="1" w:right="152" w:firstLine="424"/>
        <w:rPr>
          <w:rFonts w:ascii="宋体" w:hAnsi="宋体" w:eastAsia="宋体" w:cs="宋体"/>
          <w:sz w:val="21"/>
          <w:szCs w:val="21"/>
        </w:rPr>
      </w:pPr>
      <w:r>
        <w:rPr>
          <w:rFonts w:ascii="宋体" w:hAnsi="宋体" w:eastAsia="宋体" w:cs="宋体"/>
          <w:spacing w:val="2"/>
          <w:sz w:val="21"/>
          <w:szCs w:val="21"/>
        </w:rPr>
        <w:t>7.6 承包人应当保证发包人支付的工程款项仅用于本</w:t>
      </w:r>
      <w:r>
        <w:rPr>
          <w:rFonts w:ascii="宋体" w:hAnsi="宋体" w:eastAsia="宋体" w:cs="宋体"/>
          <w:spacing w:val="1"/>
          <w:sz w:val="21"/>
          <w:szCs w:val="21"/>
        </w:rPr>
        <w:t>合同目的，及时和足额地向所雇佣的人</w:t>
      </w:r>
      <w:r>
        <w:rPr>
          <w:rFonts w:ascii="宋体" w:hAnsi="宋体" w:eastAsia="宋体" w:cs="宋体"/>
          <w:spacing w:val="2"/>
          <w:sz w:val="21"/>
          <w:szCs w:val="21"/>
        </w:rPr>
        <w:t>员支付劳动报酬，并制定严格的工人工资支付保障措施，确保所有</w:t>
      </w:r>
      <w:r>
        <w:rPr>
          <w:rFonts w:ascii="宋体" w:hAnsi="宋体" w:eastAsia="宋体" w:cs="宋体"/>
          <w:spacing w:val="1"/>
          <w:sz w:val="21"/>
          <w:szCs w:val="21"/>
        </w:rPr>
        <w:t>分包人及时支付所雇佣工人的</w:t>
      </w:r>
      <w:r>
        <w:rPr>
          <w:rFonts w:ascii="宋体" w:hAnsi="宋体" w:eastAsia="宋体" w:cs="宋体"/>
          <w:spacing w:val="2"/>
          <w:sz w:val="21"/>
          <w:szCs w:val="21"/>
        </w:rPr>
        <w:t>工资，有效防止影响社会安定的群体事件发生，并保障发包人免于因承包人（包</w:t>
      </w:r>
      <w:r>
        <w:rPr>
          <w:rFonts w:ascii="宋体" w:hAnsi="宋体" w:eastAsia="宋体" w:cs="宋体"/>
          <w:spacing w:val="1"/>
          <w:sz w:val="21"/>
          <w:szCs w:val="21"/>
        </w:rPr>
        <w:t>括其分包人）拖</w:t>
      </w:r>
      <w:r>
        <w:rPr>
          <w:rFonts w:ascii="宋体" w:hAnsi="宋体" w:eastAsia="宋体" w:cs="宋体"/>
          <w:sz w:val="21"/>
          <w:szCs w:val="21"/>
        </w:rPr>
        <w:t>欠工人工资而可能遭受的任何处罚、索赔、损失和</w:t>
      </w:r>
      <w:r>
        <w:rPr>
          <w:rFonts w:ascii="宋体" w:hAnsi="宋体" w:eastAsia="宋体" w:cs="宋体"/>
          <w:spacing w:val="-1"/>
          <w:sz w:val="21"/>
          <w:szCs w:val="21"/>
        </w:rPr>
        <w:t>损害等。</w:t>
      </w:r>
    </w:p>
    <w:p w14:paraId="24D96200">
      <w:pPr>
        <w:spacing w:before="108" w:line="221" w:lineRule="auto"/>
        <w:ind w:left="425"/>
        <w:rPr>
          <w:rFonts w:ascii="宋体" w:hAnsi="宋体" w:eastAsia="宋体" w:cs="宋体"/>
          <w:spacing w:val="-2"/>
          <w:sz w:val="21"/>
          <w:szCs w:val="21"/>
        </w:rPr>
      </w:pPr>
      <w:r>
        <w:rPr>
          <w:rFonts w:ascii="宋体" w:hAnsi="宋体" w:eastAsia="宋体" w:cs="宋体"/>
          <w:spacing w:val="-2"/>
          <w:sz w:val="21"/>
          <w:szCs w:val="21"/>
        </w:rPr>
        <w:t>7.7</w:t>
      </w:r>
      <w:r>
        <w:rPr>
          <w:rFonts w:ascii="宋体" w:hAnsi="宋体" w:eastAsia="宋体" w:cs="宋体"/>
          <w:spacing w:val="-45"/>
          <w:sz w:val="21"/>
          <w:szCs w:val="21"/>
        </w:rPr>
        <w:t xml:space="preserve"> </w:t>
      </w:r>
      <w:r>
        <w:rPr>
          <w:rFonts w:ascii="宋体" w:hAnsi="宋体" w:eastAsia="宋体" w:cs="宋体"/>
          <w:spacing w:val="-2"/>
          <w:sz w:val="21"/>
          <w:szCs w:val="21"/>
        </w:rPr>
        <w:t>施工场地（现场）治安管理计划的要求：</w:t>
      </w:r>
    </w:p>
    <w:p w14:paraId="5CEC4089">
      <w:pPr>
        <w:spacing w:line="400" w:lineRule="exact"/>
        <w:ind w:firstLine="420" w:firstLineChars="200"/>
        <w:rPr>
          <w:rFonts w:hint="eastAsia" w:ascii="宋体" w:hAnsi="宋体"/>
          <w:color w:val="auto"/>
          <w:szCs w:val="21"/>
          <w:highlight w:val="none"/>
        </w:rPr>
      </w:pPr>
      <w:r>
        <w:rPr>
          <w:rFonts w:hint="eastAsia"/>
          <w:color w:val="auto"/>
          <w:sz w:val="21"/>
          <w:highlight w:val="none"/>
          <w:u w:val="single"/>
          <w:lang w:val="en-US" w:eastAsia="zh-CN"/>
        </w:rPr>
        <w:t>承包人需制定详尽的治安管理计划，明确治安管理目标、任务、责任分工及实施步骤；计划应涵盖日常治安巡查、重点区域监控、突发事件应急响应等内容，确保施工场地（现场）的治安秩序井然；同时，承包人应定期组织治安管理培训，提高保安人员和其他施工人员的治安意识和应对能力</w:t>
      </w:r>
      <w:r>
        <w:rPr>
          <w:rFonts w:hint="eastAsia" w:ascii="宋体" w:hAnsi="宋体"/>
          <w:color w:val="auto"/>
          <w:szCs w:val="21"/>
          <w:highlight w:val="none"/>
          <w:lang w:eastAsia="zh-CN"/>
        </w:rPr>
        <w:t>。</w:t>
      </w:r>
    </w:p>
    <w:p w14:paraId="283A26D2">
      <w:pPr>
        <w:spacing w:before="108" w:line="221" w:lineRule="auto"/>
        <w:ind w:left="425"/>
        <w:rPr>
          <w:rFonts w:ascii="宋体" w:hAnsi="宋体" w:eastAsia="宋体" w:cs="宋体"/>
          <w:spacing w:val="-2"/>
          <w:sz w:val="21"/>
          <w:szCs w:val="21"/>
        </w:rPr>
      </w:pPr>
    </w:p>
    <w:p w14:paraId="322A832B">
      <w:pPr>
        <w:spacing w:before="182" w:line="221" w:lineRule="auto"/>
        <w:ind w:left="425"/>
        <w:rPr>
          <w:rFonts w:ascii="宋体" w:hAnsi="宋体" w:eastAsia="宋体" w:cs="宋体"/>
          <w:spacing w:val="-3"/>
          <w:sz w:val="21"/>
          <w:szCs w:val="21"/>
        </w:rPr>
      </w:pPr>
      <w:r>
        <w:rPr>
          <w:rFonts w:ascii="宋体" w:hAnsi="宋体" w:eastAsia="宋体" w:cs="宋体"/>
          <w:spacing w:val="-3"/>
          <w:sz w:val="21"/>
          <w:szCs w:val="21"/>
        </w:rPr>
        <w:t>7.8</w:t>
      </w:r>
      <w:r>
        <w:rPr>
          <w:rFonts w:ascii="宋体" w:hAnsi="宋体" w:eastAsia="宋体" w:cs="宋体"/>
          <w:spacing w:val="-36"/>
          <w:sz w:val="21"/>
          <w:szCs w:val="21"/>
        </w:rPr>
        <w:t xml:space="preserve"> </w:t>
      </w:r>
      <w:r>
        <w:rPr>
          <w:rFonts w:ascii="宋体" w:hAnsi="宋体" w:eastAsia="宋体" w:cs="宋体"/>
          <w:spacing w:val="-3"/>
          <w:sz w:val="21"/>
          <w:szCs w:val="21"/>
        </w:rPr>
        <w:t>突发治安事件紧急预案的要求：</w:t>
      </w:r>
    </w:p>
    <w:p w14:paraId="1A90415C">
      <w:pPr>
        <w:spacing w:line="400" w:lineRule="exact"/>
        <w:ind w:firstLine="420" w:firstLineChars="200"/>
        <w:rPr>
          <w:rFonts w:hint="eastAsia" w:ascii="宋体" w:hAnsi="宋体"/>
          <w:color w:val="auto"/>
          <w:szCs w:val="21"/>
          <w:highlight w:val="none"/>
        </w:rPr>
      </w:pPr>
      <w:r>
        <w:rPr>
          <w:rFonts w:hint="eastAsia"/>
          <w:color w:val="auto"/>
          <w:sz w:val="21"/>
          <w:highlight w:val="none"/>
          <w:u w:val="single"/>
          <w:lang w:val="en-US" w:eastAsia="zh-CN"/>
        </w:rPr>
        <w:t>承包人应制定突发治安事件紧急预案，明确应急组织机构、应急响应流程、应急资源调配及后期处置等事项；预案应针对可能发生的打架斗殴、盗窃、破坏等治安事件，制定具体的应对措施和处置方法；同时，承包人应定期组织应急演练，检验预案的可行性和有效性，确保在突发治安事件发生时能够迅速、有效地进行应对</w:t>
      </w:r>
      <w:r>
        <w:rPr>
          <w:rFonts w:hint="eastAsia" w:ascii="宋体" w:hAnsi="宋体"/>
          <w:color w:val="auto"/>
          <w:szCs w:val="21"/>
          <w:highlight w:val="none"/>
          <w:lang w:eastAsia="zh-CN"/>
        </w:rPr>
        <w:t>。</w:t>
      </w:r>
    </w:p>
    <w:p w14:paraId="6D2BE7D1">
      <w:pPr>
        <w:spacing w:before="269" w:line="46" w:lineRule="exact"/>
        <w:ind w:left="8211"/>
        <w:rPr>
          <w:rFonts w:ascii="宋体" w:hAnsi="宋体" w:eastAsia="宋体" w:cs="宋体"/>
          <w:sz w:val="21"/>
          <w:szCs w:val="21"/>
        </w:rPr>
      </w:pPr>
      <w:r>
        <w:pict>
          <v:shape id="_x0000_s1138" o:spid="_x0000_s1138" o:spt="202" type="#_x0000_t202" style="position:absolute;left:0pt;margin-left:46pt;margin-top:6.6pt;height:14.1pt;width:364.15pt;z-index:251665408;mso-width-relative:page;mso-height-relative:page;" filled="f" stroked="f" coordsize="21600,21600">
            <v:path/>
            <v:fill on="f" focussize="0,0"/>
            <v:stroke on="f"/>
            <v:imagedata o:title=""/>
            <o:lock v:ext="edit" aspectratio="f"/>
            <v:textbox inset="0mm,0mm,0mm,0mm">
              <w:txbxContent>
                <w:p w14:paraId="783CDCE4">
                  <w:pPr>
                    <w:pStyle w:val="5"/>
                    <w:tabs>
                      <w:tab w:val="left" w:pos="7262"/>
                    </w:tabs>
                    <w:spacing w:before="19"/>
                    <w:ind w:left="20"/>
                  </w:pPr>
                </w:p>
              </w:txbxContent>
            </v:textbox>
          </v:shape>
        </w:pict>
      </w:r>
    </w:p>
    <w:p w14:paraId="27EFF0CB">
      <w:pPr>
        <w:spacing w:before="183" w:line="221" w:lineRule="auto"/>
        <w:ind w:left="425"/>
        <w:rPr>
          <w:rFonts w:ascii="宋体" w:hAnsi="宋体" w:eastAsia="宋体" w:cs="宋体"/>
          <w:spacing w:val="-3"/>
          <w:sz w:val="21"/>
          <w:szCs w:val="21"/>
        </w:rPr>
      </w:pPr>
      <w:r>
        <w:rPr>
          <w:rFonts w:ascii="宋体" w:hAnsi="宋体" w:eastAsia="宋体" w:cs="宋体"/>
          <w:spacing w:val="-3"/>
          <w:sz w:val="21"/>
          <w:szCs w:val="21"/>
        </w:rPr>
        <w:t>7.9</w:t>
      </w:r>
      <w:r>
        <w:rPr>
          <w:rFonts w:ascii="宋体" w:hAnsi="宋体" w:eastAsia="宋体" w:cs="宋体"/>
          <w:spacing w:val="-36"/>
          <w:sz w:val="21"/>
          <w:szCs w:val="21"/>
        </w:rPr>
        <w:t xml:space="preserve"> </w:t>
      </w:r>
      <w:r>
        <w:rPr>
          <w:rFonts w:ascii="宋体" w:hAnsi="宋体" w:eastAsia="宋体" w:cs="宋体"/>
          <w:spacing w:val="-3"/>
          <w:sz w:val="21"/>
          <w:szCs w:val="21"/>
        </w:rPr>
        <w:t>治安保卫方面的其他要求如下：</w:t>
      </w:r>
    </w:p>
    <w:p w14:paraId="1CFCC35E">
      <w:pPr>
        <w:spacing w:line="400" w:lineRule="exact"/>
        <w:ind w:firstLine="420" w:firstLineChars="200"/>
        <w:rPr>
          <w:rFonts w:hint="eastAsia" w:ascii="宋体" w:hAnsi="宋体"/>
          <w:color w:val="auto"/>
          <w:szCs w:val="21"/>
          <w:highlight w:val="none"/>
        </w:rPr>
      </w:pPr>
      <w:r>
        <w:rPr>
          <w:rFonts w:hint="eastAsia"/>
          <w:color w:val="auto"/>
          <w:sz w:val="21"/>
          <w:highlight w:val="none"/>
          <w:u w:val="single"/>
          <w:lang w:val="en-US" w:eastAsia="zh-CN"/>
        </w:rPr>
        <w:t>承包人应建立健全治安保卫档案，记录施工场地（现场）的治安情况、保安人员工作情况、突发事件处理情况等；同时，承包人应积极与当地公安部门沟通协调，共同维护施工场地（现场）的治安秩序；此外，承包人还应定期对治安保卫工作进行总结评估，及时发现问题并改进完善，确保施工场地（现场）的治安保卫工作达到预期效果</w:t>
      </w:r>
      <w:r>
        <w:rPr>
          <w:rFonts w:hint="eastAsia" w:ascii="宋体" w:hAnsi="宋体"/>
          <w:color w:val="auto"/>
          <w:szCs w:val="21"/>
          <w:highlight w:val="none"/>
          <w:lang w:eastAsia="zh-CN"/>
        </w:rPr>
        <w:t>。</w:t>
      </w:r>
    </w:p>
    <w:p w14:paraId="5A113239">
      <w:pPr>
        <w:spacing w:before="183" w:line="221" w:lineRule="auto"/>
        <w:ind w:left="425"/>
        <w:rPr>
          <w:rFonts w:ascii="黑体" w:hAnsi="黑体" w:eastAsia="黑体" w:cs="黑体"/>
          <w:sz w:val="28"/>
          <w:szCs w:val="28"/>
        </w:rPr>
      </w:pPr>
      <w:bookmarkStart w:id="1318" w:name="bookmark414"/>
      <w:bookmarkEnd w:id="1318"/>
      <w:r>
        <w:rPr>
          <w:rFonts w:ascii="Times New Roman" w:hAnsi="Times New Roman" w:eastAsia="Times New Roman" w:cs="Times New Roman"/>
          <w:spacing w:val="-1"/>
          <w:sz w:val="28"/>
          <w:szCs w:val="28"/>
        </w:rPr>
        <w:t>8.</w:t>
      </w:r>
      <w:r>
        <w:rPr>
          <w:rFonts w:ascii="黑体" w:hAnsi="黑体" w:eastAsia="黑体" w:cs="黑体"/>
          <w:spacing w:val="-1"/>
          <w:sz w:val="28"/>
          <w:szCs w:val="28"/>
        </w:rPr>
        <w:t>地上、地下设施和周边建筑物的临时保护</w:t>
      </w:r>
    </w:p>
    <w:p w14:paraId="6C74D6EB">
      <w:pPr>
        <w:spacing w:before="74" w:line="268" w:lineRule="auto"/>
        <w:ind w:firstLine="212" w:firstLineChars="100"/>
        <w:rPr>
          <w:rFonts w:ascii="宋体" w:hAnsi="宋体" w:eastAsia="宋体" w:cs="宋体"/>
          <w:sz w:val="21"/>
          <w:szCs w:val="21"/>
        </w:rPr>
      </w:pPr>
      <w:r>
        <w:rPr>
          <w:rFonts w:ascii="宋体" w:hAnsi="宋体" w:eastAsia="宋体" w:cs="宋体"/>
          <w:spacing w:val="1"/>
          <w:sz w:val="21"/>
          <w:szCs w:val="21"/>
        </w:rPr>
        <w:t>8.1 承包人应为施工场地及其周边现有的</w:t>
      </w:r>
      <w:r>
        <w:rPr>
          <w:rFonts w:ascii="宋体" w:hAnsi="宋体" w:eastAsia="宋体" w:cs="宋体"/>
          <w:sz w:val="21"/>
          <w:szCs w:val="21"/>
        </w:rPr>
        <w:t>地上、地下设施和建筑物提供足够的临时保护设施，</w:t>
      </w:r>
      <w:r>
        <w:rPr>
          <w:rFonts w:ascii="宋体" w:hAnsi="宋体" w:eastAsia="宋体" w:cs="宋体"/>
          <w:spacing w:val="-1"/>
          <w:sz w:val="21"/>
          <w:szCs w:val="21"/>
        </w:rPr>
        <w:t>确保施工过程中这些设施和建筑物不会受到干扰和破坏。</w:t>
      </w:r>
    </w:p>
    <w:p w14:paraId="57FF7201">
      <w:pPr>
        <w:spacing w:before="110" w:line="220" w:lineRule="auto"/>
        <w:ind w:left="421"/>
      </w:pPr>
      <w:r>
        <w:rPr>
          <w:rFonts w:ascii="宋体" w:hAnsi="宋体" w:eastAsia="宋体" w:cs="宋体"/>
          <w:spacing w:val="2"/>
          <w:sz w:val="21"/>
          <w:szCs w:val="21"/>
        </w:rPr>
        <w:t>8.2 承包人应当制订现有设施临时保护方案和应急处理方案，并在本工程开工前至少提前 7</w:t>
      </w:r>
    </w:p>
    <w:p w14:paraId="7932FC50">
      <w:pPr>
        <w:pStyle w:val="5"/>
        <w:spacing w:line="267" w:lineRule="auto"/>
      </w:pPr>
    </w:p>
    <w:p w14:paraId="7A66CF6C">
      <w:pPr>
        <w:pStyle w:val="5"/>
        <w:spacing w:line="267" w:lineRule="auto"/>
      </w:pPr>
    </w:p>
    <w:p w14:paraId="641DE8CE">
      <w:pPr>
        <w:pStyle w:val="5"/>
        <w:spacing w:line="267" w:lineRule="auto"/>
      </w:pPr>
    </w:p>
    <w:p w14:paraId="4F379C67">
      <w:pPr>
        <w:spacing w:before="69" w:line="316" w:lineRule="auto"/>
        <w:ind w:left="5" w:firstLine="4"/>
        <w:jc w:val="both"/>
        <w:rPr>
          <w:rFonts w:ascii="宋体" w:hAnsi="宋体" w:eastAsia="宋体" w:cs="宋体"/>
          <w:sz w:val="21"/>
          <w:szCs w:val="21"/>
        </w:rPr>
      </w:pPr>
      <w:bookmarkStart w:id="1319" w:name="bookmark642"/>
      <w:bookmarkEnd w:id="1319"/>
      <w:r>
        <w:rPr>
          <w:rFonts w:ascii="宋体" w:hAnsi="宋体" w:eastAsia="宋体" w:cs="宋体"/>
          <w:spacing w:val="-1"/>
          <w:sz w:val="21"/>
          <w:szCs w:val="21"/>
        </w:rPr>
        <w:t>天报送监理人，监理人应在收到现有设施临时保护方案后的 3 天内批复承包人。承包人应当严格</w:t>
      </w:r>
      <w:r>
        <w:rPr>
          <w:rFonts w:ascii="宋体" w:hAnsi="宋体" w:eastAsia="宋体" w:cs="宋体"/>
          <w:spacing w:val="2"/>
          <w:sz w:val="21"/>
          <w:szCs w:val="21"/>
        </w:rPr>
        <w:t>执行经监理人批准的保护方案，并保证在任何可能影响周边现有的地</w:t>
      </w:r>
      <w:r>
        <w:rPr>
          <w:rFonts w:ascii="宋体" w:hAnsi="宋体" w:eastAsia="宋体" w:cs="宋体"/>
          <w:spacing w:val="1"/>
          <w:sz w:val="21"/>
          <w:szCs w:val="21"/>
        </w:rPr>
        <w:t>上、地下设施或周边建筑物</w:t>
      </w:r>
      <w:r>
        <w:rPr>
          <w:rFonts w:ascii="宋体" w:hAnsi="宋体" w:eastAsia="宋体" w:cs="宋体"/>
          <w:spacing w:val="-1"/>
          <w:sz w:val="21"/>
          <w:szCs w:val="21"/>
        </w:rPr>
        <w:t>的施工作业开始前，相应的临时保护设施能够落实到位。</w:t>
      </w:r>
    </w:p>
    <w:p w14:paraId="7AB89EC3">
      <w:pPr>
        <w:spacing w:line="400" w:lineRule="exact"/>
        <w:ind w:firstLine="420" w:firstLineChars="200"/>
        <w:rPr>
          <w:rFonts w:hint="eastAsia" w:ascii="宋体" w:hAnsi="宋体"/>
          <w:color w:val="auto"/>
          <w:szCs w:val="21"/>
          <w:highlight w:val="none"/>
        </w:rPr>
      </w:pPr>
      <w:bookmarkStart w:id="1320" w:name="bookmark415"/>
      <w:bookmarkEnd w:id="1320"/>
      <w:r>
        <w:rPr>
          <w:rFonts w:hint="eastAsia" w:ascii="宋体" w:hAnsi="宋体"/>
          <w:color w:val="auto"/>
          <w:szCs w:val="21"/>
          <w:highlight w:val="none"/>
        </w:rPr>
        <w:t>8.3 发包人特别提醒承包人注意以下地上、地下设施和周边建筑物的保护：</w:t>
      </w:r>
    </w:p>
    <w:p w14:paraId="46374D0A">
      <w:pPr>
        <w:spacing w:line="400" w:lineRule="exact"/>
        <w:ind w:firstLine="420" w:firstLineChars="200"/>
        <w:rPr>
          <w:rFonts w:hint="eastAsia"/>
          <w:color w:val="auto"/>
          <w:sz w:val="21"/>
          <w:highlight w:val="none"/>
          <w:u w:val="single"/>
          <w:lang w:val="en-US" w:eastAsia="zh-CN"/>
        </w:rPr>
      </w:pPr>
      <w:r>
        <w:rPr>
          <w:rFonts w:hint="eastAsia"/>
          <w:color w:val="auto"/>
          <w:sz w:val="21"/>
          <w:highlight w:val="none"/>
          <w:u w:val="single"/>
          <w:lang w:val="en-US" w:eastAsia="zh-CN"/>
        </w:rPr>
        <w:t>如城市供水管道、高压输电线路、通信光缆、历史文物建筑等。承包人在进行任何可能涉及这些关键设施和建筑物的施工活动时，必须采取额外的谨慎措施，包括但不限于增加监测频率、使用更精确的施工设备和技术、以及安排专人现场监督等，以确保绝对的安全无虞。同时，承包人还需定期向监理人报告这些关键设施和建筑物的保护状况，一旦发现潜在风险或异常情况，应立即启动应急处理方案，并迅速通知监理人及相关部门，共同商讨并采取有效措施，防止事态扩大，确保工程顺利进行的同时，保障公共设施和历史文化遗产的安全</w:t>
      </w:r>
    </w:p>
    <w:p w14:paraId="35549EF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8.4 地上、地下设施和周边建筑物的临时保护的其他要求如下</w:t>
      </w:r>
    </w:p>
    <w:p w14:paraId="08AD4DD9">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承包人需定期对临时保护设施进行检查与维护，确保其始终处于良好的工作状态。一旦发现保护设施有损坏或失效的情况，应立即进行修复或更换，以保证地上、地下设施和周边建筑物的安全。同时，在施工过程中，若因不可抗力或意外情况导致现有设施或建筑物受到损害，承包人应立即启动应急处理方案，采取有效措施防止损害进一步扩大，并及时通知发包人和监理人，共同商讨后续的处理事宜。此外，承包人还应积极配合发包人和监理人对临时保护工作的检查和监督，提供必要的便利条件。</w:t>
      </w:r>
    </w:p>
    <w:p w14:paraId="0DE3BF8F">
      <w:pPr>
        <w:spacing w:before="154" w:line="234" w:lineRule="auto"/>
        <w:ind w:left="8"/>
        <w:outlineLvl w:val="2"/>
        <w:rPr>
          <w:rFonts w:ascii="黑体" w:hAnsi="黑体" w:eastAsia="黑体" w:cs="黑体"/>
          <w:sz w:val="28"/>
          <w:szCs w:val="28"/>
        </w:rPr>
      </w:pPr>
      <w:r>
        <w:rPr>
          <w:rFonts w:ascii="Times New Roman" w:hAnsi="Times New Roman" w:eastAsia="Times New Roman" w:cs="Times New Roman"/>
          <w:spacing w:val="-1"/>
          <w:sz w:val="28"/>
          <w:szCs w:val="28"/>
        </w:rPr>
        <w:t>9.</w:t>
      </w:r>
      <w:r>
        <w:rPr>
          <w:rFonts w:ascii="黑体" w:hAnsi="黑体" w:eastAsia="黑体" w:cs="黑体"/>
          <w:spacing w:val="-1"/>
          <w:sz w:val="28"/>
          <w:szCs w:val="28"/>
        </w:rPr>
        <w:t>样品和材料代换</w:t>
      </w:r>
    </w:p>
    <w:p w14:paraId="4B2FE7C6">
      <w:pPr>
        <w:spacing w:before="71" w:line="221" w:lineRule="auto"/>
        <w:ind w:left="426"/>
        <w:rPr>
          <w:rFonts w:ascii="宋体" w:hAnsi="宋体" w:eastAsia="宋体" w:cs="宋体"/>
          <w:sz w:val="21"/>
          <w:szCs w:val="21"/>
        </w:rPr>
      </w:pPr>
      <w:r>
        <w:rPr>
          <w:rFonts w:ascii="宋体" w:hAnsi="宋体" w:eastAsia="宋体" w:cs="宋体"/>
          <w:spacing w:val="-3"/>
          <w:sz w:val="21"/>
          <w:szCs w:val="21"/>
        </w:rPr>
        <w:t>9.1</w:t>
      </w:r>
      <w:r>
        <w:rPr>
          <w:rFonts w:ascii="宋体" w:hAnsi="宋体" w:eastAsia="宋体" w:cs="宋体"/>
          <w:spacing w:val="-42"/>
          <w:sz w:val="21"/>
          <w:szCs w:val="21"/>
        </w:rPr>
        <w:t xml:space="preserve"> </w:t>
      </w:r>
      <w:r>
        <w:rPr>
          <w:rFonts w:ascii="宋体" w:hAnsi="宋体" w:eastAsia="宋体" w:cs="宋体"/>
          <w:spacing w:val="-3"/>
          <w:sz w:val="21"/>
          <w:szCs w:val="21"/>
        </w:rPr>
        <w:t>样品</w:t>
      </w:r>
    </w:p>
    <w:p w14:paraId="2B2CC835">
      <w:pPr>
        <w:spacing w:before="109" w:line="220" w:lineRule="auto"/>
        <w:ind w:left="426"/>
        <w:rPr>
          <w:rFonts w:ascii="宋体" w:hAnsi="宋体" w:eastAsia="宋体" w:cs="宋体"/>
          <w:sz w:val="21"/>
          <w:szCs w:val="21"/>
        </w:rPr>
      </w:pPr>
      <w:r>
        <w:rPr>
          <w:rFonts w:ascii="宋体" w:hAnsi="宋体" w:eastAsia="宋体" w:cs="宋体"/>
          <w:spacing w:val="-1"/>
          <w:sz w:val="21"/>
          <w:szCs w:val="21"/>
        </w:rPr>
        <w:t>9.1.1</w:t>
      </w:r>
      <w:r>
        <w:rPr>
          <w:rFonts w:ascii="宋体" w:hAnsi="宋体" w:eastAsia="宋体" w:cs="宋体"/>
          <w:spacing w:val="-29"/>
          <w:sz w:val="21"/>
          <w:szCs w:val="21"/>
        </w:rPr>
        <w:t xml:space="preserve"> </w:t>
      </w:r>
      <w:r>
        <w:rPr>
          <w:rFonts w:ascii="宋体" w:hAnsi="宋体" w:eastAsia="宋体" w:cs="宋体"/>
          <w:spacing w:val="-1"/>
          <w:sz w:val="21"/>
          <w:szCs w:val="21"/>
        </w:rPr>
        <w:t>本工程需要承包人提供样品的材料和工程设备如下：</w:t>
      </w:r>
    </w:p>
    <w:p w14:paraId="18AB2CA2">
      <w:pPr>
        <w:pStyle w:val="5"/>
        <w:spacing w:line="262" w:lineRule="auto"/>
      </w:pPr>
    </w:p>
    <w:p w14:paraId="41A928B0">
      <w:pPr>
        <w:pStyle w:val="5"/>
        <w:spacing w:line="262" w:lineRule="auto"/>
      </w:pPr>
    </w:p>
    <w:p w14:paraId="234944F4">
      <w:pPr>
        <w:pStyle w:val="5"/>
        <w:spacing w:line="263" w:lineRule="auto"/>
      </w:pPr>
    </w:p>
    <w:p w14:paraId="43C03F58">
      <w:pPr>
        <w:spacing w:before="69" w:line="46" w:lineRule="exact"/>
        <w:ind w:left="8216"/>
        <w:rPr>
          <w:rFonts w:ascii="宋体" w:hAnsi="宋体" w:eastAsia="宋体" w:cs="宋体"/>
          <w:sz w:val="21"/>
          <w:szCs w:val="21"/>
        </w:rPr>
      </w:pPr>
      <w:r>
        <w:pict>
          <v:shape id="_x0000_s1142" o:spid="_x0000_s1142" o:spt="202" type="#_x0000_t202" style="position:absolute;left:0pt;margin-left:46.25pt;margin-top:-3.4pt;height:14.1pt;width:364.15pt;z-index:251666432;mso-width-relative:page;mso-height-relative:page;" filled="f" stroked="f" coordsize="21600,21600">
            <v:path/>
            <v:fill on="f" focussize="0,0"/>
            <v:stroke on="f"/>
            <v:imagedata o:title=""/>
            <o:lock v:ext="edit" aspectratio="f"/>
            <v:textbox inset="0mm,0mm,0mm,0mm">
              <w:txbxContent>
                <w:p w14:paraId="58EC6CF5">
                  <w:pPr>
                    <w:pStyle w:val="5"/>
                    <w:tabs>
                      <w:tab w:val="left" w:pos="7262"/>
                    </w:tabs>
                    <w:spacing w:before="20"/>
                    <w:ind w:left="20"/>
                  </w:pPr>
                  <w:r>
                    <w:rPr>
                      <w:u w:val="single" w:color="auto"/>
                    </w:rPr>
                    <w:tab/>
                  </w:r>
                </w:p>
              </w:txbxContent>
            </v:textbox>
          </v:shape>
        </w:pict>
      </w:r>
      <w:r>
        <w:rPr>
          <w:rFonts w:ascii="宋体" w:hAnsi="宋体" w:eastAsia="宋体" w:cs="宋体"/>
          <w:position w:val="-1"/>
          <w:sz w:val="21"/>
          <w:szCs w:val="21"/>
        </w:rPr>
        <w:t>。</w:t>
      </w:r>
    </w:p>
    <w:p w14:paraId="1E387BED">
      <w:pPr>
        <w:spacing w:before="201" w:line="301" w:lineRule="auto"/>
        <w:ind w:left="7" w:firstLine="419"/>
        <w:rPr>
          <w:rFonts w:ascii="宋体" w:hAnsi="宋体" w:eastAsia="宋体" w:cs="宋体"/>
          <w:sz w:val="21"/>
          <w:szCs w:val="21"/>
        </w:rPr>
      </w:pPr>
      <w:r>
        <w:rPr>
          <w:rFonts w:ascii="宋体" w:hAnsi="宋体" w:eastAsia="宋体" w:cs="宋体"/>
          <w:spacing w:val="-2"/>
          <w:sz w:val="21"/>
          <w:szCs w:val="21"/>
        </w:rPr>
        <w:t>9.1.2</w:t>
      </w:r>
      <w:r>
        <w:rPr>
          <w:rFonts w:ascii="宋体" w:hAnsi="宋体" w:eastAsia="宋体" w:cs="宋体"/>
          <w:spacing w:val="-21"/>
          <w:sz w:val="21"/>
          <w:szCs w:val="21"/>
        </w:rPr>
        <w:t xml:space="preserve"> </w:t>
      </w:r>
      <w:r>
        <w:rPr>
          <w:rFonts w:ascii="宋体" w:hAnsi="宋体" w:eastAsia="宋体" w:cs="宋体"/>
          <w:spacing w:val="-2"/>
          <w:sz w:val="21"/>
          <w:szCs w:val="21"/>
        </w:rPr>
        <w:t>对于本款第 9.1.1 项约定的材料和工程设备，承包人应按照专用合</w:t>
      </w:r>
      <w:r>
        <w:rPr>
          <w:rFonts w:ascii="宋体" w:hAnsi="宋体" w:eastAsia="宋体" w:cs="宋体"/>
          <w:spacing w:val="-3"/>
          <w:sz w:val="21"/>
          <w:szCs w:val="21"/>
        </w:rPr>
        <w:t>同条款第 5.1.2 项</w:t>
      </w:r>
      <w:r>
        <w:rPr>
          <w:rFonts w:ascii="宋体" w:hAnsi="宋体" w:eastAsia="宋体" w:cs="宋体"/>
          <w:spacing w:val="2"/>
          <w:sz w:val="21"/>
          <w:szCs w:val="21"/>
        </w:rPr>
        <w:t>约定的期限，向监理人提交样品并附上任何必要的说明书、生产（制造）许</w:t>
      </w:r>
      <w:r>
        <w:rPr>
          <w:rFonts w:ascii="宋体" w:hAnsi="宋体" w:eastAsia="宋体" w:cs="宋体"/>
          <w:spacing w:val="1"/>
          <w:sz w:val="21"/>
          <w:szCs w:val="21"/>
        </w:rPr>
        <w:t>可证书、出厂合格证</w:t>
      </w:r>
      <w:r>
        <w:rPr>
          <w:rFonts w:ascii="宋体" w:hAnsi="宋体" w:eastAsia="宋体" w:cs="宋体"/>
          <w:spacing w:val="2"/>
          <w:sz w:val="21"/>
          <w:szCs w:val="21"/>
        </w:rPr>
        <w:t>明或者证书、出厂检测报告、性能介绍、使用说明等相关资料，同</w:t>
      </w:r>
      <w:r>
        <w:rPr>
          <w:rFonts w:ascii="宋体" w:hAnsi="宋体" w:eastAsia="宋体" w:cs="宋体"/>
          <w:spacing w:val="1"/>
          <w:sz w:val="21"/>
          <w:szCs w:val="21"/>
        </w:rPr>
        <w:t>时注明材料和工程设备的供货</w:t>
      </w:r>
      <w:r>
        <w:rPr>
          <w:rFonts w:ascii="宋体" w:hAnsi="宋体" w:eastAsia="宋体" w:cs="宋体"/>
          <w:spacing w:val="2"/>
          <w:sz w:val="21"/>
          <w:szCs w:val="21"/>
        </w:rPr>
        <w:t>人及品种、规格、数量和供货时间等，以供检验和审批。样品送达</w:t>
      </w:r>
      <w:r>
        <w:rPr>
          <w:rFonts w:ascii="宋体" w:hAnsi="宋体" w:eastAsia="宋体" w:cs="宋体"/>
          <w:spacing w:val="1"/>
          <w:sz w:val="21"/>
          <w:szCs w:val="21"/>
        </w:rPr>
        <w:t>的地点和样品的数量或尺寸应</w:t>
      </w:r>
      <w:r>
        <w:rPr>
          <w:rFonts w:ascii="宋体" w:hAnsi="宋体" w:eastAsia="宋体" w:cs="宋体"/>
          <w:spacing w:val="2"/>
          <w:sz w:val="21"/>
          <w:szCs w:val="21"/>
        </w:rPr>
        <w:t>符合监理人和发包人的要求。除合同另有约定外，承包人在报送任</w:t>
      </w:r>
      <w:r>
        <w:rPr>
          <w:rFonts w:ascii="宋体" w:hAnsi="宋体" w:eastAsia="宋体" w:cs="宋体"/>
          <w:spacing w:val="1"/>
          <w:sz w:val="21"/>
          <w:szCs w:val="21"/>
        </w:rPr>
        <w:t>何样品时应按监理人同意的格</w:t>
      </w:r>
      <w:r>
        <w:rPr>
          <w:rFonts w:ascii="宋体" w:hAnsi="宋体" w:eastAsia="宋体" w:cs="宋体"/>
          <w:spacing w:val="-1"/>
          <w:sz w:val="21"/>
          <w:szCs w:val="21"/>
        </w:rPr>
        <w:t>式填写并递交样品报送单。监理人应及时签收样品。</w:t>
      </w:r>
    </w:p>
    <w:p w14:paraId="444E3CEC">
      <w:pPr>
        <w:spacing w:before="109" w:line="293" w:lineRule="auto"/>
        <w:ind w:left="4" w:firstLine="421"/>
        <w:rPr>
          <w:rFonts w:ascii="宋体" w:hAnsi="宋体" w:eastAsia="宋体" w:cs="宋体"/>
          <w:sz w:val="21"/>
          <w:szCs w:val="21"/>
        </w:rPr>
      </w:pPr>
      <w:r>
        <w:rPr>
          <w:rFonts w:ascii="宋体" w:hAnsi="宋体" w:eastAsia="宋体" w:cs="宋体"/>
          <w:spacing w:val="-1"/>
          <w:sz w:val="21"/>
          <w:szCs w:val="21"/>
        </w:rPr>
        <w:t>9.1.3</w:t>
      </w:r>
      <w:r>
        <w:rPr>
          <w:rFonts w:ascii="宋体" w:hAnsi="宋体" w:eastAsia="宋体" w:cs="宋体"/>
          <w:spacing w:val="-36"/>
          <w:sz w:val="21"/>
          <w:szCs w:val="21"/>
        </w:rPr>
        <w:t xml:space="preserve"> </w:t>
      </w:r>
      <w:r>
        <w:rPr>
          <w:rFonts w:ascii="宋体" w:hAnsi="宋体" w:eastAsia="宋体" w:cs="宋体"/>
          <w:spacing w:val="-1"/>
          <w:sz w:val="21"/>
          <w:szCs w:val="21"/>
        </w:rPr>
        <w:t>合同条款第</w:t>
      </w:r>
      <w:r>
        <w:rPr>
          <w:rFonts w:ascii="宋体" w:hAnsi="宋体" w:eastAsia="宋体" w:cs="宋体"/>
          <w:spacing w:val="-19"/>
          <w:sz w:val="21"/>
          <w:szCs w:val="21"/>
        </w:rPr>
        <w:t xml:space="preserve"> </w:t>
      </w:r>
      <w:r>
        <w:rPr>
          <w:rFonts w:ascii="宋体" w:hAnsi="宋体" w:eastAsia="宋体" w:cs="宋体"/>
          <w:spacing w:val="-1"/>
          <w:sz w:val="21"/>
          <w:szCs w:val="21"/>
        </w:rPr>
        <w:t>15.8.2</w:t>
      </w:r>
      <w:r>
        <w:rPr>
          <w:rFonts w:ascii="宋体" w:hAnsi="宋体" w:eastAsia="宋体" w:cs="宋体"/>
          <w:spacing w:val="-33"/>
          <w:sz w:val="21"/>
          <w:szCs w:val="21"/>
        </w:rPr>
        <w:t xml:space="preserve"> </w:t>
      </w:r>
      <w:r>
        <w:rPr>
          <w:rFonts w:ascii="宋体" w:hAnsi="宋体" w:eastAsia="宋体" w:cs="宋体"/>
          <w:spacing w:val="-1"/>
          <w:sz w:val="21"/>
          <w:szCs w:val="21"/>
        </w:rPr>
        <w:t>项约定的依法不需要招标的、以暂估价形式包括在工程量清单中的</w:t>
      </w:r>
      <w:r>
        <w:rPr>
          <w:rFonts w:ascii="宋体" w:hAnsi="宋体" w:eastAsia="宋体" w:cs="宋体"/>
          <w:sz w:val="21"/>
          <w:szCs w:val="21"/>
        </w:rPr>
        <w:t>材料和工程设备，所附资料除本款第 9.1</w:t>
      </w:r>
      <w:r>
        <w:rPr>
          <w:rFonts w:ascii="宋体" w:hAnsi="宋体" w:eastAsia="宋体" w:cs="宋体"/>
          <w:spacing w:val="-1"/>
          <w:sz w:val="21"/>
          <w:szCs w:val="21"/>
        </w:rPr>
        <w:t>.2 项约定的内容外，还应附上价格资料，每一类材料设</w:t>
      </w:r>
      <w:r>
        <w:rPr>
          <w:rFonts w:ascii="宋体" w:hAnsi="宋体" w:eastAsia="宋体" w:cs="宋体"/>
          <w:spacing w:val="2"/>
          <w:sz w:val="21"/>
          <w:szCs w:val="21"/>
        </w:rPr>
        <w:t>备，至少应准备符合合同要求的三个产品，价格分高、中、低三档，以</w:t>
      </w:r>
      <w:r>
        <w:rPr>
          <w:rFonts w:ascii="宋体" w:hAnsi="宋体" w:eastAsia="宋体" w:cs="宋体"/>
          <w:spacing w:val="1"/>
          <w:sz w:val="21"/>
          <w:szCs w:val="21"/>
        </w:rPr>
        <w:t>便监理人和发包人选择和</w:t>
      </w:r>
      <w:r>
        <w:rPr>
          <w:rFonts w:ascii="宋体" w:hAnsi="宋体" w:eastAsia="宋体" w:cs="宋体"/>
          <w:spacing w:val="-8"/>
          <w:sz w:val="21"/>
          <w:szCs w:val="21"/>
        </w:rPr>
        <w:t>批准。</w:t>
      </w:r>
    </w:p>
    <w:p w14:paraId="1CF810C4">
      <w:pPr>
        <w:spacing w:before="104" w:line="301" w:lineRule="auto"/>
        <w:ind w:left="3" w:firstLine="422"/>
        <w:rPr>
          <w:rFonts w:ascii="宋体" w:hAnsi="宋体" w:eastAsia="宋体" w:cs="宋体"/>
          <w:sz w:val="21"/>
          <w:szCs w:val="21"/>
        </w:rPr>
      </w:pPr>
      <w:r>
        <w:rPr>
          <w:rFonts w:ascii="宋体" w:hAnsi="宋体" w:eastAsia="宋体" w:cs="宋体"/>
          <w:spacing w:val="2"/>
          <w:sz w:val="21"/>
          <w:szCs w:val="21"/>
        </w:rPr>
        <w:t>9.1.4监理人应在收到承包人报送的样品后7天内转呈发包人并附上监理</w:t>
      </w:r>
      <w:r>
        <w:rPr>
          <w:rFonts w:ascii="宋体" w:hAnsi="宋体" w:eastAsia="宋体" w:cs="宋体"/>
          <w:spacing w:val="1"/>
          <w:sz w:val="21"/>
          <w:szCs w:val="21"/>
        </w:rPr>
        <w:t>人的书面审批意见。</w:t>
      </w:r>
      <w:r>
        <w:rPr>
          <w:rFonts w:ascii="宋体" w:hAnsi="宋体" w:eastAsia="宋体" w:cs="宋体"/>
          <w:sz w:val="21"/>
          <w:szCs w:val="21"/>
        </w:rPr>
        <w:t>发包人在收到通过监理人转交的样品以及监</w:t>
      </w:r>
      <w:r>
        <w:rPr>
          <w:rFonts w:ascii="宋体" w:hAnsi="宋体" w:eastAsia="宋体" w:cs="宋体"/>
          <w:spacing w:val="-1"/>
          <w:sz w:val="21"/>
          <w:szCs w:val="21"/>
        </w:rPr>
        <w:t>理人的审批意见后 7 天内就此样品给出书面批复。监</w:t>
      </w:r>
      <w:r>
        <w:rPr>
          <w:rFonts w:ascii="宋体" w:hAnsi="宋体" w:eastAsia="宋体" w:cs="宋体"/>
          <w:spacing w:val="2"/>
          <w:sz w:val="21"/>
          <w:szCs w:val="21"/>
        </w:rPr>
        <w:t>理人应在收到样品后 21 天内通知承包人他相关样品所做出的决定或</w:t>
      </w:r>
      <w:r>
        <w:rPr>
          <w:rFonts w:ascii="宋体" w:hAnsi="宋体" w:eastAsia="宋体" w:cs="宋体"/>
          <w:spacing w:val="1"/>
          <w:sz w:val="21"/>
          <w:szCs w:val="21"/>
        </w:rPr>
        <w:t>指示（同时抄送一份给发包</w:t>
      </w:r>
      <w:r>
        <w:rPr>
          <w:rFonts w:ascii="宋体" w:hAnsi="宋体" w:eastAsia="宋体" w:cs="宋体"/>
          <w:spacing w:val="2"/>
          <w:sz w:val="21"/>
          <w:szCs w:val="21"/>
        </w:rPr>
        <w:t>人）。承包人应根据监理人的书面批复和指示相应地进行</w:t>
      </w:r>
      <w:r>
        <w:rPr>
          <w:rFonts w:ascii="宋体" w:hAnsi="宋体" w:eastAsia="宋体" w:cs="宋体"/>
          <w:spacing w:val="1"/>
          <w:sz w:val="21"/>
          <w:szCs w:val="21"/>
        </w:rPr>
        <w:t>下一步工作。如果监理人未能在承包人</w:t>
      </w:r>
      <w:r>
        <w:rPr>
          <w:rFonts w:ascii="宋体" w:hAnsi="宋体" w:eastAsia="宋体" w:cs="宋体"/>
          <w:sz w:val="21"/>
          <w:szCs w:val="21"/>
        </w:rPr>
        <w:t>报送样品后</w:t>
      </w:r>
      <w:r>
        <w:rPr>
          <w:rFonts w:ascii="宋体" w:hAnsi="宋体" w:eastAsia="宋体" w:cs="宋体"/>
          <w:spacing w:val="-56"/>
          <w:sz w:val="21"/>
          <w:szCs w:val="21"/>
        </w:rPr>
        <w:t xml:space="preserve"> </w:t>
      </w:r>
      <w:r>
        <w:rPr>
          <w:rFonts w:ascii="宋体" w:hAnsi="宋体" w:eastAsia="宋体" w:cs="宋体"/>
          <w:sz w:val="21"/>
          <w:szCs w:val="21"/>
        </w:rPr>
        <w:t>21</w:t>
      </w:r>
      <w:r>
        <w:rPr>
          <w:rFonts w:ascii="宋体" w:hAnsi="宋体" w:eastAsia="宋体" w:cs="宋体"/>
          <w:spacing w:val="-51"/>
          <w:sz w:val="21"/>
          <w:szCs w:val="21"/>
        </w:rPr>
        <w:t xml:space="preserve"> </w:t>
      </w:r>
      <w:r>
        <w:rPr>
          <w:rFonts w:ascii="宋体" w:hAnsi="宋体" w:eastAsia="宋体" w:cs="宋体"/>
          <w:sz w:val="21"/>
          <w:szCs w:val="21"/>
        </w:rPr>
        <w:t>天内给出书面批复，承包人应</w:t>
      </w:r>
      <w:r>
        <w:rPr>
          <w:rFonts w:ascii="宋体" w:hAnsi="宋体" w:eastAsia="宋体" w:cs="宋体"/>
          <w:spacing w:val="-1"/>
          <w:sz w:val="21"/>
          <w:szCs w:val="21"/>
        </w:rPr>
        <w:t>就此通知监理人，要求尽快批复。如果发包人在收到此类通知后</w:t>
      </w:r>
      <w:r>
        <w:rPr>
          <w:rFonts w:ascii="宋体" w:hAnsi="宋体" w:eastAsia="宋体" w:cs="宋体"/>
          <w:spacing w:val="-39"/>
          <w:sz w:val="21"/>
          <w:szCs w:val="21"/>
        </w:rPr>
        <w:t xml:space="preserve"> </w:t>
      </w:r>
      <w:r>
        <w:rPr>
          <w:rFonts w:ascii="宋体" w:hAnsi="宋体" w:eastAsia="宋体" w:cs="宋体"/>
          <w:spacing w:val="-1"/>
          <w:sz w:val="21"/>
          <w:szCs w:val="21"/>
        </w:rPr>
        <w:t>7</w:t>
      </w:r>
      <w:r>
        <w:rPr>
          <w:rFonts w:ascii="宋体" w:hAnsi="宋体" w:eastAsia="宋体" w:cs="宋体"/>
          <w:spacing w:val="-40"/>
          <w:sz w:val="21"/>
          <w:szCs w:val="21"/>
        </w:rPr>
        <w:t xml:space="preserve"> </w:t>
      </w:r>
      <w:r>
        <w:rPr>
          <w:rFonts w:ascii="宋体" w:hAnsi="宋体" w:eastAsia="宋体" w:cs="宋体"/>
          <w:spacing w:val="-1"/>
          <w:sz w:val="21"/>
          <w:szCs w:val="21"/>
        </w:rPr>
        <w:t>天内仍未对样品进行批复，则视为监理</w:t>
      </w:r>
      <w:r>
        <w:rPr>
          <w:rFonts w:ascii="宋体" w:hAnsi="宋体" w:eastAsia="宋体" w:cs="宋体"/>
          <w:spacing w:val="-2"/>
          <w:sz w:val="21"/>
          <w:szCs w:val="21"/>
        </w:rPr>
        <w:t>人和发包人已经批准。</w:t>
      </w:r>
    </w:p>
    <w:p w14:paraId="4CBECE32">
      <w:pPr>
        <w:spacing w:before="108" w:line="269" w:lineRule="auto"/>
        <w:ind w:left="10" w:right="8" w:firstLine="415"/>
        <w:rPr>
          <w:rFonts w:ascii="宋体" w:hAnsi="宋体" w:eastAsia="宋体" w:cs="宋体"/>
          <w:sz w:val="21"/>
          <w:szCs w:val="21"/>
        </w:rPr>
      </w:pPr>
      <w:r>
        <w:rPr>
          <w:rFonts w:ascii="宋体" w:hAnsi="宋体" w:eastAsia="宋体" w:cs="宋体"/>
          <w:spacing w:val="2"/>
          <w:sz w:val="21"/>
          <w:szCs w:val="21"/>
        </w:rPr>
        <w:t>9.1.5 得到批准后的样品由监理人负责存放。但承包</w:t>
      </w:r>
      <w:r>
        <w:rPr>
          <w:rFonts w:ascii="宋体" w:hAnsi="宋体" w:eastAsia="宋体" w:cs="宋体"/>
          <w:spacing w:val="1"/>
          <w:sz w:val="21"/>
          <w:szCs w:val="21"/>
        </w:rPr>
        <w:t>人应为保存样品提供适当和固定的场所</w:t>
      </w:r>
      <w:r>
        <w:rPr>
          <w:rFonts w:ascii="宋体" w:hAnsi="宋体" w:eastAsia="宋体" w:cs="宋体"/>
          <w:spacing w:val="-3"/>
          <w:sz w:val="21"/>
          <w:szCs w:val="21"/>
        </w:rPr>
        <w:t>并保持适当和良好的环境条件。</w:t>
      </w:r>
    </w:p>
    <w:p w14:paraId="3BE55661">
      <w:pPr>
        <w:spacing w:before="109" w:line="220" w:lineRule="auto"/>
        <w:ind w:left="426"/>
        <w:rPr>
          <w:rFonts w:ascii="宋体" w:hAnsi="宋体" w:eastAsia="宋体" w:cs="宋体"/>
          <w:sz w:val="21"/>
          <w:szCs w:val="21"/>
        </w:rPr>
      </w:pPr>
      <w:r>
        <w:rPr>
          <w:rFonts w:ascii="宋体" w:hAnsi="宋体" w:eastAsia="宋体" w:cs="宋体"/>
          <w:spacing w:val="-1"/>
          <w:sz w:val="21"/>
          <w:szCs w:val="21"/>
        </w:rPr>
        <w:t>9.1.6</w:t>
      </w:r>
      <w:r>
        <w:rPr>
          <w:rFonts w:ascii="宋体" w:hAnsi="宋体" w:eastAsia="宋体" w:cs="宋体"/>
          <w:spacing w:val="-29"/>
          <w:sz w:val="21"/>
          <w:szCs w:val="21"/>
        </w:rPr>
        <w:t xml:space="preserve"> </w:t>
      </w:r>
      <w:r>
        <w:rPr>
          <w:rFonts w:ascii="宋体" w:hAnsi="宋体" w:eastAsia="宋体" w:cs="宋体"/>
          <w:spacing w:val="-1"/>
          <w:sz w:val="21"/>
          <w:szCs w:val="21"/>
        </w:rPr>
        <w:t>提供样品和提供存放样品场所的费用由承包人承担。</w:t>
      </w:r>
    </w:p>
    <w:p w14:paraId="6EBD840C">
      <w:pPr>
        <w:spacing w:before="241" w:line="220" w:lineRule="auto"/>
        <w:rPr>
          <w:rFonts w:ascii="黑体" w:hAnsi="黑体" w:eastAsia="黑体" w:cs="黑体"/>
          <w:sz w:val="24"/>
          <w:szCs w:val="24"/>
        </w:rPr>
      </w:pPr>
      <w:r>
        <w:rPr>
          <w:rFonts w:ascii="黑体" w:hAnsi="黑体" w:eastAsia="黑体" w:cs="黑体"/>
          <w:spacing w:val="-2"/>
          <w:sz w:val="24"/>
          <w:szCs w:val="24"/>
        </w:rPr>
        <w:t>9.2</w:t>
      </w:r>
      <w:r>
        <w:rPr>
          <w:rFonts w:ascii="黑体" w:hAnsi="黑体" w:eastAsia="黑体" w:cs="黑体"/>
          <w:spacing w:val="-48"/>
          <w:sz w:val="24"/>
          <w:szCs w:val="24"/>
        </w:rPr>
        <w:t xml:space="preserve"> </w:t>
      </w:r>
      <w:r>
        <w:rPr>
          <w:rFonts w:ascii="黑体" w:hAnsi="黑体" w:eastAsia="黑体" w:cs="黑体"/>
          <w:spacing w:val="-2"/>
          <w:sz w:val="24"/>
          <w:szCs w:val="24"/>
        </w:rPr>
        <w:t>材料代换</w:t>
      </w:r>
    </w:p>
    <w:p w14:paraId="78B90BB7">
      <w:pPr>
        <w:spacing w:before="229" w:line="318" w:lineRule="auto"/>
        <w:ind w:left="6" w:right="5" w:firstLine="420"/>
        <w:jc w:val="both"/>
      </w:pPr>
      <w:r>
        <w:rPr>
          <w:rFonts w:ascii="宋体" w:hAnsi="宋体" w:eastAsia="宋体" w:cs="宋体"/>
          <w:spacing w:val="2"/>
          <w:sz w:val="21"/>
          <w:szCs w:val="21"/>
        </w:rPr>
        <w:t>9.2.1 如果任何后继法律、法规、规章、规范、标准</w:t>
      </w:r>
      <w:r>
        <w:rPr>
          <w:rFonts w:ascii="宋体" w:hAnsi="宋体" w:eastAsia="宋体" w:cs="宋体"/>
          <w:spacing w:val="1"/>
          <w:sz w:val="21"/>
          <w:szCs w:val="21"/>
        </w:rPr>
        <w:t>和规程等等禁止使用合同中约定的材料</w:t>
      </w:r>
      <w:r>
        <w:rPr>
          <w:rFonts w:ascii="宋体" w:hAnsi="宋体" w:eastAsia="宋体" w:cs="宋体"/>
          <w:spacing w:val="2"/>
          <w:sz w:val="21"/>
          <w:szCs w:val="21"/>
        </w:rPr>
        <w:t>和工程设备，承包人应当按本款约定的程序使用其他替代品来实施</w:t>
      </w:r>
      <w:r>
        <w:rPr>
          <w:rFonts w:ascii="宋体" w:hAnsi="宋体" w:eastAsia="宋体" w:cs="宋体"/>
          <w:spacing w:val="1"/>
          <w:sz w:val="21"/>
          <w:szCs w:val="21"/>
        </w:rPr>
        <w:t>工程或修补缺陷。监理人对使</w:t>
      </w:r>
      <w:r>
        <w:rPr>
          <w:rFonts w:ascii="宋体" w:hAnsi="宋体" w:eastAsia="宋体" w:cs="宋体"/>
          <w:sz w:val="21"/>
          <w:szCs w:val="21"/>
        </w:rPr>
        <w:t>用替代品的批准以及承包人据此使用替代品不应减</w:t>
      </w:r>
      <w:r>
        <w:rPr>
          <w:rFonts w:ascii="宋体" w:hAnsi="宋体" w:eastAsia="宋体" w:cs="宋体"/>
          <w:spacing w:val="-1"/>
          <w:sz w:val="21"/>
          <w:szCs w:val="21"/>
        </w:rPr>
        <w:t>免合同约定的承包人的任何责任和义务。</w:t>
      </w:r>
    </w:p>
    <w:p w14:paraId="4F2B221E">
      <w:pPr>
        <w:pStyle w:val="5"/>
        <w:spacing w:line="266" w:lineRule="auto"/>
      </w:pPr>
    </w:p>
    <w:p w14:paraId="76C0956F">
      <w:pPr>
        <w:pStyle w:val="5"/>
        <w:spacing w:line="267" w:lineRule="auto"/>
      </w:pPr>
    </w:p>
    <w:p w14:paraId="08E1AB6A">
      <w:pPr>
        <w:pStyle w:val="5"/>
        <w:spacing w:line="267" w:lineRule="auto"/>
      </w:pPr>
    </w:p>
    <w:p w14:paraId="1A4F64C0">
      <w:pPr>
        <w:pStyle w:val="5"/>
        <w:spacing w:line="267" w:lineRule="auto"/>
      </w:pPr>
    </w:p>
    <w:p w14:paraId="678F68C7">
      <w:pPr>
        <w:spacing w:before="68" w:line="316" w:lineRule="auto"/>
        <w:ind w:left="5" w:right="148" w:firstLine="416"/>
        <w:rPr>
          <w:rFonts w:ascii="宋体" w:hAnsi="宋体" w:eastAsia="宋体" w:cs="宋体"/>
          <w:sz w:val="21"/>
          <w:szCs w:val="21"/>
        </w:rPr>
      </w:pPr>
      <w:bookmarkStart w:id="1321" w:name="bookmark643"/>
      <w:bookmarkEnd w:id="1321"/>
      <w:r>
        <w:rPr>
          <w:rFonts w:ascii="宋体" w:hAnsi="宋体" w:eastAsia="宋体" w:cs="宋体"/>
          <w:spacing w:val="-1"/>
          <w:sz w:val="21"/>
          <w:szCs w:val="21"/>
        </w:rPr>
        <w:t>9.2.2</w:t>
      </w:r>
      <w:r>
        <w:rPr>
          <w:rFonts w:ascii="宋体" w:hAnsi="宋体" w:eastAsia="宋体" w:cs="宋体"/>
          <w:spacing w:val="-30"/>
          <w:sz w:val="21"/>
          <w:szCs w:val="21"/>
        </w:rPr>
        <w:t xml:space="preserve"> </w:t>
      </w:r>
      <w:r>
        <w:rPr>
          <w:rFonts w:ascii="宋体" w:hAnsi="宋体" w:eastAsia="宋体" w:cs="宋体"/>
          <w:spacing w:val="-1"/>
          <w:sz w:val="21"/>
          <w:szCs w:val="21"/>
        </w:rPr>
        <w:t>如果使用替代品，承包人应至少在被替代品按批准的进度计划用于永久工程前</w:t>
      </w:r>
      <w:r>
        <w:rPr>
          <w:rFonts w:ascii="宋体" w:hAnsi="宋体" w:eastAsia="宋体" w:cs="宋体"/>
          <w:spacing w:val="-30"/>
          <w:sz w:val="21"/>
          <w:szCs w:val="21"/>
        </w:rPr>
        <w:t xml:space="preserve"> </w:t>
      </w:r>
      <w:r>
        <w:rPr>
          <w:rFonts w:ascii="宋体" w:hAnsi="宋体" w:eastAsia="宋体" w:cs="宋体"/>
          <w:spacing w:val="-1"/>
          <w:sz w:val="21"/>
          <w:szCs w:val="21"/>
        </w:rPr>
        <w:t>56</w:t>
      </w:r>
      <w:r>
        <w:rPr>
          <w:rFonts w:ascii="宋体" w:hAnsi="宋体" w:eastAsia="宋体" w:cs="宋体"/>
          <w:spacing w:val="-30"/>
          <w:sz w:val="21"/>
          <w:szCs w:val="21"/>
        </w:rPr>
        <w:t xml:space="preserve"> </w:t>
      </w:r>
      <w:r>
        <w:rPr>
          <w:rFonts w:ascii="宋体" w:hAnsi="宋体" w:eastAsia="宋体" w:cs="宋体"/>
          <w:spacing w:val="-1"/>
          <w:sz w:val="21"/>
          <w:szCs w:val="21"/>
        </w:rPr>
        <w:t>天以书面形式通知监理人并随此通知提交下列文件：</w:t>
      </w:r>
    </w:p>
    <w:p w14:paraId="5139D810">
      <w:pPr>
        <w:spacing w:before="1" w:line="268" w:lineRule="auto"/>
        <w:ind w:right="158" w:firstLine="426"/>
        <w:rPr>
          <w:rFonts w:ascii="宋体" w:hAnsi="宋体" w:eastAsia="宋体" w:cs="宋体"/>
          <w:sz w:val="21"/>
          <w:szCs w:val="21"/>
        </w:rPr>
      </w:pPr>
      <w:r>
        <w:rPr>
          <w:rFonts w:ascii="宋体" w:hAnsi="宋体" w:eastAsia="宋体" w:cs="宋体"/>
          <w:spacing w:val="4"/>
          <w:sz w:val="21"/>
          <w:szCs w:val="21"/>
        </w:rPr>
        <w:t>（1）拟被替代的合同约定的材料和工程设备的名称、数量、规格、型号、品牌、性能、价</w:t>
      </w:r>
      <w:r>
        <w:rPr>
          <w:rFonts w:ascii="宋体" w:hAnsi="宋体" w:eastAsia="宋体" w:cs="宋体"/>
          <w:spacing w:val="-3"/>
          <w:sz w:val="21"/>
          <w:szCs w:val="21"/>
        </w:rPr>
        <w:t>格及其他任何详细资料；</w:t>
      </w:r>
    </w:p>
    <w:p w14:paraId="581E8B78">
      <w:pPr>
        <w:spacing w:before="108" w:line="269" w:lineRule="auto"/>
        <w:ind w:left="1" w:right="158" w:firstLine="425"/>
        <w:rPr>
          <w:rFonts w:ascii="宋体" w:hAnsi="宋体" w:eastAsia="宋体" w:cs="宋体"/>
          <w:sz w:val="21"/>
          <w:szCs w:val="21"/>
        </w:rPr>
      </w:pPr>
      <w:r>
        <w:rPr>
          <w:rFonts w:ascii="宋体" w:hAnsi="宋体" w:eastAsia="宋体" w:cs="宋体"/>
          <w:spacing w:val="4"/>
          <w:sz w:val="21"/>
          <w:szCs w:val="21"/>
        </w:rPr>
        <w:t>（2）拟采用的替代品的名称、数量、规格、型号、品牌、性能、价格及其他任何必要的详</w:t>
      </w:r>
      <w:r>
        <w:rPr>
          <w:rFonts w:ascii="宋体" w:hAnsi="宋体" w:eastAsia="宋体" w:cs="宋体"/>
          <w:spacing w:val="-2"/>
          <w:sz w:val="21"/>
          <w:szCs w:val="21"/>
        </w:rPr>
        <w:t>细资料；</w:t>
      </w:r>
    </w:p>
    <w:p w14:paraId="54D31FB8">
      <w:pPr>
        <w:spacing w:before="107" w:line="221" w:lineRule="auto"/>
        <w:ind w:left="427"/>
        <w:rPr>
          <w:rFonts w:ascii="宋体" w:hAnsi="宋体" w:eastAsia="宋体" w:cs="宋体"/>
          <w:sz w:val="21"/>
          <w:szCs w:val="21"/>
        </w:rPr>
      </w:pPr>
      <w:r>
        <w:rPr>
          <w:rFonts w:ascii="宋体" w:hAnsi="宋体" w:eastAsia="宋体" w:cs="宋体"/>
          <w:spacing w:val="-3"/>
          <w:sz w:val="21"/>
          <w:szCs w:val="21"/>
        </w:rPr>
        <w:t>（3）替代品使用的工程部位；</w:t>
      </w:r>
    </w:p>
    <w:p w14:paraId="00597F01">
      <w:pPr>
        <w:spacing w:before="109" w:line="220" w:lineRule="auto"/>
        <w:ind w:left="427"/>
        <w:rPr>
          <w:rFonts w:ascii="宋体" w:hAnsi="宋体" w:eastAsia="宋体" w:cs="宋体"/>
          <w:sz w:val="21"/>
          <w:szCs w:val="21"/>
        </w:rPr>
      </w:pPr>
      <w:r>
        <w:rPr>
          <w:rFonts w:ascii="宋体" w:hAnsi="宋体" w:eastAsia="宋体" w:cs="宋体"/>
          <w:spacing w:val="-3"/>
          <w:sz w:val="21"/>
          <w:szCs w:val="21"/>
        </w:rPr>
        <w:t>（4）采用替代品的理由和原因说明；</w:t>
      </w:r>
    </w:p>
    <w:p w14:paraId="100FCF1D">
      <w:pPr>
        <w:spacing w:before="110" w:line="221" w:lineRule="auto"/>
        <w:jc w:val="right"/>
        <w:rPr>
          <w:rFonts w:ascii="宋体" w:hAnsi="宋体" w:eastAsia="宋体" w:cs="宋体"/>
          <w:sz w:val="21"/>
          <w:szCs w:val="21"/>
        </w:rPr>
      </w:pPr>
      <w:r>
        <w:rPr>
          <w:rFonts w:ascii="宋体" w:hAnsi="宋体" w:eastAsia="宋体" w:cs="宋体"/>
          <w:spacing w:val="3"/>
          <w:sz w:val="21"/>
          <w:szCs w:val="21"/>
        </w:rPr>
        <w:t>（5）替代品与合同中约定的产品之间的差异以及使用替代品后可能对工程产</w:t>
      </w:r>
      <w:r>
        <w:rPr>
          <w:rFonts w:ascii="宋体" w:hAnsi="宋体" w:eastAsia="宋体" w:cs="宋体"/>
          <w:spacing w:val="2"/>
          <w:sz w:val="21"/>
          <w:szCs w:val="21"/>
        </w:rPr>
        <w:t>生的任何影响；</w:t>
      </w:r>
    </w:p>
    <w:p w14:paraId="73031ED9">
      <w:pPr>
        <w:spacing w:before="109" w:line="219" w:lineRule="auto"/>
        <w:ind w:left="427"/>
        <w:rPr>
          <w:rFonts w:ascii="宋体" w:hAnsi="宋体" w:eastAsia="宋体" w:cs="宋体"/>
          <w:sz w:val="21"/>
          <w:szCs w:val="21"/>
        </w:rPr>
      </w:pPr>
      <w:r>
        <w:rPr>
          <w:rFonts w:ascii="宋体" w:hAnsi="宋体" w:eastAsia="宋体" w:cs="宋体"/>
          <w:spacing w:val="-2"/>
          <w:sz w:val="21"/>
          <w:szCs w:val="21"/>
        </w:rPr>
        <w:t>（6）价格上的差异；</w:t>
      </w:r>
    </w:p>
    <w:p w14:paraId="2B433E05">
      <w:pPr>
        <w:spacing w:before="111" w:line="220" w:lineRule="auto"/>
        <w:ind w:left="427"/>
        <w:rPr>
          <w:rFonts w:ascii="宋体" w:hAnsi="宋体" w:eastAsia="宋体" w:cs="宋体"/>
          <w:sz w:val="21"/>
          <w:szCs w:val="21"/>
        </w:rPr>
      </w:pPr>
      <w:r>
        <w:rPr>
          <w:rFonts w:ascii="宋体" w:hAnsi="宋体" w:eastAsia="宋体" w:cs="宋体"/>
          <w:spacing w:val="-1"/>
          <w:sz w:val="21"/>
          <w:szCs w:val="21"/>
        </w:rPr>
        <w:t>（7）监理人为做出适当的决定而随时要求承包人提供的任何其他文件。</w:t>
      </w:r>
    </w:p>
    <w:p w14:paraId="77435AC0">
      <w:pPr>
        <w:spacing w:before="111" w:line="316" w:lineRule="auto"/>
        <w:ind w:right="148" w:firstLine="421"/>
        <w:jc w:val="both"/>
        <w:rPr>
          <w:rFonts w:ascii="宋体" w:hAnsi="宋体" w:eastAsia="宋体" w:cs="宋体"/>
          <w:sz w:val="21"/>
          <w:szCs w:val="21"/>
        </w:rPr>
      </w:pPr>
      <w:r>
        <w:rPr>
          <w:rFonts w:ascii="宋体" w:hAnsi="宋体" w:eastAsia="宋体" w:cs="宋体"/>
          <w:spacing w:val="-1"/>
          <w:sz w:val="21"/>
          <w:szCs w:val="21"/>
        </w:rPr>
        <w:t>监理人在收到此类通知及上述文件后，应在</w:t>
      </w:r>
      <w:r>
        <w:rPr>
          <w:rFonts w:ascii="宋体" w:hAnsi="宋体" w:eastAsia="宋体" w:cs="宋体"/>
          <w:spacing w:val="-23"/>
          <w:sz w:val="21"/>
          <w:szCs w:val="21"/>
        </w:rPr>
        <w:t xml:space="preserve"> </w:t>
      </w:r>
      <w:r>
        <w:rPr>
          <w:rFonts w:ascii="宋体" w:hAnsi="宋体" w:eastAsia="宋体" w:cs="宋体"/>
          <w:spacing w:val="-1"/>
          <w:sz w:val="21"/>
          <w:szCs w:val="21"/>
        </w:rPr>
        <w:t>28</w:t>
      </w:r>
      <w:r>
        <w:rPr>
          <w:rFonts w:ascii="宋体" w:hAnsi="宋体" w:eastAsia="宋体" w:cs="宋体"/>
          <w:spacing w:val="-20"/>
          <w:sz w:val="21"/>
          <w:szCs w:val="21"/>
        </w:rPr>
        <w:t xml:space="preserve"> </w:t>
      </w:r>
      <w:r>
        <w:rPr>
          <w:rFonts w:ascii="宋体" w:hAnsi="宋体" w:eastAsia="宋体" w:cs="宋体"/>
          <w:spacing w:val="-1"/>
          <w:sz w:val="21"/>
          <w:szCs w:val="21"/>
        </w:rPr>
        <w:t>天内向承包人给出书面指示。如</w:t>
      </w:r>
      <w:r>
        <w:rPr>
          <w:rFonts w:ascii="宋体" w:hAnsi="宋体" w:eastAsia="宋体" w:cs="宋体"/>
          <w:spacing w:val="-2"/>
          <w:sz w:val="21"/>
          <w:szCs w:val="21"/>
        </w:rPr>
        <w:t>果</w:t>
      </w:r>
      <w:r>
        <w:rPr>
          <w:rFonts w:ascii="宋体" w:hAnsi="宋体" w:eastAsia="宋体" w:cs="宋体"/>
          <w:spacing w:val="-22"/>
          <w:sz w:val="21"/>
          <w:szCs w:val="21"/>
        </w:rPr>
        <w:t xml:space="preserve"> </w:t>
      </w:r>
      <w:r>
        <w:rPr>
          <w:rFonts w:ascii="宋体" w:hAnsi="宋体" w:eastAsia="宋体" w:cs="宋体"/>
          <w:spacing w:val="-2"/>
          <w:sz w:val="21"/>
          <w:szCs w:val="21"/>
        </w:rPr>
        <w:t>28</w:t>
      </w:r>
      <w:r>
        <w:rPr>
          <w:rFonts w:ascii="宋体" w:hAnsi="宋体" w:eastAsia="宋体" w:cs="宋体"/>
          <w:spacing w:val="-21"/>
          <w:sz w:val="21"/>
          <w:szCs w:val="21"/>
        </w:rPr>
        <w:t xml:space="preserve"> </w:t>
      </w:r>
      <w:r>
        <w:rPr>
          <w:rFonts w:ascii="宋体" w:hAnsi="宋体" w:eastAsia="宋体" w:cs="宋体"/>
          <w:spacing w:val="-2"/>
          <w:sz w:val="21"/>
          <w:szCs w:val="21"/>
        </w:rPr>
        <w:t>天内监</w:t>
      </w:r>
      <w:r>
        <w:rPr>
          <w:rFonts w:ascii="宋体" w:hAnsi="宋体" w:eastAsia="宋体" w:cs="宋体"/>
          <w:spacing w:val="2"/>
          <w:sz w:val="21"/>
          <w:szCs w:val="21"/>
        </w:rPr>
        <w:t>理人未给出书面指示，应视为监理人和发包人已经批准使用上述替代品</w:t>
      </w:r>
      <w:r>
        <w:rPr>
          <w:rFonts w:ascii="宋体" w:hAnsi="宋体" w:eastAsia="宋体" w:cs="宋体"/>
          <w:spacing w:val="1"/>
          <w:sz w:val="21"/>
          <w:szCs w:val="21"/>
        </w:rPr>
        <w:t>，承包人可以据此使用替</w:t>
      </w:r>
      <w:r>
        <w:rPr>
          <w:rFonts w:ascii="宋体" w:hAnsi="宋体" w:eastAsia="宋体" w:cs="宋体"/>
          <w:spacing w:val="-8"/>
          <w:sz w:val="21"/>
          <w:szCs w:val="21"/>
        </w:rPr>
        <w:t>代品。</w:t>
      </w:r>
    </w:p>
    <w:p w14:paraId="780AA0C8">
      <w:pPr>
        <w:spacing w:before="1" w:line="219" w:lineRule="auto"/>
        <w:ind w:left="421"/>
        <w:rPr>
          <w:rFonts w:ascii="宋体" w:hAnsi="宋体" w:eastAsia="宋体" w:cs="宋体"/>
          <w:sz w:val="21"/>
          <w:szCs w:val="21"/>
        </w:rPr>
      </w:pPr>
      <w:r>
        <w:rPr>
          <w:rFonts w:ascii="宋体" w:hAnsi="宋体" w:eastAsia="宋体" w:cs="宋体"/>
          <w:sz w:val="21"/>
          <w:szCs w:val="21"/>
        </w:rPr>
        <w:t>9.2.3</w:t>
      </w:r>
      <w:r>
        <w:rPr>
          <w:rFonts w:ascii="宋体" w:hAnsi="宋体" w:eastAsia="宋体" w:cs="宋体"/>
          <w:spacing w:val="-47"/>
          <w:sz w:val="21"/>
          <w:szCs w:val="21"/>
        </w:rPr>
        <w:t xml:space="preserve"> </w:t>
      </w:r>
      <w:r>
        <w:rPr>
          <w:rFonts w:ascii="宋体" w:hAnsi="宋体" w:eastAsia="宋体" w:cs="宋体"/>
          <w:sz w:val="21"/>
          <w:szCs w:val="21"/>
        </w:rPr>
        <w:t>任何情况下，替代品都应遵守本合同中对相关材料</w:t>
      </w:r>
      <w:r>
        <w:rPr>
          <w:rFonts w:ascii="宋体" w:hAnsi="宋体" w:eastAsia="宋体" w:cs="宋体"/>
          <w:spacing w:val="-1"/>
          <w:sz w:val="21"/>
          <w:szCs w:val="21"/>
        </w:rPr>
        <w:t>和工程设备的要求。</w:t>
      </w:r>
    </w:p>
    <w:p w14:paraId="730409D8">
      <w:pPr>
        <w:spacing w:before="110" w:line="268" w:lineRule="auto"/>
        <w:ind w:left="3" w:right="157" w:firstLine="418"/>
        <w:rPr>
          <w:rFonts w:ascii="宋体" w:hAnsi="宋体" w:eastAsia="宋体" w:cs="宋体"/>
          <w:sz w:val="21"/>
          <w:szCs w:val="21"/>
        </w:rPr>
      </w:pPr>
      <w:r>
        <w:rPr>
          <w:rFonts w:ascii="宋体" w:hAnsi="宋体" w:eastAsia="宋体" w:cs="宋体"/>
          <w:spacing w:val="2"/>
          <w:sz w:val="21"/>
          <w:szCs w:val="21"/>
        </w:rPr>
        <w:t>9.2.4 如果承包人根据本条约定使用了替代品，监理</w:t>
      </w:r>
      <w:r>
        <w:rPr>
          <w:rFonts w:ascii="宋体" w:hAnsi="宋体" w:eastAsia="宋体" w:cs="宋体"/>
          <w:spacing w:val="1"/>
          <w:sz w:val="21"/>
          <w:szCs w:val="21"/>
        </w:rPr>
        <w:t>人应与承包人适当协商之后并在合理的</w:t>
      </w:r>
      <w:r>
        <w:rPr>
          <w:rFonts w:ascii="宋体" w:hAnsi="宋体" w:eastAsia="宋体" w:cs="宋体"/>
          <w:spacing w:val="-1"/>
          <w:sz w:val="21"/>
          <w:szCs w:val="21"/>
        </w:rPr>
        <w:t>期限内确定替代材料和工程设备与合同中约定的材料和工程设备之间的价值差值，并决定：</w:t>
      </w:r>
    </w:p>
    <w:p w14:paraId="4523A7FD">
      <w:pPr>
        <w:spacing w:before="110" w:line="268" w:lineRule="auto"/>
        <w:ind w:left="3" w:right="158" w:firstLine="423"/>
        <w:rPr>
          <w:rFonts w:ascii="宋体" w:hAnsi="宋体" w:eastAsia="宋体" w:cs="宋体"/>
          <w:sz w:val="21"/>
          <w:szCs w:val="21"/>
        </w:rPr>
      </w:pPr>
      <w:r>
        <w:rPr>
          <w:rFonts w:ascii="宋体" w:hAnsi="宋体" w:eastAsia="宋体" w:cs="宋体"/>
          <w:spacing w:val="4"/>
          <w:sz w:val="21"/>
          <w:szCs w:val="21"/>
        </w:rPr>
        <w:t>（1）如果替代材料和工程设备的价值高于合同中约定的材料和工程设备的价值，则将高出</w:t>
      </w:r>
      <w:r>
        <w:rPr>
          <w:rFonts w:ascii="宋体" w:hAnsi="宋体" w:eastAsia="宋体" w:cs="宋体"/>
          <w:spacing w:val="-1"/>
          <w:sz w:val="21"/>
          <w:szCs w:val="21"/>
        </w:rPr>
        <w:t>部分的价值追加到合同价格中并相应地通知承包人；</w:t>
      </w:r>
    </w:p>
    <w:p w14:paraId="1352C6B4">
      <w:pPr>
        <w:spacing w:before="111" w:line="268" w:lineRule="auto"/>
        <w:ind w:right="160" w:firstLine="426"/>
        <w:rPr>
          <w:rFonts w:ascii="宋体" w:hAnsi="宋体" w:eastAsia="宋体" w:cs="宋体"/>
          <w:sz w:val="21"/>
          <w:szCs w:val="21"/>
        </w:rPr>
      </w:pPr>
      <w:r>
        <w:rPr>
          <w:rFonts w:ascii="宋体" w:hAnsi="宋体" w:eastAsia="宋体" w:cs="宋体"/>
          <w:spacing w:val="5"/>
          <w:sz w:val="21"/>
          <w:szCs w:val="21"/>
        </w:rPr>
        <w:t>（2</w:t>
      </w:r>
      <w:r>
        <w:rPr>
          <w:rFonts w:ascii="宋体" w:hAnsi="宋体" w:eastAsia="宋体" w:cs="宋体"/>
          <w:spacing w:val="-58"/>
          <w:w w:val="97"/>
          <w:sz w:val="21"/>
          <w:szCs w:val="21"/>
        </w:rPr>
        <w:t>）（</w:t>
      </w:r>
      <w:r>
        <w:rPr>
          <w:rFonts w:ascii="宋体" w:hAnsi="宋体" w:eastAsia="宋体" w:cs="宋体"/>
          <w:spacing w:val="5"/>
          <w:sz w:val="21"/>
          <w:szCs w:val="21"/>
        </w:rPr>
        <w:t>2）如果替代材料和工程设备的价值低于合同中约定的材料和工程</w:t>
      </w:r>
      <w:r>
        <w:rPr>
          <w:rFonts w:ascii="宋体" w:hAnsi="宋体" w:eastAsia="宋体" w:cs="宋体"/>
          <w:spacing w:val="4"/>
          <w:sz w:val="21"/>
          <w:szCs w:val="21"/>
        </w:rPr>
        <w:t>设备的价值，则将</w:t>
      </w:r>
      <w:r>
        <w:rPr>
          <w:rFonts w:ascii="宋体" w:hAnsi="宋体" w:eastAsia="宋体" w:cs="宋体"/>
          <w:spacing w:val="-1"/>
          <w:sz w:val="21"/>
          <w:szCs w:val="21"/>
        </w:rPr>
        <w:t>节余部分的价值从合同价格中扣除并相应地通知承包人。</w:t>
      </w:r>
    </w:p>
    <w:p w14:paraId="700493DB">
      <w:pPr>
        <w:spacing w:before="82" w:line="233" w:lineRule="auto"/>
        <w:ind w:left="25"/>
        <w:outlineLvl w:val="2"/>
        <w:rPr>
          <w:rFonts w:ascii="黑体" w:hAnsi="黑体" w:eastAsia="黑体" w:cs="黑体"/>
          <w:sz w:val="28"/>
          <w:szCs w:val="28"/>
        </w:rPr>
      </w:pPr>
      <w:bookmarkStart w:id="1322" w:name="bookmark416"/>
      <w:bookmarkEnd w:id="1322"/>
      <w:r>
        <w:rPr>
          <w:rFonts w:ascii="Times New Roman" w:hAnsi="Times New Roman" w:eastAsia="Times New Roman" w:cs="Times New Roman"/>
          <w:spacing w:val="-3"/>
          <w:sz w:val="28"/>
          <w:szCs w:val="28"/>
        </w:rPr>
        <w:t>10.</w:t>
      </w:r>
      <w:r>
        <w:rPr>
          <w:rFonts w:ascii="黑体" w:hAnsi="黑体" w:eastAsia="黑体" w:cs="黑体"/>
          <w:spacing w:val="-3"/>
          <w:sz w:val="28"/>
          <w:szCs w:val="28"/>
        </w:rPr>
        <w:t>进口材料和工程设备</w:t>
      </w:r>
    </w:p>
    <w:p w14:paraId="5A0F1B80">
      <w:pPr>
        <w:spacing w:line="500" w:lineRule="exact"/>
        <w:ind w:firstLine="420" w:firstLineChars="200"/>
        <w:rPr>
          <w:rFonts w:hint="eastAsia" w:ascii="宋体" w:hAnsi="宋体"/>
          <w:color w:val="auto"/>
          <w:szCs w:val="21"/>
          <w:highlight w:val="none"/>
        </w:rPr>
      </w:pPr>
      <w:bookmarkStart w:id="1323" w:name="bookmark417"/>
      <w:bookmarkEnd w:id="1323"/>
      <w:r>
        <w:rPr>
          <w:rFonts w:hint="eastAsia" w:ascii="宋体" w:hAnsi="宋体"/>
          <w:color w:val="auto"/>
          <w:szCs w:val="21"/>
          <w:highlight w:val="none"/>
        </w:rPr>
        <w:t>10.1 本工程需要进口的材料和工程设备如下：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p>
    <w:p w14:paraId="1CB2680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10.2 上述进口材料和工程设备采购、进口、报关、清关、商检、境内运输（包括保险）</w:t>
      </w:r>
      <w:r>
        <w:rPr>
          <w:rFonts w:hint="eastAsia" w:ascii="宋体" w:hAnsi="宋体"/>
          <w:color w:val="auto"/>
          <w:szCs w:val="21"/>
          <w:highlight w:val="none"/>
          <w:lang w:eastAsia="zh-CN"/>
        </w:rPr>
        <w:t>、</w:t>
      </w:r>
      <w:r>
        <w:rPr>
          <w:rFonts w:hint="eastAsia" w:ascii="宋体" w:hAnsi="宋体"/>
          <w:color w:val="auto"/>
          <w:szCs w:val="21"/>
          <w:highlight w:val="none"/>
        </w:rPr>
        <w:t>管的责任以及费用承担方式划分如下：</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p>
    <w:p w14:paraId="0A3D2B47">
      <w:pPr>
        <w:spacing w:before="179" w:line="233" w:lineRule="auto"/>
        <w:ind w:left="25"/>
        <w:outlineLvl w:val="2"/>
        <w:rPr>
          <w:rFonts w:ascii="黑体" w:hAnsi="黑体" w:eastAsia="黑体" w:cs="黑体"/>
          <w:sz w:val="28"/>
          <w:szCs w:val="28"/>
        </w:rPr>
      </w:pPr>
      <w:r>
        <w:rPr>
          <w:rFonts w:ascii="Times New Roman" w:hAnsi="Times New Roman" w:eastAsia="Times New Roman" w:cs="Times New Roman"/>
          <w:spacing w:val="-4"/>
          <w:sz w:val="28"/>
          <w:szCs w:val="28"/>
        </w:rPr>
        <w:t>11.</w:t>
      </w:r>
      <w:r>
        <w:rPr>
          <w:rFonts w:ascii="黑体" w:hAnsi="黑体" w:eastAsia="黑体" w:cs="黑体"/>
          <w:spacing w:val="-4"/>
          <w:sz w:val="28"/>
          <w:szCs w:val="28"/>
        </w:rPr>
        <w:t>进度报告和进度例会</w:t>
      </w:r>
    </w:p>
    <w:p w14:paraId="4DCDBD6A">
      <w:pPr>
        <w:spacing w:before="73" w:line="219" w:lineRule="auto"/>
        <w:ind w:left="436"/>
        <w:rPr>
          <w:rFonts w:ascii="宋体" w:hAnsi="宋体" w:eastAsia="宋体" w:cs="宋体"/>
          <w:sz w:val="21"/>
          <w:szCs w:val="21"/>
        </w:rPr>
      </w:pPr>
      <w:r>
        <w:rPr>
          <w:rFonts w:ascii="宋体" w:hAnsi="宋体" w:eastAsia="宋体" w:cs="宋体"/>
          <w:spacing w:val="-4"/>
          <w:sz w:val="21"/>
          <w:szCs w:val="21"/>
        </w:rPr>
        <w:t>11.1</w:t>
      </w:r>
      <w:r>
        <w:rPr>
          <w:rFonts w:ascii="宋体" w:hAnsi="宋体" w:eastAsia="宋体" w:cs="宋体"/>
          <w:spacing w:val="-43"/>
          <w:sz w:val="21"/>
          <w:szCs w:val="21"/>
        </w:rPr>
        <w:t xml:space="preserve"> </w:t>
      </w:r>
      <w:r>
        <w:rPr>
          <w:rFonts w:ascii="宋体" w:hAnsi="宋体" w:eastAsia="宋体" w:cs="宋体"/>
          <w:spacing w:val="-4"/>
          <w:sz w:val="21"/>
          <w:szCs w:val="21"/>
        </w:rPr>
        <w:t>进度报告</w:t>
      </w:r>
    </w:p>
    <w:p w14:paraId="53C6F33E">
      <w:pPr>
        <w:spacing w:before="114" w:line="317" w:lineRule="auto"/>
        <w:ind w:right="149" w:firstLine="436"/>
        <w:jc w:val="both"/>
      </w:pPr>
      <w:r>
        <w:rPr>
          <w:rFonts w:ascii="宋体" w:hAnsi="宋体" w:eastAsia="宋体" w:cs="宋体"/>
          <w:sz w:val="21"/>
          <w:szCs w:val="21"/>
        </w:rPr>
        <w:t>11.1.1</w:t>
      </w:r>
      <w:r>
        <w:rPr>
          <w:rFonts w:ascii="宋体" w:hAnsi="宋体" w:eastAsia="宋体" w:cs="宋体"/>
          <w:spacing w:val="-19"/>
          <w:sz w:val="21"/>
          <w:szCs w:val="21"/>
        </w:rPr>
        <w:t xml:space="preserve"> </w:t>
      </w:r>
      <w:r>
        <w:rPr>
          <w:rFonts w:ascii="宋体" w:hAnsi="宋体" w:eastAsia="宋体" w:cs="宋体"/>
          <w:sz w:val="21"/>
          <w:szCs w:val="21"/>
        </w:rPr>
        <w:t>施工过程中，承包人应向监理</w:t>
      </w:r>
      <w:r>
        <w:rPr>
          <w:rFonts w:ascii="宋体" w:hAnsi="宋体" w:eastAsia="宋体" w:cs="宋体"/>
          <w:spacing w:val="-1"/>
          <w:sz w:val="21"/>
          <w:szCs w:val="21"/>
        </w:rPr>
        <w:t>人指定的代表呈递一份每日的日进度报表、每周的周进</w:t>
      </w:r>
      <w:r>
        <w:rPr>
          <w:rFonts w:ascii="宋体" w:hAnsi="宋体" w:eastAsia="宋体" w:cs="宋体"/>
          <w:spacing w:val="1"/>
          <w:sz w:val="21"/>
          <w:szCs w:val="21"/>
        </w:rPr>
        <w:t>度报表和每月的月进度报表。除非监理人同意，</w:t>
      </w:r>
      <w:r>
        <w:rPr>
          <w:rFonts w:ascii="宋体" w:hAnsi="宋体" w:eastAsia="宋体" w:cs="宋体"/>
          <w:spacing w:val="-53"/>
          <w:sz w:val="21"/>
          <w:szCs w:val="21"/>
        </w:rPr>
        <w:t xml:space="preserve"> </w:t>
      </w:r>
      <w:r>
        <w:rPr>
          <w:rFonts w:ascii="宋体" w:hAnsi="宋体" w:eastAsia="宋体" w:cs="宋体"/>
          <w:sz w:val="21"/>
          <w:szCs w:val="21"/>
        </w:rPr>
        <w:t>日进度报表应在次日上午九点前递交，周进度报</w:t>
      </w:r>
      <w:r>
        <w:rPr>
          <w:rFonts w:ascii="宋体" w:hAnsi="宋体" w:eastAsia="宋体" w:cs="宋体"/>
          <w:spacing w:val="-1"/>
          <w:sz w:val="21"/>
          <w:szCs w:val="21"/>
        </w:rPr>
        <w:t>表应在次周的周一上午九时前递交，月进度报表应随合同条款第</w:t>
      </w:r>
      <w:r>
        <w:rPr>
          <w:rFonts w:ascii="宋体" w:hAnsi="宋体" w:eastAsia="宋体" w:cs="宋体"/>
          <w:spacing w:val="-31"/>
          <w:sz w:val="21"/>
          <w:szCs w:val="21"/>
        </w:rPr>
        <w:t xml:space="preserve"> </w:t>
      </w:r>
      <w:r>
        <w:rPr>
          <w:rFonts w:ascii="宋体" w:hAnsi="宋体" w:eastAsia="宋体" w:cs="宋体"/>
          <w:spacing w:val="-1"/>
          <w:sz w:val="21"/>
          <w:szCs w:val="21"/>
        </w:rPr>
        <w:t>17.3.2</w:t>
      </w:r>
      <w:r>
        <w:rPr>
          <w:rFonts w:ascii="宋体" w:hAnsi="宋体" w:eastAsia="宋体" w:cs="宋体"/>
          <w:spacing w:val="-55"/>
          <w:sz w:val="21"/>
          <w:szCs w:val="21"/>
        </w:rPr>
        <w:t xml:space="preserve"> </w:t>
      </w:r>
      <w:r>
        <w:rPr>
          <w:rFonts w:ascii="宋体" w:hAnsi="宋体" w:eastAsia="宋体" w:cs="宋体"/>
          <w:spacing w:val="-1"/>
          <w:sz w:val="21"/>
          <w:szCs w:val="21"/>
        </w:rPr>
        <w:t>项约定的进度付款申请单</w:t>
      </w:r>
      <w:r>
        <w:rPr>
          <w:rFonts w:ascii="宋体" w:hAnsi="宋体" w:eastAsia="宋体" w:cs="宋体"/>
          <w:spacing w:val="-4"/>
          <w:sz w:val="21"/>
          <w:szCs w:val="21"/>
        </w:rPr>
        <w:t>一并递交。</w:t>
      </w:r>
    </w:p>
    <w:p w14:paraId="307D923E">
      <w:pPr>
        <w:spacing w:before="69" w:line="316" w:lineRule="auto"/>
        <w:ind w:firstLine="435"/>
        <w:jc w:val="both"/>
        <w:rPr>
          <w:rFonts w:ascii="宋体" w:hAnsi="宋体" w:eastAsia="宋体" w:cs="宋体"/>
          <w:sz w:val="21"/>
          <w:szCs w:val="21"/>
        </w:rPr>
      </w:pPr>
      <w:bookmarkStart w:id="1324" w:name="bookmark644"/>
      <w:bookmarkEnd w:id="1324"/>
      <w:r>
        <w:rPr>
          <w:rFonts w:ascii="宋体" w:hAnsi="宋体" w:eastAsia="宋体" w:cs="宋体"/>
          <w:spacing w:val="-1"/>
          <w:sz w:val="21"/>
          <w:szCs w:val="21"/>
        </w:rPr>
        <w:t>11.1.2 日和周进度报表的内容应至少包括每日在现场工作的技术管理人员数量、各工种技术</w:t>
      </w:r>
      <w:r>
        <w:rPr>
          <w:rFonts w:ascii="宋体" w:hAnsi="宋体" w:eastAsia="宋体" w:cs="宋体"/>
          <w:spacing w:val="2"/>
          <w:sz w:val="21"/>
          <w:szCs w:val="21"/>
        </w:rPr>
        <w:t>工人和非技术工人数量、后勤人员数量、参观现场的人员数量，包括</w:t>
      </w:r>
      <w:r>
        <w:rPr>
          <w:rFonts w:ascii="宋体" w:hAnsi="宋体" w:eastAsia="宋体" w:cs="宋体"/>
          <w:spacing w:val="1"/>
          <w:sz w:val="21"/>
          <w:szCs w:val="21"/>
        </w:rPr>
        <w:t>分包人人员数量；还应包括</w:t>
      </w:r>
      <w:r>
        <w:rPr>
          <w:rFonts w:ascii="宋体" w:hAnsi="宋体" w:eastAsia="宋体" w:cs="宋体"/>
          <w:spacing w:val="2"/>
          <w:sz w:val="21"/>
          <w:szCs w:val="21"/>
        </w:rPr>
        <w:t>所使用的各种主要机械设备和车辆的型号、数量和台班，工作的区段</w:t>
      </w:r>
      <w:r>
        <w:rPr>
          <w:rFonts w:ascii="宋体" w:hAnsi="宋体" w:eastAsia="宋体" w:cs="宋体"/>
          <w:spacing w:val="1"/>
          <w:sz w:val="21"/>
          <w:szCs w:val="21"/>
        </w:rPr>
        <w:t>，以及工程进度情况、天气</w:t>
      </w:r>
      <w:r>
        <w:rPr>
          <w:rFonts w:ascii="宋体" w:hAnsi="宋体" w:eastAsia="宋体" w:cs="宋体"/>
          <w:spacing w:val="2"/>
          <w:sz w:val="21"/>
          <w:szCs w:val="21"/>
        </w:rPr>
        <w:t>情况记录、停工、质量和安全事故等特别事项说明；此外，应附上每</w:t>
      </w:r>
      <w:r>
        <w:rPr>
          <w:rFonts w:ascii="宋体" w:hAnsi="宋体" w:eastAsia="宋体" w:cs="宋体"/>
          <w:spacing w:val="1"/>
          <w:sz w:val="21"/>
          <w:szCs w:val="21"/>
        </w:rPr>
        <w:t>日进场材料、物品或设备的</w:t>
      </w:r>
      <w:r>
        <w:rPr>
          <w:rFonts w:ascii="宋体" w:hAnsi="宋体" w:eastAsia="宋体" w:cs="宋体"/>
          <w:spacing w:val="-1"/>
          <w:sz w:val="21"/>
          <w:szCs w:val="21"/>
        </w:rPr>
        <w:t>分类汇总表、用于次日或次周的工程进度计划等。</w:t>
      </w:r>
    </w:p>
    <w:p w14:paraId="7D7ABBD0">
      <w:pPr>
        <w:spacing w:before="3" w:line="316" w:lineRule="auto"/>
        <w:ind w:right="5" w:firstLine="436"/>
        <w:rPr>
          <w:rFonts w:ascii="宋体" w:hAnsi="宋体" w:eastAsia="宋体" w:cs="宋体"/>
          <w:sz w:val="21"/>
          <w:szCs w:val="21"/>
        </w:rPr>
      </w:pPr>
      <w:r>
        <w:rPr>
          <w:rFonts w:ascii="宋体" w:hAnsi="宋体" w:eastAsia="宋体" w:cs="宋体"/>
          <w:spacing w:val="-1"/>
          <w:sz w:val="21"/>
          <w:szCs w:val="21"/>
        </w:rPr>
        <w:t>11.1.3 月进度报表应当反映月完成工程量和累计完成工程量（包括永久工程和临时</w:t>
      </w:r>
      <w:r>
        <w:rPr>
          <w:rFonts w:ascii="宋体" w:hAnsi="宋体" w:eastAsia="宋体" w:cs="宋体"/>
          <w:spacing w:val="-2"/>
          <w:sz w:val="21"/>
          <w:szCs w:val="21"/>
        </w:rPr>
        <w:t>工程）、</w:t>
      </w:r>
      <w:r>
        <w:rPr>
          <w:rFonts w:ascii="宋体" w:hAnsi="宋体" w:eastAsia="宋体" w:cs="宋体"/>
          <w:spacing w:val="2"/>
          <w:sz w:val="21"/>
          <w:szCs w:val="21"/>
        </w:rPr>
        <w:t>材料实际进货、消耗和库存量、现场施工设备</w:t>
      </w:r>
      <w:r>
        <w:rPr>
          <w:rFonts w:ascii="宋体" w:hAnsi="宋体" w:eastAsia="宋体" w:cs="宋体"/>
          <w:spacing w:val="1"/>
          <w:sz w:val="21"/>
          <w:szCs w:val="21"/>
        </w:rPr>
        <w:t>的投运数量和运行状况、工程设备的到货情况、劳</w:t>
      </w:r>
      <w:r>
        <w:rPr>
          <w:rFonts w:ascii="宋体" w:hAnsi="宋体" w:eastAsia="宋体" w:cs="宋体"/>
          <w:spacing w:val="2"/>
          <w:sz w:val="21"/>
          <w:szCs w:val="21"/>
        </w:rPr>
        <w:t>动力数量（本月及预计未来三个月劳动力的数量）、当前影响施工</w:t>
      </w:r>
      <w:r>
        <w:rPr>
          <w:rFonts w:ascii="宋体" w:hAnsi="宋体" w:eastAsia="宋体" w:cs="宋体"/>
          <w:spacing w:val="1"/>
          <w:sz w:val="21"/>
          <w:szCs w:val="21"/>
        </w:rPr>
        <w:t>进度计划的因素和采取的改进</w:t>
      </w:r>
      <w:r>
        <w:rPr>
          <w:rFonts w:ascii="宋体" w:hAnsi="宋体" w:eastAsia="宋体" w:cs="宋体"/>
          <w:spacing w:val="2"/>
          <w:sz w:val="21"/>
          <w:szCs w:val="21"/>
        </w:rPr>
        <w:t>措施、进度计划调整及其说明、质量事故和质量缺陷处理纪录、质量状</w:t>
      </w:r>
      <w:r>
        <w:rPr>
          <w:rFonts w:ascii="宋体" w:hAnsi="宋体" w:eastAsia="宋体" w:cs="宋体"/>
          <w:spacing w:val="1"/>
          <w:sz w:val="21"/>
          <w:szCs w:val="21"/>
        </w:rPr>
        <w:t>况评价、安全施工措施计</w:t>
      </w:r>
      <w:r>
        <w:rPr>
          <w:rFonts w:ascii="宋体" w:hAnsi="宋体" w:eastAsia="宋体" w:cs="宋体"/>
          <w:spacing w:val="2"/>
          <w:sz w:val="21"/>
          <w:szCs w:val="21"/>
        </w:rPr>
        <w:t>划实施情况、安全事故以及人员伤亡和财产损失情况（如果有）、环境</w:t>
      </w:r>
      <w:r>
        <w:rPr>
          <w:rFonts w:ascii="宋体" w:hAnsi="宋体" w:eastAsia="宋体" w:cs="宋体"/>
          <w:spacing w:val="1"/>
          <w:sz w:val="21"/>
          <w:szCs w:val="21"/>
        </w:rPr>
        <w:t>保护措施实施和文明施工</w:t>
      </w:r>
      <w:r>
        <w:rPr>
          <w:rFonts w:ascii="宋体" w:hAnsi="宋体" w:eastAsia="宋体" w:cs="宋体"/>
          <w:spacing w:val="-3"/>
          <w:sz w:val="21"/>
          <w:szCs w:val="21"/>
        </w:rPr>
        <w:t>措施实施情况。</w:t>
      </w:r>
    </w:p>
    <w:p w14:paraId="77088223">
      <w:pPr>
        <w:spacing w:before="1" w:line="284" w:lineRule="auto"/>
        <w:ind w:left="2" w:firstLine="433"/>
        <w:rPr>
          <w:rFonts w:ascii="宋体" w:hAnsi="宋体" w:eastAsia="宋体" w:cs="宋体"/>
          <w:sz w:val="21"/>
          <w:szCs w:val="21"/>
        </w:rPr>
      </w:pPr>
      <w:r>
        <w:rPr>
          <w:rFonts w:ascii="宋体" w:hAnsi="宋体" w:eastAsia="宋体" w:cs="宋体"/>
          <w:spacing w:val="-1"/>
          <w:sz w:val="21"/>
          <w:szCs w:val="21"/>
        </w:rPr>
        <w:t>11.1.4 月进度报告还应附有一组充分显示工程形象进度的定点摄影照片。照片应当在经监理</w:t>
      </w:r>
      <w:r>
        <w:rPr>
          <w:rFonts w:ascii="宋体" w:hAnsi="宋体" w:eastAsia="宋体" w:cs="宋体"/>
          <w:spacing w:val="2"/>
          <w:sz w:val="21"/>
          <w:szCs w:val="21"/>
        </w:rPr>
        <w:t>人批准的不同位置定期拍摄，每张照片都应标上相应的拍摄日期和</w:t>
      </w:r>
      <w:r>
        <w:rPr>
          <w:rFonts w:ascii="宋体" w:hAnsi="宋体" w:eastAsia="宋体" w:cs="宋体"/>
          <w:spacing w:val="1"/>
          <w:sz w:val="21"/>
          <w:szCs w:val="21"/>
        </w:rPr>
        <w:t>简要文字说明，且应用经发包</w:t>
      </w:r>
      <w:r>
        <w:rPr>
          <w:rFonts w:ascii="宋体" w:hAnsi="宋体" w:eastAsia="宋体" w:cs="宋体"/>
          <w:spacing w:val="-1"/>
          <w:sz w:val="21"/>
          <w:szCs w:val="21"/>
        </w:rPr>
        <w:t>人和监理人批准的标准或格式装裱后呈交。</w:t>
      </w:r>
    </w:p>
    <w:p w14:paraId="4BE79CD8">
      <w:pPr>
        <w:spacing w:before="108" w:line="269" w:lineRule="auto"/>
        <w:ind w:firstLine="436"/>
        <w:rPr>
          <w:rFonts w:ascii="宋体" w:hAnsi="宋体" w:eastAsia="宋体" w:cs="宋体"/>
          <w:sz w:val="21"/>
          <w:szCs w:val="21"/>
        </w:rPr>
      </w:pPr>
      <w:r>
        <w:rPr>
          <w:rFonts w:ascii="宋体" w:hAnsi="宋体" w:eastAsia="宋体" w:cs="宋体"/>
          <w:spacing w:val="-1"/>
          <w:sz w:val="21"/>
          <w:szCs w:val="21"/>
        </w:rPr>
        <w:t>11.1.5 各个进度报表的格式和内容应经过监理人的审批。进度报表应如实填写，由承包人授</w:t>
      </w:r>
      <w:r>
        <w:rPr>
          <w:rFonts w:ascii="宋体" w:hAnsi="宋体" w:eastAsia="宋体" w:cs="宋体"/>
          <w:sz w:val="21"/>
          <w:szCs w:val="21"/>
        </w:rPr>
        <w:t>权代表签名，并报监理人的指定代表签名确认后再行分</w:t>
      </w:r>
      <w:r>
        <w:rPr>
          <w:rFonts w:ascii="宋体" w:hAnsi="宋体" w:eastAsia="宋体" w:cs="宋体"/>
          <w:spacing w:val="-1"/>
          <w:sz w:val="21"/>
          <w:szCs w:val="21"/>
        </w:rPr>
        <w:t>发。</w:t>
      </w:r>
    </w:p>
    <w:p w14:paraId="39D3E2A3">
      <w:pPr>
        <w:spacing w:before="109" w:line="268" w:lineRule="auto"/>
        <w:ind w:left="18" w:firstLine="418"/>
        <w:rPr>
          <w:rFonts w:ascii="宋体" w:hAnsi="宋体" w:eastAsia="宋体" w:cs="宋体"/>
          <w:sz w:val="21"/>
          <w:szCs w:val="21"/>
        </w:rPr>
      </w:pPr>
      <w:r>
        <w:rPr>
          <w:rFonts w:ascii="宋体" w:hAnsi="宋体" w:eastAsia="宋体" w:cs="宋体"/>
          <w:spacing w:val="-1"/>
          <w:sz w:val="21"/>
          <w:szCs w:val="21"/>
        </w:rPr>
        <w:t>11.1.6 如果监理人认为必要，进度报告和进度照片应同时以存储在磁盘或光盘中的数据文件</w:t>
      </w:r>
      <w:r>
        <w:rPr>
          <w:rFonts w:ascii="宋体" w:hAnsi="宋体" w:eastAsia="宋体" w:cs="宋体"/>
          <w:sz w:val="21"/>
          <w:szCs w:val="21"/>
        </w:rPr>
        <w:t>的形式递交给发包人和监理人。数据文件采用</w:t>
      </w:r>
      <w:r>
        <w:rPr>
          <w:rFonts w:ascii="宋体" w:hAnsi="宋体" w:eastAsia="宋体" w:cs="宋体"/>
          <w:spacing w:val="-1"/>
          <w:sz w:val="21"/>
          <w:szCs w:val="21"/>
        </w:rPr>
        <w:t>的应用软件及其版本应经过监理人的审批。</w:t>
      </w:r>
    </w:p>
    <w:p w14:paraId="2554CC5D">
      <w:pPr>
        <w:spacing w:before="110" w:line="219" w:lineRule="auto"/>
        <w:ind w:left="436"/>
        <w:rPr>
          <w:rFonts w:ascii="宋体" w:hAnsi="宋体" w:eastAsia="宋体" w:cs="宋体"/>
          <w:spacing w:val="-2"/>
          <w:sz w:val="21"/>
          <w:szCs w:val="21"/>
        </w:rPr>
      </w:pPr>
      <w:r>
        <w:rPr>
          <w:rFonts w:ascii="宋体" w:hAnsi="宋体" w:eastAsia="宋体" w:cs="宋体"/>
          <w:spacing w:val="-2"/>
          <w:sz w:val="21"/>
          <w:szCs w:val="21"/>
        </w:rPr>
        <w:t>11.1.7</w:t>
      </w:r>
      <w:r>
        <w:rPr>
          <w:rFonts w:ascii="宋体" w:hAnsi="宋体" w:eastAsia="宋体" w:cs="宋体"/>
          <w:spacing w:val="-39"/>
          <w:sz w:val="21"/>
          <w:szCs w:val="21"/>
        </w:rPr>
        <w:t xml:space="preserve"> </w:t>
      </w:r>
      <w:r>
        <w:rPr>
          <w:rFonts w:ascii="宋体" w:hAnsi="宋体" w:eastAsia="宋体" w:cs="宋体"/>
          <w:spacing w:val="-2"/>
          <w:sz w:val="21"/>
          <w:szCs w:val="21"/>
        </w:rPr>
        <w:t>有关进度报告的其他要求：</w:t>
      </w:r>
    </w:p>
    <w:p w14:paraId="09ED02FD">
      <w:pPr>
        <w:spacing w:line="400" w:lineRule="exact"/>
        <w:ind w:firstLine="420" w:firstLineChars="200"/>
        <w:rPr>
          <w:rFonts w:ascii="宋体" w:hAnsi="宋体" w:eastAsia="宋体" w:cs="宋体"/>
          <w:spacing w:val="-2"/>
          <w:sz w:val="21"/>
          <w:szCs w:val="21"/>
        </w:rPr>
      </w:pPr>
      <w:r>
        <w:rPr>
          <w:rFonts w:hint="eastAsia"/>
          <w:color w:val="auto"/>
          <w:sz w:val="21"/>
          <w:highlight w:val="none"/>
          <w:u w:val="single"/>
          <w:lang w:val="en-US" w:eastAsia="zh-CN"/>
        </w:rPr>
        <w:t>承包人需确保进度报告内容准确、完整，不得隐瞒或虚报任何影响工程进度的信息。对于监理人提出的关于进度报告的疑问或要求补充的信息，承包人应在规定时间内给予明确答复或提供相应资料。同时，承包人应积极配合监理人对进度报告进行核查，确保报告数据的真实性和可靠性。若因承包人原因导致进度报告失实或延误提交，由此产生的后果由承包人承担</w:t>
      </w:r>
      <w:r>
        <w:rPr>
          <w:rFonts w:hint="eastAsia"/>
          <w:color w:val="auto"/>
          <w:sz w:val="21"/>
          <w:highlight w:val="none"/>
          <w:u w:val="none"/>
          <w:lang w:val="en-US" w:eastAsia="zh-CN"/>
        </w:rPr>
        <w:t>。</w:t>
      </w:r>
    </w:p>
    <w:p w14:paraId="5151D227">
      <w:pPr>
        <w:spacing w:before="196" w:line="219" w:lineRule="auto"/>
        <w:ind w:left="14"/>
        <w:rPr>
          <w:rFonts w:ascii="黑体" w:hAnsi="黑体" w:eastAsia="黑体" w:cs="黑体"/>
          <w:sz w:val="24"/>
          <w:szCs w:val="24"/>
        </w:rPr>
      </w:pPr>
      <w:r>
        <w:rPr>
          <w:rFonts w:ascii="黑体" w:hAnsi="黑体" w:eastAsia="黑体" w:cs="黑体"/>
          <w:spacing w:val="-4"/>
          <w:sz w:val="24"/>
          <w:szCs w:val="24"/>
        </w:rPr>
        <w:t>11.2</w:t>
      </w:r>
      <w:r>
        <w:rPr>
          <w:rFonts w:ascii="黑体" w:hAnsi="黑体" w:eastAsia="黑体" w:cs="黑体"/>
          <w:spacing w:val="-49"/>
          <w:sz w:val="24"/>
          <w:szCs w:val="24"/>
        </w:rPr>
        <w:t xml:space="preserve"> </w:t>
      </w:r>
      <w:r>
        <w:rPr>
          <w:rFonts w:ascii="黑体" w:hAnsi="黑体" w:eastAsia="黑体" w:cs="黑体"/>
          <w:spacing w:val="-4"/>
          <w:sz w:val="24"/>
          <w:szCs w:val="24"/>
        </w:rPr>
        <w:t>进度例会</w:t>
      </w:r>
    </w:p>
    <w:p w14:paraId="01B92F41">
      <w:pPr>
        <w:spacing w:before="114" w:line="284" w:lineRule="auto"/>
        <w:ind w:left="3" w:firstLine="433"/>
        <w:rPr>
          <w:rFonts w:ascii="宋体" w:hAnsi="宋体" w:eastAsia="宋体" w:cs="宋体"/>
          <w:sz w:val="21"/>
          <w:szCs w:val="21"/>
        </w:rPr>
      </w:pPr>
      <w:r>
        <w:rPr>
          <w:rFonts w:ascii="宋体" w:hAnsi="宋体" w:eastAsia="宋体" w:cs="宋体"/>
          <w:spacing w:val="-1"/>
          <w:sz w:val="21"/>
          <w:szCs w:val="21"/>
        </w:rPr>
        <w:t>11.2.1 监理人将主持召开有发包人、承包人、独立承包人和主要分包人等与本工程建设有关</w:t>
      </w:r>
      <w:r>
        <w:rPr>
          <w:rFonts w:ascii="宋体" w:hAnsi="宋体" w:eastAsia="宋体" w:cs="宋体"/>
          <w:spacing w:val="2"/>
          <w:sz w:val="21"/>
          <w:szCs w:val="21"/>
        </w:rPr>
        <w:t>各方出席的每周一次的进度例会。必要时，监理人可随时召集所</w:t>
      </w:r>
      <w:r>
        <w:rPr>
          <w:rFonts w:ascii="宋体" w:hAnsi="宋体" w:eastAsia="宋体" w:cs="宋体"/>
          <w:spacing w:val="1"/>
          <w:sz w:val="21"/>
          <w:szCs w:val="21"/>
        </w:rPr>
        <w:t>有上述各方或其中部分单位参加</w:t>
      </w:r>
      <w:r>
        <w:rPr>
          <w:rFonts w:ascii="宋体" w:hAnsi="宋体" w:eastAsia="宋体" w:cs="宋体"/>
          <w:sz w:val="21"/>
          <w:szCs w:val="21"/>
        </w:rPr>
        <w:t>的会议。承包人应保证能代表其当场作出决定的高级管理人员</w:t>
      </w:r>
      <w:r>
        <w:rPr>
          <w:rFonts w:ascii="宋体" w:hAnsi="宋体" w:eastAsia="宋体" w:cs="宋体"/>
          <w:spacing w:val="-1"/>
          <w:sz w:val="21"/>
          <w:szCs w:val="21"/>
        </w:rPr>
        <w:t>出席会议。</w:t>
      </w:r>
    </w:p>
    <w:p w14:paraId="4C4C2711">
      <w:pPr>
        <w:spacing w:before="110" w:line="268" w:lineRule="auto"/>
        <w:ind w:firstLine="436"/>
        <w:rPr>
          <w:rFonts w:ascii="宋体" w:hAnsi="宋体" w:eastAsia="宋体" w:cs="宋体"/>
          <w:sz w:val="21"/>
          <w:szCs w:val="21"/>
        </w:rPr>
      </w:pPr>
      <w:r>
        <w:rPr>
          <w:rFonts w:ascii="宋体" w:hAnsi="宋体" w:eastAsia="宋体" w:cs="宋体"/>
          <w:sz w:val="21"/>
          <w:szCs w:val="21"/>
        </w:rPr>
        <w:t>11.2.2</w:t>
      </w:r>
      <w:r>
        <w:rPr>
          <w:rFonts w:ascii="宋体" w:hAnsi="宋体" w:eastAsia="宋体" w:cs="宋体"/>
          <w:spacing w:val="-20"/>
          <w:sz w:val="21"/>
          <w:szCs w:val="21"/>
        </w:rPr>
        <w:t xml:space="preserve"> </w:t>
      </w:r>
      <w:r>
        <w:rPr>
          <w:rFonts w:ascii="宋体" w:hAnsi="宋体" w:eastAsia="宋体" w:cs="宋体"/>
          <w:sz w:val="21"/>
          <w:szCs w:val="21"/>
        </w:rPr>
        <w:t>进度例会的内容将涉及合同管理</w:t>
      </w:r>
      <w:r>
        <w:rPr>
          <w:rFonts w:ascii="宋体" w:hAnsi="宋体" w:eastAsia="宋体" w:cs="宋体"/>
          <w:spacing w:val="-1"/>
          <w:sz w:val="21"/>
          <w:szCs w:val="21"/>
        </w:rPr>
        <w:t>、进度协调和工程管理的各个方面，由监理人准备的会议议题将随会议通知在会议召开前至少</w:t>
      </w:r>
      <w:r>
        <w:rPr>
          <w:rFonts w:ascii="宋体" w:hAnsi="宋体" w:eastAsia="宋体" w:cs="宋体"/>
          <w:spacing w:val="-39"/>
          <w:sz w:val="21"/>
          <w:szCs w:val="21"/>
        </w:rPr>
        <w:t xml:space="preserve"> </w:t>
      </w:r>
      <w:r>
        <w:rPr>
          <w:rFonts w:ascii="宋体" w:hAnsi="宋体" w:eastAsia="宋体" w:cs="宋体"/>
          <w:spacing w:val="-1"/>
          <w:sz w:val="21"/>
          <w:szCs w:val="21"/>
        </w:rPr>
        <w:t>24</w:t>
      </w:r>
      <w:r>
        <w:rPr>
          <w:rFonts w:ascii="宋体" w:hAnsi="宋体" w:eastAsia="宋体" w:cs="宋体"/>
          <w:spacing w:val="-41"/>
          <w:sz w:val="21"/>
          <w:szCs w:val="21"/>
        </w:rPr>
        <w:t xml:space="preserve"> </w:t>
      </w:r>
      <w:r>
        <w:rPr>
          <w:rFonts w:ascii="宋体" w:hAnsi="宋体" w:eastAsia="宋体" w:cs="宋体"/>
          <w:spacing w:val="-1"/>
          <w:sz w:val="21"/>
          <w:szCs w:val="21"/>
        </w:rPr>
        <w:t>小时发给各参会方。</w:t>
      </w:r>
    </w:p>
    <w:p w14:paraId="47E95473">
      <w:pPr>
        <w:spacing w:before="109" w:line="303" w:lineRule="auto"/>
        <w:ind w:firstLine="436"/>
        <w:rPr>
          <w:rFonts w:ascii="宋体" w:hAnsi="宋体" w:eastAsia="宋体" w:cs="宋体"/>
          <w:sz w:val="21"/>
          <w:szCs w:val="21"/>
        </w:rPr>
      </w:pPr>
      <w:r>
        <w:rPr>
          <w:rFonts w:ascii="宋体" w:hAnsi="宋体" w:eastAsia="宋体" w:cs="宋体"/>
          <w:spacing w:val="-1"/>
          <w:sz w:val="21"/>
          <w:szCs w:val="21"/>
        </w:rPr>
        <w:t>11.2.3 监理人应当做好会议记录，并在会议结束时由与会各方签字确认。监理人应根据会议记录整理出会议纪要，并在相应会议后</w:t>
      </w:r>
      <w:r>
        <w:rPr>
          <w:rFonts w:ascii="宋体" w:hAnsi="宋体" w:eastAsia="宋体" w:cs="宋体"/>
          <w:spacing w:val="-35"/>
          <w:sz w:val="21"/>
          <w:szCs w:val="21"/>
        </w:rPr>
        <w:t xml:space="preserve"> </w:t>
      </w:r>
      <w:r>
        <w:rPr>
          <w:rFonts w:ascii="宋体" w:hAnsi="宋体" w:eastAsia="宋体" w:cs="宋体"/>
          <w:spacing w:val="-1"/>
          <w:sz w:val="21"/>
          <w:szCs w:val="21"/>
        </w:rPr>
        <w:t>24</w:t>
      </w:r>
      <w:r>
        <w:rPr>
          <w:rFonts w:ascii="宋体" w:hAnsi="宋体" w:eastAsia="宋体" w:cs="宋体"/>
          <w:spacing w:val="-53"/>
          <w:sz w:val="21"/>
          <w:szCs w:val="21"/>
        </w:rPr>
        <w:t xml:space="preserve"> </w:t>
      </w:r>
      <w:r>
        <w:rPr>
          <w:rFonts w:ascii="宋体" w:hAnsi="宋体" w:eastAsia="宋体" w:cs="宋体"/>
          <w:spacing w:val="-1"/>
          <w:sz w:val="21"/>
          <w:szCs w:val="21"/>
        </w:rPr>
        <w:t>小时内分发给出席会议的各方。会议纪要应当如实反映</w:t>
      </w:r>
      <w:r>
        <w:rPr>
          <w:rFonts w:ascii="宋体" w:hAnsi="宋体" w:eastAsia="宋体" w:cs="宋体"/>
          <w:spacing w:val="2"/>
          <w:sz w:val="21"/>
          <w:szCs w:val="21"/>
        </w:rPr>
        <w:t>会议记录的内容，包括任何决定、存在的问题、责任方、有关工作的时</w:t>
      </w:r>
      <w:r>
        <w:rPr>
          <w:rFonts w:ascii="宋体" w:hAnsi="宋体" w:eastAsia="宋体" w:cs="宋体"/>
          <w:spacing w:val="1"/>
          <w:sz w:val="21"/>
          <w:szCs w:val="21"/>
        </w:rPr>
        <w:t>间目标等等。各方在收到</w:t>
      </w:r>
      <w:r>
        <w:rPr>
          <w:rFonts w:ascii="宋体" w:hAnsi="宋体" w:eastAsia="宋体" w:cs="宋体"/>
          <w:spacing w:val="-1"/>
          <w:sz w:val="21"/>
          <w:szCs w:val="21"/>
        </w:rPr>
        <w:t>会议纪要后</w:t>
      </w:r>
      <w:r>
        <w:rPr>
          <w:rFonts w:ascii="宋体" w:hAnsi="宋体" w:eastAsia="宋体" w:cs="宋体"/>
          <w:spacing w:val="-38"/>
          <w:sz w:val="21"/>
          <w:szCs w:val="21"/>
        </w:rPr>
        <w:t xml:space="preserve"> </w:t>
      </w:r>
      <w:r>
        <w:rPr>
          <w:rFonts w:ascii="宋体" w:hAnsi="宋体" w:eastAsia="宋体" w:cs="宋体"/>
          <w:spacing w:val="-1"/>
          <w:sz w:val="21"/>
          <w:szCs w:val="21"/>
        </w:rPr>
        <w:t>24</w:t>
      </w:r>
      <w:r>
        <w:rPr>
          <w:rFonts w:ascii="宋体" w:hAnsi="宋体" w:eastAsia="宋体" w:cs="宋体"/>
          <w:spacing w:val="-50"/>
          <w:sz w:val="21"/>
          <w:szCs w:val="21"/>
        </w:rPr>
        <w:t xml:space="preserve"> </w:t>
      </w:r>
      <w:r>
        <w:rPr>
          <w:rFonts w:ascii="宋体" w:hAnsi="宋体" w:eastAsia="宋体" w:cs="宋体"/>
          <w:spacing w:val="-1"/>
          <w:sz w:val="21"/>
          <w:szCs w:val="21"/>
        </w:rPr>
        <w:t>小时内给予签字确认，如有任何异议，应将有关异议以书面形式通知监理人，由监</w:t>
      </w:r>
      <w:r>
        <w:rPr>
          <w:rFonts w:ascii="宋体" w:hAnsi="宋体" w:eastAsia="宋体" w:cs="宋体"/>
          <w:spacing w:val="2"/>
          <w:sz w:val="21"/>
          <w:szCs w:val="21"/>
        </w:rPr>
        <w:t>理人与有异议一方或各方共同核对会议记录，有异议的一方或者各方对</w:t>
      </w:r>
      <w:r>
        <w:rPr>
          <w:rFonts w:ascii="宋体" w:hAnsi="宋体" w:eastAsia="宋体" w:cs="宋体"/>
          <w:spacing w:val="1"/>
          <w:sz w:val="21"/>
          <w:szCs w:val="21"/>
        </w:rPr>
        <w:t>与会议记录内容一致的会</w:t>
      </w:r>
      <w:r>
        <w:rPr>
          <w:rFonts w:ascii="宋体" w:hAnsi="宋体" w:eastAsia="宋体" w:cs="宋体"/>
          <w:spacing w:val="2"/>
          <w:sz w:val="21"/>
          <w:szCs w:val="21"/>
        </w:rPr>
        <w:t>议纪要必须给予签字确认，否则监理人可以用会议记录作为会议纪要。</w:t>
      </w:r>
      <w:r>
        <w:rPr>
          <w:rFonts w:ascii="宋体" w:hAnsi="宋体" w:eastAsia="宋体" w:cs="宋体"/>
          <w:spacing w:val="1"/>
          <w:sz w:val="21"/>
          <w:szCs w:val="21"/>
        </w:rPr>
        <w:t>经参会各方签字认可的会</w:t>
      </w:r>
      <w:r>
        <w:rPr>
          <w:rFonts w:ascii="宋体" w:hAnsi="宋体" w:eastAsia="宋体" w:cs="宋体"/>
          <w:spacing w:val="-2"/>
          <w:sz w:val="21"/>
          <w:szCs w:val="21"/>
        </w:rPr>
        <w:t>议纪要对各方有合同约束力。</w:t>
      </w:r>
    </w:p>
    <w:p w14:paraId="77F17E61">
      <w:pPr>
        <w:spacing w:before="109" w:line="220" w:lineRule="auto"/>
        <w:ind w:left="436"/>
        <w:rPr>
          <w:rFonts w:ascii="宋体" w:hAnsi="宋体" w:eastAsia="宋体" w:cs="宋体"/>
          <w:spacing w:val="-2"/>
          <w:sz w:val="21"/>
          <w:szCs w:val="21"/>
        </w:rPr>
      </w:pPr>
      <w:r>
        <w:rPr>
          <w:rFonts w:ascii="宋体" w:hAnsi="宋体" w:eastAsia="宋体" w:cs="宋体"/>
          <w:spacing w:val="-2"/>
          <w:sz w:val="21"/>
          <w:szCs w:val="21"/>
        </w:rPr>
        <w:t>11.2.4</w:t>
      </w:r>
      <w:r>
        <w:rPr>
          <w:rFonts w:ascii="宋体" w:hAnsi="宋体" w:eastAsia="宋体" w:cs="宋体"/>
          <w:spacing w:val="-39"/>
          <w:sz w:val="21"/>
          <w:szCs w:val="21"/>
        </w:rPr>
        <w:t xml:space="preserve"> </w:t>
      </w:r>
      <w:r>
        <w:rPr>
          <w:rFonts w:ascii="宋体" w:hAnsi="宋体" w:eastAsia="宋体" w:cs="宋体"/>
          <w:spacing w:val="-2"/>
          <w:sz w:val="21"/>
          <w:szCs w:val="21"/>
        </w:rPr>
        <w:t>有关进度例会的其他要求：</w:t>
      </w:r>
      <w:bookmarkStart w:id="1325" w:name="bookmark418"/>
      <w:bookmarkEnd w:id="1325"/>
    </w:p>
    <w:p w14:paraId="283592DE">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各方应提前做好会议准备，携带与会议议题相关的资料和文件，确保能够充分参与讨论并作出有效决策。对于会议中确定的事项和任务，各方应严格按照会议纪要的要求和时间节点执行，并及时向监理人反馈执行情况。若因特殊情况无法按时完成任务，应及时向监理人说明原因并提出调整方案。同时，监理人应定期对会议纪要的执行情况进行检查和督促，确保工程进度按计划推进。</w:t>
      </w:r>
    </w:p>
    <w:p w14:paraId="62051198">
      <w:pPr>
        <w:spacing w:before="109" w:line="220" w:lineRule="auto"/>
        <w:ind w:left="436"/>
      </w:pPr>
    </w:p>
    <w:p w14:paraId="440090E0">
      <w:pPr>
        <w:spacing w:before="109" w:line="220" w:lineRule="auto"/>
        <w:ind w:left="436"/>
        <w:rPr>
          <w:rFonts w:ascii="黑体" w:hAnsi="黑体" w:eastAsia="黑体" w:cs="黑体"/>
          <w:sz w:val="28"/>
          <w:szCs w:val="28"/>
        </w:rPr>
      </w:pPr>
      <w:r>
        <w:rPr>
          <w:rFonts w:ascii="Times New Roman" w:hAnsi="Times New Roman" w:eastAsia="Times New Roman" w:cs="Times New Roman"/>
          <w:spacing w:val="-4"/>
          <w:sz w:val="28"/>
          <w:szCs w:val="28"/>
        </w:rPr>
        <w:t>12.</w:t>
      </w:r>
      <w:r>
        <w:rPr>
          <w:rFonts w:ascii="黑体" w:hAnsi="黑体" w:eastAsia="黑体" w:cs="黑体"/>
          <w:spacing w:val="-4"/>
          <w:sz w:val="28"/>
          <w:szCs w:val="28"/>
        </w:rPr>
        <w:t>试验和检验</w:t>
      </w:r>
    </w:p>
    <w:p w14:paraId="67E830FF">
      <w:pPr>
        <w:spacing w:before="74" w:line="221" w:lineRule="auto"/>
        <w:jc w:val="right"/>
      </w:pPr>
      <w:r>
        <w:rPr>
          <w:rFonts w:ascii="宋体" w:hAnsi="宋体" w:eastAsia="宋体" w:cs="宋体"/>
          <w:spacing w:val="-1"/>
          <w:sz w:val="21"/>
          <w:szCs w:val="21"/>
        </w:rPr>
        <w:t>12.1 承包人应当按照工程施工验收规范和标准的规定和通用合同条款第 14 条的约定，对用</w:t>
      </w:r>
    </w:p>
    <w:p w14:paraId="411C5090">
      <w:pPr>
        <w:spacing w:before="69" w:line="220" w:lineRule="auto"/>
        <w:ind w:left="4"/>
        <w:rPr>
          <w:rFonts w:ascii="宋体" w:hAnsi="宋体" w:eastAsia="宋体" w:cs="宋体"/>
          <w:sz w:val="21"/>
          <w:szCs w:val="21"/>
        </w:rPr>
      </w:pPr>
      <w:bookmarkStart w:id="1326" w:name="bookmark645"/>
      <w:bookmarkEnd w:id="1326"/>
      <w:r>
        <w:rPr>
          <w:rFonts w:ascii="宋体" w:hAnsi="宋体" w:eastAsia="宋体" w:cs="宋体"/>
          <w:sz w:val="21"/>
          <w:szCs w:val="21"/>
        </w:rPr>
        <w:t>于永久工程的主要材料、半成品、成品、建筑构配件、工程设备等进行试</w:t>
      </w:r>
      <w:r>
        <w:rPr>
          <w:rFonts w:ascii="宋体" w:hAnsi="宋体" w:eastAsia="宋体" w:cs="宋体"/>
          <w:spacing w:val="-1"/>
          <w:sz w:val="21"/>
          <w:szCs w:val="21"/>
        </w:rPr>
        <w:t>验和检验。</w:t>
      </w:r>
    </w:p>
    <w:p w14:paraId="7F6AFBAA">
      <w:pPr>
        <w:spacing w:before="109" w:line="220" w:lineRule="auto"/>
        <w:ind w:left="436"/>
        <w:rPr>
          <w:rFonts w:ascii="宋体" w:hAnsi="宋体" w:eastAsia="宋体" w:cs="宋体"/>
          <w:sz w:val="21"/>
          <w:szCs w:val="21"/>
        </w:rPr>
      </w:pPr>
      <w:r>
        <w:rPr>
          <w:rFonts w:ascii="宋体" w:hAnsi="宋体" w:eastAsia="宋体" w:cs="宋体"/>
          <w:spacing w:val="-2"/>
          <w:sz w:val="21"/>
          <w:szCs w:val="21"/>
        </w:rPr>
        <w:t>12.2</w:t>
      </w:r>
      <w:r>
        <w:rPr>
          <w:rFonts w:ascii="宋体" w:hAnsi="宋体" w:eastAsia="宋体" w:cs="宋体"/>
          <w:spacing w:val="-32"/>
          <w:sz w:val="21"/>
          <w:szCs w:val="21"/>
        </w:rPr>
        <w:t xml:space="preserve"> </w:t>
      </w:r>
      <w:r>
        <w:rPr>
          <w:rFonts w:ascii="宋体" w:hAnsi="宋体" w:eastAsia="宋体" w:cs="宋体"/>
          <w:spacing w:val="-2"/>
          <w:sz w:val="21"/>
          <w:szCs w:val="21"/>
        </w:rPr>
        <w:t>本工程需要承包人进行试验和检验的材料、工程设备和工艺如下：</w:t>
      </w:r>
    </w:p>
    <w:p w14:paraId="67BB787C">
      <w:pPr>
        <w:spacing w:before="246" w:line="45" w:lineRule="exact"/>
        <w:ind w:left="8631"/>
        <w:rPr>
          <w:rFonts w:ascii="宋体" w:hAnsi="宋体" w:eastAsia="宋体" w:cs="宋体"/>
          <w:sz w:val="21"/>
          <w:szCs w:val="21"/>
        </w:rPr>
      </w:pPr>
      <w:r>
        <w:pict>
          <v:shape id="_x0000_s1147" o:spid="_x0000_s1147" o:spt="202" type="#_x0000_t202" style="position:absolute;left:0pt;margin-left:67pt;margin-top:5.45pt;height:14.1pt;width:364.15pt;z-index:251667456;mso-width-relative:page;mso-height-relative:page;" filled="f" stroked="f" coordsize="21600,21600">
            <v:path/>
            <v:fill on="f" focussize="0,0"/>
            <v:stroke on="f"/>
            <v:imagedata o:title=""/>
            <o:lock v:ext="edit" aspectratio="f"/>
            <v:textbox inset="0mm,0mm,0mm,0mm">
              <w:txbxContent>
                <w:p w14:paraId="5B892E77">
                  <w:pPr>
                    <w:pStyle w:val="5"/>
                    <w:tabs>
                      <w:tab w:val="left" w:pos="7262"/>
                    </w:tabs>
                    <w:spacing w:before="20"/>
                    <w:ind w:left="20"/>
                  </w:pPr>
                  <w:r>
                    <w:rPr>
                      <w:rFonts w:hint="eastAsia" w:eastAsia="宋体"/>
                      <w:u w:val="single" w:color="auto"/>
                      <w:lang w:val="en-US" w:eastAsia="zh-CN"/>
                    </w:rPr>
                    <w:t xml:space="preserve">                                  /</w:t>
                  </w:r>
                  <w:r>
                    <w:rPr>
                      <w:u w:val="single" w:color="auto"/>
                    </w:rPr>
                    <w:tab/>
                  </w:r>
                </w:p>
              </w:txbxContent>
            </v:textbox>
          </v:shape>
        </w:pict>
      </w:r>
      <w:r>
        <w:rPr>
          <w:rFonts w:ascii="宋体" w:hAnsi="宋体" w:eastAsia="宋体" w:cs="宋体"/>
          <w:position w:val="-1"/>
          <w:sz w:val="21"/>
          <w:szCs w:val="21"/>
        </w:rPr>
        <w:t>。</w:t>
      </w:r>
    </w:p>
    <w:p w14:paraId="45961530">
      <w:pPr>
        <w:spacing w:before="177" w:line="220" w:lineRule="auto"/>
        <w:ind w:left="421"/>
        <w:rPr>
          <w:rFonts w:ascii="宋体" w:hAnsi="宋体" w:eastAsia="宋体" w:cs="宋体"/>
          <w:sz w:val="21"/>
          <w:szCs w:val="21"/>
        </w:rPr>
      </w:pPr>
      <w:r>
        <w:rPr>
          <w:rFonts w:ascii="宋体" w:hAnsi="宋体" w:eastAsia="宋体" w:cs="宋体"/>
          <w:spacing w:val="-1"/>
          <w:sz w:val="21"/>
          <w:szCs w:val="21"/>
        </w:rPr>
        <w:t>监理人可以根据工程需要，指示承包人进行其他现场材料和工艺的试验和检验。</w:t>
      </w:r>
    </w:p>
    <w:p w14:paraId="1176B50F">
      <w:pPr>
        <w:spacing w:before="110" w:line="220" w:lineRule="auto"/>
        <w:ind w:left="436"/>
        <w:rPr>
          <w:rFonts w:ascii="宋体" w:hAnsi="宋体" w:eastAsia="宋体" w:cs="宋体"/>
          <w:sz w:val="21"/>
          <w:szCs w:val="21"/>
        </w:rPr>
      </w:pPr>
      <w:r>
        <w:rPr>
          <w:rFonts w:ascii="宋体" w:hAnsi="宋体" w:eastAsia="宋体" w:cs="宋体"/>
          <w:spacing w:val="-1"/>
          <w:sz w:val="21"/>
          <w:szCs w:val="21"/>
        </w:rPr>
        <w:t>12.3</w:t>
      </w:r>
      <w:r>
        <w:rPr>
          <w:rFonts w:ascii="宋体" w:hAnsi="宋体" w:eastAsia="宋体" w:cs="宋体"/>
          <w:spacing w:val="-45"/>
          <w:sz w:val="21"/>
          <w:szCs w:val="21"/>
        </w:rPr>
        <w:t xml:space="preserve"> </w:t>
      </w:r>
      <w:r>
        <w:rPr>
          <w:rFonts w:ascii="宋体" w:hAnsi="宋体" w:eastAsia="宋体" w:cs="宋体"/>
          <w:spacing w:val="-1"/>
          <w:sz w:val="21"/>
          <w:szCs w:val="21"/>
        </w:rPr>
        <w:t>本工程需要由监理人和承包人共同进行试验和检验的材料</w:t>
      </w:r>
      <w:r>
        <w:rPr>
          <w:rFonts w:ascii="宋体" w:hAnsi="宋体" w:eastAsia="宋体" w:cs="宋体"/>
          <w:spacing w:val="-2"/>
          <w:sz w:val="21"/>
          <w:szCs w:val="21"/>
        </w:rPr>
        <w:t>、工程设备和工艺如下：</w:t>
      </w:r>
    </w:p>
    <w:p w14:paraId="5DD07E1F">
      <w:pPr>
        <w:pStyle w:val="5"/>
        <w:spacing w:line="304" w:lineRule="auto"/>
      </w:pPr>
    </w:p>
    <w:p w14:paraId="214AFA67">
      <w:pPr>
        <w:pStyle w:val="5"/>
        <w:spacing w:line="304" w:lineRule="auto"/>
      </w:pPr>
    </w:p>
    <w:p w14:paraId="67694323">
      <w:pPr>
        <w:spacing w:before="69" w:line="46" w:lineRule="exact"/>
        <w:ind w:left="8211"/>
        <w:rPr>
          <w:rFonts w:ascii="宋体" w:hAnsi="宋体" w:eastAsia="宋体" w:cs="宋体"/>
          <w:sz w:val="21"/>
          <w:szCs w:val="21"/>
        </w:rPr>
      </w:pPr>
      <w:r>
        <w:pict>
          <v:shape id="_x0000_s1148" o:spid="_x0000_s1148" o:spt="202" type="#_x0000_t202" style="position:absolute;left:0pt;margin-left:46pt;margin-top:-3.4pt;height:14.1pt;width:364.15pt;z-index:251668480;mso-width-relative:page;mso-height-relative:page;" filled="f" stroked="f" coordsize="21600,21600">
            <v:path/>
            <v:fill on="f" focussize="0,0"/>
            <v:stroke on="f"/>
            <v:imagedata o:title=""/>
            <o:lock v:ext="edit" aspectratio="f"/>
            <v:textbox inset="0mm,0mm,0mm,0mm">
              <w:txbxContent>
                <w:p w14:paraId="1CF33148">
                  <w:pPr>
                    <w:pStyle w:val="5"/>
                    <w:tabs>
                      <w:tab w:val="left" w:pos="7262"/>
                    </w:tabs>
                    <w:spacing w:before="20"/>
                    <w:ind w:left="20"/>
                  </w:pPr>
                  <w:r>
                    <w:rPr>
                      <w:rFonts w:hint="eastAsia" w:eastAsia="宋体"/>
                      <w:u w:val="single" w:color="auto"/>
                      <w:lang w:val="en-US" w:eastAsia="zh-CN"/>
                    </w:rPr>
                    <w:t xml:space="preserve">                                    /</w:t>
                  </w:r>
                  <w:r>
                    <w:rPr>
                      <w:u w:val="single" w:color="auto"/>
                    </w:rPr>
                    <w:tab/>
                  </w:r>
                </w:p>
              </w:txbxContent>
            </v:textbox>
          </v:shape>
        </w:pict>
      </w:r>
      <w:r>
        <w:rPr>
          <w:rFonts w:ascii="宋体" w:hAnsi="宋体" w:eastAsia="宋体" w:cs="宋体"/>
          <w:position w:val="-1"/>
          <w:sz w:val="21"/>
          <w:szCs w:val="21"/>
        </w:rPr>
        <w:t>。</w:t>
      </w:r>
    </w:p>
    <w:p w14:paraId="2D30653B">
      <w:pPr>
        <w:spacing w:before="189" w:line="269" w:lineRule="auto"/>
        <w:ind w:left="4" w:right="16" w:firstLine="432"/>
        <w:rPr>
          <w:rFonts w:ascii="宋体" w:hAnsi="宋体" w:eastAsia="宋体" w:cs="宋体"/>
          <w:sz w:val="21"/>
          <w:szCs w:val="21"/>
        </w:rPr>
      </w:pPr>
      <w:r>
        <w:rPr>
          <w:rFonts w:ascii="宋体" w:hAnsi="宋体" w:eastAsia="宋体" w:cs="宋体"/>
          <w:spacing w:val="-2"/>
          <w:sz w:val="21"/>
          <w:szCs w:val="21"/>
        </w:rPr>
        <w:t>12.4 本条上述约定需要进行检验的材料、工程设备和工艺在经过检验并获得监理人批</w:t>
      </w:r>
      <w:r>
        <w:rPr>
          <w:rFonts w:ascii="宋体" w:hAnsi="宋体" w:eastAsia="宋体" w:cs="宋体"/>
          <w:spacing w:val="-3"/>
          <w:sz w:val="21"/>
          <w:szCs w:val="21"/>
        </w:rPr>
        <w:t>准以前，不得用于任何永久工程。</w:t>
      </w:r>
    </w:p>
    <w:p w14:paraId="7596F8F1">
      <w:pPr>
        <w:spacing w:before="111" w:line="292" w:lineRule="auto"/>
        <w:ind w:left="2" w:right="177" w:firstLine="433"/>
        <w:rPr>
          <w:rFonts w:ascii="宋体" w:hAnsi="宋体" w:eastAsia="宋体" w:cs="宋体"/>
          <w:sz w:val="21"/>
          <w:szCs w:val="21"/>
        </w:rPr>
      </w:pPr>
      <w:r>
        <w:rPr>
          <w:rFonts w:ascii="宋体" w:hAnsi="宋体" w:eastAsia="宋体" w:cs="宋体"/>
          <w:spacing w:val="-1"/>
          <w:sz w:val="21"/>
          <w:szCs w:val="21"/>
        </w:rPr>
        <w:t>12.5 承包人应为任何材料、工程设备和工艺的检查、检测和检验提供劳务、电力、燃料、备</w:t>
      </w:r>
      <w:r>
        <w:rPr>
          <w:rFonts w:ascii="宋体" w:hAnsi="宋体" w:eastAsia="宋体" w:cs="宋体"/>
          <w:spacing w:val="2"/>
          <w:sz w:val="21"/>
          <w:szCs w:val="21"/>
        </w:rPr>
        <w:t>用品、设备和仪器以及必要的协助。监理人及其任何授权人员应能</w:t>
      </w:r>
      <w:r>
        <w:rPr>
          <w:rFonts w:ascii="宋体" w:hAnsi="宋体" w:eastAsia="宋体" w:cs="宋体"/>
          <w:spacing w:val="1"/>
          <w:sz w:val="21"/>
          <w:szCs w:val="21"/>
        </w:rPr>
        <w:t>够在任何时候进入现场及正在</w:t>
      </w:r>
      <w:r>
        <w:rPr>
          <w:rFonts w:ascii="宋体" w:hAnsi="宋体" w:eastAsia="宋体" w:cs="宋体"/>
          <w:spacing w:val="2"/>
          <w:sz w:val="21"/>
          <w:szCs w:val="21"/>
        </w:rPr>
        <w:t>为工程制造、装配、准备材料和（或）工程设备的车间和场所进行任何</w:t>
      </w:r>
      <w:r>
        <w:rPr>
          <w:rFonts w:ascii="宋体" w:hAnsi="宋体" w:eastAsia="宋体" w:cs="宋体"/>
          <w:spacing w:val="1"/>
          <w:sz w:val="21"/>
          <w:szCs w:val="21"/>
        </w:rPr>
        <w:t>必要的检查。无论这些车</w:t>
      </w:r>
      <w:r>
        <w:rPr>
          <w:rFonts w:ascii="宋体" w:hAnsi="宋体" w:eastAsia="宋体" w:cs="宋体"/>
          <w:sz w:val="21"/>
          <w:szCs w:val="21"/>
        </w:rPr>
        <w:t>间和场所是否属于承包人，承包人都应提供一切便利，</w:t>
      </w:r>
      <w:r>
        <w:rPr>
          <w:rFonts w:ascii="宋体" w:hAnsi="宋体" w:eastAsia="宋体" w:cs="宋体"/>
          <w:spacing w:val="-1"/>
          <w:sz w:val="21"/>
          <w:szCs w:val="21"/>
        </w:rPr>
        <w:t>并协助其取得相应的权力和（或）许可。</w:t>
      </w:r>
    </w:p>
    <w:p w14:paraId="4D4FEC3C">
      <w:pPr>
        <w:spacing w:before="107" w:line="301" w:lineRule="auto"/>
        <w:ind w:right="177" w:firstLine="435"/>
        <w:rPr>
          <w:rFonts w:ascii="宋体" w:hAnsi="宋体" w:eastAsia="宋体" w:cs="宋体"/>
          <w:sz w:val="21"/>
          <w:szCs w:val="21"/>
        </w:rPr>
      </w:pPr>
      <w:r>
        <w:rPr>
          <w:rFonts w:ascii="宋体" w:hAnsi="宋体" w:eastAsia="宋体" w:cs="宋体"/>
          <w:spacing w:val="-1"/>
          <w:sz w:val="21"/>
          <w:szCs w:val="21"/>
        </w:rPr>
        <w:t>12.6 如果检查、检测、检验或试验的结果表明，材料、工程设备和工艺有缺陷或不符合合同</w:t>
      </w:r>
      <w:r>
        <w:rPr>
          <w:rFonts w:ascii="宋体" w:hAnsi="宋体" w:eastAsia="宋体" w:cs="宋体"/>
          <w:spacing w:val="1"/>
          <w:sz w:val="21"/>
          <w:szCs w:val="21"/>
        </w:rPr>
        <w:t>约定，监理人和发包人可拒收此类材料、工程设备和工艺，并应立即通知承包人同时说明理由。</w:t>
      </w:r>
      <w:r>
        <w:rPr>
          <w:rFonts w:ascii="宋体" w:hAnsi="宋体" w:eastAsia="宋体" w:cs="宋体"/>
          <w:spacing w:val="2"/>
          <w:sz w:val="21"/>
          <w:szCs w:val="21"/>
        </w:rPr>
        <w:t>承包人应立即修复上述缺陷并保证其符合合同约定。</w:t>
      </w:r>
      <w:r>
        <w:rPr>
          <w:rFonts w:ascii="宋体" w:hAnsi="宋体" w:eastAsia="宋体" w:cs="宋体"/>
          <w:spacing w:val="1"/>
          <w:sz w:val="21"/>
          <w:szCs w:val="21"/>
        </w:rPr>
        <w:t>若监理人或发包人要求对此类工程设备、材</w:t>
      </w:r>
      <w:r>
        <w:rPr>
          <w:rFonts w:ascii="宋体" w:hAnsi="宋体" w:eastAsia="宋体" w:cs="宋体"/>
          <w:spacing w:val="2"/>
          <w:sz w:val="21"/>
          <w:szCs w:val="21"/>
        </w:rPr>
        <w:t>料、设计或工艺重新进行检验，则此类检验应按相同条款和条件重新</w:t>
      </w:r>
      <w:r>
        <w:rPr>
          <w:rFonts w:ascii="宋体" w:hAnsi="宋体" w:eastAsia="宋体" w:cs="宋体"/>
          <w:spacing w:val="1"/>
          <w:sz w:val="21"/>
          <w:szCs w:val="21"/>
        </w:rPr>
        <w:t>进行。如果此类拒收和重新</w:t>
      </w:r>
      <w:r>
        <w:rPr>
          <w:rFonts w:ascii="宋体" w:hAnsi="宋体" w:eastAsia="宋体" w:cs="宋体"/>
          <w:spacing w:val="2"/>
          <w:sz w:val="21"/>
          <w:szCs w:val="21"/>
        </w:rPr>
        <w:t>检验致使发包人产生了额外费用，则此类费用应由承包人支付给发包</w:t>
      </w:r>
      <w:r>
        <w:rPr>
          <w:rFonts w:ascii="宋体" w:hAnsi="宋体" w:eastAsia="宋体" w:cs="宋体"/>
          <w:spacing w:val="1"/>
          <w:sz w:val="21"/>
          <w:szCs w:val="21"/>
        </w:rPr>
        <w:t>人，或从发包人应支付给承</w:t>
      </w:r>
      <w:r>
        <w:rPr>
          <w:rFonts w:ascii="宋体" w:hAnsi="宋体" w:eastAsia="宋体" w:cs="宋体"/>
          <w:spacing w:val="-3"/>
          <w:sz w:val="21"/>
          <w:szCs w:val="21"/>
        </w:rPr>
        <w:t>包人的款项中扣除。</w:t>
      </w:r>
    </w:p>
    <w:p w14:paraId="7A30FAEA">
      <w:pPr>
        <w:spacing w:before="108" w:line="269" w:lineRule="auto"/>
        <w:ind w:left="5" w:right="16" w:firstLine="430"/>
        <w:rPr>
          <w:rFonts w:ascii="宋体" w:hAnsi="宋体" w:eastAsia="宋体" w:cs="宋体"/>
          <w:sz w:val="21"/>
          <w:szCs w:val="21"/>
        </w:rPr>
      </w:pPr>
      <w:r>
        <w:rPr>
          <w:rFonts w:ascii="宋体" w:hAnsi="宋体" w:eastAsia="宋体" w:cs="宋体"/>
          <w:spacing w:val="-2"/>
          <w:sz w:val="21"/>
          <w:szCs w:val="21"/>
        </w:rPr>
        <w:t>12.7 承包人应在监理人的监督下，对涉及结构安全的试块、试件以及有关材料进行现</w:t>
      </w:r>
      <w:r>
        <w:rPr>
          <w:rFonts w:ascii="宋体" w:hAnsi="宋体" w:eastAsia="宋体" w:cs="宋体"/>
          <w:spacing w:val="-3"/>
          <w:sz w:val="21"/>
          <w:szCs w:val="21"/>
        </w:rPr>
        <w:t>场取样，</w:t>
      </w:r>
      <w:r>
        <w:rPr>
          <w:rFonts w:ascii="宋体" w:hAnsi="宋体" w:eastAsia="宋体" w:cs="宋体"/>
          <w:spacing w:val="-1"/>
          <w:sz w:val="21"/>
          <w:szCs w:val="21"/>
        </w:rPr>
        <w:t>并送</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具备相应资质的</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1"/>
          <w:sz w:val="21"/>
          <w:szCs w:val="21"/>
        </w:rPr>
        <w:t>质量检测单位进行检测。</w:t>
      </w:r>
    </w:p>
    <w:p w14:paraId="27B5BADA">
      <w:pPr>
        <w:spacing w:before="108" w:line="220" w:lineRule="auto"/>
        <w:jc w:val="right"/>
        <w:rPr>
          <w:rFonts w:ascii="宋体" w:hAnsi="宋体" w:eastAsia="宋体" w:cs="宋体"/>
          <w:sz w:val="21"/>
          <w:szCs w:val="21"/>
        </w:rPr>
      </w:pPr>
      <w:r>
        <w:rPr>
          <w:rFonts w:ascii="宋体" w:hAnsi="宋体" w:eastAsia="宋体" w:cs="宋体"/>
          <w:spacing w:val="-2"/>
          <w:sz w:val="21"/>
          <w:szCs w:val="21"/>
        </w:rPr>
        <w:t>12.8 除合同另有约定外，承包人应负担本合同项下的所有材料、工程设备和工艺检验的费用。</w:t>
      </w:r>
    </w:p>
    <w:p w14:paraId="3E8F861E">
      <w:pPr>
        <w:spacing w:before="82" w:line="236" w:lineRule="auto"/>
        <w:ind w:left="25"/>
        <w:outlineLvl w:val="2"/>
        <w:rPr>
          <w:rFonts w:ascii="黑体" w:hAnsi="黑体" w:eastAsia="黑体" w:cs="黑体"/>
          <w:sz w:val="28"/>
          <w:szCs w:val="28"/>
        </w:rPr>
      </w:pPr>
      <w:bookmarkStart w:id="1327" w:name="bookmark419"/>
      <w:bookmarkEnd w:id="1327"/>
      <w:r>
        <w:rPr>
          <w:rFonts w:ascii="Times New Roman" w:hAnsi="Times New Roman" w:eastAsia="Times New Roman" w:cs="Times New Roman"/>
          <w:spacing w:val="-5"/>
          <w:sz w:val="28"/>
          <w:szCs w:val="28"/>
        </w:rPr>
        <w:t>13.</w:t>
      </w:r>
      <w:r>
        <w:rPr>
          <w:rFonts w:ascii="黑体" w:hAnsi="黑体" w:eastAsia="黑体" w:cs="黑体"/>
          <w:spacing w:val="-5"/>
          <w:sz w:val="28"/>
          <w:szCs w:val="28"/>
        </w:rPr>
        <w:t>计日工</w:t>
      </w:r>
    </w:p>
    <w:p w14:paraId="1EC4ED53">
      <w:pPr>
        <w:spacing w:before="67" w:line="293" w:lineRule="auto"/>
        <w:ind w:left="2" w:right="177" w:firstLine="433"/>
        <w:rPr>
          <w:rFonts w:ascii="宋体" w:hAnsi="宋体" w:eastAsia="宋体" w:cs="宋体"/>
          <w:sz w:val="21"/>
          <w:szCs w:val="21"/>
        </w:rPr>
      </w:pPr>
      <w:r>
        <w:rPr>
          <w:rFonts w:ascii="宋体" w:hAnsi="宋体" w:eastAsia="宋体" w:cs="宋体"/>
          <w:spacing w:val="-1"/>
          <w:sz w:val="21"/>
          <w:szCs w:val="21"/>
        </w:rPr>
        <w:t>13.1 通用合同条款第 15.7 款约定的计日工，一般适用于合同约定之外的或者因变更而产生</w:t>
      </w:r>
      <w:r>
        <w:rPr>
          <w:rFonts w:ascii="宋体" w:hAnsi="宋体" w:eastAsia="宋体" w:cs="宋体"/>
          <w:spacing w:val="2"/>
          <w:sz w:val="21"/>
          <w:szCs w:val="21"/>
        </w:rPr>
        <w:t>的、工程量清单中没有设立相应子目或者即便有相应子目但因工作</w:t>
      </w:r>
      <w:r>
        <w:rPr>
          <w:rFonts w:ascii="宋体" w:hAnsi="宋体" w:eastAsia="宋体" w:cs="宋体"/>
          <w:spacing w:val="1"/>
          <w:sz w:val="21"/>
          <w:szCs w:val="21"/>
        </w:rPr>
        <w:t>条件发生变化而无法适用的额</w:t>
      </w:r>
      <w:r>
        <w:rPr>
          <w:rFonts w:ascii="宋体" w:hAnsi="宋体" w:eastAsia="宋体" w:cs="宋体"/>
          <w:spacing w:val="2"/>
          <w:sz w:val="21"/>
          <w:szCs w:val="21"/>
        </w:rPr>
        <w:t>外工作，尤其是那些时间不允许事先商定价格的额外工作。计日工</w:t>
      </w:r>
      <w:r>
        <w:rPr>
          <w:rFonts w:ascii="宋体" w:hAnsi="宋体" w:eastAsia="宋体" w:cs="宋体"/>
          <w:spacing w:val="1"/>
          <w:sz w:val="21"/>
          <w:szCs w:val="21"/>
        </w:rPr>
        <w:t>在发包人认为必要时，由监理</w:t>
      </w:r>
      <w:r>
        <w:rPr>
          <w:rFonts w:ascii="宋体" w:hAnsi="宋体" w:eastAsia="宋体" w:cs="宋体"/>
          <w:spacing w:val="-2"/>
          <w:sz w:val="21"/>
          <w:szCs w:val="21"/>
        </w:rPr>
        <w:t>人按通用合同条款第</w:t>
      </w:r>
      <w:r>
        <w:rPr>
          <w:rFonts w:ascii="宋体" w:hAnsi="宋体" w:eastAsia="宋体" w:cs="宋体"/>
          <w:spacing w:val="-23"/>
          <w:sz w:val="21"/>
          <w:szCs w:val="21"/>
        </w:rPr>
        <w:t xml:space="preserve"> </w:t>
      </w:r>
      <w:r>
        <w:rPr>
          <w:rFonts w:ascii="宋体" w:hAnsi="宋体" w:eastAsia="宋体" w:cs="宋体"/>
          <w:spacing w:val="-2"/>
          <w:sz w:val="21"/>
          <w:szCs w:val="21"/>
        </w:rPr>
        <w:t>15.7.1</w:t>
      </w:r>
      <w:r>
        <w:rPr>
          <w:rFonts w:ascii="宋体" w:hAnsi="宋体" w:eastAsia="宋体" w:cs="宋体"/>
          <w:spacing w:val="-40"/>
          <w:sz w:val="21"/>
          <w:szCs w:val="21"/>
        </w:rPr>
        <w:t xml:space="preserve"> </w:t>
      </w:r>
      <w:r>
        <w:rPr>
          <w:rFonts w:ascii="宋体" w:hAnsi="宋体" w:eastAsia="宋体" w:cs="宋体"/>
          <w:spacing w:val="-2"/>
          <w:sz w:val="21"/>
          <w:szCs w:val="21"/>
        </w:rPr>
        <w:t>项约定通知承包人实施。</w:t>
      </w:r>
    </w:p>
    <w:p w14:paraId="4EC7B213">
      <w:pPr>
        <w:spacing w:before="108" w:line="285" w:lineRule="auto"/>
        <w:ind w:left="6" w:right="176" w:firstLine="429"/>
        <w:rPr>
          <w:rFonts w:ascii="宋体" w:hAnsi="宋体" w:eastAsia="宋体" w:cs="宋体"/>
          <w:sz w:val="21"/>
          <w:szCs w:val="21"/>
        </w:rPr>
      </w:pPr>
      <w:r>
        <w:rPr>
          <w:rFonts w:ascii="宋体" w:hAnsi="宋体" w:eastAsia="宋体" w:cs="宋体"/>
          <w:spacing w:val="-2"/>
          <w:sz w:val="21"/>
          <w:szCs w:val="21"/>
        </w:rPr>
        <w:t>13.2</w:t>
      </w:r>
      <w:r>
        <w:rPr>
          <w:rFonts w:ascii="宋体" w:hAnsi="宋体" w:eastAsia="宋体" w:cs="宋体"/>
          <w:spacing w:val="-40"/>
          <w:sz w:val="21"/>
          <w:szCs w:val="21"/>
        </w:rPr>
        <w:t xml:space="preserve"> </w:t>
      </w:r>
      <w:r>
        <w:rPr>
          <w:rFonts w:ascii="宋体" w:hAnsi="宋体" w:eastAsia="宋体" w:cs="宋体"/>
          <w:spacing w:val="-2"/>
          <w:sz w:val="21"/>
          <w:szCs w:val="21"/>
        </w:rPr>
        <w:t>在工程实际开工后</w:t>
      </w:r>
      <w:r>
        <w:rPr>
          <w:rFonts w:ascii="宋体" w:hAnsi="宋体" w:eastAsia="宋体" w:cs="宋体"/>
          <w:spacing w:val="-26"/>
          <w:sz w:val="21"/>
          <w:szCs w:val="21"/>
        </w:rPr>
        <w:t xml:space="preserve"> </w:t>
      </w:r>
      <w:r>
        <w:rPr>
          <w:rFonts w:ascii="宋体" w:hAnsi="宋体" w:eastAsia="宋体" w:cs="宋体"/>
          <w:spacing w:val="-2"/>
          <w:sz w:val="21"/>
          <w:szCs w:val="21"/>
        </w:rPr>
        <w:t>14</w:t>
      </w:r>
      <w:r>
        <w:rPr>
          <w:rFonts w:ascii="宋体" w:hAnsi="宋体" w:eastAsia="宋体" w:cs="宋体"/>
          <w:spacing w:val="-35"/>
          <w:sz w:val="21"/>
          <w:szCs w:val="21"/>
        </w:rPr>
        <w:t xml:space="preserve"> </w:t>
      </w:r>
      <w:r>
        <w:rPr>
          <w:rFonts w:ascii="宋体" w:hAnsi="宋体" w:eastAsia="宋体" w:cs="宋体"/>
          <w:spacing w:val="-2"/>
          <w:sz w:val="21"/>
          <w:szCs w:val="21"/>
        </w:rPr>
        <w:t>天内，承包人应当按通用合同条款第</w:t>
      </w:r>
      <w:r>
        <w:rPr>
          <w:rFonts w:ascii="宋体" w:hAnsi="宋体" w:eastAsia="宋体" w:cs="宋体"/>
          <w:spacing w:val="-23"/>
          <w:sz w:val="21"/>
          <w:szCs w:val="21"/>
        </w:rPr>
        <w:t xml:space="preserve"> </w:t>
      </w:r>
      <w:r>
        <w:rPr>
          <w:rFonts w:ascii="宋体" w:hAnsi="宋体" w:eastAsia="宋体" w:cs="宋体"/>
          <w:spacing w:val="-2"/>
          <w:sz w:val="21"/>
          <w:szCs w:val="21"/>
        </w:rPr>
        <w:t>15.7.2</w:t>
      </w:r>
      <w:r>
        <w:rPr>
          <w:rFonts w:ascii="宋体" w:hAnsi="宋体" w:eastAsia="宋体" w:cs="宋体"/>
          <w:spacing w:val="-36"/>
          <w:sz w:val="21"/>
          <w:szCs w:val="21"/>
        </w:rPr>
        <w:t xml:space="preserve"> </w:t>
      </w:r>
      <w:r>
        <w:rPr>
          <w:rFonts w:ascii="宋体" w:hAnsi="宋体" w:eastAsia="宋体" w:cs="宋体"/>
          <w:spacing w:val="-2"/>
          <w:sz w:val="21"/>
          <w:szCs w:val="21"/>
        </w:rPr>
        <w:t>项约定的</w:t>
      </w:r>
      <w:r>
        <w:rPr>
          <w:rFonts w:ascii="宋体" w:hAnsi="宋体" w:eastAsia="宋体" w:cs="宋体"/>
          <w:spacing w:val="-3"/>
          <w:sz w:val="21"/>
          <w:szCs w:val="21"/>
        </w:rPr>
        <w:t>计日工报表</w:t>
      </w:r>
      <w:r>
        <w:rPr>
          <w:rFonts w:ascii="宋体" w:hAnsi="宋体" w:eastAsia="宋体" w:cs="宋体"/>
          <w:spacing w:val="-1"/>
          <w:sz w:val="21"/>
          <w:szCs w:val="21"/>
        </w:rPr>
        <w:t>内容，准备一份计日工日报表的格式，报送监理人审批，监理人应当在收到之日后 7 天内给予批</w:t>
      </w:r>
      <w:r>
        <w:rPr>
          <w:rFonts w:ascii="宋体" w:hAnsi="宋体" w:eastAsia="宋体" w:cs="宋体"/>
          <w:spacing w:val="-3"/>
          <w:sz w:val="21"/>
          <w:szCs w:val="21"/>
        </w:rPr>
        <w:t>复或提出修改意见。</w:t>
      </w:r>
    </w:p>
    <w:p w14:paraId="4731B990">
      <w:pPr>
        <w:spacing w:before="108" w:line="285" w:lineRule="auto"/>
        <w:ind w:left="1" w:right="177" w:firstLine="434"/>
        <w:rPr>
          <w:rFonts w:ascii="宋体" w:hAnsi="宋体" w:eastAsia="宋体" w:cs="宋体"/>
          <w:sz w:val="21"/>
          <w:szCs w:val="21"/>
        </w:rPr>
      </w:pPr>
      <w:r>
        <w:rPr>
          <w:rFonts w:ascii="宋体" w:hAnsi="宋体" w:eastAsia="宋体" w:cs="宋体"/>
          <w:spacing w:val="-1"/>
          <w:sz w:val="21"/>
          <w:szCs w:val="21"/>
        </w:rPr>
        <w:t>13.3 按计日工实施相关变更的过程中，承包人应当按经监理人批准的计日工日报表格式，每天提交计日工报表和有关凭证，报送监理人审批，监理人应当在收到相关报表和凭证后</w:t>
      </w:r>
      <w:r>
        <w:rPr>
          <w:rFonts w:ascii="宋体" w:hAnsi="宋体" w:eastAsia="宋体" w:cs="宋体"/>
          <w:spacing w:val="-39"/>
          <w:sz w:val="21"/>
          <w:szCs w:val="21"/>
        </w:rPr>
        <w:t xml:space="preserve"> </w:t>
      </w:r>
      <w:r>
        <w:rPr>
          <w:rFonts w:ascii="宋体" w:hAnsi="宋体" w:eastAsia="宋体" w:cs="宋体"/>
          <w:spacing w:val="-1"/>
          <w:sz w:val="21"/>
          <w:szCs w:val="21"/>
        </w:rPr>
        <w:t>24</w:t>
      </w:r>
      <w:r>
        <w:rPr>
          <w:rFonts w:ascii="宋体" w:hAnsi="宋体" w:eastAsia="宋体" w:cs="宋体"/>
          <w:spacing w:val="-51"/>
          <w:sz w:val="21"/>
          <w:szCs w:val="21"/>
        </w:rPr>
        <w:t xml:space="preserve"> </w:t>
      </w:r>
      <w:r>
        <w:rPr>
          <w:rFonts w:ascii="宋体" w:hAnsi="宋体" w:eastAsia="宋体" w:cs="宋体"/>
          <w:spacing w:val="-1"/>
          <w:sz w:val="21"/>
          <w:szCs w:val="21"/>
        </w:rPr>
        <w:t>小时内</w:t>
      </w:r>
      <w:r>
        <w:rPr>
          <w:rFonts w:ascii="宋体" w:hAnsi="宋体" w:eastAsia="宋体" w:cs="宋体"/>
          <w:spacing w:val="-5"/>
          <w:sz w:val="21"/>
          <w:szCs w:val="21"/>
        </w:rPr>
        <w:t>给予批复。</w:t>
      </w:r>
    </w:p>
    <w:p w14:paraId="2A73ECE2">
      <w:pPr>
        <w:spacing w:before="107" w:line="285" w:lineRule="auto"/>
        <w:ind w:right="177" w:firstLine="436"/>
        <w:rPr>
          <w:rFonts w:ascii="宋体" w:hAnsi="宋体" w:eastAsia="宋体" w:cs="宋体"/>
          <w:sz w:val="21"/>
          <w:szCs w:val="21"/>
        </w:rPr>
      </w:pPr>
      <w:r>
        <w:rPr>
          <w:rFonts w:ascii="宋体" w:hAnsi="宋体" w:eastAsia="宋体" w:cs="宋体"/>
          <w:spacing w:val="-3"/>
          <w:sz w:val="21"/>
          <w:szCs w:val="21"/>
        </w:rPr>
        <w:t>13.4</w:t>
      </w:r>
      <w:r>
        <w:rPr>
          <w:rFonts w:ascii="宋体" w:hAnsi="宋体" w:eastAsia="宋体" w:cs="宋体"/>
          <w:spacing w:val="-24"/>
          <w:sz w:val="21"/>
          <w:szCs w:val="21"/>
        </w:rPr>
        <w:t xml:space="preserve"> </w:t>
      </w:r>
      <w:r>
        <w:rPr>
          <w:rFonts w:ascii="宋体" w:hAnsi="宋体" w:eastAsia="宋体" w:cs="宋体"/>
          <w:spacing w:val="-3"/>
          <w:sz w:val="21"/>
          <w:szCs w:val="21"/>
        </w:rPr>
        <w:t>计日工劳务按工日（8</w:t>
      </w:r>
      <w:r>
        <w:rPr>
          <w:rFonts w:ascii="宋体" w:hAnsi="宋体" w:eastAsia="宋体" w:cs="宋体"/>
          <w:spacing w:val="-31"/>
          <w:sz w:val="21"/>
          <w:szCs w:val="21"/>
        </w:rPr>
        <w:t xml:space="preserve"> </w:t>
      </w:r>
      <w:r>
        <w:rPr>
          <w:rFonts w:ascii="宋体" w:hAnsi="宋体" w:eastAsia="宋体" w:cs="宋体"/>
          <w:spacing w:val="-3"/>
          <w:sz w:val="21"/>
          <w:szCs w:val="21"/>
        </w:rPr>
        <w:t>小时）计量，单次</w:t>
      </w:r>
      <w:r>
        <w:rPr>
          <w:rFonts w:ascii="宋体" w:hAnsi="宋体" w:eastAsia="宋体" w:cs="宋体"/>
          <w:spacing w:val="-38"/>
          <w:sz w:val="21"/>
          <w:szCs w:val="21"/>
        </w:rPr>
        <w:t xml:space="preserve"> </w:t>
      </w:r>
      <w:r>
        <w:rPr>
          <w:rFonts w:ascii="宋体" w:hAnsi="宋体" w:eastAsia="宋体" w:cs="宋体"/>
          <w:spacing w:val="-3"/>
          <w:sz w:val="21"/>
          <w:szCs w:val="21"/>
        </w:rPr>
        <w:t>4</w:t>
      </w:r>
      <w:r>
        <w:rPr>
          <w:rFonts w:ascii="宋体" w:hAnsi="宋体" w:eastAsia="宋体" w:cs="宋体"/>
          <w:spacing w:val="-31"/>
          <w:sz w:val="21"/>
          <w:szCs w:val="21"/>
        </w:rPr>
        <w:t xml:space="preserve"> </w:t>
      </w:r>
      <w:r>
        <w:rPr>
          <w:rFonts w:ascii="宋体" w:hAnsi="宋体" w:eastAsia="宋体" w:cs="宋体"/>
          <w:spacing w:val="-3"/>
          <w:sz w:val="21"/>
          <w:szCs w:val="21"/>
        </w:rPr>
        <w:t>小时以内按</w:t>
      </w:r>
      <w:r>
        <w:rPr>
          <w:rFonts w:ascii="宋体" w:hAnsi="宋体" w:eastAsia="宋体" w:cs="宋体"/>
          <w:spacing w:val="-35"/>
          <w:sz w:val="21"/>
          <w:szCs w:val="21"/>
        </w:rPr>
        <w:t xml:space="preserve"> </w:t>
      </w:r>
      <w:r>
        <w:rPr>
          <w:rFonts w:ascii="宋体" w:hAnsi="宋体" w:eastAsia="宋体" w:cs="宋体"/>
          <w:spacing w:val="-3"/>
          <w:sz w:val="21"/>
          <w:szCs w:val="21"/>
        </w:rPr>
        <w:t>0.5</w:t>
      </w:r>
      <w:r>
        <w:rPr>
          <w:rFonts w:ascii="宋体" w:hAnsi="宋体" w:eastAsia="宋体" w:cs="宋体"/>
          <w:spacing w:val="-39"/>
          <w:sz w:val="21"/>
          <w:szCs w:val="21"/>
        </w:rPr>
        <w:t xml:space="preserve"> </w:t>
      </w:r>
      <w:r>
        <w:rPr>
          <w:rFonts w:ascii="宋体" w:hAnsi="宋体" w:eastAsia="宋体" w:cs="宋体"/>
          <w:spacing w:val="-3"/>
          <w:sz w:val="21"/>
          <w:szCs w:val="21"/>
        </w:rPr>
        <w:t>个工日，单次</w:t>
      </w:r>
      <w:r>
        <w:rPr>
          <w:rFonts w:ascii="宋体" w:hAnsi="宋体" w:eastAsia="宋体" w:cs="宋体"/>
          <w:spacing w:val="-37"/>
          <w:sz w:val="21"/>
          <w:szCs w:val="21"/>
        </w:rPr>
        <w:t xml:space="preserve"> </w:t>
      </w:r>
      <w:r>
        <w:rPr>
          <w:rFonts w:ascii="宋体" w:hAnsi="宋体" w:eastAsia="宋体" w:cs="宋体"/>
          <w:spacing w:val="-3"/>
          <w:sz w:val="21"/>
          <w:szCs w:val="21"/>
        </w:rPr>
        <w:t>4</w:t>
      </w:r>
      <w:r>
        <w:rPr>
          <w:rFonts w:ascii="宋体" w:hAnsi="宋体" w:eastAsia="宋体" w:cs="宋体"/>
          <w:spacing w:val="-31"/>
          <w:sz w:val="21"/>
          <w:szCs w:val="21"/>
        </w:rPr>
        <w:t xml:space="preserve"> </w:t>
      </w:r>
      <w:r>
        <w:rPr>
          <w:rFonts w:ascii="宋体" w:hAnsi="宋体" w:eastAsia="宋体" w:cs="宋体"/>
          <w:spacing w:val="-3"/>
          <w:sz w:val="21"/>
          <w:szCs w:val="21"/>
        </w:rPr>
        <w:t>小时至</w:t>
      </w:r>
      <w:r>
        <w:rPr>
          <w:rFonts w:ascii="宋体" w:hAnsi="宋体" w:eastAsia="宋体" w:cs="宋体"/>
          <w:spacing w:val="-36"/>
          <w:sz w:val="21"/>
          <w:szCs w:val="21"/>
        </w:rPr>
        <w:t xml:space="preserve"> </w:t>
      </w:r>
      <w:r>
        <w:rPr>
          <w:rFonts w:ascii="宋体" w:hAnsi="宋体" w:eastAsia="宋体" w:cs="宋体"/>
          <w:spacing w:val="-3"/>
          <w:sz w:val="21"/>
          <w:szCs w:val="21"/>
        </w:rPr>
        <w:t>8</w:t>
      </w:r>
      <w:r>
        <w:rPr>
          <w:rFonts w:ascii="宋体" w:hAnsi="宋体" w:eastAsia="宋体" w:cs="宋体"/>
          <w:spacing w:val="-34"/>
          <w:sz w:val="21"/>
          <w:szCs w:val="21"/>
        </w:rPr>
        <w:t xml:space="preserve"> </w:t>
      </w:r>
      <w:r>
        <w:rPr>
          <w:rFonts w:ascii="宋体" w:hAnsi="宋体" w:eastAsia="宋体" w:cs="宋体"/>
          <w:spacing w:val="-3"/>
          <w:sz w:val="21"/>
          <w:szCs w:val="21"/>
        </w:rPr>
        <w:t>小</w:t>
      </w:r>
      <w:r>
        <w:rPr>
          <w:rFonts w:ascii="宋体" w:hAnsi="宋体" w:eastAsia="宋体" w:cs="宋体"/>
          <w:spacing w:val="-1"/>
          <w:sz w:val="21"/>
          <w:szCs w:val="21"/>
        </w:rPr>
        <w:t>时按 1 个工日，加班时间按照国家劳动法律法规的规定办理。实施计日工的劳务人员仅应包括直</w:t>
      </w:r>
      <w:r>
        <w:rPr>
          <w:rFonts w:ascii="宋体" w:hAnsi="宋体" w:eastAsia="宋体" w:cs="宋体"/>
          <w:sz w:val="21"/>
          <w:szCs w:val="21"/>
        </w:rPr>
        <w:t>接从事计日工工作的工人和班组长（如果有</w:t>
      </w:r>
      <w:r>
        <w:rPr>
          <w:rFonts w:ascii="宋体" w:hAnsi="宋体" w:eastAsia="宋体" w:cs="宋体"/>
          <w:spacing w:val="-53"/>
          <w:w w:val="97"/>
          <w:sz w:val="21"/>
          <w:szCs w:val="21"/>
        </w:rPr>
        <w:t>），</w:t>
      </w:r>
      <w:r>
        <w:rPr>
          <w:rFonts w:ascii="宋体" w:hAnsi="宋体" w:eastAsia="宋体" w:cs="宋体"/>
          <w:sz w:val="21"/>
          <w:szCs w:val="21"/>
        </w:rPr>
        <w:t>不应包括工长及其</w:t>
      </w:r>
      <w:r>
        <w:rPr>
          <w:rFonts w:ascii="宋体" w:hAnsi="宋体" w:eastAsia="宋体" w:cs="宋体"/>
          <w:spacing w:val="-1"/>
          <w:sz w:val="21"/>
          <w:szCs w:val="21"/>
        </w:rPr>
        <w:t>以上管理人员。</w:t>
      </w:r>
    </w:p>
    <w:p w14:paraId="330F7063">
      <w:pPr>
        <w:spacing w:before="109" w:line="219" w:lineRule="auto"/>
        <w:ind w:left="436"/>
      </w:pPr>
      <w:r>
        <w:rPr>
          <w:rFonts w:ascii="宋体" w:hAnsi="宋体" w:eastAsia="宋体" w:cs="宋体"/>
          <w:spacing w:val="-1"/>
          <w:sz w:val="21"/>
          <w:szCs w:val="21"/>
        </w:rPr>
        <w:t>13.5 已标价工程量清单计日工材料表中未列出的材料，实际发生于计日工时，其价格按照经</w:t>
      </w:r>
    </w:p>
    <w:p w14:paraId="7E4E7CEB">
      <w:pPr>
        <w:spacing w:before="69" w:line="316" w:lineRule="auto"/>
        <w:ind w:left="2"/>
        <w:jc w:val="both"/>
        <w:rPr>
          <w:rFonts w:ascii="宋体" w:hAnsi="宋体" w:eastAsia="宋体" w:cs="宋体"/>
          <w:sz w:val="21"/>
          <w:szCs w:val="21"/>
        </w:rPr>
      </w:pPr>
      <w:bookmarkStart w:id="1328" w:name="bookmark646"/>
      <w:bookmarkEnd w:id="1328"/>
      <w:r>
        <w:rPr>
          <w:rFonts w:ascii="宋体" w:hAnsi="宋体" w:eastAsia="宋体" w:cs="宋体"/>
          <w:spacing w:val="2"/>
          <w:sz w:val="21"/>
          <w:szCs w:val="21"/>
        </w:rPr>
        <w:t>监理人事先审批的材料运到现场的价格和有关材料采购的发票票面价格（运到现</w:t>
      </w:r>
      <w:r>
        <w:rPr>
          <w:rFonts w:ascii="宋体" w:hAnsi="宋体" w:eastAsia="宋体" w:cs="宋体"/>
          <w:spacing w:val="1"/>
          <w:sz w:val="21"/>
          <w:szCs w:val="21"/>
        </w:rPr>
        <w:t>场价）中的较低者结算，另计一个在计日工材料表中填写的包括承包</w:t>
      </w:r>
      <w:r>
        <w:rPr>
          <w:rFonts w:ascii="宋体" w:hAnsi="宋体" w:eastAsia="宋体" w:cs="宋体"/>
          <w:sz w:val="21"/>
          <w:szCs w:val="21"/>
        </w:rPr>
        <w:t>人企业管理费、利润在内的一个固定百分比，</w:t>
      </w:r>
      <w:r>
        <w:rPr>
          <w:rFonts w:ascii="宋体" w:hAnsi="宋体" w:eastAsia="宋体" w:cs="宋体"/>
          <w:spacing w:val="-1"/>
          <w:sz w:val="21"/>
          <w:szCs w:val="21"/>
        </w:rPr>
        <w:t>规费和税金另计。</w:t>
      </w:r>
    </w:p>
    <w:p w14:paraId="637B3AEC">
      <w:pPr>
        <w:spacing w:line="284" w:lineRule="auto"/>
        <w:ind w:right="155" w:firstLine="436"/>
        <w:rPr>
          <w:rFonts w:ascii="宋体" w:hAnsi="宋体" w:eastAsia="宋体" w:cs="宋体"/>
          <w:sz w:val="21"/>
          <w:szCs w:val="21"/>
        </w:rPr>
      </w:pPr>
      <w:r>
        <w:rPr>
          <w:rFonts w:ascii="宋体" w:hAnsi="宋体" w:eastAsia="宋体" w:cs="宋体"/>
          <w:spacing w:val="-1"/>
          <w:sz w:val="21"/>
          <w:szCs w:val="21"/>
        </w:rPr>
        <w:t>13.6</w:t>
      </w:r>
      <w:r>
        <w:rPr>
          <w:rFonts w:ascii="宋体" w:hAnsi="宋体" w:eastAsia="宋体" w:cs="宋体"/>
          <w:spacing w:val="-47"/>
          <w:sz w:val="21"/>
          <w:szCs w:val="21"/>
        </w:rPr>
        <w:t xml:space="preserve"> </w:t>
      </w:r>
      <w:r>
        <w:rPr>
          <w:rFonts w:ascii="宋体" w:hAnsi="宋体" w:eastAsia="宋体" w:cs="宋体"/>
          <w:spacing w:val="-1"/>
          <w:sz w:val="21"/>
          <w:szCs w:val="21"/>
        </w:rPr>
        <w:t>施工机械按台班计量（8</w:t>
      </w:r>
      <w:r>
        <w:rPr>
          <w:rFonts w:ascii="宋体" w:hAnsi="宋体" w:eastAsia="宋体" w:cs="宋体"/>
          <w:spacing w:val="-40"/>
          <w:sz w:val="21"/>
          <w:szCs w:val="21"/>
        </w:rPr>
        <w:t xml:space="preserve"> </w:t>
      </w:r>
      <w:r>
        <w:rPr>
          <w:rFonts w:ascii="宋体" w:hAnsi="宋体" w:eastAsia="宋体" w:cs="宋体"/>
          <w:spacing w:val="-1"/>
          <w:sz w:val="21"/>
          <w:szCs w:val="21"/>
        </w:rPr>
        <w:t>小时</w:t>
      </w:r>
      <w:r>
        <w:rPr>
          <w:rFonts w:ascii="宋体" w:hAnsi="宋体" w:eastAsia="宋体" w:cs="宋体"/>
          <w:spacing w:val="-53"/>
          <w:w w:val="97"/>
          <w:sz w:val="21"/>
          <w:szCs w:val="21"/>
        </w:rPr>
        <w:t>），</w:t>
      </w:r>
      <w:r>
        <w:rPr>
          <w:rFonts w:ascii="宋体" w:hAnsi="宋体" w:eastAsia="宋体" w:cs="宋体"/>
          <w:spacing w:val="-1"/>
          <w:sz w:val="21"/>
          <w:szCs w:val="21"/>
        </w:rPr>
        <w:t>单次</w:t>
      </w:r>
      <w:r>
        <w:rPr>
          <w:rFonts w:ascii="宋体" w:hAnsi="宋体" w:eastAsia="宋体" w:cs="宋体"/>
          <w:spacing w:val="-48"/>
          <w:sz w:val="21"/>
          <w:szCs w:val="21"/>
        </w:rPr>
        <w:t xml:space="preserve"> </w:t>
      </w:r>
      <w:r>
        <w:rPr>
          <w:rFonts w:ascii="宋体" w:hAnsi="宋体" w:eastAsia="宋体" w:cs="宋体"/>
          <w:spacing w:val="-1"/>
          <w:sz w:val="21"/>
          <w:szCs w:val="21"/>
        </w:rPr>
        <w:t>4</w:t>
      </w:r>
      <w:r>
        <w:rPr>
          <w:rFonts w:ascii="宋体" w:hAnsi="宋体" w:eastAsia="宋体" w:cs="宋体"/>
          <w:spacing w:val="-40"/>
          <w:sz w:val="21"/>
          <w:szCs w:val="21"/>
        </w:rPr>
        <w:t xml:space="preserve"> </w:t>
      </w:r>
      <w:r>
        <w:rPr>
          <w:rFonts w:ascii="宋体" w:hAnsi="宋体" w:eastAsia="宋体" w:cs="宋体"/>
          <w:spacing w:val="-1"/>
          <w:sz w:val="21"/>
          <w:szCs w:val="21"/>
        </w:rPr>
        <w:t>小时以内按</w:t>
      </w:r>
      <w:r>
        <w:rPr>
          <w:rFonts w:ascii="宋体" w:hAnsi="宋体" w:eastAsia="宋体" w:cs="宋体"/>
          <w:spacing w:val="-45"/>
          <w:sz w:val="21"/>
          <w:szCs w:val="21"/>
        </w:rPr>
        <w:t xml:space="preserve"> </w:t>
      </w:r>
      <w:r>
        <w:rPr>
          <w:rFonts w:ascii="宋体" w:hAnsi="宋体" w:eastAsia="宋体" w:cs="宋体"/>
          <w:spacing w:val="-1"/>
          <w:sz w:val="21"/>
          <w:szCs w:val="21"/>
        </w:rPr>
        <w:t>0.5</w:t>
      </w:r>
      <w:r>
        <w:rPr>
          <w:rFonts w:ascii="宋体" w:hAnsi="宋体" w:eastAsia="宋体" w:cs="宋体"/>
          <w:spacing w:val="-46"/>
          <w:sz w:val="21"/>
          <w:szCs w:val="21"/>
        </w:rPr>
        <w:t xml:space="preserve"> </w:t>
      </w:r>
      <w:r>
        <w:rPr>
          <w:rFonts w:ascii="宋体" w:hAnsi="宋体" w:eastAsia="宋体" w:cs="宋体"/>
          <w:spacing w:val="-1"/>
          <w:sz w:val="21"/>
          <w:szCs w:val="21"/>
        </w:rPr>
        <w:t>个台班，</w:t>
      </w:r>
      <w:r>
        <w:rPr>
          <w:rFonts w:ascii="宋体" w:hAnsi="宋体" w:eastAsia="宋体" w:cs="宋体"/>
          <w:spacing w:val="-2"/>
          <w:sz w:val="21"/>
          <w:szCs w:val="21"/>
        </w:rPr>
        <w:t>单次</w:t>
      </w:r>
      <w:r>
        <w:rPr>
          <w:rFonts w:ascii="宋体" w:hAnsi="宋体" w:eastAsia="宋体" w:cs="宋体"/>
          <w:spacing w:val="-48"/>
          <w:sz w:val="21"/>
          <w:szCs w:val="21"/>
        </w:rPr>
        <w:t xml:space="preserve"> </w:t>
      </w:r>
      <w:r>
        <w:rPr>
          <w:rFonts w:ascii="宋体" w:hAnsi="宋体" w:eastAsia="宋体" w:cs="宋体"/>
          <w:spacing w:val="-2"/>
          <w:sz w:val="21"/>
          <w:szCs w:val="21"/>
        </w:rPr>
        <w:t>4</w:t>
      </w:r>
      <w:r>
        <w:rPr>
          <w:rFonts w:ascii="宋体" w:hAnsi="宋体" w:eastAsia="宋体" w:cs="宋体"/>
          <w:spacing w:val="-42"/>
          <w:sz w:val="21"/>
          <w:szCs w:val="21"/>
        </w:rPr>
        <w:t xml:space="preserve"> </w:t>
      </w:r>
      <w:r>
        <w:rPr>
          <w:rFonts w:ascii="宋体" w:hAnsi="宋体" w:eastAsia="宋体" w:cs="宋体"/>
          <w:spacing w:val="-2"/>
          <w:sz w:val="21"/>
          <w:szCs w:val="21"/>
        </w:rPr>
        <w:t>小时至8</w:t>
      </w:r>
      <w:r>
        <w:rPr>
          <w:rFonts w:ascii="宋体" w:hAnsi="宋体" w:eastAsia="宋体" w:cs="宋体"/>
          <w:spacing w:val="-41"/>
          <w:sz w:val="21"/>
          <w:szCs w:val="21"/>
        </w:rPr>
        <w:t xml:space="preserve"> </w:t>
      </w:r>
      <w:r>
        <w:rPr>
          <w:rFonts w:ascii="宋体" w:hAnsi="宋体" w:eastAsia="宋体" w:cs="宋体"/>
          <w:spacing w:val="-2"/>
          <w:sz w:val="21"/>
          <w:szCs w:val="21"/>
        </w:rPr>
        <w:t>小时按</w:t>
      </w:r>
      <w:r>
        <w:rPr>
          <w:rFonts w:ascii="宋体" w:hAnsi="宋体" w:eastAsia="宋体" w:cs="宋体"/>
          <w:spacing w:val="2"/>
          <w:sz w:val="21"/>
          <w:szCs w:val="21"/>
        </w:rPr>
        <w:t>1 个台班，操作人员加班时间按照国家劳动法律法规的规定办</w:t>
      </w:r>
      <w:r>
        <w:rPr>
          <w:rFonts w:ascii="宋体" w:hAnsi="宋体" w:eastAsia="宋体" w:cs="宋体"/>
          <w:spacing w:val="1"/>
          <w:sz w:val="21"/>
          <w:szCs w:val="21"/>
        </w:rPr>
        <w:t>理。计日工如果需要使用场外施工</w:t>
      </w:r>
      <w:r>
        <w:rPr>
          <w:rFonts w:ascii="宋体" w:hAnsi="宋体" w:eastAsia="宋体" w:cs="宋体"/>
          <w:sz w:val="21"/>
          <w:szCs w:val="21"/>
        </w:rPr>
        <w:t>机械，台班费用和进出场费用按市场平均价格，由承包人事后报监理人审</w:t>
      </w:r>
      <w:r>
        <w:rPr>
          <w:rFonts w:ascii="宋体" w:hAnsi="宋体" w:eastAsia="宋体" w:cs="宋体"/>
          <w:spacing w:val="-1"/>
          <w:sz w:val="21"/>
          <w:szCs w:val="21"/>
        </w:rPr>
        <w:t>批。</w:t>
      </w:r>
    </w:p>
    <w:p w14:paraId="2F111F2E">
      <w:pPr>
        <w:spacing w:before="111" w:line="221" w:lineRule="auto"/>
        <w:ind w:left="437"/>
        <w:rPr>
          <w:rFonts w:ascii="宋体" w:hAnsi="宋体" w:eastAsia="宋体" w:cs="宋体"/>
          <w:sz w:val="21"/>
          <w:szCs w:val="21"/>
        </w:rPr>
      </w:pPr>
      <w:r>
        <w:rPr>
          <w:rFonts w:ascii="宋体" w:hAnsi="宋体" w:eastAsia="宋体" w:cs="宋体"/>
          <w:spacing w:val="-4"/>
          <w:sz w:val="21"/>
          <w:szCs w:val="21"/>
        </w:rPr>
        <w:t>13.7</w:t>
      </w:r>
      <w:r>
        <w:rPr>
          <w:rFonts w:ascii="宋体" w:hAnsi="宋体" w:eastAsia="宋体" w:cs="宋体"/>
          <w:spacing w:val="-41"/>
          <w:sz w:val="21"/>
          <w:szCs w:val="21"/>
        </w:rPr>
        <w:t xml:space="preserve"> </w:t>
      </w:r>
      <w:r>
        <w:rPr>
          <w:rFonts w:ascii="宋体" w:hAnsi="宋体" w:eastAsia="宋体" w:cs="宋体"/>
          <w:spacing w:val="-4"/>
          <w:sz w:val="21"/>
          <w:szCs w:val="21"/>
        </w:rPr>
        <w:t>关于计日工的其他约定：</w:t>
      </w:r>
    </w:p>
    <w:p w14:paraId="2E73E95E">
      <w:pPr>
        <w:spacing w:before="275" w:line="46" w:lineRule="exact"/>
        <w:ind w:left="8212"/>
        <w:rPr>
          <w:rFonts w:ascii="宋体" w:hAnsi="宋体" w:eastAsia="宋体" w:cs="宋体"/>
          <w:sz w:val="21"/>
          <w:szCs w:val="21"/>
        </w:rPr>
      </w:pPr>
      <w:r>
        <w:pict>
          <v:shape id="_x0000_s1149" o:spid="_x0000_s1149" o:spt="202" type="#_x0000_t202" style="position:absolute;left:0pt;margin-left:46.05pt;margin-top:6.95pt;height:14.1pt;width:364.15pt;z-index:251669504;mso-width-relative:page;mso-height-relative:page;" filled="f" stroked="f" coordsize="21600,21600">
            <v:path/>
            <v:fill on="f" focussize="0,0"/>
            <v:stroke on="f"/>
            <v:imagedata o:title=""/>
            <o:lock v:ext="edit" aspectratio="f"/>
            <v:textbox inset="0mm,0mm,0mm,0mm">
              <w:txbxContent>
                <w:p w14:paraId="7E40C883">
                  <w:pPr>
                    <w:pStyle w:val="5"/>
                    <w:tabs>
                      <w:tab w:val="left" w:pos="7262"/>
                    </w:tabs>
                    <w:spacing w:before="20"/>
                    <w:ind w:left="20"/>
                  </w:pPr>
                  <w:r>
                    <w:rPr>
                      <w:rFonts w:hint="eastAsia" w:eastAsia="宋体"/>
                      <w:u w:val="single" w:color="auto"/>
                      <w:lang w:val="en-US" w:eastAsia="zh-CN"/>
                    </w:rPr>
                    <w:t xml:space="preserve">                                       /</w:t>
                  </w:r>
                  <w:r>
                    <w:rPr>
                      <w:u w:val="single" w:color="auto"/>
                    </w:rPr>
                    <w:tab/>
                  </w:r>
                </w:p>
              </w:txbxContent>
            </v:textbox>
          </v:shape>
        </w:pict>
      </w:r>
      <w:r>
        <w:rPr>
          <w:rFonts w:ascii="宋体" w:hAnsi="宋体" w:eastAsia="宋体" w:cs="宋体"/>
          <w:position w:val="-1"/>
          <w:sz w:val="21"/>
          <w:szCs w:val="21"/>
        </w:rPr>
        <w:t>。</w:t>
      </w:r>
    </w:p>
    <w:p w14:paraId="2158A084">
      <w:pPr>
        <w:spacing w:before="162" w:line="235" w:lineRule="auto"/>
        <w:ind w:left="26"/>
        <w:outlineLvl w:val="2"/>
        <w:rPr>
          <w:rFonts w:ascii="黑体" w:hAnsi="黑体" w:eastAsia="黑体" w:cs="黑体"/>
          <w:sz w:val="28"/>
          <w:szCs w:val="28"/>
        </w:rPr>
      </w:pPr>
      <w:bookmarkStart w:id="1329" w:name="bookmark420"/>
      <w:bookmarkEnd w:id="1329"/>
      <w:r>
        <w:rPr>
          <w:rFonts w:ascii="Times New Roman" w:hAnsi="Times New Roman" w:eastAsia="Times New Roman" w:cs="Times New Roman"/>
          <w:spacing w:val="-4"/>
          <w:sz w:val="28"/>
          <w:szCs w:val="28"/>
        </w:rPr>
        <w:t>14.</w:t>
      </w:r>
      <w:r>
        <w:rPr>
          <w:rFonts w:ascii="黑体" w:hAnsi="黑体" w:eastAsia="黑体" w:cs="黑体"/>
          <w:spacing w:val="-4"/>
          <w:sz w:val="28"/>
          <w:szCs w:val="28"/>
        </w:rPr>
        <w:t>计量与支付</w:t>
      </w:r>
    </w:p>
    <w:p w14:paraId="5FD53413">
      <w:pPr>
        <w:spacing w:before="75" w:line="220" w:lineRule="auto"/>
        <w:ind w:left="15"/>
        <w:rPr>
          <w:rFonts w:ascii="黑体" w:hAnsi="黑体" w:eastAsia="黑体" w:cs="黑体"/>
          <w:sz w:val="24"/>
          <w:szCs w:val="24"/>
        </w:rPr>
      </w:pPr>
      <w:r>
        <w:rPr>
          <w:rFonts w:ascii="黑体" w:hAnsi="黑体" w:eastAsia="黑体" w:cs="黑体"/>
          <w:spacing w:val="-4"/>
          <w:sz w:val="24"/>
          <w:szCs w:val="24"/>
        </w:rPr>
        <w:t>14.1</w:t>
      </w:r>
      <w:r>
        <w:rPr>
          <w:rFonts w:ascii="黑体" w:hAnsi="黑体" w:eastAsia="黑体" w:cs="黑体"/>
          <w:spacing w:val="-45"/>
          <w:sz w:val="24"/>
          <w:szCs w:val="24"/>
        </w:rPr>
        <w:t xml:space="preserve"> </w:t>
      </w:r>
      <w:r>
        <w:rPr>
          <w:rFonts w:ascii="黑体" w:hAnsi="黑体" w:eastAsia="黑体" w:cs="黑体"/>
          <w:spacing w:val="-4"/>
          <w:sz w:val="24"/>
          <w:szCs w:val="24"/>
        </w:rPr>
        <w:t>付款申请单</w:t>
      </w:r>
    </w:p>
    <w:p w14:paraId="6FEDFDFF">
      <w:pPr>
        <w:spacing w:before="107" w:line="285" w:lineRule="auto"/>
        <w:ind w:left="1" w:right="157" w:firstLine="435"/>
        <w:rPr>
          <w:rFonts w:ascii="宋体" w:hAnsi="宋体" w:eastAsia="宋体" w:cs="宋体"/>
          <w:sz w:val="21"/>
          <w:szCs w:val="21"/>
        </w:rPr>
      </w:pPr>
      <w:r>
        <w:rPr>
          <w:rFonts w:ascii="宋体" w:hAnsi="宋体" w:eastAsia="宋体" w:cs="宋体"/>
          <w:spacing w:val="-2"/>
          <w:sz w:val="21"/>
          <w:szCs w:val="21"/>
        </w:rPr>
        <w:t>14.1.1</w:t>
      </w:r>
      <w:r>
        <w:rPr>
          <w:rFonts w:ascii="宋体" w:hAnsi="宋体" w:eastAsia="宋体" w:cs="宋体"/>
          <w:spacing w:val="-43"/>
          <w:sz w:val="21"/>
          <w:szCs w:val="21"/>
        </w:rPr>
        <w:t xml:space="preserve"> </w:t>
      </w:r>
      <w:r>
        <w:rPr>
          <w:rFonts w:ascii="宋体" w:hAnsi="宋体" w:eastAsia="宋体" w:cs="宋体"/>
          <w:spacing w:val="-2"/>
          <w:sz w:val="21"/>
          <w:szCs w:val="21"/>
        </w:rPr>
        <w:t>在工程实际开工后</w:t>
      </w:r>
      <w:r>
        <w:rPr>
          <w:rFonts w:ascii="宋体" w:hAnsi="宋体" w:eastAsia="宋体" w:cs="宋体"/>
          <w:spacing w:val="-26"/>
          <w:sz w:val="21"/>
          <w:szCs w:val="21"/>
        </w:rPr>
        <w:t xml:space="preserve"> </w:t>
      </w:r>
      <w:r>
        <w:rPr>
          <w:rFonts w:ascii="宋体" w:hAnsi="宋体" w:eastAsia="宋体" w:cs="宋体"/>
          <w:spacing w:val="-2"/>
          <w:sz w:val="21"/>
          <w:szCs w:val="21"/>
        </w:rPr>
        <w:t>14</w:t>
      </w:r>
      <w:r>
        <w:rPr>
          <w:rFonts w:ascii="宋体" w:hAnsi="宋体" w:eastAsia="宋体" w:cs="宋体"/>
          <w:spacing w:val="-35"/>
          <w:sz w:val="21"/>
          <w:szCs w:val="21"/>
        </w:rPr>
        <w:t xml:space="preserve"> </w:t>
      </w:r>
      <w:r>
        <w:rPr>
          <w:rFonts w:ascii="宋体" w:hAnsi="宋体" w:eastAsia="宋体" w:cs="宋体"/>
          <w:spacing w:val="-2"/>
          <w:sz w:val="21"/>
          <w:szCs w:val="21"/>
        </w:rPr>
        <w:t>天内，承包人应当按照合同条款第</w:t>
      </w:r>
      <w:r>
        <w:rPr>
          <w:rFonts w:ascii="宋体" w:hAnsi="宋体" w:eastAsia="宋体" w:cs="宋体"/>
          <w:spacing w:val="-23"/>
          <w:sz w:val="21"/>
          <w:szCs w:val="21"/>
        </w:rPr>
        <w:t xml:space="preserve"> </w:t>
      </w:r>
      <w:r>
        <w:rPr>
          <w:rFonts w:ascii="宋体" w:hAnsi="宋体" w:eastAsia="宋体" w:cs="宋体"/>
          <w:spacing w:val="-2"/>
          <w:sz w:val="21"/>
          <w:szCs w:val="21"/>
        </w:rPr>
        <w:t>17</w:t>
      </w:r>
      <w:r>
        <w:rPr>
          <w:rFonts w:ascii="宋体" w:hAnsi="宋体" w:eastAsia="宋体" w:cs="宋体"/>
          <w:spacing w:val="-40"/>
          <w:sz w:val="21"/>
          <w:szCs w:val="21"/>
        </w:rPr>
        <w:t xml:space="preserve"> </w:t>
      </w:r>
      <w:r>
        <w:rPr>
          <w:rFonts w:ascii="宋体" w:hAnsi="宋体" w:eastAsia="宋体" w:cs="宋体"/>
          <w:spacing w:val="-2"/>
          <w:sz w:val="21"/>
          <w:szCs w:val="21"/>
        </w:rPr>
        <w:t>条的约定，准备一份已完</w:t>
      </w:r>
      <w:r>
        <w:rPr>
          <w:rFonts w:ascii="宋体" w:hAnsi="宋体" w:eastAsia="宋体" w:cs="宋体"/>
          <w:spacing w:val="2"/>
          <w:sz w:val="21"/>
          <w:szCs w:val="21"/>
        </w:rPr>
        <w:t>工程量报表、进度付款申请单和计量文件的格式等报送监理人，监理</w:t>
      </w:r>
      <w:r>
        <w:rPr>
          <w:rFonts w:ascii="宋体" w:hAnsi="宋体" w:eastAsia="宋体" w:cs="宋体"/>
          <w:spacing w:val="1"/>
          <w:sz w:val="21"/>
          <w:szCs w:val="21"/>
        </w:rPr>
        <w:t>人应当在收到承包人报送的</w:t>
      </w:r>
      <w:r>
        <w:rPr>
          <w:rFonts w:ascii="宋体" w:hAnsi="宋体" w:eastAsia="宋体" w:cs="宋体"/>
          <w:spacing w:val="-2"/>
          <w:sz w:val="21"/>
          <w:szCs w:val="21"/>
        </w:rPr>
        <w:t>格式后</w:t>
      </w:r>
      <w:r>
        <w:rPr>
          <w:rFonts w:ascii="宋体" w:hAnsi="宋体" w:eastAsia="宋体" w:cs="宋体"/>
          <w:spacing w:val="-32"/>
          <w:sz w:val="21"/>
          <w:szCs w:val="21"/>
        </w:rPr>
        <w:t xml:space="preserve"> </w:t>
      </w:r>
      <w:r>
        <w:rPr>
          <w:rFonts w:ascii="宋体" w:hAnsi="宋体" w:eastAsia="宋体" w:cs="宋体"/>
          <w:spacing w:val="-2"/>
          <w:sz w:val="21"/>
          <w:szCs w:val="21"/>
        </w:rPr>
        <w:t>7</w:t>
      </w:r>
      <w:r>
        <w:rPr>
          <w:rFonts w:ascii="宋体" w:hAnsi="宋体" w:eastAsia="宋体" w:cs="宋体"/>
          <w:spacing w:val="-40"/>
          <w:sz w:val="21"/>
          <w:szCs w:val="21"/>
        </w:rPr>
        <w:t xml:space="preserve"> </w:t>
      </w:r>
      <w:r>
        <w:rPr>
          <w:rFonts w:ascii="宋体" w:hAnsi="宋体" w:eastAsia="宋体" w:cs="宋体"/>
          <w:spacing w:val="-2"/>
          <w:sz w:val="21"/>
          <w:szCs w:val="21"/>
        </w:rPr>
        <w:t>天内给予批复或者提出修改意见。</w:t>
      </w:r>
    </w:p>
    <w:p w14:paraId="530CFC9E">
      <w:pPr>
        <w:spacing w:before="111" w:line="297" w:lineRule="auto"/>
        <w:ind w:right="157" w:firstLine="437"/>
        <w:rPr>
          <w:rFonts w:ascii="宋体" w:hAnsi="宋体" w:eastAsia="宋体" w:cs="宋体"/>
          <w:sz w:val="21"/>
          <w:szCs w:val="21"/>
        </w:rPr>
      </w:pPr>
      <w:r>
        <w:rPr>
          <w:rFonts w:ascii="宋体" w:hAnsi="宋体" w:eastAsia="宋体" w:cs="宋体"/>
          <w:spacing w:val="-2"/>
          <w:sz w:val="21"/>
          <w:szCs w:val="21"/>
        </w:rPr>
        <w:t>14.1.2</w:t>
      </w:r>
      <w:r>
        <w:rPr>
          <w:rFonts w:ascii="宋体" w:hAnsi="宋体" w:eastAsia="宋体" w:cs="宋体"/>
          <w:spacing w:val="-42"/>
          <w:sz w:val="21"/>
          <w:szCs w:val="21"/>
        </w:rPr>
        <w:t xml:space="preserve"> </w:t>
      </w:r>
      <w:r>
        <w:rPr>
          <w:rFonts w:ascii="宋体" w:hAnsi="宋体" w:eastAsia="宋体" w:cs="宋体"/>
          <w:spacing w:val="-2"/>
          <w:sz w:val="21"/>
          <w:szCs w:val="21"/>
        </w:rPr>
        <w:t>根据合同条款第</w:t>
      </w:r>
      <w:r>
        <w:rPr>
          <w:rFonts w:ascii="宋体" w:hAnsi="宋体" w:eastAsia="宋体" w:cs="宋体"/>
          <w:spacing w:val="-25"/>
          <w:sz w:val="21"/>
          <w:szCs w:val="21"/>
        </w:rPr>
        <w:t xml:space="preserve"> </w:t>
      </w:r>
      <w:r>
        <w:rPr>
          <w:rFonts w:ascii="宋体" w:hAnsi="宋体" w:eastAsia="宋体" w:cs="宋体"/>
          <w:spacing w:val="-2"/>
          <w:sz w:val="21"/>
          <w:szCs w:val="21"/>
        </w:rPr>
        <w:t>17.1</w:t>
      </w:r>
      <w:r>
        <w:rPr>
          <w:rFonts w:ascii="宋体" w:hAnsi="宋体" w:eastAsia="宋体" w:cs="宋体"/>
          <w:spacing w:val="-39"/>
          <w:sz w:val="21"/>
          <w:szCs w:val="21"/>
        </w:rPr>
        <w:t xml:space="preserve"> </w:t>
      </w:r>
      <w:r>
        <w:rPr>
          <w:rFonts w:ascii="宋体" w:hAnsi="宋体" w:eastAsia="宋体" w:cs="宋体"/>
          <w:spacing w:val="-2"/>
          <w:sz w:val="21"/>
          <w:szCs w:val="21"/>
        </w:rPr>
        <w:t>款和第</w:t>
      </w:r>
      <w:r>
        <w:rPr>
          <w:rFonts w:ascii="宋体" w:hAnsi="宋体" w:eastAsia="宋体" w:cs="宋体"/>
          <w:spacing w:val="-25"/>
          <w:sz w:val="21"/>
          <w:szCs w:val="21"/>
        </w:rPr>
        <w:t xml:space="preserve"> </w:t>
      </w:r>
      <w:r>
        <w:rPr>
          <w:rFonts w:ascii="宋体" w:hAnsi="宋体" w:eastAsia="宋体" w:cs="宋体"/>
          <w:spacing w:val="-2"/>
          <w:sz w:val="21"/>
          <w:szCs w:val="21"/>
        </w:rPr>
        <w:t>17.3</w:t>
      </w:r>
      <w:r>
        <w:rPr>
          <w:rFonts w:ascii="宋体" w:hAnsi="宋体" w:eastAsia="宋体" w:cs="宋体"/>
          <w:spacing w:val="-39"/>
          <w:sz w:val="21"/>
          <w:szCs w:val="21"/>
        </w:rPr>
        <w:t xml:space="preserve"> </w:t>
      </w:r>
      <w:r>
        <w:rPr>
          <w:rFonts w:ascii="宋体" w:hAnsi="宋体" w:eastAsia="宋体" w:cs="宋体"/>
          <w:spacing w:val="-2"/>
          <w:sz w:val="21"/>
          <w:szCs w:val="21"/>
        </w:rPr>
        <w:t>款，承包人应当在合同约定的每个付款周期末，对</w:t>
      </w:r>
      <w:r>
        <w:rPr>
          <w:rFonts w:ascii="宋体" w:hAnsi="宋体" w:eastAsia="宋体" w:cs="宋体"/>
          <w:spacing w:val="-1"/>
          <w:sz w:val="21"/>
          <w:szCs w:val="21"/>
        </w:rPr>
        <w:t>当期完成的各项工程量进行计量和计价，并按照第</w:t>
      </w:r>
      <w:r>
        <w:rPr>
          <w:rFonts w:ascii="宋体" w:hAnsi="宋体" w:eastAsia="宋体" w:cs="宋体"/>
          <w:spacing w:val="-33"/>
          <w:sz w:val="21"/>
          <w:szCs w:val="21"/>
        </w:rPr>
        <w:t xml:space="preserve"> </w:t>
      </w:r>
      <w:r>
        <w:rPr>
          <w:rFonts w:ascii="宋体" w:hAnsi="宋体" w:eastAsia="宋体" w:cs="宋体"/>
          <w:spacing w:val="-1"/>
          <w:sz w:val="21"/>
          <w:szCs w:val="21"/>
        </w:rPr>
        <w:t>17.3.2</w:t>
      </w:r>
      <w:r>
        <w:rPr>
          <w:rFonts w:ascii="宋体" w:hAnsi="宋体" w:eastAsia="宋体" w:cs="宋体"/>
          <w:spacing w:val="-55"/>
          <w:sz w:val="21"/>
          <w:szCs w:val="21"/>
        </w:rPr>
        <w:t xml:space="preserve"> </w:t>
      </w:r>
      <w:r>
        <w:rPr>
          <w:rFonts w:ascii="宋体" w:hAnsi="宋体" w:eastAsia="宋体" w:cs="宋体"/>
          <w:spacing w:val="-1"/>
          <w:sz w:val="21"/>
          <w:szCs w:val="21"/>
        </w:rPr>
        <w:t>项的约定，对当期应增加和扣减的各类</w:t>
      </w:r>
      <w:r>
        <w:rPr>
          <w:rFonts w:ascii="宋体" w:hAnsi="宋体" w:eastAsia="宋体" w:cs="宋体"/>
          <w:spacing w:val="2"/>
          <w:sz w:val="21"/>
          <w:szCs w:val="21"/>
        </w:rPr>
        <w:t>款项进行梳理和汇总，按经监理人批准的格式和专用合同条款约定的份数</w:t>
      </w:r>
      <w:r>
        <w:rPr>
          <w:rFonts w:ascii="宋体" w:hAnsi="宋体" w:eastAsia="宋体" w:cs="宋体"/>
          <w:spacing w:val="1"/>
          <w:sz w:val="21"/>
          <w:szCs w:val="21"/>
        </w:rPr>
        <w:t>和内容准备并向监理人</w:t>
      </w:r>
      <w:r>
        <w:rPr>
          <w:rFonts w:ascii="宋体" w:hAnsi="宋体" w:eastAsia="宋体" w:cs="宋体"/>
          <w:spacing w:val="2"/>
          <w:sz w:val="21"/>
          <w:szCs w:val="21"/>
        </w:rPr>
        <w:t>递交进度付款申请单，并将进度付款申请单连同已完工程量报表、有关计</w:t>
      </w:r>
      <w:r>
        <w:rPr>
          <w:rFonts w:ascii="宋体" w:hAnsi="宋体" w:eastAsia="宋体" w:cs="宋体"/>
          <w:spacing w:val="1"/>
          <w:sz w:val="21"/>
          <w:szCs w:val="21"/>
        </w:rPr>
        <w:t>量资料以及能够证明其</w:t>
      </w:r>
      <w:r>
        <w:rPr>
          <w:rFonts w:ascii="宋体" w:hAnsi="宋体" w:eastAsia="宋体" w:cs="宋体"/>
          <w:sz w:val="21"/>
          <w:szCs w:val="21"/>
        </w:rPr>
        <w:t>进度付款申请单中所索要款项符合合同约定的各个支持性文件同时报送监理人审批。</w:t>
      </w:r>
    </w:p>
    <w:p w14:paraId="13936D97">
      <w:pPr>
        <w:spacing w:before="110" w:line="292" w:lineRule="auto"/>
        <w:ind w:right="155" w:firstLine="436"/>
        <w:rPr>
          <w:rFonts w:ascii="宋体" w:hAnsi="宋体" w:eastAsia="宋体" w:cs="宋体"/>
          <w:sz w:val="21"/>
          <w:szCs w:val="21"/>
        </w:rPr>
      </w:pPr>
      <w:r>
        <w:rPr>
          <w:rFonts w:ascii="宋体" w:hAnsi="宋体" w:eastAsia="宋体" w:cs="宋体"/>
          <w:spacing w:val="-2"/>
          <w:sz w:val="21"/>
          <w:szCs w:val="21"/>
        </w:rPr>
        <w:t>14.1.3 竣工付款申诅单的内容按专用合同条款第 17.5.1（1）</w:t>
      </w:r>
      <w:r>
        <w:rPr>
          <w:rFonts w:ascii="宋体" w:hAnsi="宋体" w:eastAsia="宋体" w:cs="宋体"/>
          <w:spacing w:val="-52"/>
          <w:sz w:val="21"/>
          <w:szCs w:val="21"/>
        </w:rPr>
        <w:t xml:space="preserve"> </w:t>
      </w:r>
      <w:r>
        <w:rPr>
          <w:rFonts w:ascii="宋体" w:hAnsi="宋体" w:eastAsia="宋体" w:cs="宋体"/>
          <w:spacing w:val="-2"/>
          <w:sz w:val="21"/>
          <w:szCs w:val="21"/>
        </w:rPr>
        <w:t>目的约定。采用单价合同形式</w:t>
      </w:r>
      <w:r>
        <w:rPr>
          <w:rFonts w:ascii="宋体" w:hAnsi="宋体" w:eastAsia="宋体" w:cs="宋体"/>
          <w:sz w:val="21"/>
          <w:szCs w:val="21"/>
        </w:rPr>
        <w:t>的，竣工付款申请单应当附上按通用合同条款第</w:t>
      </w:r>
      <w:r>
        <w:rPr>
          <w:rFonts w:ascii="宋体" w:hAnsi="宋体" w:eastAsia="宋体" w:cs="宋体"/>
          <w:spacing w:val="27"/>
          <w:sz w:val="21"/>
          <w:szCs w:val="21"/>
        </w:rPr>
        <w:t xml:space="preserve"> </w:t>
      </w:r>
      <w:r>
        <w:rPr>
          <w:rFonts w:ascii="宋体" w:hAnsi="宋体" w:eastAsia="宋体" w:cs="宋体"/>
          <w:sz w:val="21"/>
          <w:szCs w:val="21"/>
        </w:rPr>
        <w:t>17.1.4（5）</w:t>
      </w:r>
      <w:r>
        <w:rPr>
          <w:rFonts w:ascii="宋体" w:hAnsi="宋体" w:eastAsia="宋体" w:cs="宋体"/>
          <w:spacing w:val="-53"/>
          <w:sz w:val="21"/>
          <w:szCs w:val="21"/>
        </w:rPr>
        <w:t xml:space="preserve"> </w:t>
      </w:r>
      <w:r>
        <w:rPr>
          <w:rFonts w:ascii="宋体" w:hAnsi="宋体" w:eastAsia="宋体" w:cs="宋体"/>
          <w:sz w:val="21"/>
          <w:szCs w:val="21"/>
        </w:rPr>
        <w:t>目确定的结算工程</w:t>
      </w:r>
      <w:r>
        <w:rPr>
          <w:rFonts w:ascii="宋体" w:hAnsi="宋体" w:eastAsia="宋体" w:cs="宋体"/>
          <w:spacing w:val="-1"/>
          <w:sz w:val="21"/>
          <w:szCs w:val="21"/>
        </w:rPr>
        <w:t>量和最近一欠进</w:t>
      </w:r>
      <w:r>
        <w:rPr>
          <w:rFonts w:ascii="宋体" w:hAnsi="宋体" w:eastAsia="宋体" w:cs="宋体"/>
          <w:spacing w:val="2"/>
          <w:sz w:val="21"/>
          <w:szCs w:val="21"/>
        </w:rPr>
        <w:t>度付款和竣工付款之间完成的各子目的工程量计量文件。采用总价合同</w:t>
      </w:r>
      <w:r>
        <w:rPr>
          <w:rFonts w:ascii="宋体" w:hAnsi="宋体" w:eastAsia="宋体" w:cs="宋体"/>
          <w:spacing w:val="1"/>
          <w:sz w:val="21"/>
          <w:szCs w:val="21"/>
        </w:rPr>
        <w:t>形式的，签约合同价所基</w:t>
      </w:r>
      <w:r>
        <w:rPr>
          <w:rFonts w:ascii="宋体" w:hAnsi="宋体" w:eastAsia="宋体" w:cs="宋体"/>
          <w:sz w:val="21"/>
          <w:szCs w:val="21"/>
        </w:rPr>
        <w:t>于的工程量就是相应的竣工结算工程量，但是，变更应按合同约定进行计量和计价。</w:t>
      </w:r>
    </w:p>
    <w:p w14:paraId="0E2F0092">
      <w:pPr>
        <w:spacing w:before="111" w:line="219" w:lineRule="auto"/>
        <w:ind w:left="437"/>
        <w:rPr>
          <w:rFonts w:ascii="宋体" w:hAnsi="宋体" w:eastAsia="宋体" w:cs="宋体"/>
          <w:sz w:val="21"/>
          <w:szCs w:val="21"/>
        </w:rPr>
      </w:pPr>
      <w:r>
        <w:rPr>
          <w:rFonts w:ascii="宋体" w:hAnsi="宋体" w:eastAsia="宋体" w:cs="宋体"/>
          <w:spacing w:val="-2"/>
          <w:sz w:val="21"/>
          <w:szCs w:val="21"/>
        </w:rPr>
        <w:t>14.1.4</w:t>
      </w:r>
      <w:r>
        <w:rPr>
          <w:rFonts w:ascii="宋体" w:hAnsi="宋体" w:eastAsia="宋体" w:cs="宋体"/>
          <w:spacing w:val="-43"/>
          <w:sz w:val="21"/>
          <w:szCs w:val="21"/>
        </w:rPr>
        <w:t xml:space="preserve"> </w:t>
      </w:r>
      <w:r>
        <w:rPr>
          <w:rFonts w:ascii="宋体" w:hAnsi="宋体" w:eastAsia="宋体" w:cs="宋体"/>
          <w:spacing w:val="-2"/>
          <w:sz w:val="21"/>
          <w:szCs w:val="21"/>
        </w:rPr>
        <w:t>竣工结算总价（合同价格）应当按</w:t>
      </w:r>
      <w:r>
        <w:rPr>
          <w:rFonts w:ascii="宋体" w:hAnsi="宋体" w:eastAsia="宋体" w:cs="宋体"/>
          <w:spacing w:val="-3"/>
          <w:sz w:val="21"/>
          <w:szCs w:val="21"/>
        </w:rPr>
        <w:t>以下内容梳理：</w:t>
      </w:r>
    </w:p>
    <w:p w14:paraId="22C22867">
      <w:pPr>
        <w:spacing w:before="111" w:line="219" w:lineRule="auto"/>
        <w:ind w:left="427"/>
        <w:rPr>
          <w:rFonts w:ascii="宋体" w:hAnsi="宋体" w:eastAsia="宋体" w:cs="宋体"/>
          <w:sz w:val="21"/>
          <w:szCs w:val="21"/>
        </w:rPr>
      </w:pPr>
      <w:r>
        <w:rPr>
          <w:rFonts w:ascii="宋体" w:hAnsi="宋体" w:eastAsia="宋体" w:cs="宋体"/>
          <w:spacing w:val="-5"/>
          <w:sz w:val="21"/>
          <w:szCs w:val="21"/>
        </w:rPr>
        <w:t>（1）签约合同价；</w:t>
      </w:r>
    </w:p>
    <w:p w14:paraId="37D5F4A5">
      <w:pPr>
        <w:spacing w:before="111" w:line="221" w:lineRule="auto"/>
        <w:ind w:left="427"/>
        <w:rPr>
          <w:rFonts w:ascii="宋体" w:hAnsi="宋体" w:eastAsia="宋体" w:cs="宋体"/>
          <w:sz w:val="21"/>
          <w:szCs w:val="21"/>
        </w:rPr>
      </w:pPr>
      <w:r>
        <w:rPr>
          <w:rFonts w:ascii="宋体" w:hAnsi="宋体" w:eastAsia="宋体" w:cs="宋体"/>
          <w:spacing w:val="-4"/>
          <w:sz w:val="21"/>
          <w:szCs w:val="21"/>
        </w:rPr>
        <w:t>（2）应当扣减的项目；</w:t>
      </w:r>
    </w:p>
    <w:p w14:paraId="3F0554DB">
      <w:pPr>
        <w:spacing w:before="108" w:line="221" w:lineRule="auto"/>
        <w:ind w:left="437"/>
        <w:rPr>
          <w:rFonts w:ascii="宋体" w:hAnsi="宋体" w:eastAsia="宋体" w:cs="宋体"/>
          <w:sz w:val="21"/>
          <w:szCs w:val="21"/>
        </w:rPr>
      </w:pPr>
      <w:r>
        <w:rPr>
          <w:rFonts w:ascii="宋体" w:hAnsi="宋体" w:eastAsia="宋体" w:cs="宋体"/>
          <w:spacing w:val="-6"/>
          <w:sz w:val="21"/>
          <w:szCs w:val="21"/>
        </w:rPr>
        <w:t>1）所有暂列金额；</w:t>
      </w:r>
    </w:p>
    <w:p w14:paraId="7860DFFD">
      <w:pPr>
        <w:spacing w:before="109" w:line="219" w:lineRule="auto"/>
        <w:ind w:left="424"/>
        <w:rPr>
          <w:rFonts w:ascii="宋体" w:hAnsi="宋体" w:eastAsia="宋体" w:cs="宋体"/>
          <w:sz w:val="21"/>
          <w:szCs w:val="21"/>
        </w:rPr>
      </w:pPr>
      <w:r>
        <w:rPr>
          <w:rFonts w:ascii="宋体" w:hAnsi="宋体" w:eastAsia="宋体" w:cs="宋体"/>
          <w:spacing w:val="-1"/>
          <w:sz w:val="21"/>
          <w:szCs w:val="21"/>
        </w:rPr>
        <w:t>2）所有暂估价；</w:t>
      </w:r>
    </w:p>
    <w:p w14:paraId="1FF92164">
      <w:pPr>
        <w:spacing w:before="111" w:line="221" w:lineRule="auto"/>
        <w:ind w:left="425"/>
        <w:rPr>
          <w:rFonts w:ascii="宋体" w:hAnsi="宋体" w:eastAsia="宋体" w:cs="宋体"/>
          <w:sz w:val="21"/>
          <w:szCs w:val="21"/>
        </w:rPr>
      </w:pPr>
      <w:r>
        <w:rPr>
          <w:rFonts w:ascii="宋体" w:hAnsi="宋体" w:eastAsia="宋体" w:cs="宋体"/>
          <w:spacing w:val="-4"/>
          <w:sz w:val="21"/>
          <w:szCs w:val="21"/>
        </w:rPr>
        <w:t>3）根据合同条款第</w:t>
      </w:r>
      <w:r>
        <w:rPr>
          <w:rFonts w:ascii="宋体" w:hAnsi="宋体" w:eastAsia="宋体" w:cs="宋体"/>
          <w:spacing w:val="-12"/>
          <w:sz w:val="21"/>
          <w:szCs w:val="21"/>
        </w:rPr>
        <w:t xml:space="preserve"> </w:t>
      </w:r>
      <w:r>
        <w:rPr>
          <w:rFonts w:ascii="宋体" w:hAnsi="宋体" w:eastAsia="宋体" w:cs="宋体"/>
          <w:spacing w:val="-4"/>
          <w:sz w:val="21"/>
          <w:szCs w:val="21"/>
        </w:rPr>
        <w:t>15</w:t>
      </w:r>
      <w:r>
        <w:rPr>
          <w:rFonts w:ascii="宋体" w:hAnsi="宋体" w:eastAsia="宋体" w:cs="宋体"/>
          <w:spacing w:val="-42"/>
          <w:sz w:val="21"/>
          <w:szCs w:val="21"/>
        </w:rPr>
        <w:t xml:space="preserve"> </w:t>
      </w:r>
      <w:r>
        <w:rPr>
          <w:rFonts w:ascii="宋体" w:hAnsi="宋体" w:eastAsia="宋体" w:cs="宋体"/>
          <w:spacing w:val="-4"/>
          <w:sz w:val="21"/>
          <w:szCs w:val="21"/>
        </w:rPr>
        <w:t>条应扣减的变更金额；</w:t>
      </w:r>
    </w:p>
    <w:p w14:paraId="3446FB03">
      <w:pPr>
        <w:spacing w:before="109" w:line="219" w:lineRule="auto"/>
        <w:ind w:left="420"/>
        <w:rPr>
          <w:rFonts w:ascii="宋体" w:hAnsi="宋体" w:eastAsia="宋体" w:cs="宋体"/>
          <w:sz w:val="21"/>
          <w:szCs w:val="21"/>
        </w:rPr>
      </w:pPr>
      <w:r>
        <w:rPr>
          <w:rFonts w:ascii="宋体" w:hAnsi="宋体" w:eastAsia="宋体" w:cs="宋体"/>
          <w:spacing w:val="-2"/>
          <w:sz w:val="21"/>
          <w:szCs w:val="21"/>
        </w:rPr>
        <w:t>4）根据合同条款第</w:t>
      </w:r>
      <w:r>
        <w:rPr>
          <w:rFonts w:ascii="宋体" w:hAnsi="宋体" w:eastAsia="宋体" w:cs="宋体"/>
          <w:spacing w:val="-30"/>
          <w:sz w:val="21"/>
          <w:szCs w:val="21"/>
        </w:rPr>
        <w:t xml:space="preserve"> </w:t>
      </w:r>
      <w:r>
        <w:rPr>
          <w:rFonts w:ascii="宋体" w:hAnsi="宋体" w:eastAsia="宋体" w:cs="宋体"/>
          <w:spacing w:val="-2"/>
          <w:sz w:val="21"/>
          <w:szCs w:val="21"/>
        </w:rPr>
        <w:t>16</w:t>
      </w:r>
      <w:r>
        <w:rPr>
          <w:rFonts w:ascii="宋体" w:hAnsi="宋体" w:eastAsia="宋体" w:cs="宋体"/>
          <w:spacing w:val="-43"/>
          <w:sz w:val="21"/>
          <w:szCs w:val="21"/>
        </w:rPr>
        <w:t xml:space="preserve"> </w:t>
      </w:r>
      <w:r>
        <w:rPr>
          <w:rFonts w:ascii="宋体" w:hAnsi="宋体" w:eastAsia="宋体" w:cs="宋体"/>
          <w:spacing w:val="-2"/>
          <w:sz w:val="21"/>
          <w:szCs w:val="21"/>
        </w:rPr>
        <w:t>条应扣减的价格调整（下调部分</w:t>
      </w:r>
      <w:r>
        <w:rPr>
          <w:rFonts w:ascii="宋体" w:hAnsi="宋体" w:eastAsia="宋体" w:cs="宋体"/>
          <w:spacing w:val="-52"/>
          <w:sz w:val="21"/>
          <w:szCs w:val="21"/>
        </w:rPr>
        <w:t>）；</w:t>
      </w:r>
    </w:p>
    <w:p w14:paraId="18B131BA">
      <w:pPr>
        <w:spacing w:before="110" w:line="221" w:lineRule="auto"/>
        <w:ind w:left="425"/>
        <w:rPr>
          <w:rFonts w:ascii="宋体" w:hAnsi="宋体" w:eastAsia="宋体" w:cs="宋体"/>
          <w:sz w:val="21"/>
          <w:szCs w:val="21"/>
        </w:rPr>
      </w:pPr>
      <w:r>
        <w:rPr>
          <w:rFonts w:ascii="宋体" w:hAnsi="宋体" w:eastAsia="宋体" w:cs="宋体"/>
          <w:spacing w:val="-2"/>
          <w:sz w:val="21"/>
          <w:szCs w:val="21"/>
        </w:rPr>
        <w:t>5）根据合同条款第</w:t>
      </w:r>
      <w:r>
        <w:rPr>
          <w:rFonts w:ascii="宋体" w:hAnsi="宋体" w:eastAsia="宋体" w:cs="宋体"/>
          <w:spacing w:val="-41"/>
          <w:sz w:val="21"/>
          <w:szCs w:val="21"/>
        </w:rPr>
        <w:t xml:space="preserve"> </w:t>
      </w:r>
      <w:r>
        <w:rPr>
          <w:rFonts w:ascii="宋体" w:hAnsi="宋体" w:eastAsia="宋体" w:cs="宋体"/>
          <w:spacing w:val="-2"/>
          <w:sz w:val="21"/>
          <w:szCs w:val="21"/>
        </w:rPr>
        <w:t>23.4</w:t>
      </w:r>
      <w:r>
        <w:rPr>
          <w:rFonts w:ascii="宋体" w:hAnsi="宋体" w:eastAsia="宋体" w:cs="宋体"/>
          <w:spacing w:val="-45"/>
          <w:sz w:val="21"/>
          <w:szCs w:val="21"/>
        </w:rPr>
        <w:t xml:space="preserve"> </w:t>
      </w:r>
      <w:r>
        <w:rPr>
          <w:rFonts w:ascii="宋体" w:hAnsi="宋体" w:eastAsia="宋体" w:cs="宋体"/>
          <w:spacing w:val="-2"/>
          <w:sz w:val="21"/>
          <w:szCs w:val="21"/>
        </w:rPr>
        <w:t>款应扣减的发包人索赔金额；</w:t>
      </w:r>
    </w:p>
    <w:p w14:paraId="11189241">
      <w:pPr>
        <w:spacing w:before="109" w:line="219" w:lineRule="auto"/>
        <w:ind w:left="423"/>
        <w:rPr>
          <w:rFonts w:ascii="宋体" w:hAnsi="宋体" w:eastAsia="宋体" w:cs="宋体"/>
          <w:sz w:val="21"/>
          <w:szCs w:val="21"/>
        </w:rPr>
      </w:pPr>
      <w:r>
        <w:rPr>
          <w:rFonts w:ascii="宋体" w:hAnsi="宋体" w:eastAsia="宋体" w:cs="宋体"/>
          <w:spacing w:val="-1"/>
          <w:sz w:val="21"/>
          <w:szCs w:val="21"/>
        </w:rPr>
        <w:t>6）甩项工程的合同价值（如果有</w:t>
      </w:r>
      <w:r>
        <w:rPr>
          <w:rFonts w:ascii="宋体" w:hAnsi="宋体" w:eastAsia="宋体" w:cs="宋体"/>
          <w:spacing w:val="-57"/>
          <w:sz w:val="21"/>
          <w:szCs w:val="21"/>
        </w:rPr>
        <w:t>）；</w:t>
      </w:r>
    </w:p>
    <w:p w14:paraId="3A569A53">
      <w:pPr>
        <w:spacing w:before="111" w:line="221" w:lineRule="auto"/>
        <w:ind w:left="426"/>
        <w:rPr>
          <w:rFonts w:ascii="宋体" w:hAnsi="宋体" w:eastAsia="宋体" w:cs="宋体"/>
          <w:sz w:val="21"/>
          <w:szCs w:val="21"/>
        </w:rPr>
      </w:pPr>
      <w:r>
        <w:rPr>
          <w:rFonts w:ascii="宋体" w:hAnsi="宋体" w:eastAsia="宋体" w:cs="宋体"/>
          <w:spacing w:val="-1"/>
          <w:sz w:val="21"/>
          <w:szCs w:val="21"/>
        </w:rPr>
        <w:t>7）根据合同约定发包人应扣减的其他金额。</w:t>
      </w:r>
    </w:p>
    <w:p w14:paraId="33471F77">
      <w:pPr>
        <w:spacing w:before="109" w:line="221" w:lineRule="auto"/>
        <w:ind w:left="427"/>
        <w:rPr>
          <w:rFonts w:ascii="宋体" w:hAnsi="宋体" w:eastAsia="宋体" w:cs="宋体"/>
          <w:sz w:val="21"/>
          <w:szCs w:val="21"/>
        </w:rPr>
      </w:pPr>
      <w:r>
        <w:rPr>
          <w:rFonts w:ascii="宋体" w:hAnsi="宋体" w:eastAsia="宋体" w:cs="宋体"/>
          <w:spacing w:val="-4"/>
          <w:sz w:val="21"/>
          <w:szCs w:val="21"/>
        </w:rPr>
        <w:t>（3）应当增加的项目；</w:t>
      </w:r>
    </w:p>
    <w:p w14:paraId="4D2D18FF">
      <w:pPr>
        <w:spacing w:before="108" w:line="221" w:lineRule="auto"/>
        <w:ind w:left="437"/>
        <w:rPr>
          <w:rFonts w:ascii="宋体" w:hAnsi="宋体" w:eastAsia="宋体" w:cs="宋体"/>
          <w:sz w:val="21"/>
          <w:szCs w:val="21"/>
        </w:rPr>
      </w:pPr>
      <w:r>
        <w:rPr>
          <w:rFonts w:ascii="宋体" w:hAnsi="宋体" w:eastAsia="宋体" w:cs="宋体"/>
          <w:spacing w:val="-2"/>
          <w:sz w:val="21"/>
          <w:szCs w:val="21"/>
        </w:rPr>
        <w:t>1）实际发生的暂列金额（包括计日工</w:t>
      </w:r>
      <w:r>
        <w:rPr>
          <w:rFonts w:ascii="宋体" w:hAnsi="宋体" w:eastAsia="宋体" w:cs="宋体"/>
          <w:spacing w:val="-55"/>
          <w:sz w:val="21"/>
          <w:szCs w:val="21"/>
        </w:rPr>
        <w:t>）；</w:t>
      </w:r>
    </w:p>
    <w:p w14:paraId="742E82AC">
      <w:pPr>
        <w:spacing w:before="109" w:line="219" w:lineRule="auto"/>
        <w:ind w:left="424"/>
        <w:rPr>
          <w:rFonts w:ascii="宋体" w:hAnsi="宋体" w:eastAsia="宋体" w:cs="宋体"/>
          <w:sz w:val="21"/>
          <w:szCs w:val="21"/>
        </w:rPr>
      </w:pPr>
      <w:r>
        <w:rPr>
          <w:rFonts w:ascii="宋体" w:hAnsi="宋体" w:eastAsia="宋体" w:cs="宋体"/>
          <w:spacing w:val="-3"/>
          <w:sz w:val="21"/>
          <w:szCs w:val="21"/>
        </w:rPr>
        <w:t>2）实际发生的暂估价；</w:t>
      </w:r>
    </w:p>
    <w:p w14:paraId="73B2D8DA">
      <w:pPr>
        <w:spacing w:before="111" w:line="221" w:lineRule="auto"/>
        <w:ind w:left="425"/>
        <w:rPr>
          <w:rFonts w:ascii="宋体" w:hAnsi="宋体" w:eastAsia="宋体" w:cs="宋体"/>
          <w:sz w:val="21"/>
          <w:szCs w:val="21"/>
        </w:rPr>
      </w:pPr>
      <w:r>
        <w:rPr>
          <w:rFonts w:ascii="宋体" w:hAnsi="宋体" w:eastAsia="宋体" w:cs="宋体"/>
          <w:spacing w:val="-4"/>
          <w:sz w:val="21"/>
          <w:szCs w:val="21"/>
        </w:rPr>
        <w:t>3）根据合同条款第</w:t>
      </w:r>
      <w:r>
        <w:rPr>
          <w:rFonts w:ascii="宋体" w:hAnsi="宋体" w:eastAsia="宋体" w:cs="宋体"/>
          <w:spacing w:val="-12"/>
          <w:sz w:val="21"/>
          <w:szCs w:val="21"/>
        </w:rPr>
        <w:t xml:space="preserve"> </w:t>
      </w:r>
      <w:r>
        <w:rPr>
          <w:rFonts w:ascii="宋体" w:hAnsi="宋体" w:eastAsia="宋体" w:cs="宋体"/>
          <w:spacing w:val="-4"/>
          <w:sz w:val="21"/>
          <w:szCs w:val="21"/>
        </w:rPr>
        <w:t>15</w:t>
      </w:r>
      <w:r>
        <w:rPr>
          <w:rFonts w:ascii="宋体" w:hAnsi="宋体" w:eastAsia="宋体" w:cs="宋体"/>
          <w:spacing w:val="-42"/>
          <w:sz w:val="21"/>
          <w:szCs w:val="21"/>
        </w:rPr>
        <w:t xml:space="preserve"> </w:t>
      </w:r>
      <w:r>
        <w:rPr>
          <w:rFonts w:ascii="宋体" w:hAnsi="宋体" w:eastAsia="宋体" w:cs="宋体"/>
          <w:spacing w:val="-4"/>
          <w:sz w:val="21"/>
          <w:szCs w:val="21"/>
        </w:rPr>
        <w:t>条应增加的变更金额；</w:t>
      </w:r>
    </w:p>
    <w:p w14:paraId="453483AE">
      <w:pPr>
        <w:spacing w:before="109" w:line="219" w:lineRule="auto"/>
        <w:ind w:left="420"/>
        <w:rPr>
          <w:rFonts w:ascii="宋体" w:hAnsi="宋体" w:eastAsia="宋体" w:cs="宋体"/>
          <w:sz w:val="21"/>
          <w:szCs w:val="21"/>
        </w:rPr>
      </w:pPr>
      <w:r>
        <w:rPr>
          <w:rFonts w:ascii="宋体" w:hAnsi="宋体" w:eastAsia="宋体" w:cs="宋体"/>
          <w:spacing w:val="-2"/>
          <w:sz w:val="21"/>
          <w:szCs w:val="21"/>
        </w:rPr>
        <w:t>4）根据合同条款第</w:t>
      </w:r>
      <w:r>
        <w:rPr>
          <w:rFonts w:ascii="宋体" w:hAnsi="宋体" w:eastAsia="宋体" w:cs="宋体"/>
          <w:spacing w:val="-30"/>
          <w:sz w:val="21"/>
          <w:szCs w:val="21"/>
        </w:rPr>
        <w:t xml:space="preserve"> </w:t>
      </w:r>
      <w:r>
        <w:rPr>
          <w:rFonts w:ascii="宋体" w:hAnsi="宋体" w:eastAsia="宋体" w:cs="宋体"/>
          <w:spacing w:val="-2"/>
          <w:sz w:val="21"/>
          <w:szCs w:val="21"/>
        </w:rPr>
        <w:t>16</w:t>
      </w:r>
      <w:r>
        <w:rPr>
          <w:rFonts w:ascii="宋体" w:hAnsi="宋体" w:eastAsia="宋体" w:cs="宋体"/>
          <w:spacing w:val="-43"/>
          <w:sz w:val="21"/>
          <w:szCs w:val="21"/>
        </w:rPr>
        <w:t xml:space="preserve"> </w:t>
      </w:r>
      <w:r>
        <w:rPr>
          <w:rFonts w:ascii="宋体" w:hAnsi="宋体" w:eastAsia="宋体" w:cs="宋体"/>
          <w:spacing w:val="-2"/>
          <w:sz w:val="21"/>
          <w:szCs w:val="21"/>
        </w:rPr>
        <w:t>条应增加的价格调整（上调部分</w:t>
      </w:r>
      <w:r>
        <w:rPr>
          <w:rFonts w:ascii="宋体" w:hAnsi="宋体" w:eastAsia="宋体" w:cs="宋体"/>
          <w:spacing w:val="-52"/>
          <w:sz w:val="21"/>
          <w:szCs w:val="21"/>
        </w:rPr>
        <w:t>）；</w:t>
      </w:r>
    </w:p>
    <w:p w14:paraId="0AFE7A12">
      <w:pPr>
        <w:spacing w:before="68" w:line="221" w:lineRule="auto"/>
        <w:ind w:left="425"/>
        <w:rPr>
          <w:rFonts w:ascii="宋体" w:hAnsi="宋体" w:eastAsia="宋体" w:cs="宋体"/>
          <w:sz w:val="21"/>
          <w:szCs w:val="21"/>
        </w:rPr>
      </w:pPr>
      <w:bookmarkStart w:id="1330" w:name="bookmark647"/>
      <w:bookmarkEnd w:id="1330"/>
      <w:r>
        <w:rPr>
          <w:rFonts w:ascii="宋体" w:hAnsi="宋体" w:eastAsia="宋体" w:cs="宋体"/>
          <w:spacing w:val="-2"/>
          <w:sz w:val="21"/>
          <w:szCs w:val="21"/>
        </w:rPr>
        <w:t>5）根据合同条款第</w:t>
      </w:r>
      <w:r>
        <w:rPr>
          <w:rFonts w:ascii="宋体" w:hAnsi="宋体" w:eastAsia="宋体" w:cs="宋体"/>
          <w:spacing w:val="-41"/>
          <w:sz w:val="21"/>
          <w:szCs w:val="21"/>
        </w:rPr>
        <w:t xml:space="preserve"> </w:t>
      </w:r>
      <w:r>
        <w:rPr>
          <w:rFonts w:ascii="宋体" w:hAnsi="宋体" w:eastAsia="宋体" w:cs="宋体"/>
          <w:spacing w:val="-2"/>
          <w:sz w:val="21"/>
          <w:szCs w:val="21"/>
        </w:rPr>
        <w:t>23.2</w:t>
      </w:r>
      <w:r>
        <w:rPr>
          <w:rFonts w:ascii="宋体" w:hAnsi="宋体" w:eastAsia="宋体" w:cs="宋体"/>
          <w:spacing w:val="-45"/>
          <w:sz w:val="21"/>
          <w:szCs w:val="21"/>
        </w:rPr>
        <w:t xml:space="preserve"> </w:t>
      </w:r>
      <w:r>
        <w:rPr>
          <w:rFonts w:ascii="宋体" w:hAnsi="宋体" w:eastAsia="宋体" w:cs="宋体"/>
          <w:spacing w:val="-2"/>
          <w:sz w:val="21"/>
          <w:szCs w:val="21"/>
        </w:rPr>
        <w:t>款应增加的承包人索赔金额；</w:t>
      </w:r>
    </w:p>
    <w:p w14:paraId="4B5316E8">
      <w:pPr>
        <w:spacing w:before="108" w:line="221" w:lineRule="auto"/>
        <w:ind w:left="423"/>
        <w:rPr>
          <w:rFonts w:ascii="宋体" w:hAnsi="宋体" w:eastAsia="宋体" w:cs="宋体"/>
          <w:sz w:val="21"/>
          <w:szCs w:val="21"/>
        </w:rPr>
      </w:pPr>
      <w:r>
        <w:rPr>
          <w:rFonts w:ascii="宋体" w:hAnsi="宋体" w:eastAsia="宋体" w:cs="宋体"/>
          <w:spacing w:val="-1"/>
          <w:sz w:val="21"/>
          <w:szCs w:val="21"/>
        </w:rPr>
        <w:t>6）根据合同约定承包人应当得到的其他金</w:t>
      </w:r>
      <w:r>
        <w:rPr>
          <w:rFonts w:ascii="宋体" w:hAnsi="宋体" w:eastAsia="宋体" w:cs="宋体"/>
          <w:spacing w:val="-2"/>
          <w:sz w:val="21"/>
          <w:szCs w:val="21"/>
        </w:rPr>
        <w:t>额。</w:t>
      </w:r>
    </w:p>
    <w:p w14:paraId="74D7360D">
      <w:pPr>
        <w:spacing w:before="108" w:line="221" w:lineRule="auto"/>
        <w:ind w:left="427"/>
        <w:rPr>
          <w:rFonts w:ascii="宋体" w:hAnsi="宋体" w:eastAsia="宋体" w:cs="宋体"/>
          <w:sz w:val="21"/>
          <w:szCs w:val="21"/>
        </w:rPr>
      </w:pPr>
      <w:r>
        <w:rPr>
          <w:rFonts w:ascii="宋体" w:hAnsi="宋体" w:eastAsia="宋体" w:cs="宋体"/>
          <w:spacing w:val="-1"/>
          <w:sz w:val="21"/>
          <w:szCs w:val="21"/>
        </w:rPr>
        <w:t>（4）规费和税金差额部分。</w:t>
      </w:r>
    </w:p>
    <w:p w14:paraId="5FEC84EE">
      <w:pPr>
        <w:spacing w:before="108" w:line="221" w:lineRule="auto"/>
        <w:ind w:left="437"/>
        <w:rPr>
          <w:rFonts w:ascii="宋体" w:hAnsi="宋体" w:eastAsia="宋体" w:cs="宋体"/>
          <w:sz w:val="21"/>
          <w:szCs w:val="21"/>
        </w:rPr>
      </w:pPr>
      <w:r>
        <w:rPr>
          <w:rFonts w:ascii="宋体" w:hAnsi="宋体" w:eastAsia="宋体" w:cs="宋体"/>
          <w:spacing w:val="-1"/>
          <w:sz w:val="21"/>
          <w:szCs w:val="21"/>
        </w:rPr>
        <w:t>14.1.5   最终结清申请单的应付金额应当按下列内容梳理：</w:t>
      </w:r>
    </w:p>
    <w:p w14:paraId="503C5707">
      <w:pPr>
        <w:spacing w:before="109" w:line="221" w:lineRule="auto"/>
        <w:ind w:left="427"/>
        <w:rPr>
          <w:rFonts w:ascii="宋体" w:hAnsi="宋体" w:eastAsia="宋体" w:cs="宋体"/>
          <w:sz w:val="21"/>
          <w:szCs w:val="21"/>
        </w:rPr>
      </w:pPr>
      <w:r>
        <w:rPr>
          <w:rFonts w:ascii="宋体" w:hAnsi="宋体" w:eastAsia="宋体" w:cs="宋体"/>
          <w:spacing w:val="-3"/>
          <w:sz w:val="21"/>
          <w:szCs w:val="21"/>
        </w:rPr>
        <w:t>（1）按合同约定扣留的质量保证金；</w:t>
      </w:r>
    </w:p>
    <w:p w14:paraId="03E1973F">
      <w:pPr>
        <w:spacing w:before="108" w:line="221" w:lineRule="auto"/>
        <w:ind w:left="427"/>
        <w:rPr>
          <w:rFonts w:ascii="宋体" w:hAnsi="宋体" w:eastAsia="宋体" w:cs="宋体"/>
          <w:sz w:val="21"/>
          <w:szCs w:val="21"/>
        </w:rPr>
      </w:pPr>
      <w:r>
        <w:rPr>
          <w:rFonts w:ascii="宋体" w:hAnsi="宋体" w:eastAsia="宋体" w:cs="宋体"/>
          <w:spacing w:val="-4"/>
          <w:sz w:val="21"/>
          <w:szCs w:val="21"/>
        </w:rPr>
        <w:t>（2）应当扣除的金额：</w:t>
      </w:r>
    </w:p>
    <w:p w14:paraId="2DE5A8DE">
      <w:pPr>
        <w:spacing w:before="109" w:line="221" w:lineRule="auto"/>
        <w:ind w:left="437"/>
        <w:rPr>
          <w:rFonts w:ascii="宋体" w:hAnsi="宋体" w:eastAsia="宋体" w:cs="宋体"/>
          <w:sz w:val="21"/>
          <w:szCs w:val="21"/>
        </w:rPr>
      </w:pPr>
      <w:r>
        <w:rPr>
          <w:rFonts w:ascii="宋体" w:hAnsi="宋体" w:eastAsia="宋体" w:cs="宋体"/>
          <w:spacing w:val="-3"/>
          <w:sz w:val="21"/>
          <w:szCs w:val="21"/>
        </w:rPr>
        <w:t>1）按通用合同条款</w:t>
      </w:r>
      <w:r>
        <w:rPr>
          <w:rFonts w:ascii="宋体" w:hAnsi="宋体" w:eastAsia="宋体" w:cs="宋体"/>
          <w:spacing w:val="-30"/>
          <w:sz w:val="21"/>
          <w:szCs w:val="21"/>
        </w:rPr>
        <w:t xml:space="preserve"> </w:t>
      </w:r>
      <w:r>
        <w:rPr>
          <w:rFonts w:ascii="宋体" w:hAnsi="宋体" w:eastAsia="宋体" w:cs="宋体"/>
          <w:spacing w:val="-3"/>
          <w:sz w:val="21"/>
          <w:szCs w:val="21"/>
        </w:rPr>
        <w:t>17.4.3</w:t>
      </w:r>
      <w:r>
        <w:rPr>
          <w:rFonts w:ascii="宋体" w:hAnsi="宋体" w:eastAsia="宋体" w:cs="宋体"/>
          <w:spacing w:val="-41"/>
          <w:sz w:val="21"/>
          <w:szCs w:val="21"/>
        </w:rPr>
        <w:t xml:space="preserve"> </w:t>
      </w:r>
      <w:r>
        <w:rPr>
          <w:rFonts w:ascii="宋体" w:hAnsi="宋体" w:eastAsia="宋体" w:cs="宋体"/>
          <w:spacing w:val="-3"/>
          <w:sz w:val="21"/>
          <w:szCs w:val="21"/>
        </w:rPr>
        <w:t>项约定扣留的质量保证金；</w:t>
      </w:r>
    </w:p>
    <w:p w14:paraId="332AB71A">
      <w:pPr>
        <w:spacing w:before="109" w:line="221" w:lineRule="auto"/>
        <w:ind w:left="424"/>
        <w:rPr>
          <w:rFonts w:ascii="宋体" w:hAnsi="宋体" w:eastAsia="宋体" w:cs="宋体"/>
          <w:sz w:val="21"/>
          <w:szCs w:val="21"/>
        </w:rPr>
      </w:pPr>
      <w:r>
        <w:rPr>
          <w:rFonts w:ascii="宋体" w:hAnsi="宋体" w:eastAsia="宋体" w:cs="宋体"/>
          <w:spacing w:val="-3"/>
          <w:sz w:val="21"/>
          <w:szCs w:val="21"/>
        </w:rPr>
        <w:t>2）按通用合同条款</w:t>
      </w:r>
      <w:r>
        <w:rPr>
          <w:rFonts w:ascii="宋体" w:hAnsi="宋体" w:eastAsia="宋体" w:cs="宋体"/>
          <w:spacing w:val="-17"/>
          <w:sz w:val="21"/>
          <w:szCs w:val="21"/>
        </w:rPr>
        <w:t xml:space="preserve"> </w:t>
      </w:r>
      <w:r>
        <w:rPr>
          <w:rFonts w:ascii="宋体" w:hAnsi="宋体" w:eastAsia="宋体" w:cs="宋体"/>
          <w:spacing w:val="-3"/>
          <w:sz w:val="21"/>
          <w:szCs w:val="21"/>
        </w:rPr>
        <w:t>19.2.4</w:t>
      </w:r>
      <w:r>
        <w:rPr>
          <w:rFonts w:ascii="宋体" w:hAnsi="宋体" w:eastAsia="宋体" w:cs="宋体"/>
          <w:spacing w:val="-41"/>
          <w:sz w:val="21"/>
          <w:szCs w:val="21"/>
        </w:rPr>
        <w:t xml:space="preserve"> </w:t>
      </w:r>
      <w:r>
        <w:rPr>
          <w:rFonts w:ascii="宋体" w:hAnsi="宋体" w:eastAsia="宋体" w:cs="宋体"/>
          <w:spacing w:val="-3"/>
          <w:sz w:val="21"/>
          <w:szCs w:val="21"/>
        </w:rPr>
        <w:t>项约定扣除的质量保证金；</w:t>
      </w:r>
    </w:p>
    <w:p w14:paraId="5F6AA8B8">
      <w:pPr>
        <w:spacing w:before="109" w:line="221" w:lineRule="auto"/>
        <w:ind w:left="425"/>
        <w:rPr>
          <w:rFonts w:ascii="宋体" w:hAnsi="宋体" w:eastAsia="宋体" w:cs="宋体"/>
          <w:sz w:val="21"/>
          <w:szCs w:val="21"/>
        </w:rPr>
      </w:pPr>
      <w:r>
        <w:rPr>
          <w:rFonts w:ascii="宋体" w:hAnsi="宋体" w:eastAsia="宋体" w:cs="宋体"/>
          <w:spacing w:val="-1"/>
          <w:sz w:val="21"/>
          <w:szCs w:val="21"/>
        </w:rPr>
        <w:t>3）根据合同条款第</w:t>
      </w:r>
      <w:r>
        <w:rPr>
          <w:rFonts w:ascii="宋体" w:hAnsi="宋体" w:eastAsia="宋体" w:cs="宋体"/>
          <w:spacing w:val="-43"/>
          <w:sz w:val="21"/>
          <w:szCs w:val="21"/>
        </w:rPr>
        <w:t xml:space="preserve"> </w:t>
      </w:r>
      <w:r>
        <w:rPr>
          <w:rFonts w:ascii="宋体" w:hAnsi="宋体" w:eastAsia="宋体" w:cs="宋体"/>
          <w:spacing w:val="-1"/>
          <w:sz w:val="21"/>
          <w:szCs w:val="21"/>
        </w:rPr>
        <w:t>23.4</w:t>
      </w:r>
      <w:r>
        <w:rPr>
          <w:rFonts w:ascii="宋体" w:hAnsi="宋体" w:eastAsia="宋体" w:cs="宋体"/>
          <w:spacing w:val="-46"/>
          <w:sz w:val="21"/>
          <w:szCs w:val="21"/>
        </w:rPr>
        <w:t xml:space="preserve"> </w:t>
      </w:r>
      <w:r>
        <w:rPr>
          <w:rFonts w:ascii="宋体" w:hAnsi="宋体" w:eastAsia="宋体" w:cs="宋体"/>
          <w:spacing w:val="-1"/>
          <w:sz w:val="21"/>
          <w:szCs w:val="21"/>
        </w:rPr>
        <w:t>款应扣减的缺陷责任</w:t>
      </w:r>
      <w:r>
        <w:rPr>
          <w:rFonts w:ascii="宋体" w:hAnsi="宋体" w:eastAsia="宋体" w:cs="宋体"/>
          <w:spacing w:val="-2"/>
          <w:sz w:val="21"/>
          <w:szCs w:val="21"/>
        </w:rPr>
        <w:t>期内发生的发包人索赔金额；</w:t>
      </w:r>
    </w:p>
    <w:p w14:paraId="6DC81E4C">
      <w:pPr>
        <w:spacing w:before="108" w:line="221" w:lineRule="auto"/>
        <w:ind w:left="420"/>
        <w:rPr>
          <w:rFonts w:ascii="宋体" w:hAnsi="宋体" w:eastAsia="宋体" w:cs="宋体"/>
          <w:sz w:val="21"/>
          <w:szCs w:val="21"/>
        </w:rPr>
      </w:pPr>
      <w:r>
        <w:rPr>
          <w:rFonts w:ascii="宋体" w:hAnsi="宋体" w:eastAsia="宋体" w:cs="宋体"/>
          <w:spacing w:val="-2"/>
          <w:sz w:val="21"/>
          <w:szCs w:val="21"/>
        </w:rPr>
        <w:t>4）根据合同约定应扣减的其他金额。</w:t>
      </w:r>
    </w:p>
    <w:p w14:paraId="047E4FC7">
      <w:pPr>
        <w:spacing w:before="109" w:line="221" w:lineRule="auto"/>
        <w:ind w:left="427"/>
        <w:rPr>
          <w:rFonts w:ascii="宋体" w:hAnsi="宋体" w:eastAsia="宋体" w:cs="宋体"/>
          <w:sz w:val="21"/>
          <w:szCs w:val="21"/>
        </w:rPr>
      </w:pPr>
      <w:r>
        <w:rPr>
          <w:rFonts w:ascii="宋体" w:hAnsi="宋体" w:eastAsia="宋体" w:cs="宋体"/>
          <w:spacing w:val="-4"/>
          <w:sz w:val="21"/>
          <w:szCs w:val="21"/>
        </w:rPr>
        <w:t>（3）应当增加的金额：</w:t>
      </w:r>
    </w:p>
    <w:p w14:paraId="60752303">
      <w:pPr>
        <w:spacing w:before="109" w:line="219" w:lineRule="auto"/>
        <w:ind w:left="437"/>
        <w:rPr>
          <w:rFonts w:ascii="宋体" w:hAnsi="宋体" w:eastAsia="宋体" w:cs="宋体"/>
          <w:sz w:val="21"/>
          <w:szCs w:val="21"/>
        </w:rPr>
      </w:pPr>
      <w:r>
        <w:rPr>
          <w:rFonts w:ascii="宋体" w:hAnsi="宋体" w:eastAsia="宋体" w:cs="宋体"/>
          <w:spacing w:val="-2"/>
          <w:sz w:val="21"/>
          <w:szCs w:val="21"/>
        </w:rPr>
        <w:t>1）已完且符合合同约定的甩项工程的价值；</w:t>
      </w:r>
    </w:p>
    <w:p w14:paraId="69DEE4C2">
      <w:pPr>
        <w:spacing w:before="111" w:line="219" w:lineRule="auto"/>
        <w:ind w:left="424"/>
        <w:rPr>
          <w:rFonts w:ascii="宋体" w:hAnsi="宋体" w:eastAsia="宋体" w:cs="宋体"/>
          <w:sz w:val="21"/>
          <w:szCs w:val="21"/>
        </w:rPr>
      </w:pPr>
      <w:r>
        <w:rPr>
          <w:rFonts w:ascii="宋体" w:hAnsi="宋体" w:eastAsia="宋体" w:cs="宋体"/>
          <w:spacing w:val="-2"/>
          <w:sz w:val="21"/>
          <w:szCs w:val="21"/>
        </w:rPr>
        <w:t>2）按通用合同条款</w:t>
      </w:r>
      <w:r>
        <w:rPr>
          <w:rFonts w:ascii="宋体" w:hAnsi="宋体" w:eastAsia="宋体" w:cs="宋体"/>
          <w:spacing w:val="-26"/>
          <w:sz w:val="21"/>
          <w:szCs w:val="21"/>
        </w:rPr>
        <w:t xml:space="preserve"> </w:t>
      </w:r>
      <w:r>
        <w:rPr>
          <w:rFonts w:ascii="宋体" w:hAnsi="宋体" w:eastAsia="宋体" w:cs="宋体"/>
          <w:spacing w:val="-2"/>
          <w:sz w:val="21"/>
          <w:szCs w:val="21"/>
        </w:rPr>
        <w:t>19.2.3</w:t>
      </w:r>
      <w:r>
        <w:rPr>
          <w:rFonts w:ascii="宋体" w:hAnsi="宋体" w:eastAsia="宋体" w:cs="宋体"/>
          <w:spacing w:val="-41"/>
          <w:sz w:val="21"/>
          <w:szCs w:val="21"/>
        </w:rPr>
        <w:t xml:space="preserve"> </w:t>
      </w:r>
      <w:r>
        <w:rPr>
          <w:rFonts w:ascii="宋体" w:hAnsi="宋体" w:eastAsia="宋体" w:cs="宋体"/>
          <w:spacing w:val="-2"/>
          <w:sz w:val="21"/>
          <w:szCs w:val="21"/>
        </w:rPr>
        <w:t>项约定由承包人修复的发包人原因造成的缺陷的价值；</w:t>
      </w:r>
    </w:p>
    <w:p w14:paraId="614DACBE">
      <w:pPr>
        <w:spacing w:before="110" w:line="221" w:lineRule="auto"/>
        <w:ind w:left="425"/>
        <w:rPr>
          <w:rFonts w:ascii="宋体" w:hAnsi="宋体" w:eastAsia="宋体" w:cs="宋体"/>
          <w:sz w:val="21"/>
          <w:szCs w:val="21"/>
        </w:rPr>
      </w:pPr>
      <w:r>
        <w:rPr>
          <w:rFonts w:ascii="宋体" w:hAnsi="宋体" w:eastAsia="宋体" w:cs="宋体"/>
          <w:spacing w:val="-1"/>
          <w:sz w:val="21"/>
          <w:szCs w:val="21"/>
        </w:rPr>
        <w:t>3）根据合同条款第</w:t>
      </w:r>
      <w:r>
        <w:rPr>
          <w:rFonts w:ascii="宋体" w:hAnsi="宋体" w:eastAsia="宋体" w:cs="宋体"/>
          <w:spacing w:val="-43"/>
          <w:sz w:val="21"/>
          <w:szCs w:val="21"/>
        </w:rPr>
        <w:t xml:space="preserve"> </w:t>
      </w:r>
      <w:r>
        <w:rPr>
          <w:rFonts w:ascii="宋体" w:hAnsi="宋体" w:eastAsia="宋体" w:cs="宋体"/>
          <w:spacing w:val="-1"/>
          <w:sz w:val="21"/>
          <w:szCs w:val="21"/>
        </w:rPr>
        <w:t>23.2</w:t>
      </w:r>
      <w:r>
        <w:rPr>
          <w:rFonts w:ascii="宋体" w:hAnsi="宋体" w:eastAsia="宋体" w:cs="宋体"/>
          <w:spacing w:val="-46"/>
          <w:sz w:val="21"/>
          <w:szCs w:val="21"/>
        </w:rPr>
        <w:t xml:space="preserve"> </w:t>
      </w:r>
      <w:r>
        <w:rPr>
          <w:rFonts w:ascii="宋体" w:hAnsi="宋体" w:eastAsia="宋体" w:cs="宋体"/>
          <w:spacing w:val="-1"/>
          <w:sz w:val="21"/>
          <w:szCs w:val="21"/>
        </w:rPr>
        <w:t>款应增加的缺陷责任</w:t>
      </w:r>
      <w:r>
        <w:rPr>
          <w:rFonts w:ascii="宋体" w:hAnsi="宋体" w:eastAsia="宋体" w:cs="宋体"/>
          <w:spacing w:val="-2"/>
          <w:sz w:val="21"/>
          <w:szCs w:val="21"/>
        </w:rPr>
        <w:t>期内发生的承包人索赔金额；</w:t>
      </w:r>
    </w:p>
    <w:p w14:paraId="68070D3E">
      <w:pPr>
        <w:spacing w:before="109" w:line="221" w:lineRule="auto"/>
        <w:ind w:left="420"/>
        <w:rPr>
          <w:rFonts w:ascii="宋体" w:hAnsi="宋体" w:eastAsia="宋体" w:cs="宋体"/>
          <w:sz w:val="21"/>
          <w:szCs w:val="21"/>
        </w:rPr>
      </w:pPr>
      <w:r>
        <w:rPr>
          <w:rFonts w:ascii="宋体" w:hAnsi="宋体" w:eastAsia="宋体" w:cs="宋体"/>
          <w:spacing w:val="-1"/>
          <w:sz w:val="21"/>
          <w:szCs w:val="21"/>
        </w:rPr>
        <w:t>4）根据合同约定承包人应当得到的其他金额。</w:t>
      </w:r>
    </w:p>
    <w:p w14:paraId="77233880">
      <w:pPr>
        <w:spacing w:before="109" w:line="221" w:lineRule="auto"/>
        <w:ind w:left="424"/>
        <w:rPr>
          <w:rFonts w:ascii="宋体" w:hAnsi="宋体" w:eastAsia="宋体" w:cs="宋体"/>
          <w:sz w:val="21"/>
          <w:szCs w:val="21"/>
        </w:rPr>
      </w:pPr>
      <w:r>
        <w:rPr>
          <w:rFonts w:ascii="宋体" w:hAnsi="宋体" w:eastAsia="宋体" w:cs="宋体"/>
          <w:sz w:val="21"/>
          <w:szCs w:val="21"/>
        </w:rPr>
        <w:t>最终结清应当由发包人和承包人按照“多退少补”的</w:t>
      </w:r>
      <w:r>
        <w:rPr>
          <w:rFonts w:ascii="宋体" w:hAnsi="宋体" w:eastAsia="宋体" w:cs="宋体"/>
          <w:spacing w:val="-1"/>
          <w:sz w:val="21"/>
          <w:szCs w:val="21"/>
        </w:rPr>
        <w:t>原则办理。</w:t>
      </w:r>
    </w:p>
    <w:p w14:paraId="7516FBB0">
      <w:pPr>
        <w:spacing w:before="109" w:line="318" w:lineRule="auto"/>
        <w:ind w:left="1" w:firstLine="435"/>
        <w:rPr>
          <w:rFonts w:ascii="宋体" w:hAnsi="宋体" w:eastAsia="宋体" w:cs="宋体"/>
          <w:sz w:val="21"/>
          <w:szCs w:val="21"/>
        </w:rPr>
      </w:pPr>
      <w:r>
        <w:rPr>
          <w:rFonts w:ascii="宋体" w:hAnsi="宋体" w:eastAsia="宋体" w:cs="宋体"/>
          <w:spacing w:val="-1"/>
          <w:sz w:val="21"/>
          <w:szCs w:val="21"/>
        </w:rPr>
        <w:t>14.1.6 竣工付款申请单和最终结清申请单应当比照进度付款申请单的格式准备，并提供相关</w:t>
      </w:r>
      <w:r>
        <w:rPr>
          <w:rFonts w:ascii="宋体" w:hAnsi="宋体" w:eastAsia="宋体" w:cs="宋体"/>
          <w:spacing w:val="-5"/>
          <w:sz w:val="21"/>
          <w:szCs w:val="21"/>
        </w:rPr>
        <w:t>证明材料。</w:t>
      </w:r>
    </w:p>
    <w:p w14:paraId="76AE5E4C">
      <w:pPr>
        <w:spacing w:before="115" w:line="220" w:lineRule="auto"/>
        <w:ind w:left="15"/>
        <w:rPr>
          <w:rFonts w:ascii="黑体" w:hAnsi="黑体" w:eastAsia="黑体" w:cs="黑体"/>
          <w:sz w:val="24"/>
          <w:szCs w:val="24"/>
        </w:rPr>
      </w:pPr>
      <w:r>
        <w:rPr>
          <w:rFonts w:ascii="黑体" w:hAnsi="黑体" w:eastAsia="黑体" w:cs="黑体"/>
          <w:spacing w:val="-4"/>
          <w:sz w:val="24"/>
          <w:szCs w:val="24"/>
        </w:rPr>
        <w:t>14.2</w:t>
      </w:r>
      <w:r>
        <w:rPr>
          <w:rFonts w:ascii="黑体" w:hAnsi="黑体" w:eastAsia="黑体" w:cs="黑体"/>
          <w:spacing w:val="-48"/>
          <w:sz w:val="24"/>
          <w:szCs w:val="24"/>
        </w:rPr>
        <w:t xml:space="preserve"> </w:t>
      </w:r>
      <w:r>
        <w:rPr>
          <w:rFonts w:ascii="黑体" w:hAnsi="黑体" w:eastAsia="黑体" w:cs="黑体"/>
          <w:spacing w:val="-4"/>
          <w:sz w:val="24"/>
          <w:szCs w:val="24"/>
        </w:rPr>
        <w:t>其他约定</w:t>
      </w:r>
    </w:p>
    <w:p w14:paraId="2E55803D">
      <w:pPr>
        <w:spacing w:before="188" w:line="221" w:lineRule="auto"/>
        <w:ind w:left="422"/>
        <w:rPr>
          <w:rFonts w:ascii="宋体" w:hAnsi="宋体" w:eastAsia="宋体" w:cs="宋体"/>
          <w:sz w:val="21"/>
          <w:szCs w:val="21"/>
        </w:rPr>
      </w:pPr>
      <w:r>
        <w:rPr>
          <w:rFonts w:ascii="宋体" w:hAnsi="宋体" w:eastAsia="宋体" w:cs="宋体"/>
          <w:spacing w:val="-5"/>
          <w:sz w:val="21"/>
          <w:szCs w:val="21"/>
        </w:rPr>
        <w:t>其他约定内容：</w:t>
      </w:r>
    </w:p>
    <w:p w14:paraId="16227261">
      <w:pPr>
        <w:pStyle w:val="5"/>
        <w:spacing w:line="247" w:lineRule="auto"/>
      </w:pPr>
    </w:p>
    <w:p w14:paraId="1FFF3AAE">
      <w:pPr>
        <w:spacing w:before="69" w:line="46" w:lineRule="exact"/>
        <w:ind w:left="8212"/>
        <w:rPr>
          <w:rFonts w:ascii="宋体" w:hAnsi="宋体" w:eastAsia="宋体" w:cs="宋体"/>
          <w:sz w:val="21"/>
          <w:szCs w:val="21"/>
        </w:rPr>
      </w:pPr>
      <w:r>
        <w:pict>
          <v:shape id="_x0000_s1150" o:spid="_x0000_s1150" o:spt="202" type="#_x0000_t202" style="position:absolute;left:0pt;margin-left:46.05pt;margin-top:-3.4pt;height:14.1pt;width:364.15pt;z-index:251670528;mso-width-relative:page;mso-height-relative:page;" filled="f" stroked="f" coordsize="21600,21600">
            <v:path/>
            <v:fill on="f" focussize="0,0"/>
            <v:stroke on="f"/>
            <v:imagedata o:title=""/>
            <o:lock v:ext="edit" aspectratio="f"/>
            <v:textbox inset="0mm,0mm,0mm,0mm">
              <w:txbxContent>
                <w:p w14:paraId="2554FED3">
                  <w:pPr>
                    <w:pStyle w:val="5"/>
                    <w:tabs>
                      <w:tab w:val="left" w:pos="7262"/>
                    </w:tabs>
                    <w:spacing w:before="19"/>
                    <w:ind w:left="20"/>
                  </w:pPr>
                  <w:r>
                    <w:rPr>
                      <w:rFonts w:hint="eastAsia" w:eastAsia="宋体"/>
                      <w:u w:val="single" w:color="auto"/>
                      <w:lang w:val="en-US" w:eastAsia="zh-CN"/>
                    </w:rPr>
                    <w:t xml:space="preserve">                             /</w:t>
                  </w:r>
                  <w:r>
                    <w:rPr>
                      <w:u w:val="single" w:color="auto"/>
                    </w:rPr>
                    <w:tab/>
                  </w:r>
                </w:p>
              </w:txbxContent>
            </v:textbox>
          </v:shape>
        </w:pict>
      </w:r>
      <w:r>
        <w:rPr>
          <w:rFonts w:ascii="宋体" w:hAnsi="宋体" w:eastAsia="宋体" w:cs="宋体"/>
          <w:position w:val="-1"/>
          <w:sz w:val="21"/>
          <w:szCs w:val="21"/>
        </w:rPr>
        <w:t>。</w:t>
      </w:r>
    </w:p>
    <w:p w14:paraId="2FFF8BB3">
      <w:pPr>
        <w:spacing w:before="169" w:line="232" w:lineRule="auto"/>
        <w:ind w:left="26"/>
        <w:outlineLvl w:val="2"/>
        <w:rPr>
          <w:rFonts w:ascii="黑体" w:hAnsi="黑体" w:eastAsia="黑体" w:cs="黑体"/>
          <w:sz w:val="28"/>
          <w:szCs w:val="28"/>
        </w:rPr>
      </w:pPr>
      <w:bookmarkStart w:id="1331" w:name="bookmark421"/>
      <w:bookmarkEnd w:id="1331"/>
      <w:r>
        <w:rPr>
          <w:rFonts w:ascii="Times New Roman" w:hAnsi="Times New Roman" w:eastAsia="Times New Roman" w:cs="Times New Roman"/>
          <w:spacing w:val="-3"/>
          <w:sz w:val="28"/>
          <w:szCs w:val="28"/>
        </w:rPr>
        <w:t>15.</w:t>
      </w:r>
      <w:r>
        <w:rPr>
          <w:rFonts w:ascii="黑体" w:hAnsi="黑体" w:eastAsia="黑体" w:cs="黑体"/>
          <w:spacing w:val="-3"/>
          <w:sz w:val="28"/>
          <w:szCs w:val="28"/>
        </w:rPr>
        <w:t>竣工验收和工程移交</w:t>
      </w:r>
    </w:p>
    <w:p w14:paraId="58B10B9E">
      <w:pPr>
        <w:spacing w:before="112" w:line="218" w:lineRule="auto"/>
        <w:ind w:left="15"/>
        <w:rPr>
          <w:rFonts w:ascii="黑体" w:hAnsi="黑体" w:eastAsia="黑体" w:cs="黑体"/>
          <w:sz w:val="24"/>
          <w:szCs w:val="24"/>
        </w:rPr>
      </w:pPr>
      <w:r>
        <w:rPr>
          <w:rFonts w:ascii="黑体" w:hAnsi="黑体" w:eastAsia="黑体" w:cs="黑体"/>
          <w:spacing w:val="-3"/>
          <w:sz w:val="24"/>
          <w:szCs w:val="24"/>
        </w:rPr>
        <w:t>15.1</w:t>
      </w:r>
      <w:r>
        <w:rPr>
          <w:rFonts w:ascii="黑体" w:hAnsi="黑体" w:eastAsia="黑体" w:cs="黑体"/>
          <w:spacing w:val="-46"/>
          <w:sz w:val="24"/>
          <w:szCs w:val="24"/>
        </w:rPr>
        <w:t xml:space="preserve"> </w:t>
      </w:r>
      <w:r>
        <w:rPr>
          <w:rFonts w:ascii="黑体" w:hAnsi="黑体" w:eastAsia="黑体" w:cs="黑体"/>
          <w:spacing w:val="-3"/>
          <w:sz w:val="24"/>
          <w:szCs w:val="24"/>
        </w:rPr>
        <w:t>竣工验收前的清理</w:t>
      </w:r>
    </w:p>
    <w:p w14:paraId="73110DD3">
      <w:pPr>
        <w:spacing w:before="115" w:line="317" w:lineRule="auto"/>
        <w:ind w:firstLine="437"/>
        <w:rPr>
          <w:rFonts w:ascii="宋体" w:hAnsi="宋体" w:eastAsia="宋体" w:cs="宋体"/>
          <w:sz w:val="21"/>
          <w:szCs w:val="21"/>
        </w:rPr>
      </w:pPr>
      <w:r>
        <w:rPr>
          <w:rFonts w:ascii="宋体" w:hAnsi="宋体" w:eastAsia="宋体" w:cs="宋体"/>
          <w:sz w:val="21"/>
          <w:szCs w:val="21"/>
        </w:rPr>
        <w:t>15.1.1</w:t>
      </w:r>
      <w:r>
        <w:rPr>
          <w:rFonts w:ascii="宋体" w:hAnsi="宋体" w:eastAsia="宋体" w:cs="宋体"/>
          <w:spacing w:val="-19"/>
          <w:sz w:val="21"/>
          <w:szCs w:val="21"/>
        </w:rPr>
        <w:t xml:space="preserve"> </w:t>
      </w:r>
      <w:r>
        <w:rPr>
          <w:rFonts w:ascii="宋体" w:hAnsi="宋体" w:eastAsia="宋体" w:cs="宋体"/>
          <w:sz w:val="21"/>
          <w:szCs w:val="21"/>
        </w:rPr>
        <w:t>在向监理人提交竣工验收申请</w:t>
      </w:r>
      <w:r>
        <w:rPr>
          <w:rFonts w:ascii="宋体" w:hAnsi="宋体" w:eastAsia="宋体" w:cs="宋体"/>
          <w:spacing w:val="-1"/>
          <w:sz w:val="21"/>
          <w:szCs w:val="21"/>
        </w:rPr>
        <w:t>报告前，承包人应当完成竣工验收前的清理工作，包括</w:t>
      </w:r>
      <w:r>
        <w:rPr>
          <w:rFonts w:ascii="宋体" w:hAnsi="宋体" w:eastAsia="宋体" w:cs="宋体"/>
          <w:spacing w:val="-6"/>
          <w:sz w:val="21"/>
          <w:szCs w:val="21"/>
        </w:rPr>
        <w:t>但不限于：</w:t>
      </w:r>
    </w:p>
    <w:p w14:paraId="089F8EC0">
      <w:pPr>
        <w:spacing w:before="1" w:line="219" w:lineRule="auto"/>
        <w:ind w:left="427"/>
        <w:rPr>
          <w:rFonts w:ascii="宋体" w:hAnsi="宋体" w:eastAsia="宋体" w:cs="宋体"/>
          <w:sz w:val="21"/>
          <w:szCs w:val="21"/>
        </w:rPr>
      </w:pPr>
      <w:r>
        <w:rPr>
          <w:rFonts w:ascii="宋体" w:hAnsi="宋体" w:eastAsia="宋体" w:cs="宋体"/>
          <w:spacing w:val="-2"/>
          <w:sz w:val="21"/>
          <w:szCs w:val="21"/>
        </w:rPr>
        <w:t>（1）从永久工程内清除所有剩余材料、杂物、垃圾等等；</w:t>
      </w:r>
    </w:p>
    <w:p w14:paraId="11520489">
      <w:pPr>
        <w:spacing w:before="110" w:line="221" w:lineRule="auto"/>
        <w:ind w:left="427"/>
        <w:rPr>
          <w:rFonts w:ascii="宋体" w:hAnsi="宋体" w:eastAsia="宋体" w:cs="宋体"/>
          <w:sz w:val="21"/>
          <w:szCs w:val="21"/>
        </w:rPr>
      </w:pPr>
      <w:r>
        <w:rPr>
          <w:rFonts w:ascii="宋体" w:hAnsi="宋体" w:eastAsia="宋体" w:cs="宋体"/>
          <w:spacing w:val="-2"/>
          <w:sz w:val="21"/>
          <w:szCs w:val="21"/>
        </w:rPr>
        <w:t>（2）清洗工程的所有地面、墙面、楼面、路面等表面；</w:t>
      </w:r>
    </w:p>
    <w:p w14:paraId="42526EA0">
      <w:pPr>
        <w:spacing w:before="109" w:line="220" w:lineRule="auto"/>
        <w:ind w:left="427"/>
        <w:rPr>
          <w:rFonts w:ascii="宋体" w:hAnsi="宋体" w:eastAsia="宋体" w:cs="宋体"/>
          <w:sz w:val="21"/>
          <w:szCs w:val="21"/>
        </w:rPr>
      </w:pPr>
      <w:r>
        <w:rPr>
          <w:rFonts w:ascii="宋体" w:hAnsi="宋体" w:eastAsia="宋体" w:cs="宋体"/>
          <w:spacing w:val="-2"/>
          <w:sz w:val="21"/>
          <w:szCs w:val="21"/>
        </w:rPr>
        <w:t>（3）清洗和擦洗所有玻璃、磁砖、石材和所有金属面；</w:t>
      </w:r>
    </w:p>
    <w:p w14:paraId="7D4721A0">
      <w:pPr>
        <w:spacing w:before="109" w:line="220" w:lineRule="auto"/>
        <w:ind w:left="427"/>
        <w:rPr>
          <w:rFonts w:ascii="宋体" w:hAnsi="宋体" w:eastAsia="宋体" w:cs="宋体"/>
          <w:sz w:val="21"/>
          <w:szCs w:val="21"/>
        </w:rPr>
      </w:pPr>
      <w:r>
        <w:rPr>
          <w:rFonts w:ascii="宋体" w:hAnsi="宋体" w:eastAsia="宋体" w:cs="宋体"/>
          <w:spacing w:val="-1"/>
          <w:sz w:val="21"/>
          <w:szCs w:val="21"/>
        </w:rPr>
        <w:t>（4）修缮所有损坏、清除所有污迹、替换所</w:t>
      </w:r>
      <w:r>
        <w:rPr>
          <w:rFonts w:ascii="宋体" w:hAnsi="宋体" w:eastAsia="宋体" w:cs="宋体"/>
          <w:spacing w:val="-2"/>
          <w:sz w:val="21"/>
          <w:szCs w:val="21"/>
        </w:rPr>
        <w:t>有需更换的材料；</w:t>
      </w:r>
    </w:p>
    <w:p w14:paraId="4DBE61EF">
      <w:pPr>
        <w:spacing w:before="110" w:line="221" w:lineRule="auto"/>
        <w:ind w:left="427"/>
        <w:rPr>
          <w:rFonts w:ascii="宋体" w:hAnsi="宋体" w:eastAsia="宋体" w:cs="宋体"/>
          <w:sz w:val="21"/>
          <w:szCs w:val="21"/>
        </w:rPr>
      </w:pPr>
      <w:r>
        <w:rPr>
          <w:rFonts w:ascii="宋体" w:hAnsi="宋体" w:eastAsia="宋体" w:cs="宋体"/>
          <w:spacing w:val="-1"/>
          <w:sz w:val="21"/>
          <w:szCs w:val="21"/>
        </w:rPr>
        <w:t>（5）所有表面完成约定的装修和装饰；</w:t>
      </w:r>
    </w:p>
    <w:p w14:paraId="6877749C">
      <w:pPr>
        <w:spacing w:before="108" w:line="221" w:lineRule="auto"/>
        <w:ind w:left="427"/>
        <w:rPr>
          <w:rFonts w:ascii="宋体" w:hAnsi="宋体" w:eastAsia="宋体" w:cs="宋体"/>
          <w:sz w:val="21"/>
          <w:szCs w:val="21"/>
        </w:rPr>
      </w:pPr>
      <w:r>
        <w:rPr>
          <w:rFonts w:ascii="宋体" w:hAnsi="宋体" w:eastAsia="宋体" w:cs="宋体"/>
          <w:spacing w:val="-1"/>
          <w:sz w:val="21"/>
          <w:szCs w:val="21"/>
        </w:rPr>
        <w:t>（6）检查和调试所有的门、窗、抽屉等以确保他们开启的顺畅；</w:t>
      </w:r>
    </w:p>
    <w:p w14:paraId="36CFDAA2">
      <w:pPr>
        <w:spacing w:before="109" w:line="221" w:lineRule="auto"/>
        <w:ind w:left="427"/>
        <w:rPr>
          <w:rFonts w:ascii="宋体" w:hAnsi="宋体" w:eastAsia="宋体" w:cs="宋体"/>
          <w:sz w:val="21"/>
          <w:szCs w:val="21"/>
        </w:rPr>
      </w:pPr>
      <w:r>
        <w:rPr>
          <w:rFonts w:ascii="宋体" w:hAnsi="宋体" w:eastAsia="宋体" w:cs="宋体"/>
          <w:spacing w:val="-1"/>
          <w:sz w:val="21"/>
          <w:szCs w:val="21"/>
        </w:rPr>
        <w:t>（7）检查和调试所有的五金件并上油；</w:t>
      </w:r>
    </w:p>
    <w:p w14:paraId="0F92B924">
      <w:pPr>
        <w:spacing w:before="109" w:line="221" w:lineRule="auto"/>
        <w:ind w:left="427"/>
        <w:rPr>
          <w:rFonts w:ascii="宋体" w:hAnsi="宋体" w:eastAsia="宋体" w:cs="宋体"/>
          <w:sz w:val="21"/>
          <w:szCs w:val="21"/>
        </w:rPr>
      </w:pPr>
      <w:r>
        <w:rPr>
          <w:rFonts w:ascii="宋体" w:hAnsi="宋体" w:eastAsia="宋体" w:cs="宋体"/>
          <w:spacing w:val="-1"/>
          <w:sz w:val="21"/>
          <w:szCs w:val="21"/>
        </w:rPr>
        <w:t>（8）检查、测试和确保所有服务系统、设施和设备达到良好的运行状态和效果；</w:t>
      </w:r>
    </w:p>
    <w:p w14:paraId="69D1D87A">
      <w:pPr>
        <w:spacing w:before="109" w:line="221" w:lineRule="auto"/>
        <w:ind w:left="427"/>
        <w:rPr>
          <w:rFonts w:ascii="宋体" w:hAnsi="宋体" w:eastAsia="宋体" w:cs="宋体"/>
          <w:sz w:val="21"/>
          <w:szCs w:val="21"/>
        </w:rPr>
      </w:pPr>
      <w:r>
        <w:rPr>
          <w:rFonts w:ascii="宋体" w:hAnsi="宋体" w:eastAsia="宋体" w:cs="宋体"/>
          <w:spacing w:val="-1"/>
          <w:sz w:val="21"/>
          <w:szCs w:val="21"/>
        </w:rPr>
        <w:t>（9）所有钥匙（如果有）贴上标签并固定到钥匙排上随时可以交给监理人。</w:t>
      </w:r>
    </w:p>
    <w:p w14:paraId="61BB6307">
      <w:pPr>
        <w:spacing w:before="108" w:line="221" w:lineRule="auto"/>
        <w:ind w:left="437"/>
        <w:rPr>
          <w:rFonts w:ascii="宋体" w:hAnsi="宋体" w:eastAsia="宋体" w:cs="宋体"/>
          <w:sz w:val="21"/>
          <w:szCs w:val="21"/>
        </w:rPr>
      </w:pPr>
      <w:r>
        <w:rPr>
          <w:rFonts w:ascii="宋体" w:hAnsi="宋体" w:eastAsia="宋体" w:cs="宋体"/>
          <w:spacing w:val="-3"/>
          <w:sz w:val="21"/>
          <w:szCs w:val="21"/>
        </w:rPr>
        <w:t>15.1.2</w:t>
      </w:r>
      <w:r>
        <w:rPr>
          <w:rFonts w:ascii="宋体" w:hAnsi="宋体" w:eastAsia="宋体" w:cs="宋体"/>
          <w:spacing w:val="-27"/>
          <w:sz w:val="21"/>
          <w:szCs w:val="21"/>
        </w:rPr>
        <w:t xml:space="preserve"> </w:t>
      </w:r>
      <w:r>
        <w:rPr>
          <w:rFonts w:ascii="宋体" w:hAnsi="宋体" w:eastAsia="宋体" w:cs="宋体"/>
          <w:spacing w:val="-3"/>
          <w:sz w:val="21"/>
          <w:szCs w:val="21"/>
        </w:rPr>
        <w:t>清理工作所需费用由承包人承担。</w:t>
      </w:r>
    </w:p>
    <w:p w14:paraId="0BFFF246">
      <w:pPr>
        <w:spacing w:before="207" w:line="218" w:lineRule="auto"/>
        <w:ind w:left="15"/>
        <w:rPr>
          <w:rFonts w:ascii="黑体" w:hAnsi="黑体" w:eastAsia="黑体" w:cs="黑体"/>
          <w:sz w:val="24"/>
          <w:szCs w:val="24"/>
        </w:rPr>
      </w:pPr>
      <w:r>
        <w:rPr>
          <w:rFonts w:ascii="黑体" w:hAnsi="黑体" w:eastAsia="黑体" w:cs="黑体"/>
          <w:spacing w:val="-3"/>
          <w:sz w:val="24"/>
          <w:szCs w:val="24"/>
        </w:rPr>
        <w:t>15.2</w:t>
      </w:r>
      <w:r>
        <w:rPr>
          <w:rFonts w:ascii="黑体" w:hAnsi="黑体" w:eastAsia="黑体" w:cs="黑体"/>
          <w:spacing w:val="-46"/>
          <w:sz w:val="24"/>
          <w:szCs w:val="24"/>
        </w:rPr>
        <w:t xml:space="preserve"> </w:t>
      </w:r>
      <w:r>
        <w:rPr>
          <w:rFonts w:ascii="黑体" w:hAnsi="黑体" w:eastAsia="黑体" w:cs="黑体"/>
          <w:spacing w:val="-3"/>
          <w:sz w:val="24"/>
          <w:szCs w:val="24"/>
        </w:rPr>
        <w:t>竣工验收申请报告</w:t>
      </w:r>
    </w:p>
    <w:p w14:paraId="24CF3F99">
      <w:pPr>
        <w:spacing w:before="68" w:line="297" w:lineRule="auto"/>
        <w:ind w:right="21" w:firstLine="436"/>
        <w:rPr>
          <w:rFonts w:ascii="宋体" w:hAnsi="宋体" w:eastAsia="宋体" w:cs="宋体"/>
          <w:sz w:val="21"/>
          <w:szCs w:val="21"/>
        </w:rPr>
      </w:pPr>
      <w:bookmarkStart w:id="1332" w:name="bookmark648"/>
      <w:bookmarkEnd w:id="1332"/>
      <w:r>
        <w:rPr>
          <w:rFonts w:ascii="宋体" w:hAnsi="宋体" w:eastAsia="宋体" w:cs="宋体"/>
          <w:spacing w:val="-1"/>
          <w:sz w:val="21"/>
          <w:szCs w:val="21"/>
        </w:rPr>
        <w:t>15.2.1 竣工验收申请报告，也称竣工验收报告，是承包人完成合同约定的工作内容后，按照</w:t>
      </w:r>
      <w:r>
        <w:rPr>
          <w:rFonts w:ascii="宋体" w:hAnsi="宋体" w:eastAsia="宋体" w:cs="宋体"/>
          <w:spacing w:val="1"/>
          <w:sz w:val="21"/>
          <w:szCs w:val="21"/>
        </w:rPr>
        <w:t>国家有关施工质量验收标准的规定，经其自行检查，证</w:t>
      </w:r>
      <w:r>
        <w:rPr>
          <w:rFonts w:ascii="宋体" w:hAnsi="宋体" w:eastAsia="宋体" w:cs="宋体"/>
          <w:sz w:val="21"/>
          <w:szCs w:val="21"/>
        </w:rPr>
        <w:t>明已经完成合同工作内容并符合合同约定，</w:t>
      </w:r>
      <w:r>
        <w:rPr>
          <w:rFonts w:ascii="宋体" w:hAnsi="宋体" w:eastAsia="宋体" w:cs="宋体"/>
          <w:spacing w:val="2"/>
          <w:sz w:val="21"/>
          <w:szCs w:val="21"/>
        </w:rPr>
        <w:t>达到竣工验收标准，而向监理人或发包人提交的请求发包人组织进行合</w:t>
      </w:r>
      <w:r>
        <w:rPr>
          <w:rFonts w:ascii="宋体" w:hAnsi="宋体" w:eastAsia="宋体" w:cs="宋体"/>
          <w:spacing w:val="1"/>
          <w:sz w:val="21"/>
          <w:szCs w:val="21"/>
        </w:rPr>
        <w:t>同工程竣工验收的一份书</w:t>
      </w:r>
      <w:r>
        <w:rPr>
          <w:rFonts w:ascii="宋体" w:hAnsi="宋体" w:eastAsia="宋体" w:cs="宋体"/>
          <w:spacing w:val="2"/>
          <w:sz w:val="21"/>
          <w:szCs w:val="21"/>
        </w:rPr>
        <w:t>面申请函，合同约定的竣工验收资料和其他文件一般作为竣工验收申请</w:t>
      </w:r>
      <w:r>
        <w:rPr>
          <w:rFonts w:ascii="宋体" w:hAnsi="宋体" w:eastAsia="宋体" w:cs="宋体"/>
          <w:spacing w:val="1"/>
          <w:sz w:val="21"/>
          <w:szCs w:val="21"/>
        </w:rPr>
        <w:t>报告的附件，是竣工验收</w:t>
      </w:r>
      <w:r>
        <w:rPr>
          <w:rFonts w:ascii="宋体" w:hAnsi="宋体" w:eastAsia="宋体" w:cs="宋体"/>
          <w:spacing w:val="-1"/>
          <w:sz w:val="21"/>
          <w:szCs w:val="21"/>
        </w:rPr>
        <w:t>申请报告的组成部分。</w:t>
      </w:r>
    </w:p>
    <w:p w14:paraId="45AC4DD9">
      <w:pPr>
        <w:spacing w:before="110" w:line="284" w:lineRule="auto"/>
        <w:ind w:left="4" w:firstLine="432"/>
        <w:rPr>
          <w:rFonts w:ascii="宋体" w:hAnsi="宋体" w:eastAsia="宋体" w:cs="宋体"/>
          <w:sz w:val="21"/>
          <w:szCs w:val="21"/>
        </w:rPr>
      </w:pPr>
      <w:r>
        <w:rPr>
          <w:rFonts w:ascii="宋体" w:hAnsi="宋体" w:eastAsia="宋体" w:cs="宋体"/>
          <w:spacing w:val="-2"/>
          <w:sz w:val="21"/>
          <w:szCs w:val="21"/>
        </w:rPr>
        <w:t>15.2.2 竣工验收申请报告一般应当包括工程概况说明，承包范围，分包工程情况，主要材料、</w:t>
      </w:r>
      <w:r>
        <w:rPr>
          <w:rFonts w:ascii="宋体" w:hAnsi="宋体" w:eastAsia="宋体" w:cs="宋体"/>
          <w:spacing w:val="2"/>
          <w:sz w:val="21"/>
          <w:szCs w:val="21"/>
        </w:rPr>
        <w:t>设备供应情况，采用的主要施工方法，新材料、新技术和新工</w:t>
      </w:r>
      <w:r>
        <w:rPr>
          <w:rFonts w:ascii="宋体" w:hAnsi="宋体" w:eastAsia="宋体" w:cs="宋体"/>
          <w:spacing w:val="1"/>
          <w:sz w:val="21"/>
          <w:szCs w:val="21"/>
        </w:rPr>
        <w:t>艺采用情况，自检质量情况等的说</w:t>
      </w:r>
      <w:r>
        <w:rPr>
          <w:rFonts w:ascii="宋体" w:hAnsi="宋体" w:eastAsia="宋体" w:cs="宋体"/>
          <w:spacing w:val="-1"/>
          <w:sz w:val="21"/>
          <w:szCs w:val="21"/>
        </w:rPr>
        <w:t>明。竣工验收申请报告的格式和应当包括的内容应事先经过监理人的审批。</w:t>
      </w:r>
    </w:p>
    <w:p w14:paraId="72544C72">
      <w:pPr>
        <w:spacing w:before="111" w:line="219" w:lineRule="auto"/>
        <w:ind w:left="436"/>
        <w:rPr>
          <w:rFonts w:ascii="宋体" w:hAnsi="宋体" w:eastAsia="宋体" w:cs="宋体"/>
          <w:sz w:val="21"/>
          <w:szCs w:val="21"/>
        </w:rPr>
      </w:pPr>
      <w:r>
        <w:rPr>
          <w:rFonts w:ascii="宋体" w:hAnsi="宋体" w:eastAsia="宋体" w:cs="宋体"/>
          <w:spacing w:val="-2"/>
          <w:sz w:val="21"/>
          <w:szCs w:val="21"/>
        </w:rPr>
        <w:t>15.2.3</w:t>
      </w:r>
      <w:r>
        <w:rPr>
          <w:rFonts w:ascii="宋体" w:hAnsi="宋体" w:eastAsia="宋体" w:cs="宋体"/>
          <w:spacing w:val="-38"/>
          <w:sz w:val="21"/>
          <w:szCs w:val="21"/>
        </w:rPr>
        <w:t xml:space="preserve"> </w:t>
      </w:r>
      <w:r>
        <w:rPr>
          <w:rFonts w:ascii="宋体" w:hAnsi="宋体" w:eastAsia="宋体" w:cs="宋体"/>
          <w:spacing w:val="-2"/>
          <w:sz w:val="21"/>
          <w:szCs w:val="21"/>
        </w:rPr>
        <w:t>竣工验收申请报告应当按通用合同条款第</w:t>
      </w:r>
      <w:r>
        <w:rPr>
          <w:rFonts w:ascii="宋体" w:hAnsi="宋体" w:eastAsia="宋体" w:cs="宋体"/>
          <w:spacing w:val="-28"/>
          <w:sz w:val="21"/>
          <w:szCs w:val="21"/>
        </w:rPr>
        <w:t xml:space="preserve"> </w:t>
      </w:r>
      <w:r>
        <w:rPr>
          <w:rFonts w:ascii="宋体" w:hAnsi="宋体" w:eastAsia="宋体" w:cs="宋体"/>
          <w:spacing w:val="-2"/>
          <w:sz w:val="21"/>
          <w:szCs w:val="21"/>
        </w:rPr>
        <w:t>18.2</w:t>
      </w:r>
      <w:r>
        <w:rPr>
          <w:rFonts w:ascii="宋体" w:hAnsi="宋体" w:eastAsia="宋体" w:cs="宋体"/>
          <w:spacing w:val="-43"/>
          <w:sz w:val="21"/>
          <w:szCs w:val="21"/>
        </w:rPr>
        <w:t xml:space="preserve"> </w:t>
      </w:r>
      <w:r>
        <w:rPr>
          <w:rFonts w:ascii="宋体" w:hAnsi="宋体" w:eastAsia="宋体" w:cs="宋体"/>
          <w:spacing w:val="-2"/>
          <w:sz w:val="21"/>
          <w:szCs w:val="21"/>
        </w:rPr>
        <w:t>款附上下列内容：</w:t>
      </w:r>
    </w:p>
    <w:p w14:paraId="461AF37C">
      <w:pPr>
        <w:spacing w:before="109" w:line="285" w:lineRule="auto"/>
        <w:ind w:right="180" w:firstLine="427"/>
        <w:rPr>
          <w:rFonts w:ascii="宋体" w:hAnsi="宋体" w:eastAsia="宋体" w:cs="宋体"/>
          <w:sz w:val="21"/>
          <w:szCs w:val="21"/>
        </w:rPr>
      </w:pPr>
      <w:r>
        <w:rPr>
          <w:rFonts w:ascii="宋体" w:hAnsi="宋体" w:eastAsia="宋体" w:cs="宋体"/>
          <w:spacing w:val="10"/>
          <w:sz w:val="21"/>
          <w:szCs w:val="21"/>
        </w:rPr>
        <w:t>（1）承包人的自行检查和评定记录文件，即除监理人同意列入缺陷责任</w:t>
      </w:r>
      <w:r>
        <w:rPr>
          <w:rFonts w:ascii="宋体" w:hAnsi="宋体" w:eastAsia="宋体" w:cs="宋体"/>
          <w:spacing w:val="9"/>
          <w:sz w:val="21"/>
          <w:szCs w:val="21"/>
        </w:rPr>
        <w:t>期内完成的尾工</w:t>
      </w:r>
      <w:r>
        <w:rPr>
          <w:rFonts w:ascii="宋体" w:hAnsi="宋体" w:eastAsia="宋体" w:cs="宋体"/>
          <w:spacing w:val="2"/>
          <w:sz w:val="21"/>
          <w:szCs w:val="21"/>
        </w:rPr>
        <w:t>（甩项）工程和缺陷修补工作外，合同范围内的全部单位工程以及有关工</w:t>
      </w:r>
      <w:r>
        <w:rPr>
          <w:rFonts w:ascii="宋体" w:hAnsi="宋体" w:eastAsia="宋体" w:cs="宋体"/>
          <w:spacing w:val="1"/>
          <w:sz w:val="21"/>
          <w:szCs w:val="21"/>
        </w:rPr>
        <w:t>作，包括合同要求的试</w:t>
      </w:r>
      <w:r>
        <w:rPr>
          <w:rFonts w:ascii="宋体" w:hAnsi="宋体" w:eastAsia="宋体" w:cs="宋体"/>
          <w:spacing w:val="-2"/>
          <w:sz w:val="21"/>
          <w:szCs w:val="21"/>
        </w:rPr>
        <w:t>验、试运行以及检验和验收均已完成，并符合合同要求；</w:t>
      </w:r>
    </w:p>
    <w:p w14:paraId="22DB0714">
      <w:pPr>
        <w:spacing w:before="108" w:line="221" w:lineRule="auto"/>
        <w:ind w:left="427"/>
        <w:rPr>
          <w:rFonts w:ascii="宋体" w:hAnsi="宋体" w:eastAsia="宋体" w:cs="宋体"/>
          <w:sz w:val="21"/>
          <w:szCs w:val="21"/>
        </w:rPr>
      </w:pPr>
      <w:r>
        <w:rPr>
          <w:rFonts w:ascii="宋体" w:hAnsi="宋体" w:eastAsia="宋体" w:cs="宋体"/>
          <w:spacing w:val="-2"/>
          <w:sz w:val="21"/>
          <w:szCs w:val="21"/>
        </w:rPr>
        <w:t>（2）按专用合同条款第</w:t>
      </w:r>
      <w:r>
        <w:rPr>
          <w:rFonts w:ascii="宋体" w:hAnsi="宋体" w:eastAsia="宋体" w:cs="宋体"/>
          <w:spacing w:val="-31"/>
          <w:sz w:val="21"/>
          <w:szCs w:val="21"/>
        </w:rPr>
        <w:t xml:space="preserve"> </w:t>
      </w:r>
      <w:r>
        <w:rPr>
          <w:rFonts w:ascii="宋体" w:hAnsi="宋体" w:eastAsia="宋体" w:cs="宋体"/>
          <w:spacing w:val="-2"/>
          <w:sz w:val="21"/>
          <w:szCs w:val="21"/>
        </w:rPr>
        <w:t>18.2（2）</w:t>
      </w:r>
      <w:r>
        <w:rPr>
          <w:rFonts w:ascii="宋体" w:hAnsi="宋体" w:eastAsia="宋体" w:cs="宋体"/>
          <w:spacing w:val="-56"/>
          <w:sz w:val="21"/>
          <w:szCs w:val="21"/>
        </w:rPr>
        <w:t xml:space="preserve"> </w:t>
      </w:r>
      <w:r>
        <w:rPr>
          <w:rFonts w:ascii="宋体" w:hAnsi="宋体" w:eastAsia="宋体" w:cs="宋体"/>
          <w:spacing w:val="-2"/>
          <w:sz w:val="21"/>
          <w:szCs w:val="21"/>
        </w:rPr>
        <w:t>目约定的内容和份数整理的符合要求的竣工资料；</w:t>
      </w:r>
    </w:p>
    <w:p w14:paraId="547BA68E">
      <w:pPr>
        <w:spacing w:before="110" w:line="269" w:lineRule="auto"/>
        <w:ind w:left="24" w:right="179" w:firstLine="402"/>
        <w:rPr>
          <w:rFonts w:ascii="宋体" w:hAnsi="宋体" w:eastAsia="宋体" w:cs="宋体"/>
          <w:sz w:val="21"/>
          <w:szCs w:val="21"/>
        </w:rPr>
      </w:pPr>
      <w:r>
        <w:rPr>
          <w:rFonts w:ascii="宋体" w:hAnsi="宋体" w:eastAsia="宋体" w:cs="宋体"/>
          <w:spacing w:val="4"/>
          <w:sz w:val="21"/>
          <w:szCs w:val="21"/>
        </w:rPr>
        <w:t>（3）按监理人的要求编制了在缺陷责任期内完成的尾工（甩项）工程和缺陷修补工作清单</w:t>
      </w:r>
      <w:r>
        <w:rPr>
          <w:rFonts w:ascii="宋体" w:hAnsi="宋体" w:eastAsia="宋体" w:cs="宋体"/>
          <w:spacing w:val="-6"/>
          <w:sz w:val="21"/>
          <w:szCs w:val="21"/>
        </w:rPr>
        <w:t>以及相应施工计划；</w:t>
      </w:r>
    </w:p>
    <w:p w14:paraId="287B3960">
      <w:pPr>
        <w:spacing w:before="107" w:line="220" w:lineRule="auto"/>
        <w:ind w:left="427"/>
        <w:rPr>
          <w:rFonts w:ascii="宋体" w:hAnsi="宋体" w:eastAsia="宋体" w:cs="宋体"/>
          <w:sz w:val="21"/>
          <w:szCs w:val="21"/>
        </w:rPr>
      </w:pPr>
      <w:r>
        <w:rPr>
          <w:rFonts w:ascii="宋体" w:hAnsi="宋体" w:eastAsia="宋体" w:cs="宋体"/>
          <w:spacing w:val="-1"/>
          <w:sz w:val="21"/>
          <w:szCs w:val="21"/>
        </w:rPr>
        <w:t>（4）监理人要求在竣工验收前应完成的其他</w:t>
      </w:r>
      <w:r>
        <w:rPr>
          <w:rFonts w:ascii="宋体" w:hAnsi="宋体" w:eastAsia="宋体" w:cs="宋体"/>
          <w:spacing w:val="-2"/>
          <w:sz w:val="21"/>
          <w:szCs w:val="21"/>
        </w:rPr>
        <w:t>工作的证明材料；</w:t>
      </w:r>
    </w:p>
    <w:p w14:paraId="792BA876">
      <w:pPr>
        <w:spacing w:before="110" w:line="221" w:lineRule="auto"/>
        <w:ind w:left="427"/>
        <w:rPr>
          <w:rFonts w:ascii="宋体" w:hAnsi="宋体" w:eastAsia="宋体" w:cs="宋体"/>
          <w:sz w:val="21"/>
          <w:szCs w:val="21"/>
        </w:rPr>
      </w:pPr>
      <w:r>
        <w:rPr>
          <w:rFonts w:ascii="宋体" w:hAnsi="宋体" w:eastAsia="宋体" w:cs="宋体"/>
          <w:spacing w:val="-1"/>
          <w:sz w:val="21"/>
          <w:szCs w:val="21"/>
        </w:rPr>
        <w:t>（5）监理人要求提交的竣工验收资料清单；</w:t>
      </w:r>
    </w:p>
    <w:p w14:paraId="3C4A9951">
      <w:pPr>
        <w:spacing w:before="108" w:line="221" w:lineRule="auto"/>
        <w:ind w:left="427"/>
        <w:rPr>
          <w:rFonts w:ascii="宋体" w:hAnsi="宋体" w:eastAsia="宋体" w:cs="宋体"/>
          <w:sz w:val="21"/>
          <w:szCs w:val="21"/>
        </w:rPr>
      </w:pPr>
      <w:r>
        <w:rPr>
          <w:rFonts w:ascii="宋体" w:hAnsi="宋体" w:eastAsia="宋体" w:cs="宋体"/>
          <w:spacing w:val="-1"/>
          <w:sz w:val="21"/>
          <w:szCs w:val="21"/>
        </w:rPr>
        <w:t>（6）通用合同条款第</w:t>
      </w:r>
      <w:r>
        <w:rPr>
          <w:rFonts w:ascii="宋体" w:hAnsi="宋体" w:eastAsia="宋体" w:cs="宋体"/>
          <w:spacing w:val="-28"/>
          <w:sz w:val="21"/>
          <w:szCs w:val="21"/>
        </w:rPr>
        <w:t xml:space="preserve"> </w:t>
      </w:r>
      <w:r>
        <w:rPr>
          <w:rFonts w:ascii="宋体" w:hAnsi="宋体" w:eastAsia="宋体" w:cs="宋体"/>
          <w:spacing w:val="-1"/>
          <w:sz w:val="21"/>
          <w:szCs w:val="21"/>
        </w:rPr>
        <w:t>18.4.1</w:t>
      </w:r>
      <w:r>
        <w:rPr>
          <w:rFonts w:ascii="宋体" w:hAnsi="宋体" w:eastAsia="宋体" w:cs="宋体"/>
          <w:spacing w:val="-41"/>
          <w:sz w:val="21"/>
          <w:szCs w:val="21"/>
        </w:rPr>
        <w:t xml:space="preserve"> </w:t>
      </w:r>
      <w:r>
        <w:rPr>
          <w:rFonts w:ascii="宋体" w:hAnsi="宋体" w:eastAsia="宋体" w:cs="宋体"/>
          <w:spacing w:val="-1"/>
          <w:sz w:val="21"/>
          <w:szCs w:val="21"/>
        </w:rPr>
        <w:t>项约定的单位工程竣工验收成果和结</w:t>
      </w:r>
      <w:r>
        <w:rPr>
          <w:rFonts w:ascii="宋体" w:hAnsi="宋体" w:eastAsia="宋体" w:cs="宋体"/>
          <w:spacing w:val="-2"/>
          <w:sz w:val="21"/>
          <w:szCs w:val="21"/>
        </w:rPr>
        <w:t>论文件（如果有</w:t>
      </w:r>
      <w:r>
        <w:rPr>
          <w:rFonts w:ascii="宋体" w:hAnsi="宋体" w:eastAsia="宋体" w:cs="宋体"/>
          <w:spacing w:val="-54"/>
          <w:w w:val="97"/>
          <w:sz w:val="21"/>
          <w:szCs w:val="21"/>
        </w:rPr>
        <w:t>）；</w:t>
      </w:r>
    </w:p>
    <w:p w14:paraId="24EB56B8">
      <w:pPr>
        <w:spacing w:before="109" w:line="220" w:lineRule="auto"/>
        <w:ind w:left="427"/>
        <w:rPr>
          <w:rFonts w:ascii="宋体" w:hAnsi="宋体" w:eastAsia="宋体" w:cs="宋体"/>
          <w:sz w:val="21"/>
          <w:szCs w:val="21"/>
        </w:rPr>
      </w:pPr>
      <w:r>
        <w:rPr>
          <w:rFonts w:ascii="宋体" w:hAnsi="宋体" w:eastAsia="宋体" w:cs="宋体"/>
          <w:spacing w:val="-1"/>
          <w:sz w:val="21"/>
          <w:szCs w:val="21"/>
        </w:rPr>
        <w:t>（7）专用合同条款第</w:t>
      </w:r>
      <w:r>
        <w:rPr>
          <w:rFonts w:ascii="宋体" w:hAnsi="宋体" w:eastAsia="宋体" w:cs="宋体"/>
          <w:spacing w:val="-28"/>
          <w:sz w:val="21"/>
          <w:szCs w:val="21"/>
        </w:rPr>
        <w:t xml:space="preserve"> </w:t>
      </w:r>
      <w:r>
        <w:rPr>
          <w:rFonts w:ascii="宋体" w:hAnsi="宋体" w:eastAsia="宋体" w:cs="宋体"/>
          <w:spacing w:val="-1"/>
          <w:sz w:val="21"/>
          <w:szCs w:val="21"/>
        </w:rPr>
        <w:t>19.7</w:t>
      </w:r>
      <w:r>
        <w:rPr>
          <w:rFonts w:ascii="宋体" w:hAnsi="宋体" w:eastAsia="宋体" w:cs="宋体"/>
          <w:spacing w:val="-43"/>
          <w:sz w:val="21"/>
          <w:szCs w:val="21"/>
        </w:rPr>
        <w:t xml:space="preserve"> </w:t>
      </w:r>
      <w:r>
        <w:rPr>
          <w:rFonts w:ascii="宋体" w:hAnsi="宋体" w:eastAsia="宋体" w:cs="宋体"/>
          <w:spacing w:val="-1"/>
          <w:sz w:val="21"/>
          <w:szCs w:val="21"/>
        </w:rPr>
        <w:t>款约定的质量保修书（此</w:t>
      </w:r>
      <w:r>
        <w:rPr>
          <w:rFonts w:ascii="宋体" w:hAnsi="宋体" w:eastAsia="宋体" w:cs="宋体"/>
          <w:spacing w:val="-2"/>
          <w:sz w:val="21"/>
          <w:szCs w:val="21"/>
        </w:rPr>
        <w:t>前已经提交的不再提交</w:t>
      </w:r>
      <w:r>
        <w:rPr>
          <w:rFonts w:ascii="宋体" w:hAnsi="宋体" w:eastAsia="宋体" w:cs="宋体"/>
          <w:spacing w:val="-54"/>
          <w:w w:val="97"/>
          <w:sz w:val="21"/>
          <w:szCs w:val="21"/>
        </w:rPr>
        <w:t>）；</w:t>
      </w:r>
    </w:p>
    <w:p w14:paraId="33D745DB">
      <w:pPr>
        <w:spacing w:before="171" w:line="221" w:lineRule="auto"/>
        <w:ind w:left="427"/>
        <w:rPr>
          <w:rFonts w:ascii="宋体" w:hAnsi="宋体" w:eastAsia="宋体" w:cs="宋体"/>
          <w:sz w:val="21"/>
          <w:szCs w:val="21"/>
        </w:rPr>
      </w:pPr>
      <w:r>
        <w:rPr>
          <w:rFonts w:ascii="宋体" w:hAnsi="宋体" w:eastAsia="宋体" w:cs="宋体"/>
          <w:sz w:val="21"/>
          <w:szCs w:val="21"/>
        </w:rPr>
        <w:t>（8）其他：</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7B635388">
      <w:pPr>
        <w:spacing w:before="160" w:line="218" w:lineRule="auto"/>
        <w:ind w:left="14"/>
        <w:rPr>
          <w:rFonts w:ascii="黑体" w:hAnsi="黑体" w:eastAsia="黑体" w:cs="黑体"/>
          <w:sz w:val="24"/>
          <w:szCs w:val="24"/>
        </w:rPr>
      </w:pPr>
      <w:r>
        <w:rPr>
          <w:rFonts w:ascii="黑体" w:hAnsi="黑体" w:eastAsia="黑体" w:cs="黑体"/>
          <w:spacing w:val="-4"/>
          <w:sz w:val="24"/>
          <w:szCs w:val="24"/>
        </w:rPr>
        <w:t>15.3</w:t>
      </w:r>
      <w:r>
        <w:rPr>
          <w:rFonts w:ascii="黑体" w:hAnsi="黑体" w:eastAsia="黑体" w:cs="黑体"/>
          <w:spacing w:val="-49"/>
          <w:sz w:val="24"/>
          <w:szCs w:val="24"/>
        </w:rPr>
        <w:t xml:space="preserve"> </w:t>
      </w:r>
      <w:r>
        <w:rPr>
          <w:rFonts w:ascii="黑体" w:hAnsi="黑体" w:eastAsia="黑体" w:cs="黑体"/>
          <w:spacing w:val="-4"/>
          <w:sz w:val="24"/>
          <w:szCs w:val="24"/>
        </w:rPr>
        <w:t>竣工清场</w:t>
      </w:r>
    </w:p>
    <w:p w14:paraId="0E829770">
      <w:pPr>
        <w:spacing w:before="117" w:line="316" w:lineRule="auto"/>
        <w:ind w:right="177" w:firstLine="436"/>
        <w:rPr>
          <w:rFonts w:ascii="宋体" w:hAnsi="宋体" w:eastAsia="宋体" w:cs="宋体"/>
          <w:sz w:val="21"/>
          <w:szCs w:val="21"/>
        </w:rPr>
      </w:pPr>
      <w:r>
        <w:rPr>
          <w:rFonts w:ascii="宋体" w:hAnsi="宋体" w:eastAsia="宋体" w:cs="宋体"/>
          <w:spacing w:val="2"/>
          <w:sz w:val="21"/>
          <w:szCs w:val="21"/>
        </w:rPr>
        <w:t>15.3.1监理人颁发（出具）工程接收</w:t>
      </w:r>
      <w:r>
        <w:rPr>
          <w:rFonts w:ascii="宋体" w:hAnsi="宋体" w:eastAsia="宋体" w:cs="宋体"/>
          <w:spacing w:val="1"/>
          <w:sz w:val="21"/>
          <w:szCs w:val="21"/>
        </w:rPr>
        <w:t>证书后，承包人应在56天内按以下要求对施工场地（现</w:t>
      </w:r>
      <w:r>
        <w:rPr>
          <w:rFonts w:ascii="宋体" w:hAnsi="宋体" w:eastAsia="宋体" w:cs="宋体"/>
          <w:spacing w:val="-5"/>
          <w:sz w:val="21"/>
          <w:szCs w:val="21"/>
        </w:rPr>
        <w:t>场）进行清理：</w:t>
      </w:r>
    </w:p>
    <w:p w14:paraId="61AE1834">
      <w:pPr>
        <w:spacing w:line="220" w:lineRule="auto"/>
        <w:ind w:left="427"/>
        <w:rPr>
          <w:rFonts w:ascii="宋体" w:hAnsi="宋体" w:eastAsia="宋体" w:cs="宋体"/>
          <w:sz w:val="21"/>
          <w:szCs w:val="21"/>
        </w:rPr>
      </w:pPr>
      <w:r>
        <w:rPr>
          <w:rFonts w:ascii="宋体" w:hAnsi="宋体" w:eastAsia="宋体" w:cs="宋体"/>
          <w:spacing w:val="-2"/>
          <w:sz w:val="21"/>
          <w:szCs w:val="21"/>
        </w:rPr>
        <w:t>（1）从施工场地（现场）清除所有杂物和垃圾等；</w:t>
      </w:r>
    </w:p>
    <w:p w14:paraId="1DD8B6B1">
      <w:pPr>
        <w:spacing w:before="110" w:line="268" w:lineRule="auto"/>
        <w:ind w:left="1" w:right="186" w:firstLine="425"/>
        <w:rPr>
          <w:rFonts w:ascii="宋体" w:hAnsi="宋体" w:eastAsia="宋体" w:cs="宋体"/>
          <w:sz w:val="21"/>
          <w:szCs w:val="21"/>
        </w:rPr>
      </w:pPr>
      <w:r>
        <w:rPr>
          <w:rFonts w:ascii="宋体" w:hAnsi="宋体" w:eastAsia="宋体" w:cs="宋体"/>
          <w:spacing w:val="4"/>
          <w:sz w:val="21"/>
          <w:szCs w:val="21"/>
        </w:rPr>
        <w:t>（2）从施工场地现场拆除所有的临时工程和临时设施并恢复地面原状，但经监理人批准的</w:t>
      </w:r>
      <w:r>
        <w:rPr>
          <w:rFonts w:ascii="宋体" w:hAnsi="宋体" w:eastAsia="宋体" w:cs="宋体"/>
          <w:spacing w:val="-1"/>
          <w:sz w:val="21"/>
          <w:szCs w:val="21"/>
        </w:rPr>
        <w:t>护坡桩、锚杆、塔吊基础和无法拆除的埋入式模板等无法拆除的临时设施除外；</w:t>
      </w:r>
    </w:p>
    <w:p w14:paraId="7F1CC8B2">
      <w:pPr>
        <w:spacing w:before="110" w:line="269" w:lineRule="auto"/>
        <w:ind w:left="5" w:right="182" w:firstLine="422"/>
        <w:rPr>
          <w:rFonts w:ascii="宋体" w:hAnsi="宋体" w:eastAsia="宋体" w:cs="宋体"/>
          <w:sz w:val="21"/>
          <w:szCs w:val="21"/>
        </w:rPr>
      </w:pPr>
      <w:r>
        <w:rPr>
          <w:rFonts w:ascii="宋体" w:hAnsi="宋体" w:eastAsia="宋体" w:cs="宋体"/>
          <w:spacing w:val="4"/>
          <w:sz w:val="21"/>
          <w:szCs w:val="21"/>
        </w:rPr>
        <w:t>（3）撤离所有承包人施工设备和剩余材料（经监理人同意需在缺陷责任期内继续使用的除</w:t>
      </w:r>
      <w:r>
        <w:rPr>
          <w:rFonts w:ascii="宋体" w:hAnsi="宋体" w:eastAsia="宋体" w:cs="宋体"/>
          <w:spacing w:val="-12"/>
          <w:sz w:val="21"/>
          <w:szCs w:val="21"/>
        </w:rPr>
        <w:t>外</w:t>
      </w:r>
      <w:r>
        <w:rPr>
          <w:rFonts w:ascii="宋体" w:hAnsi="宋体" w:eastAsia="宋体" w:cs="宋体"/>
          <w:spacing w:val="-39"/>
          <w:sz w:val="21"/>
          <w:szCs w:val="21"/>
        </w:rPr>
        <w:t>）；</w:t>
      </w:r>
    </w:p>
    <w:p w14:paraId="27212EB9">
      <w:pPr>
        <w:spacing w:before="109" w:line="221" w:lineRule="auto"/>
        <w:ind w:left="427"/>
        <w:rPr>
          <w:rFonts w:ascii="宋体" w:hAnsi="宋体" w:eastAsia="宋体" w:cs="宋体"/>
          <w:sz w:val="21"/>
          <w:szCs w:val="21"/>
        </w:rPr>
      </w:pPr>
      <w:r>
        <w:rPr>
          <w:rFonts w:ascii="宋体" w:hAnsi="宋体" w:eastAsia="宋体" w:cs="宋体"/>
          <w:spacing w:val="-1"/>
          <w:sz w:val="21"/>
          <w:szCs w:val="21"/>
        </w:rPr>
        <w:t>（4）监理人指示的其他清场工作。</w:t>
      </w:r>
    </w:p>
    <w:p w14:paraId="7FB2CDE2">
      <w:pPr>
        <w:spacing w:before="82" w:line="234" w:lineRule="auto"/>
        <w:ind w:left="25"/>
        <w:outlineLvl w:val="2"/>
        <w:rPr>
          <w:rFonts w:ascii="黑体" w:hAnsi="黑体" w:eastAsia="黑体" w:cs="黑体"/>
          <w:sz w:val="28"/>
          <w:szCs w:val="28"/>
        </w:rPr>
      </w:pPr>
      <w:bookmarkStart w:id="1333" w:name="bookmark422"/>
      <w:bookmarkEnd w:id="1333"/>
      <w:r>
        <w:rPr>
          <w:rFonts w:ascii="Times New Roman" w:hAnsi="Times New Roman" w:eastAsia="Times New Roman" w:cs="Times New Roman"/>
          <w:spacing w:val="-5"/>
          <w:sz w:val="28"/>
          <w:szCs w:val="28"/>
        </w:rPr>
        <w:t>16.</w:t>
      </w:r>
      <w:r>
        <w:rPr>
          <w:rFonts w:ascii="黑体" w:hAnsi="黑体" w:eastAsia="黑体" w:cs="黑体"/>
          <w:spacing w:val="-5"/>
          <w:sz w:val="28"/>
          <w:szCs w:val="28"/>
        </w:rPr>
        <w:t>其他要求</w:t>
      </w:r>
    </w:p>
    <w:p w14:paraId="6257C1E8">
      <w:pPr>
        <w:pStyle w:val="5"/>
        <w:spacing w:line="251" w:lineRule="auto"/>
      </w:pPr>
    </w:p>
    <w:p w14:paraId="400EE257">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主要包括对工程质量、安全、环保以及文档管理等方面的规定。在工程质量上，要求承包人严格按照国家相关施工规范和合同约定的质量标准进行施工，确保每一道工序都符合质量要求，对于隐蔽工程，必须在覆盖前通知监理人进行验收，验收合格后方可进行下一道工序。在安全方面，承包人需建立完善的安全管理制度，配备必要的安全防护设施和专职安全管理人员，对施工现场进行定期安全检查，及时发现并消除安全隐患，防止安全事故的发生。环保要求上，施工过程中应采取有效措施控制粉尘、噪音、废水等污染物的排放，确保施工活动不对周边环境造成不良影响，对于施工过程中产生的废弃物，应按照环保要求进行分类处理和处置。文档管理方面，承包人需建立完整的工程文档管理体系，对施工过程中的各类文件、记录、图纸等进行及时整理和归档，确保工程文档的完整性和可追溯性，在工程竣工后，应按照合同约定向发包人提交完整的工程竣工档案。除了上述提及的各方面要求外，在项目沟通协调上，承包人要建立高效的沟通机制，每周定期组织工程例会，向监理人和发包人汇报工程进度、质量、安全等情况，及时反馈施工中遇到的问题并共同商讨解决方案。对于紧急情况或重大问题，需立即通知相关方，确保信息传递的及时性和准确性。</w:t>
      </w:r>
    </w:p>
    <w:p w14:paraId="41C224F7">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在材料与设备管理方面，承包人应严格把控材料和设备的采购质量，所有进场的材料和设备必须具备合格证明和质量检验报告，并按规定进行抽检和复验。对于不合格的材料和设备，要坚决清退出场，严禁使用在工程中。同时，要做好材料和设备的存储与保管工作，防止因存储不当导致材料变质或设备损坏。</w:t>
      </w:r>
    </w:p>
    <w:p w14:paraId="2A609327">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在人员管理上，承包人要确保施工现场的管理人员和作业人员具备相应的资质和技能，定期组织人员培训和考核，提高人员的业务水平和安全意识。对于关键岗位人员，不得随意更换，如需更换，必须提前征得监理人和发包人的同意，并确保新更换人员的能力和资质不低于原人员。</w:t>
      </w:r>
    </w:p>
    <w:p w14:paraId="01B7A14D">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在风险管理方面，承包人要对工程实施过程中可能遇到的风险进行全面识别和评估，制定相应的风险应对措施。对于不可抗力因素导致的风险，要及时与监理人和发包人沟通，按照合同约定共同承担风险损失。</w:t>
      </w:r>
    </w:p>
    <w:p w14:paraId="1CC851BF">
      <w:pPr>
        <w:spacing w:line="400" w:lineRule="exact"/>
        <w:ind w:firstLine="420" w:firstLineChars="200"/>
        <w:rPr>
          <w:rFonts w:hint="eastAsia"/>
          <w:color w:val="auto"/>
          <w:highlight w:val="none"/>
          <w:u w:val="single"/>
        </w:rPr>
      </w:pPr>
      <w:r>
        <w:rPr>
          <w:rFonts w:hint="eastAsia"/>
          <w:color w:val="auto"/>
          <w:sz w:val="21"/>
          <w:highlight w:val="none"/>
          <w:u w:val="single"/>
          <w:lang w:val="en-US" w:eastAsia="zh-CN"/>
        </w:rPr>
        <w:t>在验收与保修阶段，承包人要积极配合发包人组织的各项验收工作，对于验收中提出的问题，要立即制定整改方案并组织实施，确保在规定时间内完成整改并通过复验。在质量保修期内，对于发包人反馈的质量问题，要及时到达现场进行维修和处理，确保工程正常使用。</w:t>
      </w:r>
    </w:p>
    <w:p w14:paraId="24A2AB41">
      <w:pPr>
        <w:spacing w:line="46" w:lineRule="exact"/>
        <w:rPr>
          <w:rFonts w:ascii="宋体" w:hAnsi="宋体" w:eastAsia="宋体" w:cs="宋体"/>
          <w:sz w:val="21"/>
          <w:szCs w:val="21"/>
        </w:rPr>
        <w:sectPr>
          <w:footerReference r:id="rId183" w:type="default"/>
          <w:pgSz w:w="11905" w:h="16843"/>
          <w:pgMar w:top="969" w:right="1355" w:bottom="1026" w:left="1480" w:header="0" w:footer="754" w:gutter="0"/>
          <w:cols w:space="0" w:num="1"/>
          <w:rtlGutter w:val="0"/>
          <w:docGrid w:linePitch="0" w:charSpace="0"/>
        </w:sectPr>
      </w:pPr>
    </w:p>
    <w:p w14:paraId="02D2AB16">
      <w:pPr>
        <w:pStyle w:val="5"/>
        <w:spacing w:line="256" w:lineRule="auto"/>
      </w:pPr>
    </w:p>
    <w:p w14:paraId="76DF5773">
      <w:pPr>
        <w:pStyle w:val="5"/>
        <w:spacing w:line="256" w:lineRule="auto"/>
      </w:pPr>
    </w:p>
    <w:p w14:paraId="790EF6A5">
      <w:pPr>
        <w:pStyle w:val="5"/>
        <w:spacing w:line="256" w:lineRule="auto"/>
      </w:pPr>
    </w:p>
    <w:p w14:paraId="20396D8D">
      <w:pPr>
        <w:pStyle w:val="5"/>
        <w:spacing w:line="256" w:lineRule="auto"/>
      </w:pPr>
    </w:p>
    <w:p w14:paraId="7B615B29">
      <w:pPr>
        <w:pStyle w:val="5"/>
        <w:spacing w:line="257" w:lineRule="auto"/>
      </w:pPr>
    </w:p>
    <w:p w14:paraId="3652DDDC">
      <w:pPr>
        <w:spacing w:before="91" w:line="219" w:lineRule="auto"/>
        <w:ind w:left="2641"/>
        <w:outlineLvl w:val="1"/>
        <w:rPr>
          <w:rFonts w:ascii="黑体" w:hAnsi="黑体" w:eastAsia="黑体" w:cs="黑体"/>
          <w:sz w:val="28"/>
          <w:szCs w:val="28"/>
        </w:rPr>
      </w:pPr>
      <w:bookmarkStart w:id="1334" w:name="bookmark423"/>
      <w:bookmarkEnd w:id="1334"/>
      <w:r>
        <w:rPr>
          <w:rFonts w:ascii="黑体" w:hAnsi="黑体" w:eastAsia="黑体" w:cs="黑体"/>
          <w:spacing w:val="-1"/>
          <w:sz w:val="28"/>
          <w:szCs w:val="28"/>
        </w:rPr>
        <w:t>第二节  特殊技术标准和要求</w:t>
      </w:r>
    </w:p>
    <w:p w14:paraId="62987552">
      <w:pPr>
        <w:pStyle w:val="5"/>
        <w:spacing w:line="473" w:lineRule="auto"/>
      </w:pPr>
    </w:p>
    <w:p w14:paraId="51112F93">
      <w:pPr>
        <w:spacing w:before="91" w:line="233" w:lineRule="auto"/>
        <w:ind w:left="32"/>
        <w:outlineLvl w:val="2"/>
        <w:rPr>
          <w:rFonts w:ascii="黑体" w:hAnsi="黑体" w:eastAsia="黑体" w:cs="黑体"/>
          <w:sz w:val="28"/>
          <w:szCs w:val="28"/>
        </w:rPr>
      </w:pPr>
      <w:bookmarkStart w:id="1335" w:name="bookmark424"/>
      <w:bookmarkEnd w:id="1335"/>
      <w:r>
        <w:rPr>
          <w:rFonts w:ascii="Times New Roman" w:hAnsi="Times New Roman" w:eastAsia="Times New Roman" w:cs="Times New Roman"/>
          <w:spacing w:val="-3"/>
          <w:sz w:val="28"/>
          <w:szCs w:val="28"/>
        </w:rPr>
        <w:t>1</w:t>
      </w:r>
      <w:r>
        <w:rPr>
          <w:rFonts w:ascii="黑体" w:hAnsi="黑体" w:eastAsia="黑体" w:cs="黑体"/>
          <w:spacing w:val="-3"/>
          <w:sz w:val="28"/>
          <w:szCs w:val="28"/>
        </w:rPr>
        <w:t>．材料和工程设备技术要求</w:t>
      </w:r>
    </w:p>
    <w:p w14:paraId="3D095B50">
      <w:pPr>
        <w:spacing w:before="185" w:line="220" w:lineRule="auto"/>
        <w:ind w:left="443"/>
        <w:rPr>
          <w:rFonts w:ascii="宋体" w:hAnsi="宋体" w:eastAsia="宋体" w:cs="宋体"/>
          <w:sz w:val="21"/>
          <w:szCs w:val="21"/>
        </w:rPr>
      </w:pPr>
      <w:r>
        <w:rPr>
          <w:rFonts w:ascii="宋体" w:hAnsi="宋体" w:eastAsia="宋体" w:cs="宋体"/>
          <w:spacing w:val="-2"/>
          <w:sz w:val="21"/>
          <w:szCs w:val="21"/>
        </w:rPr>
        <w:t>1.1</w:t>
      </w:r>
      <w:r>
        <w:rPr>
          <w:rFonts w:ascii="宋体" w:hAnsi="宋体" w:eastAsia="宋体" w:cs="宋体"/>
          <w:spacing w:val="-36"/>
          <w:sz w:val="21"/>
          <w:szCs w:val="21"/>
        </w:rPr>
        <w:t xml:space="preserve"> </w:t>
      </w:r>
      <w:r>
        <w:rPr>
          <w:rFonts w:ascii="宋体" w:hAnsi="宋体" w:eastAsia="宋体" w:cs="宋体"/>
          <w:spacing w:val="-2"/>
          <w:sz w:val="21"/>
          <w:szCs w:val="21"/>
        </w:rPr>
        <w:t>承包人自行施工范围内的部分材料和工程设备技术要求如下：</w:t>
      </w:r>
    </w:p>
    <w:p w14:paraId="299F760E">
      <w:pPr>
        <w:pStyle w:val="5"/>
        <w:spacing w:line="317" w:lineRule="auto"/>
      </w:pPr>
    </w:p>
    <w:p w14:paraId="1D78FF98">
      <w:pPr>
        <w:tabs>
          <w:tab w:val="left" w:pos="7455"/>
        </w:tabs>
        <w:spacing w:before="69" w:line="93" w:lineRule="auto"/>
        <w:ind w:left="94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6FD125EC">
      <w:pPr>
        <w:spacing w:before="256" w:line="440" w:lineRule="auto"/>
        <w:ind w:left="8" w:firstLine="421"/>
        <w:jc w:val="both"/>
        <w:rPr>
          <w:rFonts w:ascii="宋体" w:hAnsi="宋体" w:eastAsia="宋体" w:cs="宋体"/>
          <w:sz w:val="21"/>
          <w:szCs w:val="21"/>
        </w:rPr>
      </w:pPr>
      <w:r>
        <w:rPr>
          <w:rFonts w:ascii="宋体" w:hAnsi="宋体" w:eastAsia="宋体" w:cs="宋体"/>
          <w:sz w:val="21"/>
          <w:szCs w:val="21"/>
        </w:rPr>
        <w:t>上述材料和工程设备技术要求中如果出现了参考品牌或规格型号，其目的是为了方便</w:t>
      </w:r>
      <w:r>
        <w:rPr>
          <w:rFonts w:ascii="宋体" w:hAnsi="宋体" w:eastAsia="宋体" w:cs="宋体"/>
          <w:spacing w:val="-1"/>
          <w:sz w:val="21"/>
          <w:szCs w:val="21"/>
        </w:rPr>
        <w:t>承包人</w:t>
      </w:r>
      <w:r>
        <w:rPr>
          <w:rFonts w:ascii="宋体" w:hAnsi="宋体" w:eastAsia="宋体" w:cs="宋体"/>
          <w:sz w:val="21"/>
          <w:szCs w:val="21"/>
        </w:rPr>
        <w:t>直观和准确地把握相应材料和工程设备的技术标准，不具指定或唯一的意思表示，承包人应当参考所列品牌的材料和工程设备，采购相当于或高于所列品牌技术标准的材料和工程设备。</w:t>
      </w:r>
    </w:p>
    <w:p w14:paraId="5177836F">
      <w:pPr>
        <w:spacing w:before="1" w:line="219" w:lineRule="auto"/>
        <w:ind w:left="443"/>
        <w:rPr>
          <w:rFonts w:ascii="宋体" w:hAnsi="宋体" w:eastAsia="宋体" w:cs="宋体"/>
          <w:sz w:val="21"/>
          <w:szCs w:val="21"/>
        </w:rPr>
      </w:pPr>
      <w:r>
        <w:rPr>
          <w:rFonts w:ascii="宋体" w:hAnsi="宋体" w:eastAsia="宋体" w:cs="宋体"/>
          <w:spacing w:val="-1"/>
          <w:sz w:val="21"/>
          <w:szCs w:val="21"/>
        </w:rPr>
        <w:t>1.2</w:t>
      </w:r>
      <w:r>
        <w:rPr>
          <w:rFonts w:ascii="宋体" w:hAnsi="宋体" w:eastAsia="宋体" w:cs="宋体"/>
          <w:spacing w:val="-40"/>
          <w:sz w:val="21"/>
          <w:szCs w:val="21"/>
        </w:rPr>
        <w:t xml:space="preserve"> </w:t>
      </w:r>
      <w:r>
        <w:rPr>
          <w:rFonts w:ascii="宋体" w:hAnsi="宋体" w:eastAsia="宋体" w:cs="宋体"/>
          <w:spacing w:val="-1"/>
          <w:sz w:val="21"/>
          <w:szCs w:val="21"/>
        </w:rPr>
        <w:t>承包人自行施工范围内的材料和工程设备选型允许的偏离如下：</w:t>
      </w:r>
    </w:p>
    <w:p w14:paraId="37C3F4C6">
      <w:pPr>
        <w:spacing w:line="30" w:lineRule="exact"/>
      </w:pPr>
    </w:p>
    <w:tbl>
      <w:tblPr>
        <w:tblStyle w:val="10"/>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2118"/>
        <w:gridCol w:w="1744"/>
        <w:gridCol w:w="1744"/>
        <w:gridCol w:w="1747"/>
      </w:tblGrid>
      <w:tr w14:paraId="160A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372" w:type="dxa"/>
            <w:vAlign w:val="top"/>
          </w:tcPr>
          <w:p w14:paraId="61B1BCA6">
            <w:pPr>
              <w:spacing w:line="254" w:lineRule="auto"/>
              <w:rPr>
                <w:rFonts w:ascii="Arial"/>
                <w:sz w:val="21"/>
              </w:rPr>
            </w:pPr>
          </w:p>
          <w:p w14:paraId="366362F7">
            <w:pPr>
              <w:pStyle w:val="11"/>
              <w:spacing w:before="69" w:line="222" w:lineRule="auto"/>
              <w:ind w:left="479"/>
            </w:pPr>
            <w:r>
              <w:rPr>
                <w:spacing w:val="-2"/>
              </w:rPr>
              <w:t>序号</w:t>
            </w:r>
          </w:p>
        </w:tc>
        <w:tc>
          <w:tcPr>
            <w:tcW w:w="2118" w:type="dxa"/>
            <w:vAlign w:val="top"/>
          </w:tcPr>
          <w:p w14:paraId="3421FB44">
            <w:pPr>
              <w:pStyle w:val="11"/>
              <w:spacing w:before="187" w:line="244" w:lineRule="auto"/>
              <w:ind w:left="855" w:right="319" w:hanging="528"/>
            </w:pPr>
            <w:r>
              <w:rPr>
                <w:spacing w:val="-1"/>
              </w:rPr>
              <w:t>材料和工程设备</w:t>
            </w:r>
            <w:r>
              <w:rPr>
                <w:spacing w:val="-3"/>
              </w:rPr>
              <w:t>名称</w:t>
            </w:r>
          </w:p>
        </w:tc>
        <w:tc>
          <w:tcPr>
            <w:tcW w:w="1744" w:type="dxa"/>
            <w:vAlign w:val="top"/>
          </w:tcPr>
          <w:p w14:paraId="5413A1AD">
            <w:pPr>
              <w:spacing w:line="254" w:lineRule="auto"/>
              <w:rPr>
                <w:rFonts w:ascii="Arial"/>
                <w:sz w:val="21"/>
              </w:rPr>
            </w:pPr>
          </w:p>
          <w:p w14:paraId="1B3BE8A3">
            <w:pPr>
              <w:pStyle w:val="11"/>
              <w:spacing w:before="68" w:line="221" w:lineRule="auto"/>
              <w:ind w:left="460"/>
            </w:pPr>
            <w:r>
              <w:rPr>
                <w:spacing w:val="-2"/>
              </w:rPr>
              <w:t>技术指标</w:t>
            </w:r>
          </w:p>
        </w:tc>
        <w:tc>
          <w:tcPr>
            <w:tcW w:w="1744" w:type="dxa"/>
            <w:vAlign w:val="top"/>
          </w:tcPr>
          <w:p w14:paraId="5164149B">
            <w:pPr>
              <w:spacing w:line="254" w:lineRule="auto"/>
              <w:rPr>
                <w:rFonts w:ascii="Arial"/>
                <w:sz w:val="21"/>
              </w:rPr>
            </w:pPr>
          </w:p>
          <w:p w14:paraId="11F37107">
            <w:pPr>
              <w:pStyle w:val="11"/>
              <w:spacing w:before="68" w:line="221" w:lineRule="auto"/>
              <w:ind w:left="256"/>
            </w:pPr>
            <w:r>
              <w:rPr>
                <w:spacing w:val="-2"/>
              </w:rPr>
              <w:t>允许偏离范围</w:t>
            </w:r>
          </w:p>
        </w:tc>
        <w:tc>
          <w:tcPr>
            <w:tcW w:w="1747" w:type="dxa"/>
            <w:vAlign w:val="top"/>
          </w:tcPr>
          <w:p w14:paraId="1162F14C">
            <w:pPr>
              <w:spacing w:line="254" w:lineRule="auto"/>
              <w:rPr>
                <w:rFonts w:ascii="Arial"/>
                <w:sz w:val="21"/>
              </w:rPr>
            </w:pPr>
          </w:p>
          <w:p w14:paraId="70E4DB09">
            <w:pPr>
              <w:pStyle w:val="11"/>
              <w:spacing w:before="69" w:line="222" w:lineRule="auto"/>
              <w:ind w:left="462"/>
            </w:pPr>
            <w:r>
              <w:rPr>
                <w:spacing w:val="-5"/>
              </w:rPr>
              <w:t>备</w:t>
            </w:r>
            <w:r>
              <w:rPr>
                <w:spacing w:val="2"/>
              </w:rPr>
              <w:t xml:space="preserve">    </w:t>
            </w:r>
            <w:r>
              <w:rPr>
                <w:spacing w:val="-5"/>
              </w:rPr>
              <w:t>注</w:t>
            </w:r>
          </w:p>
        </w:tc>
      </w:tr>
      <w:tr w14:paraId="476D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72" w:type="dxa"/>
            <w:vAlign w:val="top"/>
          </w:tcPr>
          <w:p w14:paraId="363E1778">
            <w:pPr>
              <w:pStyle w:val="11"/>
              <w:spacing w:before="65" w:line="237" w:lineRule="auto"/>
              <w:ind w:left="654"/>
            </w:pPr>
            <w:r>
              <w:t>1</w:t>
            </w:r>
          </w:p>
        </w:tc>
        <w:tc>
          <w:tcPr>
            <w:tcW w:w="2118" w:type="dxa"/>
            <w:vAlign w:val="top"/>
          </w:tcPr>
          <w:p w14:paraId="6F2570A6">
            <w:pPr>
              <w:rPr>
                <w:rFonts w:ascii="Arial"/>
                <w:sz w:val="21"/>
              </w:rPr>
            </w:pPr>
          </w:p>
        </w:tc>
        <w:tc>
          <w:tcPr>
            <w:tcW w:w="1744" w:type="dxa"/>
            <w:vAlign w:val="top"/>
          </w:tcPr>
          <w:p w14:paraId="33FD7704">
            <w:pPr>
              <w:rPr>
                <w:rFonts w:ascii="Arial"/>
                <w:sz w:val="21"/>
              </w:rPr>
            </w:pPr>
          </w:p>
        </w:tc>
        <w:tc>
          <w:tcPr>
            <w:tcW w:w="1744" w:type="dxa"/>
            <w:vAlign w:val="top"/>
          </w:tcPr>
          <w:p w14:paraId="15E9EAC4">
            <w:pPr>
              <w:rPr>
                <w:rFonts w:ascii="Arial"/>
                <w:sz w:val="21"/>
              </w:rPr>
            </w:pPr>
          </w:p>
        </w:tc>
        <w:tc>
          <w:tcPr>
            <w:tcW w:w="1747" w:type="dxa"/>
            <w:vAlign w:val="top"/>
          </w:tcPr>
          <w:p w14:paraId="56F234B0">
            <w:pPr>
              <w:rPr>
                <w:rFonts w:ascii="Arial"/>
                <w:sz w:val="21"/>
              </w:rPr>
            </w:pPr>
          </w:p>
        </w:tc>
      </w:tr>
      <w:tr w14:paraId="70E6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72" w:type="dxa"/>
            <w:vAlign w:val="top"/>
          </w:tcPr>
          <w:p w14:paraId="21DA5177">
            <w:pPr>
              <w:pStyle w:val="11"/>
              <w:spacing w:before="65" w:line="237" w:lineRule="auto"/>
              <w:ind w:left="641"/>
            </w:pPr>
            <w:r>
              <w:t>2</w:t>
            </w:r>
          </w:p>
        </w:tc>
        <w:tc>
          <w:tcPr>
            <w:tcW w:w="2118" w:type="dxa"/>
            <w:vAlign w:val="top"/>
          </w:tcPr>
          <w:p w14:paraId="54792E6A">
            <w:pPr>
              <w:rPr>
                <w:rFonts w:ascii="Arial"/>
                <w:sz w:val="21"/>
              </w:rPr>
            </w:pPr>
          </w:p>
        </w:tc>
        <w:tc>
          <w:tcPr>
            <w:tcW w:w="1744" w:type="dxa"/>
            <w:vAlign w:val="top"/>
          </w:tcPr>
          <w:p w14:paraId="50D57256">
            <w:pPr>
              <w:rPr>
                <w:rFonts w:ascii="Arial"/>
                <w:sz w:val="21"/>
              </w:rPr>
            </w:pPr>
          </w:p>
        </w:tc>
        <w:tc>
          <w:tcPr>
            <w:tcW w:w="1744" w:type="dxa"/>
            <w:vAlign w:val="top"/>
          </w:tcPr>
          <w:p w14:paraId="781CA1B3">
            <w:pPr>
              <w:rPr>
                <w:rFonts w:ascii="Arial"/>
                <w:sz w:val="21"/>
              </w:rPr>
            </w:pPr>
          </w:p>
        </w:tc>
        <w:tc>
          <w:tcPr>
            <w:tcW w:w="1747" w:type="dxa"/>
            <w:vAlign w:val="top"/>
          </w:tcPr>
          <w:p w14:paraId="6C2BF034">
            <w:pPr>
              <w:rPr>
                <w:rFonts w:ascii="Arial"/>
                <w:sz w:val="21"/>
              </w:rPr>
            </w:pPr>
          </w:p>
        </w:tc>
      </w:tr>
      <w:tr w14:paraId="0CE3E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372" w:type="dxa"/>
            <w:vAlign w:val="top"/>
          </w:tcPr>
          <w:p w14:paraId="64F19CF4">
            <w:pPr>
              <w:pStyle w:val="11"/>
              <w:spacing w:before="66" w:line="236" w:lineRule="auto"/>
              <w:ind w:left="494"/>
            </w:pPr>
            <w:r>
              <w:rPr>
                <w:spacing w:val="-5"/>
              </w:rPr>
              <w:t>……</w:t>
            </w:r>
          </w:p>
        </w:tc>
        <w:tc>
          <w:tcPr>
            <w:tcW w:w="2118" w:type="dxa"/>
            <w:vAlign w:val="top"/>
          </w:tcPr>
          <w:p w14:paraId="0AC2AB6A">
            <w:pPr>
              <w:rPr>
                <w:rFonts w:ascii="Arial"/>
                <w:sz w:val="21"/>
              </w:rPr>
            </w:pPr>
          </w:p>
        </w:tc>
        <w:tc>
          <w:tcPr>
            <w:tcW w:w="1744" w:type="dxa"/>
            <w:vAlign w:val="top"/>
          </w:tcPr>
          <w:p w14:paraId="058E74B6">
            <w:pPr>
              <w:rPr>
                <w:rFonts w:ascii="Arial"/>
                <w:sz w:val="21"/>
              </w:rPr>
            </w:pPr>
          </w:p>
        </w:tc>
        <w:tc>
          <w:tcPr>
            <w:tcW w:w="1744" w:type="dxa"/>
            <w:vAlign w:val="top"/>
          </w:tcPr>
          <w:p w14:paraId="2A17B15F">
            <w:pPr>
              <w:rPr>
                <w:rFonts w:ascii="Arial"/>
                <w:sz w:val="21"/>
              </w:rPr>
            </w:pPr>
          </w:p>
        </w:tc>
        <w:tc>
          <w:tcPr>
            <w:tcW w:w="1747" w:type="dxa"/>
            <w:vAlign w:val="top"/>
          </w:tcPr>
          <w:p w14:paraId="1BF6A366">
            <w:pPr>
              <w:rPr>
                <w:rFonts w:ascii="Arial"/>
                <w:sz w:val="21"/>
              </w:rPr>
            </w:pPr>
          </w:p>
        </w:tc>
      </w:tr>
      <w:tr w14:paraId="77DC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372" w:type="dxa"/>
            <w:vAlign w:val="top"/>
          </w:tcPr>
          <w:p w14:paraId="40C46A7F">
            <w:pPr>
              <w:rPr>
                <w:rFonts w:ascii="Arial"/>
                <w:sz w:val="21"/>
              </w:rPr>
            </w:pPr>
          </w:p>
        </w:tc>
        <w:tc>
          <w:tcPr>
            <w:tcW w:w="2118" w:type="dxa"/>
            <w:vAlign w:val="top"/>
          </w:tcPr>
          <w:p w14:paraId="43ADDA52">
            <w:pPr>
              <w:rPr>
                <w:rFonts w:ascii="Arial"/>
                <w:sz w:val="21"/>
              </w:rPr>
            </w:pPr>
          </w:p>
        </w:tc>
        <w:tc>
          <w:tcPr>
            <w:tcW w:w="1744" w:type="dxa"/>
            <w:vAlign w:val="top"/>
          </w:tcPr>
          <w:p w14:paraId="1B2DAA3C">
            <w:pPr>
              <w:rPr>
                <w:rFonts w:ascii="Arial"/>
                <w:sz w:val="21"/>
              </w:rPr>
            </w:pPr>
          </w:p>
        </w:tc>
        <w:tc>
          <w:tcPr>
            <w:tcW w:w="1744" w:type="dxa"/>
            <w:vAlign w:val="top"/>
          </w:tcPr>
          <w:p w14:paraId="4CFC1FAE">
            <w:pPr>
              <w:rPr>
                <w:rFonts w:ascii="Arial"/>
                <w:sz w:val="21"/>
              </w:rPr>
            </w:pPr>
          </w:p>
        </w:tc>
        <w:tc>
          <w:tcPr>
            <w:tcW w:w="1747" w:type="dxa"/>
            <w:vAlign w:val="top"/>
          </w:tcPr>
          <w:p w14:paraId="315D55C4">
            <w:pPr>
              <w:rPr>
                <w:rFonts w:ascii="Arial"/>
                <w:sz w:val="21"/>
              </w:rPr>
            </w:pPr>
          </w:p>
        </w:tc>
      </w:tr>
    </w:tbl>
    <w:p w14:paraId="43099E2B">
      <w:pPr>
        <w:spacing w:before="219" w:line="220" w:lineRule="auto"/>
        <w:ind w:left="443"/>
        <w:rPr>
          <w:rFonts w:ascii="宋体" w:hAnsi="宋体" w:eastAsia="宋体" w:cs="宋体"/>
          <w:sz w:val="21"/>
          <w:szCs w:val="21"/>
        </w:rPr>
      </w:pPr>
      <w:r>
        <w:rPr>
          <w:rFonts w:ascii="宋体" w:hAnsi="宋体" w:eastAsia="宋体" w:cs="宋体"/>
          <w:spacing w:val="-1"/>
          <w:sz w:val="21"/>
          <w:szCs w:val="21"/>
        </w:rPr>
        <w:t>1.3 本工程施工现场所用混凝土或砂浆的供应方式为</w:t>
      </w:r>
      <w:r>
        <w:rPr>
          <w:rFonts w:ascii="宋体" w:hAnsi="宋体" w:eastAsia="宋体" w:cs="宋体"/>
          <w:spacing w:val="-93"/>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5BE707C">
      <w:pPr>
        <w:pStyle w:val="5"/>
        <w:spacing w:line="257" w:lineRule="auto"/>
      </w:pPr>
    </w:p>
    <w:p w14:paraId="570A0935">
      <w:pPr>
        <w:pStyle w:val="5"/>
        <w:spacing w:line="258" w:lineRule="auto"/>
      </w:pPr>
    </w:p>
    <w:p w14:paraId="72A25B2D">
      <w:pPr>
        <w:spacing w:before="91" w:line="233" w:lineRule="auto"/>
        <w:ind w:left="5"/>
        <w:outlineLvl w:val="2"/>
        <w:rPr>
          <w:rFonts w:ascii="黑体" w:hAnsi="黑体" w:eastAsia="黑体" w:cs="黑体"/>
          <w:sz w:val="28"/>
          <w:szCs w:val="28"/>
        </w:rPr>
      </w:pPr>
      <w:bookmarkStart w:id="1336" w:name="bookmark425"/>
      <w:bookmarkEnd w:id="1336"/>
      <w:r>
        <w:rPr>
          <w:rFonts w:ascii="Times New Roman" w:hAnsi="Times New Roman" w:eastAsia="Times New Roman" w:cs="Times New Roman"/>
          <w:spacing w:val="-1"/>
          <w:sz w:val="28"/>
          <w:szCs w:val="28"/>
        </w:rPr>
        <w:t>2</w:t>
      </w:r>
      <w:r>
        <w:rPr>
          <w:rFonts w:ascii="黑体" w:hAnsi="黑体" w:eastAsia="黑体" w:cs="黑体"/>
          <w:spacing w:val="-1"/>
          <w:sz w:val="28"/>
          <w:szCs w:val="28"/>
        </w:rPr>
        <w:t>．特殊技术要求</w:t>
      </w:r>
    </w:p>
    <w:p w14:paraId="0C2334A8">
      <w:pPr>
        <w:spacing w:before="186" w:line="220" w:lineRule="auto"/>
        <w:ind w:left="430"/>
        <w:rPr>
          <w:rFonts w:ascii="宋体" w:hAnsi="宋体" w:eastAsia="宋体" w:cs="宋体"/>
          <w:sz w:val="21"/>
          <w:szCs w:val="21"/>
        </w:rPr>
      </w:pPr>
      <w:r>
        <w:rPr>
          <w:rFonts w:ascii="宋体" w:hAnsi="宋体" w:eastAsia="宋体" w:cs="宋体"/>
          <w:spacing w:val="-1"/>
          <w:sz w:val="21"/>
          <w:szCs w:val="21"/>
        </w:rPr>
        <w:t>2.1 除合同约定的技术要求外，本工程的特殊技术要求如下：</w:t>
      </w:r>
    </w:p>
    <w:p w14:paraId="32B6AC21">
      <w:pPr>
        <w:pStyle w:val="5"/>
        <w:spacing w:line="315" w:lineRule="auto"/>
      </w:pPr>
    </w:p>
    <w:p w14:paraId="3F283C4F">
      <w:pPr>
        <w:spacing w:before="69" w:line="45" w:lineRule="exact"/>
        <w:ind w:left="7484"/>
        <w:rPr>
          <w:rFonts w:ascii="宋体" w:hAnsi="宋体" w:eastAsia="宋体" w:cs="宋体"/>
          <w:sz w:val="21"/>
          <w:szCs w:val="21"/>
        </w:rPr>
      </w:pPr>
      <w:r>
        <w:pict>
          <v:shape id="_x0000_s1152" o:spid="_x0000_s1152" o:spt="202" type="#_x0000_t202" style="position:absolute;left:0pt;margin-left:46.35pt;margin-top:-3.4pt;height:14.1pt;width:327.4pt;z-index:251673600;mso-width-relative:page;mso-height-relative:page;" filled="f" stroked="f" coordsize="21600,21600">
            <v:path/>
            <v:fill on="f" focussize="0,0"/>
            <v:stroke on="f"/>
            <v:imagedata o:title=""/>
            <o:lock v:ext="edit" aspectratio="f"/>
            <v:textbox inset="0mm,0mm,0mm,0mm">
              <w:txbxContent>
                <w:p w14:paraId="3E6DB0F8">
                  <w:pPr>
                    <w:pStyle w:val="5"/>
                    <w:tabs>
                      <w:tab w:val="left" w:pos="6527"/>
                    </w:tabs>
                    <w:spacing w:before="19"/>
                    <w:ind w:left="20"/>
                  </w:pPr>
                  <w:r>
                    <w:rPr>
                      <w:u w:val="single" w:color="auto"/>
                    </w:rPr>
                    <w:tab/>
                  </w:r>
                </w:p>
              </w:txbxContent>
            </v:textbox>
          </v:shape>
        </w:pict>
      </w:r>
      <w:r>
        <w:rPr>
          <w:rFonts w:ascii="宋体" w:hAnsi="宋体" w:eastAsia="宋体" w:cs="宋体"/>
          <w:position w:val="-1"/>
          <w:sz w:val="21"/>
          <w:szCs w:val="21"/>
        </w:rPr>
        <w:t>。</w:t>
      </w:r>
    </w:p>
    <w:p w14:paraId="0748BB1C">
      <w:pPr>
        <w:spacing w:before="180" w:line="232" w:lineRule="auto"/>
        <w:ind w:left="11"/>
        <w:outlineLvl w:val="2"/>
        <w:rPr>
          <w:rFonts w:ascii="黑体" w:hAnsi="黑体" w:eastAsia="黑体" w:cs="黑体"/>
          <w:sz w:val="28"/>
          <w:szCs w:val="28"/>
        </w:rPr>
      </w:pPr>
      <w:bookmarkStart w:id="1337" w:name="bookmark426"/>
      <w:bookmarkEnd w:id="1337"/>
      <w:r>
        <w:rPr>
          <w:rFonts w:ascii="Times New Roman" w:hAnsi="Times New Roman" w:eastAsia="Times New Roman" w:cs="Times New Roman"/>
          <w:spacing w:val="-1"/>
          <w:sz w:val="28"/>
          <w:szCs w:val="28"/>
        </w:rPr>
        <w:t>3</w:t>
      </w:r>
      <w:r>
        <w:rPr>
          <w:rFonts w:ascii="黑体" w:hAnsi="黑体" w:eastAsia="黑体" w:cs="黑体"/>
          <w:spacing w:val="-1"/>
          <w:sz w:val="28"/>
          <w:szCs w:val="28"/>
        </w:rPr>
        <w:t>．新技术、新工艺和新材料</w:t>
      </w:r>
    </w:p>
    <w:p w14:paraId="1B070F1A">
      <w:pPr>
        <w:spacing w:before="187" w:line="220" w:lineRule="auto"/>
        <w:ind w:left="432"/>
        <w:rPr>
          <w:rFonts w:ascii="宋体" w:hAnsi="宋体" w:eastAsia="宋体" w:cs="宋体"/>
          <w:sz w:val="21"/>
          <w:szCs w:val="21"/>
        </w:rPr>
      </w:pPr>
      <w:r>
        <w:rPr>
          <w:rFonts w:ascii="宋体" w:hAnsi="宋体" w:eastAsia="宋体" w:cs="宋体"/>
          <w:sz w:val="21"/>
          <w:szCs w:val="21"/>
        </w:rPr>
        <w:t>3.1 本工程涉及的新技术、新工艺和新材料及相应使用和</w:t>
      </w:r>
      <w:r>
        <w:rPr>
          <w:rFonts w:ascii="宋体" w:hAnsi="宋体" w:eastAsia="宋体" w:cs="宋体"/>
          <w:spacing w:val="-1"/>
          <w:sz w:val="21"/>
          <w:szCs w:val="21"/>
        </w:rPr>
        <w:t>操作说明如下：</w:t>
      </w:r>
    </w:p>
    <w:p w14:paraId="23E3D124">
      <w:pPr>
        <w:pStyle w:val="5"/>
        <w:spacing w:line="317" w:lineRule="auto"/>
      </w:pPr>
    </w:p>
    <w:p w14:paraId="04C0B249">
      <w:pPr>
        <w:spacing w:before="69" w:line="46" w:lineRule="exact"/>
        <w:ind w:left="7484"/>
        <w:rPr>
          <w:rFonts w:ascii="宋体" w:hAnsi="宋体" w:eastAsia="宋体" w:cs="宋体"/>
          <w:sz w:val="21"/>
          <w:szCs w:val="21"/>
        </w:rPr>
      </w:pPr>
      <w:r>
        <w:pict>
          <v:shape id="_x0000_s1153" o:spid="_x0000_s1153" o:spt="202" type="#_x0000_t202" style="position:absolute;left:0pt;margin-left:46.35pt;margin-top:-3.4pt;height:14.1pt;width:327.4pt;z-index:251671552;mso-width-relative:page;mso-height-relative:page;" filled="f" stroked="f" coordsize="21600,21600">
            <v:path/>
            <v:fill on="f" focussize="0,0"/>
            <v:stroke on="f"/>
            <v:imagedata o:title=""/>
            <o:lock v:ext="edit" aspectratio="f"/>
            <v:textbox inset="0mm,0mm,0mm,0mm">
              <w:txbxContent>
                <w:p w14:paraId="509C91A8">
                  <w:pPr>
                    <w:pStyle w:val="5"/>
                    <w:tabs>
                      <w:tab w:val="left" w:pos="6527"/>
                    </w:tabs>
                    <w:spacing w:before="19"/>
                    <w:ind w:left="20"/>
                  </w:pPr>
                  <w:r>
                    <w:rPr>
                      <w:u w:val="single" w:color="auto"/>
                    </w:rPr>
                    <w:tab/>
                  </w:r>
                </w:p>
              </w:txbxContent>
            </v:textbox>
          </v:shape>
        </w:pict>
      </w:r>
      <w:r>
        <w:rPr>
          <w:rFonts w:ascii="宋体" w:hAnsi="宋体" w:eastAsia="宋体" w:cs="宋体"/>
          <w:position w:val="-1"/>
          <w:sz w:val="21"/>
          <w:szCs w:val="21"/>
        </w:rPr>
        <w:t>。</w:t>
      </w:r>
    </w:p>
    <w:p w14:paraId="39054408">
      <w:pPr>
        <w:spacing w:before="178" w:line="233" w:lineRule="auto"/>
        <w:ind w:left="4"/>
        <w:outlineLvl w:val="2"/>
        <w:rPr>
          <w:rFonts w:ascii="黑体" w:hAnsi="黑体" w:eastAsia="黑体" w:cs="黑体"/>
          <w:sz w:val="28"/>
          <w:szCs w:val="28"/>
        </w:rPr>
      </w:pPr>
      <w:bookmarkStart w:id="1338" w:name="bookmark427"/>
      <w:bookmarkEnd w:id="1338"/>
      <w:r>
        <w:rPr>
          <w:rFonts w:ascii="Times New Roman" w:hAnsi="Times New Roman" w:eastAsia="Times New Roman" w:cs="Times New Roman"/>
          <w:spacing w:val="-1"/>
          <w:sz w:val="28"/>
          <w:szCs w:val="28"/>
        </w:rPr>
        <w:t>4</w:t>
      </w:r>
      <w:r>
        <w:rPr>
          <w:rFonts w:ascii="黑体" w:hAnsi="黑体" w:eastAsia="黑体" w:cs="黑体"/>
          <w:spacing w:val="-1"/>
          <w:sz w:val="28"/>
          <w:szCs w:val="28"/>
        </w:rPr>
        <w:t>．其他特殊技术标准和要求</w:t>
      </w:r>
    </w:p>
    <w:p w14:paraId="32C593B4">
      <w:pPr>
        <w:pStyle w:val="5"/>
        <w:spacing w:line="252" w:lineRule="auto"/>
      </w:pPr>
    </w:p>
    <w:p w14:paraId="5E4B3112">
      <w:pPr>
        <w:spacing w:before="69" w:line="46" w:lineRule="exact"/>
        <w:ind w:left="7484"/>
        <w:rPr>
          <w:rFonts w:ascii="宋体" w:hAnsi="宋体" w:eastAsia="宋体" w:cs="宋体"/>
          <w:sz w:val="21"/>
          <w:szCs w:val="21"/>
        </w:rPr>
      </w:pPr>
      <w:r>
        <w:pict>
          <v:shape id="_x0000_s1154" o:spid="_x0000_s1154" o:spt="202" type="#_x0000_t202" style="position:absolute;left:0pt;margin-left:46.35pt;margin-top:-3.4pt;height:14.1pt;width:327.4pt;z-index:251672576;mso-width-relative:page;mso-height-relative:page;" filled="f" stroked="f" coordsize="21600,21600">
            <v:path/>
            <v:fill on="f" focussize="0,0"/>
            <v:stroke on="f"/>
            <v:imagedata o:title=""/>
            <o:lock v:ext="edit" aspectratio="f"/>
            <v:textbox inset="0mm,0mm,0mm,0mm">
              <w:txbxContent>
                <w:p w14:paraId="69D23E9D">
                  <w:pPr>
                    <w:pStyle w:val="5"/>
                    <w:tabs>
                      <w:tab w:val="left" w:pos="6527"/>
                    </w:tabs>
                    <w:spacing w:before="19"/>
                    <w:ind w:left="20"/>
                  </w:pPr>
                  <w:r>
                    <w:rPr>
                      <w:u w:val="single" w:color="auto"/>
                    </w:rPr>
                    <w:tab/>
                  </w:r>
                </w:p>
              </w:txbxContent>
            </v:textbox>
          </v:shape>
        </w:pict>
      </w:r>
      <w:r>
        <w:rPr>
          <w:rFonts w:ascii="宋体" w:hAnsi="宋体" w:eastAsia="宋体" w:cs="宋体"/>
          <w:position w:val="-1"/>
          <w:sz w:val="21"/>
          <w:szCs w:val="21"/>
        </w:rPr>
        <w:t>。</w:t>
      </w:r>
    </w:p>
    <w:p w14:paraId="6BA29B39">
      <w:pPr>
        <w:spacing w:line="46" w:lineRule="exact"/>
        <w:rPr>
          <w:rFonts w:ascii="宋体" w:hAnsi="宋体" w:eastAsia="宋体" w:cs="宋体"/>
          <w:sz w:val="21"/>
          <w:szCs w:val="21"/>
        </w:rPr>
        <w:sectPr>
          <w:footerReference r:id="rId184" w:type="default"/>
          <w:pgSz w:w="11905" w:h="16843"/>
          <w:pgMar w:top="969" w:right="1355" w:bottom="1026" w:left="1480" w:header="0" w:footer="754" w:gutter="0"/>
          <w:cols w:space="0" w:num="1"/>
          <w:rtlGutter w:val="0"/>
          <w:docGrid w:linePitch="0" w:charSpace="0"/>
        </w:sectPr>
      </w:pPr>
    </w:p>
    <w:p w14:paraId="22E26453">
      <w:pPr>
        <w:pStyle w:val="5"/>
        <w:spacing w:line="242" w:lineRule="auto"/>
      </w:pPr>
    </w:p>
    <w:p w14:paraId="640C138F">
      <w:pPr>
        <w:pStyle w:val="5"/>
        <w:spacing w:line="243" w:lineRule="auto"/>
      </w:pPr>
    </w:p>
    <w:p w14:paraId="3F4AB396">
      <w:pPr>
        <w:pStyle w:val="5"/>
        <w:spacing w:line="243" w:lineRule="auto"/>
      </w:pPr>
    </w:p>
    <w:p w14:paraId="60E79CC4">
      <w:pPr>
        <w:spacing w:before="91" w:line="219" w:lineRule="auto"/>
        <w:ind w:left="1092"/>
        <w:outlineLvl w:val="1"/>
        <w:rPr>
          <w:rFonts w:ascii="黑体" w:hAnsi="黑体" w:eastAsia="黑体" w:cs="黑体"/>
          <w:sz w:val="28"/>
          <w:szCs w:val="28"/>
        </w:rPr>
      </w:pPr>
      <w:bookmarkStart w:id="1339" w:name="bookmark649"/>
      <w:bookmarkEnd w:id="1339"/>
      <w:bookmarkStart w:id="1340" w:name="bookmark428"/>
      <w:bookmarkEnd w:id="1340"/>
      <w:r>
        <w:rPr>
          <w:rFonts w:ascii="黑体" w:hAnsi="黑体" w:eastAsia="黑体" w:cs="黑体"/>
          <w:spacing w:val="-1"/>
          <w:sz w:val="28"/>
          <w:szCs w:val="28"/>
        </w:rPr>
        <w:t>第三节  适用的国家、行业以及地方规范、标准和规程</w:t>
      </w:r>
    </w:p>
    <w:p w14:paraId="2DB10B26">
      <w:pPr>
        <w:pStyle w:val="5"/>
        <w:spacing w:line="283" w:lineRule="auto"/>
      </w:pPr>
    </w:p>
    <w:p w14:paraId="7DB418C3">
      <w:pPr>
        <w:pStyle w:val="5"/>
        <w:spacing w:line="283" w:lineRule="auto"/>
      </w:pPr>
    </w:p>
    <w:p w14:paraId="64FE1F55">
      <w:pPr>
        <w:pStyle w:val="5"/>
        <w:spacing w:line="283" w:lineRule="auto"/>
      </w:pPr>
    </w:p>
    <w:p w14:paraId="6827BDE5">
      <w:pPr>
        <w:pStyle w:val="5"/>
        <w:spacing w:line="284" w:lineRule="auto"/>
      </w:pPr>
    </w:p>
    <w:p w14:paraId="08EAB671">
      <w:pPr>
        <w:spacing w:before="68" w:line="441" w:lineRule="auto"/>
        <w:ind w:right="24" w:firstLine="424"/>
        <w:rPr>
          <w:rFonts w:ascii="宋体" w:hAnsi="宋体" w:eastAsia="宋体" w:cs="宋体"/>
          <w:sz w:val="21"/>
          <w:szCs w:val="21"/>
        </w:rPr>
      </w:pPr>
      <w:r>
        <w:rPr>
          <w:rFonts w:ascii="黑体" w:hAnsi="黑体" w:eastAsia="黑体" w:cs="黑体"/>
          <w:b/>
          <w:bCs/>
          <w:sz w:val="21"/>
          <w:szCs w:val="21"/>
        </w:rPr>
        <w:t>说明：</w:t>
      </w:r>
      <w:r>
        <w:rPr>
          <w:rFonts w:ascii="宋体" w:hAnsi="宋体" w:eastAsia="宋体" w:cs="宋体"/>
          <w:sz w:val="21"/>
          <w:szCs w:val="21"/>
        </w:rPr>
        <w:t>本节内容只需列出规范、标准、规程等的名称、编号等内容</w:t>
      </w:r>
      <w:r>
        <w:rPr>
          <w:rFonts w:ascii="宋体" w:hAnsi="宋体" w:eastAsia="宋体" w:cs="宋体"/>
          <w:spacing w:val="-1"/>
          <w:sz w:val="21"/>
          <w:szCs w:val="21"/>
        </w:rPr>
        <w:t>。本节由招标人根据国</w:t>
      </w:r>
      <w:r>
        <w:rPr>
          <w:rFonts w:ascii="宋体" w:hAnsi="宋体" w:eastAsia="宋体" w:cs="宋体"/>
          <w:sz w:val="21"/>
          <w:szCs w:val="21"/>
        </w:rPr>
        <w:t>家、行业和地方现行标准、规范和规程等，以及项目具体</w:t>
      </w:r>
      <w:r>
        <w:rPr>
          <w:rFonts w:ascii="宋体" w:hAnsi="宋体" w:eastAsia="宋体" w:cs="宋体"/>
          <w:spacing w:val="-1"/>
          <w:sz w:val="21"/>
          <w:szCs w:val="21"/>
        </w:rPr>
        <w:t>情况摘录。</w:t>
      </w:r>
    </w:p>
    <w:p w14:paraId="42E32345">
      <w:pPr>
        <w:pStyle w:val="5"/>
        <w:spacing w:line="282" w:lineRule="auto"/>
      </w:pPr>
    </w:p>
    <w:p w14:paraId="612321D8">
      <w:pPr>
        <w:spacing w:before="78" w:line="219" w:lineRule="auto"/>
        <w:ind w:left="10"/>
        <w:rPr>
          <w:rFonts w:ascii="黑体" w:hAnsi="黑体" w:eastAsia="黑体" w:cs="黑体"/>
          <w:sz w:val="24"/>
          <w:szCs w:val="24"/>
        </w:rPr>
      </w:pPr>
      <w:bookmarkStart w:id="1341" w:name="bookmark650"/>
      <w:bookmarkEnd w:id="1341"/>
      <w:r>
        <w:rPr>
          <w:rFonts w:ascii="黑体" w:hAnsi="黑体" w:eastAsia="黑体" w:cs="黑体"/>
          <w:spacing w:val="-4"/>
          <w:sz w:val="24"/>
          <w:szCs w:val="24"/>
        </w:rPr>
        <w:t>附件</w:t>
      </w:r>
      <w:r>
        <w:rPr>
          <w:rFonts w:ascii="黑体" w:hAnsi="黑体" w:eastAsia="黑体" w:cs="黑体"/>
          <w:spacing w:val="-52"/>
          <w:sz w:val="24"/>
          <w:szCs w:val="24"/>
        </w:rPr>
        <w:t xml:space="preserve"> </w:t>
      </w:r>
      <w:r>
        <w:rPr>
          <w:rFonts w:ascii="黑体" w:hAnsi="黑体" w:eastAsia="黑体" w:cs="黑体"/>
          <w:spacing w:val="-4"/>
          <w:sz w:val="24"/>
          <w:szCs w:val="24"/>
        </w:rPr>
        <w:t>A：施工现场现状平面图</w:t>
      </w:r>
    </w:p>
    <w:p w14:paraId="157E7265">
      <w:pPr>
        <w:pStyle w:val="5"/>
        <w:spacing w:line="323" w:lineRule="auto"/>
      </w:pPr>
    </w:p>
    <w:p w14:paraId="0D7A62BC">
      <w:pPr>
        <w:pStyle w:val="5"/>
        <w:spacing w:line="323" w:lineRule="auto"/>
      </w:pPr>
    </w:p>
    <w:p w14:paraId="5C75DBAA">
      <w:pPr>
        <w:spacing w:before="69" w:line="441" w:lineRule="auto"/>
        <w:rPr>
          <w:rFonts w:ascii="宋体" w:hAnsi="宋体" w:eastAsia="宋体" w:cs="宋体"/>
          <w:sz w:val="21"/>
          <w:szCs w:val="21"/>
        </w:rPr>
      </w:pPr>
      <w:r>
        <w:rPr>
          <w:rFonts w:ascii="黑体" w:hAnsi="黑体" w:eastAsia="黑体" w:cs="黑体"/>
          <w:sz w:val="21"/>
          <w:szCs w:val="21"/>
        </w:rPr>
        <w:t>说明：</w:t>
      </w:r>
      <w:r>
        <w:rPr>
          <w:rFonts w:ascii="宋体" w:hAnsi="宋体" w:eastAsia="宋体" w:cs="宋体"/>
          <w:sz w:val="21"/>
          <w:szCs w:val="21"/>
        </w:rPr>
        <w:t>该图由招标人准备，并作为招标文件本章的组成内容提供给投标人。图中应当</w:t>
      </w:r>
      <w:r>
        <w:rPr>
          <w:rFonts w:ascii="宋体" w:hAnsi="宋体" w:eastAsia="宋体" w:cs="宋体"/>
          <w:spacing w:val="-1"/>
          <w:sz w:val="21"/>
          <w:szCs w:val="21"/>
        </w:rPr>
        <w:t>标示本章第</w:t>
      </w:r>
      <w:r>
        <w:rPr>
          <w:rFonts w:ascii="宋体" w:hAnsi="宋体" w:eastAsia="宋体" w:cs="宋体"/>
          <w:spacing w:val="-2"/>
          <w:sz w:val="21"/>
          <w:szCs w:val="21"/>
        </w:rPr>
        <w:t>一节第</w:t>
      </w:r>
      <w:r>
        <w:rPr>
          <w:rFonts w:ascii="宋体" w:hAnsi="宋体" w:eastAsia="宋体" w:cs="宋体"/>
          <w:spacing w:val="-22"/>
          <w:sz w:val="21"/>
          <w:szCs w:val="21"/>
        </w:rPr>
        <w:t xml:space="preserve"> </w:t>
      </w:r>
      <w:r>
        <w:rPr>
          <w:rFonts w:ascii="宋体" w:hAnsi="宋体" w:eastAsia="宋体" w:cs="宋体"/>
          <w:spacing w:val="-2"/>
          <w:sz w:val="21"/>
          <w:szCs w:val="21"/>
        </w:rPr>
        <w:t>1.2.1</w:t>
      </w:r>
      <w:r>
        <w:rPr>
          <w:rFonts w:ascii="宋体" w:hAnsi="宋体" w:eastAsia="宋体" w:cs="宋体"/>
          <w:spacing w:val="-41"/>
          <w:sz w:val="21"/>
          <w:szCs w:val="21"/>
        </w:rPr>
        <w:t xml:space="preserve"> </w:t>
      </w:r>
      <w:r>
        <w:rPr>
          <w:rFonts w:ascii="宋体" w:hAnsi="宋体" w:eastAsia="宋体" w:cs="宋体"/>
          <w:spacing w:val="-2"/>
          <w:sz w:val="21"/>
          <w:szCs w:val="21"/>
        </w:rPr>
        <w:t>项规定的内容，并做必要的文字说明。</w:t>
      </w:r>
    </w:p>
    <w:p w14:paraId="7B4E4451">
      <w:pPr>
        <w:spacing w:line="441" w:lineRule="auto"/>
        <w:rPr>
          <w:rFonts w:ascii="宋体" w:hAnsi="宋体" w:eastAsia="宋体" w:cs="宋体"/>
          <w:sz w:val="21"/>
          <w:szCs w:val="21"/>
        </w:rPr>
        <w:sectPr>
          <w:footerReference r:id="rId185" w:type="default"/>
          <w:pgSz w:w="11905" w:h="16843"/>
          <w:pgMar w:top="969" w:right="1355" w:bottom="1026" w:left="1480" w:header="0" w:footer="754" w:gutter="0"/>
          <w:cols w:space="0" w:num="1"/>
          <w:rtlGutter w:val="0"/>
          <w:docGrid w:linePitch="0" w:charSpace="0"/>
        </w:sectPr>
      </w:pPr>
    </w:p>
    <w:p w14:paraId="781D5B92">
      <w:pPr>
        <w:pStyle w:val="5"/>
        <w:spacing w:line="252" w:lineRule="auto"/>
      </w:pPr>
    </w:p>
    <w:p w14:paraId="364122BB">
      <w:pPr>
        <w:pStyle w:val="5"/>
        <w:spacing w:line="252" w:lineRule="auto"/>
      </w:pPr>
    </w:p>
    <w:p w14:paraId="07E570BE">
      <w:pPr>
        <w:pStyle w:val="5"/>
        <w:spacing w:line="252" w:lineRule="auto"/>
      </w:pPr>
    </w:p>
    <w:p w14:paraId="433FB650">
      <w:pPr>
        <w:pStyle w:val="5"/>
        <w:spacing w:line="252" w:lineRule="auto"/>
      </w:pPr>
    </w:p>
    <w:p w14:paraId="468064C8">
      <w:pPr>
        <w:pStyle w:val="5"/>
        <w:spacing w:line="252" w:lineRule="auto"/>
      </w:pPr>
    </w:p>
    <w:p w14:paraId="2EAEE410">
      <w:pPr>
        <w:pStyle w:val="5"/>
        <w:spacing w:line="252" w:lineRule="auto"/>
      </w:pPr>
    </w:p>
    <w:p w14:paraId="156BFC4D">
      <w:pPr>
        <w:pStyle w:val="5"/>
        <w:spacing w:line="252" w:lineRule="auto"/>
      </w:pPr>
    </w:p>
    <w:p w14:paraId="5324A284">
      <w:pPr>
        <w:pStyle w:val="5"/>
        <w:spacing w:line="252" w:lineRule="auto"/>
      </w:pPr>
    </w:p>
    <w:p w14:paraId="32CFD2C4">
      <w:pPr>
        <w:pStyle w:val="5"/>
        <w:spacing w:line="252" w:lineRule="auto"/>
      </w:pPr>
    </w:p>
    <w:p w14:paraId="5836CEEF">
      <w:pPr>
        <w:pStyle w:val="5"/>
        <w:spacing w:line="252" w:lineRule="auto"/>
      </w:pPr>
    </w:p>
    <w:p w14:paraId="619FEC83">
      <w:pPr>
        <w:pStyle w:val="5"/>
        <w:spacing w:line="252" w:lineRule="auto"/>
      </w:pPr>
    </w:p>
    <w:p w14:paraId="3767A61C">
      <w:pPr>
        <w:pStyle w:val="5"/>
        <w:spacing w:line="252" w:lineRule="auto"/>
      </w:pPr>
    </w:p>
    <w:p w14:paraId="35AD9844">
      <w:pPr>
        <w:pStyle w:val="5"/>
        <w:spacing w:line="252" w:lineRule="auto"/>
      </w:pPr>
    </w:p>
    <w:p w14:paraId="1D7AF4C3">
      <w:pPr>
        <w:pStyle w:val="5"/>
        <w:spacing w:line="253" w:lineRule="auto"/>
      </w:pPr>
    </w:p>
    <w:p w14:paraId="220463F1">
      <w:pPr>
        <w:pStyle w:val="5"/>
        <w:spacing w:line="253" w:lineRule="auto"/>
      </w:pPr>
    </w:p>
    <w:p w14:paraId="1975E3EF">
      <w:pPr>
        <w:pStyle w:val="5"/>
        <w:spacing w:line="253" w:lineRule="auto"/>
      </w:pPr>
    </w:p>
    <w:p w14:paraId="089098A2">
      <w:pPr>
        <w:pStyle w:val="5"/>
        <w:spacing w:line="253" w:lineRule="auto"/>
      </w:pPr>
    </w:p>
    <w:p w14:paraId="4F4AFD95">
      <w:pPr>
        <w:spacing w:before="156" w:line="219" w:lineRule="auto"/>
        <w:ind w:left="3436"/>
        <w:outlineLvl w:val="0"/>
        <w:rPr>
          <w:rFonts w:ascii="黑体" w:hAnsi="黑体" w:eastAsia="黑体" w:cs="黑体"/>
          <w:sz w:val="48"/>
          <w:szCs w:val="48"/>
        </w:rPr>
      </w:pPr>
      <w:bookmarkStart w:id="1342" w:name="bookmark429"/>
      <w:bookmarkEnd w:id="1342"/>
      <w:bookmarkStart w:id="1343" w:name="bookmark651"/>
      <w:bookmarkEnd w:id="1343"/>
      <w:r>
        <w:rPr>
          <w:rFonts w:ascii="黑体" w:hAnsi="黑体" w:eastAsia="黑体" w:cs="黑体"/>
          <w:spacing w:val="-5"/>
          <w:sz w:val="48"/>
          <w:szCs w:val="48"/>
        </w:rPr>
        <w:t>第四卷</w:t>
      </w:r>
    </w:p>
    <w:p w14:paraId="19B20E4C">
      <w:pPr>
        <w:spacing w:line="219" w:lineRule="auto"/>
        <w:rPr>
          <w:rFonts w:ascii="黑体" w:hAnsi="黑体" w:eastAsia="黑体" w:cs="黑体"/>
          <w:sz w:val="48"/>
          <w:szCs w:val="48"/>
        </w:rPr>
        <w:sectPr>
          <w:footerReference r:id="rId186" w:type="default"/>
          <w:pgSz w:w="11905" w:h="16843"/>
          <w:pgMar w:top="969" w:right="1355" w:bottom="1026" w:left="1480" w:header="0" w:footer="754" w:gutter="0"/>
          <w:cols w:space="0" w:num="1"/>
          <w:rtlGutter w:val="0"/>
          <w:docGrid w:linePitch="0" w:charSpace="0"/>
        </w:sectPr>
      </w:pPr>
    </w:p>
    <w:p w14:paraId="155459D1">
      <w:pPr>
        <w:pStyle w:val="5"/>
        <w:spacing w:line="243" w:lineRule="auto"/>
      </w:pPr>
    </w:p>
    <w:p w14:paraId="73D37D43">
      <w:pPr>
        <w:pStyle w:val="5"/>
        <w:spacing w:line="243" w:lineRule="auto"/>
      </w:pPr>
    </w:p>
    <w:p w14:paraId="6BDBBFE1">
      <w:pPr>
        <w:pStyle w:val="5"/>
        <w:spacing w:line="243" w:lineRule="auto"/>
      </w:pPr>
    </w:p>
    <w:p w14:paraId="3AB2E8D8">
      <w:pPr>
        <w:pStyle w:val="5"/>
        <w:spacing w:line="243" w:lineRule="auto"/>
      </w:pPr>
    </w:p>
    <w:p w14:paraId="3CC9C754">
      <w:pPr>
        <w:pStyle w:val="5"/>
        <w:spacing w:line="243" w:lineRule="auto"/>
      </w:pPr>
    </w:p>
    <w:p w14:paraId="5C2329E5">
      <w:pPr>
        <w:pStyle w:val="5"/>
        <w:spacing w:line="243" w:lineRule="auto"/>
      </w:pPr>
    </w:p>
    <w:p w14:paraId="29C5A079">
      <w:pPr>
        <w:pStyle w:val="5"/>
        <w:spacing w:line="244" w:lineRule="auto"/>
      </w:pPr>
    </w:p>
    <w:p w14:paraId="50AF6149">
      <w:pPr>
        <w:pStyle w:val="5"/>
        <w:spacing w:line="244" w:lineRule="auto"/>
      </w:pPr>
    </w:p>
    <w:p w14:paraId="46D352B6">
      <w:pPr>
        <w:pStyle w:val="5"/>
        <w:spacing w:line="244" w:lineRule="auto"/>
      </w:pPr>
    </w:p>
    <w:p w14:paraId="06D53BD9">
      <w:pPr>
        <w:pStyle w:val="5"/>
        <w:spacing w:line="244" w:lineRule="auto"/>
      </w:pPr>
    </w:p>
    <w:p w14:paraId="0F25D6DC">
      <w:pPr>
        <w:pStyle w:val="5"/>
        <w:spacing w:line="244" w:lineRule="auto"/>
      </w:pPr>
    </w:p>
    <w:p w14:paraId="4E0D5F5D">
      <w:pPr>
        <w:pStyle w:val="5"/>
        <w:spacing w:line="244" w:lineRule="auto"/>
      </w:pPr>
    </w:p>
    <w:p w14:paraId="07BB2124">
      <w:pPr>
        <w:pStyle w:val="5"/>
        <w:spacing w:line="244" w:lineRule="auto"/>
      </w:pPr>
    </w:p>
    <w:p w14:paraId="2F402FCD">
      <w:pPr>
        <w:pStyle w:val="5"/>
        <w:spacing w:line="244" w:lineRule="auto"/>
      </w:pPr>
    </w:p>
    <w:p w14:paraId="2AD695F0">
      <w:pPr>
        <w:pStyle w:val="5"/>
        <w:spacing w:line="244" w:lineRule="auto"/>
      </w:pPr>
    </w:p>
    <w:p w14:paraId="2927EB78">
      <w:pPr>
        <w:pStyle w:val="5"/>
        <w:spacing w:line="244" w:lineRule="auto"/>
      </w:pPr>
    </w:p>
    <w:p w14:paraId="5FCFD29A">
      <w:pPr>
        <w:pStyle w:val="5"/>
        <w:spacing w:line="244" w:lineRule="auto"/>
      </w:pPr>
    </w:p>
    <w:p w14:paraId="04620AF9">
      <w:pPr>
        <w:pStyle w:val="5"/>
        <w:spacing w:line="244" w:lineRule="auto"/>
      </w:pPr>
    </w:p>
    <w:p w14:paraId="3594E555">
      <w:pPr>
        <w:pStyle w:val="5"/>
        <w:spacing w:line="244" w:lineRule="auto"/>
      </w:pPr>
    </w:p>
    <w:p w14:paraId="711B763B">
      <w:pPr>
        <w:pStyle w:val="5"/>
        <w:spacing w:line="244" w:lineRule="auto"/>
      </w:pPr>
    </w:p>
    <w:p w14:paraId="2E49916D">
      <w:pPr>
        <w:pStyle w:val="5"/>
        <w:spacing w:line="244" w:lineRule="auto"/>
      </w:pPr>
    </w:p>
    <w:p w14:paraId="0651C821">
      <w:pPr>
        <w:spacing w:before="100" w:line="224" w:lineRule="auto"/>
        <w:ind w:left="2552"/>
        <w:outlineLvl w:val="0"/>
        <w:rPr>
          <w:rFonts w:ascii="黑体" w:hAnsi="黑体" w:eastAsia="黑体" w:cs="黑体"/>
          <w:sz w:val="31"/>
          <w:szCs w:val="31"/>
        </w:rPr>
      </w:pPr>
      <w:bookmarkStart w:id="1344" w:name="bookmark652"/>
      <w:bookmarkEnd w:id="1344"/>
      <w:bookmarkStart w:id="1345" w:name="bookmark430"/>
      <w:bookmarkEnd w:id="1345"/>
      <w:r>
        <w:rPr>
          <w:rFonts w:ascii="黑体" w:hAnsi="黑体" w:eastAsia="黑体" w:cs="黑体"/>
          <w:spacing w:val="7"/>
          <w:sz w:val="31"/>
          <w:szCs w:val="31"/>
        </w:rPr>
        <w:t>第八章  投标文件格式</w:t>
      </w:r>
    </w:p>
    <w:p w14:paraId="612727E9">
      <w:pPr>
        <w:spacing w:line="224" w:lineRule="auto"/>
        <w:rPr>
          <w:rFonts w:ascii="黑体" w:hAnsi="黑体" w:eastAsia="黑体" w:cs="黑体"/>
          <w:sz w:val="31"/>
          <w:szCs w:val="31"/>
        </w:rPr>
        <w:sectPr>
          <w:footerReference r:id="rId187" w:type="default"/>
          <w:pgSz w:w="11905" w:h="16843"/>
          <w:pgMar w:top="969" w:right="1355" w:bottom="1026" w:left="1480" w:header="0" w:footer="754" w:gutter="0"/>
          <w:cols w:space="0" w:num="1"/>
          <w:rtlGutter w:val="0"/>
          <w:docGrid w:linePitch="0" w:charSpace="0"/>
        </w:sectPr>
      </w:pPr>
    </w:p>
    <w:p w14:paraId="4FFCBEE7">
      <w:pPr>
        <w:pStyle w:val="5"/>
        <w:spacing w:line="254" w:lineRule="auto"/>
      </w:pPr>
    </w:p>
    <w:p w14:paraId="7B161F3D">
      <w:pPr>
        <w:pStyle w:val="5"/>
        <w:spacing w:line="254" w:lineRule="auto"/>
      </w:pPr>
    </w:p>
    <w:p w14:paraId="0BF2F1FF">
      <w:pPr>
        <w:pStyle w:val="5"/>
        <w:spacing w:line="254" w:lineRule="auto"/>
      </w:pPr>
    </w:p>
    <w:p w14:paraId="67EACC8B">
      <w:pPr>
        <w:pStyle w:val="5"/>
        <w:spacing w:line="254" w:lineRule="auto"/>
      </w:pPr>
    </w:p>
    <w:p w14:paraId="522FA6EA">
      <w:pPr>
        <w:pStyle w:val="5"/>
        <w:spacing w:line="254" w:lineRule="auto"/>
      </w:pPr>
    </w:p>
    <w:p w14:paraId="5B95505C">
      <w:pPr>
        <w:pStyle w:val="5"/>
        <w:spacing w:line="254" w:lineRule="auto"/>
      </w:pPr>
    </w:p>
    <w:p w14:paraId="54EDAD08">
      <w:pPr>
        <w:pStyle w:val="5"/>
        <w:spacing w:line="254" w:lineRule="auto"/>
      </w:pPr>
    </w:p>
    <w:p w14:paraId="27C9A2B9">
      <w:pPr>
        <w:pStyle w:val="5"/>
        <w:spacing w:line="254" w:lineRule="auto"/>
      </w:pPr>
    </w:p>
    <w:p w14:paraId="3FA5FA3C">
      <w:pPr>
        <w:pStyle w:val="5"/>
        <w:spacing w:line="254" w:lineRule="auto"/>
      </w:pPr>
    </w:p>
    <w:p w14:paraId="45DA0BF1">
      <w:pPr>
        <w:pStyle w:val="5"/>
        <w:spacing w:line="254" w:lineRule="auto"/>
      </w:pPr>
    </w:p>
    <w:p w14:paraId="630D9C23">
      <w:pPr>
        <w:pStyle w:val="5"/>
        <w:spacing w:line="254" w:lineRule="auto"/>
      </w:pPr>
    </w:p>
    <w:p w14:paraId="51A62E5E">
      <w:pPr>
        <w:pStyle w:val="5"/>
        <w:spacing w:line="255" w:lineRule="auto"/>
      </w:pPr>
    </w:p>
    <w:p w14:paraId="122416A4">
      <w:pPr>
        <w:pStyle w:val="5"/>
        <w:spacing w:line="255" w:lineRule="auto"/>
      </w:pPr>
    </w:p>
    <w:p w14:paraId="53332F74">
      <w:pPr>
        <w:tabs>
          <w:tab w:val="left" w:pos="4010"/>
        </w:tabs>
        <w:spacing w:before="91" w:line="219" w:lineRule="auto"/>
        <w:ind w:left="1468"/>
        <w:rPr>
          <w:rFonts w:ascii="黑体" w:hAnsi="黑体" w:eastAsia="黑体" w:cs="黑体"/>
          <w:sz w:val="28"/>
          <w:szCs w:val="28"/>
        </w:rPr>
      </w:pPr>
      <w:r>
        <w:rPr>
          <w:rFonts w:ascii="宋体" w:hAnsi="宋体" w:eastAsia="宋体" w:cs="宋体"/>
          <w:sz w:val="28"/>
          <w:szCs w:val="28"/>
          <w:u w:val="single" w:color="auto"/>
        </w:rPr>
        <w:tab/>
      </w:r>
      <w:r>
        <w:rPr>
          <w:rFonts w:ascii="宋体" w:hAnsi="宋体" w:eastAsia="宋体" w:cs="宋体"/>
          <w:sz w:val="28"/>
          <w:szCs w:val="28"/>
        </w:rPr>
        <w:t>（标段名称）</w:t>
      </w:r>
      <w:r>
        <w:rPr>
          <w:rFonts w:ascii="黑体" w:hAnsi="黑体" w:eastAsia="黑体" w:cs="黑体"/>
          <w:sz w:val="28"/>
          <w:szCs w:val="28"/>
        </w:rPr>
        <w:t>项目招标</w:t>
      </w:r>
    </w:p>
    <w:p w14:paraId="46195F7B">
      <w:pPr>
        <w:spacing w:before="296" w:line="223" w:lineRule="auto"/>
        <w:ind w:left="2613"/>
        <w:rPr>
          <w:rFonts w:ascii="黑体" w:hAnsi="黑体" w:eastAsia="黑体" w:cs="黑体"/>
          <w:sz w:val="43"/>
          <w:szCs w:val="43"/>
        </w:rPr>
      </w:pPr>
      <w:bookmarkStart w:id="1346" w:name="bookmark653"/>
      <w:bookmarkEnd w:id="1346"/>
      <w:r>
        <w:rPr>
          <w:rFonts w:ascii="黑体" w:hAnsi="黑体" w:eastAsia="黑体" w:cs="黑体"/>
          <w:spacing w:val="-5"/>
          <w:sz w:val="43"/>
          <w:szCs w:val="43"/>
        </w:rPr>
        <w:t>投</w:t>
      </w:r>
      <w:r>
        <w:rPr>
          <w:rFonts w:ascii="黑体" w:hAnsi="黑体" w:eastAsia="黑体" w:cs="黑体"/>
          <w:spacing w:val="11"/>
          <w:sz w:val="43"/>
          <w:szCs w:val="43"/>
        </w:rPr>
        <w:t xml:space="preserve">  </w:t>
      </w:r>
      <w:r>
        <w:rPr>
          <w:rFonts w:ascii="黑体" w:hAnsi="黑体" w:eastAsia="黑体" w:cs="黑体"/>
          <w:spacing w:val="-5"/>
          <w:sz w:val="43"/>
          <w:szCs w:val="43"/>
        </w:rPr>
        <w:t>标</w:t>
      </w:r>
      <w:r>
        <w:rPr>
          <w:rFonts w:ascii="黑体" w:hAnsi="黑体" w:eastAsia="黑体" w:cs="黑体"/>
          <w:spacing w:val="17"/>
          <w:sz w:val="43"/>
          <w:szCs w:val="43"/>
        </w:rPr>
        <w:t xml:space="preserve">  </w:t>
      </w:r>
      <w:r>
        <w:rPr>
          <w:rFonts w:ascii="黑体" w:hAnsi="黑体" w:eastAsia="黑体" w:cs="黑体"/>
          <w:spacing w:val="-5"/>
          <w:sz w:val="43"/>
          <w:szCs w:val="43"/>
        </w:rPr>
        <w:t>文</w:t>
      </w:r>
      <w:r>
        <w:rPr>
          <w:rFonts w:ascii="黑体" w:hAnsi="黑体" w:eastAsia="黑体" w:cs="黑体"/>
          <w:spacing w:val="11"/>
          <w:sz w:val="43"/>
          <w:szCs w:val="43"/>
        </w:rPr>
        <w:t xml:space="preserve">  </w:t>
      </w:r>
      <w:r>
        <w:rPr>
          <w:rFonts w:ascii="黑体" w:hAnsi="黑体" w:eastAsia="黑体" w:cs="黑体"/>
          <w:spacing w:val="-5"/>
          <w:sz w:val="43"/>
          <w:szCs w:val="43"/>
        </w:rPr>
        <w:t>件</w:t>
      </w:r>
    </w:p>
    <w:p w14:paraId="209C01EF">
      <w:pPr>
        <w:pStyle w:val="5"/>
        <w:spacing w:line="253" w:lineRule="auto"/>
      </w:pPr>
    </w:p>
    <w:p w14:paraId="4A41FAC7">
      <w:pPr>
        <w:pStyle w:val="5"/>
        <w:spacing w:line="253" w:lineRule="auto"/>
      </w:pPr>
    </w:p>
    <w:p w14:paraId="6798EF4B">
      <w:pPr>
        <w:pStyle w:val="5"/>
        <w:spacing w:line="253" w:lineRule="auto"/>
      </w:pPr>
    </w:p>
    <w:p w14:paraId="304F0F3A">
      <w:pPr>
        <w:spacing w:before="91" w:line="221" w:lineRule="auto"/>
        <w:ind w:left="1478"/>
        <w:rPr>
          <w:rFonts w:ascii="楷体" w:hAnsi="楷体" w:eastAsia="楷体" w:cs="楷体"/>
          <w:sz w:val="28"/>
          <w:szCs w:val="28"/>
        </w:rPr>
      </w:pPr>
      <w:r>
        <w:rPr>
          <w:rFonts w:ascii="楷体" w:hAnsi="楷体" w:eastAsia="楷体" w:cs="楷体"/>
          <w:sz w:val="28"/>
          <w:szCs w:val="28"/>
        </w:rPr>
        <w:t>（标段唯一标识码</w:t>
      </w:r>
      <w:r>
        <w:rPr>
          <w:rFonts w:ascii="楷体" w:hAnsi="楷体" w:eastAsia="楷体" w:cs="楷体"/>
          <w:spacing w:val="-13"/>
          <w:sz w:val="28"/>
          <w:szCs w:val="28"/>
        </w:rPr>
        <w:t>：</w:t>
      </w:r>
      <w:r>
        <w:rPr>
          <w:rFonts w:ascii="楷体" w:hAnsi="楷体" w:eastAsia="楷体" w:cs="楷体"/>
          <w:spacing w:val="-115"/>
          <w:sz w:val="28"/>
          <w:szCs w:val="28"/>
        </w:rPr>
        <w:t xml:space="preserve"> </w:t>
      </w:r>
      <w:r>
        <w:rPr>
          <w:rFonts w:ascii="楷体" w:hAnsi="楷体" w:eastAsia="楷体" w:cs="楷体"/>
          <w:sz w:val="28"/>
          <w:szCs w:val="28"/>
          <w:u w:val="single" w:color="auto"/>
        </w:rPr>
        <w:t xml:space="preserve">                  </w:t>
      </w:r>
      <w:r>
        <w:rPr>
          <w:rFonts w:ascii="楷体" w:hAnsi="楷体" w:eastAsia="楷体" w:cs="楷体"/>
          <w:spacing w:val="-93"/>
          <w:sz w:val="28"/>
          <w:szCs w:val="28"/>
        </w:rPr>
        <w:t xml:space="preserve"> </w:t>
      </w:r>
      <w:r>
        <w:rPr>
          <w:rFonts w:ascii="楷体" w:hAnsi="楷体" w:eastAsia="楷体" w:cs="楷体"/>
          <w:spacing w:val="-13"/>
          <w:sz w:val="28"/>
          <w:szCs w:val="28"/>
        </w:rPr>
        <w:t>）</w:t>
      </w:r>
    </w:p>
    <w:p w14:paraId="3CD249A2">
      <w:pPr>
        <w:pStyle w:val="5"/>
        <w:spacing w:line="241" w:lineRule="auto"/>
      </w:pPr>
    </w:p>
    <w:p w14:paraId="4C3A167F">
      <w:pPr>
        <w:pStyle w:val="5"/>
        <w:spacing w:line="241" w:lineRule="auto"/>
      </w:pPr>
    </w:p>
    <w:p w14:paraId="02C3BEEC">
      <w:pPr>
        <w:pStyle w:val="5"/>
        <w:spacing w:line="241" w:lineRule="auto"/>
      </w:pPr>
    </w:p>
    <w:p w14:paraId="74B03C57">
      <w:pPr>
        <w:pStyle w:val="5"/>
        <w:spacing w:line="241" w:lineRule="auto"/>
      </w:pPr>
    </w:p>
    <w:p w14:paraId="37C40838">
      <w:pPr>
        <w:pStyle w:val="5"/>
        <w:spacing w:line="241" w:lineRule="auto"/>
      </w:pPr>
    </w:p>
    <w:p w14:paraId="2885AC22">
      <w:pPr>
        <w:pStyle w:val="5"/>
        <w:spacing w:line="241" w:lineRule="auto"/>
      </w:pPr>
    </w:p>
    <w:p w14:paraId="4C843B53">
      <w:pPr>
        <w:pStyle w:val="5"/>
        <w:spacing w:line="241" w:lineRule="auto"/>
      </w:pPr>
    </w:p>
    <w:p w14:paraId="0CEABD92">
      <w:pPr>
        <w:pStyle w:val="5"/>
        <w:spacing w:line="241" w:lineRule="auto"/>
      </w:pPr>
    </w:p>
    <w:p w14:paraId="2B00682D">
      <w:pPr>
        <w:pStyle w:val="5"/>
        <w:spacing w:line="241" w:lineRule="auto"/>
      </w:pPr>
    </w:p>
    <w:p w14:paraId="4FF381F1">
      <w:pPr>
        <w:pStyle w:val="5"/>
        <w:spacing w:line="241" w:lineRule="auto"/>
      </w:pPr>
    </w:p>
    <w:p w14:paraId="453E7A79">
      <w:pPr>
        <w:pStyle w:val="5"/>
        <w:spacing w:line="241" w:lineRule="auto"/>
      </w:pPr>
    </w:p>
    <w:p w14:paraId="6CC6F993">
      <w:pPr>
        <w:pStyle w:val="5"/>
        <w:spacing w:line="241" w:lineRule="auto"/>
      </w:pPr>
    </w:p>
    <w:p w14:paraId="699F5AD3">
      <w:pPr>
        <w:pStyle w:val="5"/>
        <w:spacing w:line="241" w:lineRule="auto"/>
      </w:pPr>
    </w:p>
    <w:p w14:paraId="51170BA4">
      <w:pPr>
        <w:pStyle w:val="5"/>
        <w:spacing w:line="241" w:lineRule="auto"/>
      </w:pPr>
    </w:p>
    <w:p w14:paraId="7037AF0B">
      <w:pPr>
        <w:pStyle w:val="5"/>
        <w:spacing w:line="241" w:lineRule="auto"/>
      </w:pPr>
    </w:p>
    <w:p w14:paraId="1AAF135B">
      <w:pPr>
        <w:pStyle w:val="5"/>
        <w:spacing w:line="241" w:lineRule="auto"/>
      </w:pPr>
    </w:p>
    <w:p w14:paraId="7D765A35">
      <w:pPr>
        <w:pStyle w:val="5"/>
        <w:spacing w:line="241" w:lineRule="auto"/>
      </w:pPr>
    </w:p>
    <w:p w14:paraId="51442E69">
      <w:pPr>
        <w:pStyle w:val="5"/>
        <w:spacing w:line="241" w:lineRule="auto"/>
      </w:pPr>
    </w:p>
    <w:p w14:paraId="25EED76D">
      <w:pPr>
        <w:pStyle w:val="5"/>
        <w:spacing w:line="241" w:lineRule="auto"/>
      </w:pPr>
    </w:p>
    <w:p w14:paraId="7E7DAD03">
      <w:pPr>
        <w:pStyle w:val="5"/>
        <w:spacing w:line="241" w:lineRule="auto"/>
      </w:pPr>
    </w:p>
    <w:p w14:paraId="1A4D82DA">
      <w:pPr>
        <w:pStyle w:val="5"/>
        <w:spacing w:line="241" w:lineRule="auto"/>
      </w:pPr>
    </w:p>
    <w:p w14:paraId="3E331CCC">
      <w:pPr>
        <w:pStyle w:val="5"/>
        <w:spacing w:line="241" w:lineRule="auto"/>
      </w:pPr>
    </w:p>
    <w:p w14:paraId="59CB6E5C">
      <w:pPr>
        <w:spacing w:before="91" w:line="361" w:lineRule="auto"/>
        <w:ind w:left="859" w:right="932" w:hanging="4"/>
        <w:rPr>
          <w:rFonts w:ascii="黑体" w:hAnsi="黑体" w:eastAsia="黑体" w:cs="黑体"/>
          <w:sz w:val="28"/>
          <w:szCs w:val="28"/>
        </w:rPr>
      </w:pPr>
      <w:r>
        <w:rPr>
          <w:rFonts w:ascii="黑体" w:hAnsi="黑体" w:eastAsia="黑体" w:cs="黑体"/>
          <w:spacing w:val="-4"/>
          <w:sz w:val="28"/>
          <w:szCs w:val="28"/>
        </w:rPr>
        <w:t>投标人</w:t>
      </w:r>
      <w:r>
        <w:rPr>
          <w:rFonts w:ascii="黑体" w:hAnsi="黑体" w:eastAsia="黑体" w:cs="黑体"/>
          <w:spacing w:val="-3"/>
          <w:sz w:val="28"/>
          <w:szCs w:val="28"/>
        </w:rPr>
        <w:t>：</w:t>
      </w:r>
      <w:r>
        <w:rPr>
          <w:rFonts w:ascii="黑体" w:hAnsi="黑体" w:eastAsia="黑体" w:cs="黑体"/>
          <w:sz w:val="28"/>
          <w:szCs w:val="28"/>
          <w:u w:val="single" w:color="auto"/>
        </w:rPr>
        <w:t xml:space="preserve">                           </w:t>
      </w:r>
      <w:r>
        <w:rPr>
          <w:rFonts w:ascii="黑体" w:hAnsi="黑体" w:eastAsia="黑体" w:cs="黑体"/>
          <w:spacing w:val="-3"/>
          <w:sz w:val="28"/>
          <w:szCs w:val="28"/>
        </w:rPr>
        <w:t>（</w:t>
      </w:r>
      <w:r>
        <w:rPr>
          <w:rFonts w:ascii="黑体" w:hAnsi="黑体" w:eastAsia="黑体" w:cs="黑体"/>
          <w:spacing w:val="-4"/>
          <w:sz w:val="28"/>
          <w:szCs w:val="28"/>
        </w:rPr>
        <w:t>盖单位章）</w:t>
      </w:r>
      <w:r>
        <w:rPr>
          <w:rFonts w:ascii="黑体" w:hAnsi="黑体" w:eastAsia="黑体" w:cs="黑体"/>
          <w:spacing w:val="-1"/>
          <w:sz w:val="28"/>
          <w:szCs w:val="28"/>
        </w:rPr>
        <w:t>法定代表人或授权委托人</w:t>
      </w:r>
      <w:r>
        <w:rPr>
          <w:rFonts w:ascii="黑体" w:hAnsi="黑体" w:eastAsia="黑体" w:cs="黑体"/>
          <w:spacing w:val="-14"/>
          <w:sz w:val="28"/>
          <w:szCs w:val="28"/>
        </w:rPr>
        <w:t>：</w:t>
      </w:r>
      <w:r>
        <w:rPr>
          <w:rFonts w:ascii="黑体" w:hAnsi="黑体" w:eastAsia="黑体" w:cs="黑体"/>
          <w:sz w:val="28"/>
          <w:szCs w:val="28"/>
          <w:u w:val="single" w:color="auto"/>
        </w:rPr>
        <w:t xml:space="preserve">               </w:t>
      </w:r>
      <w:r>
        <w:rPr>
          <w:rFonts w:ascii="黑体" w:hAnsi="黑体" w:eastAsia="黑体" w:cs="黑体"/>
          <w:spacing w:val="-14"/>
          <w:sz w:val="28"/>
          <w:szCs w:val="28"/>
        </w:rPr>
        <w:t>（</w:t>
      </w:r>
      <w:r>
        <w:rPr>
          <w:rFonts w:ascii="黑体" w:hAnsi="黑体" w:eastAsia="黑体" w:cs="黑体"/>
          <w:spacing w:val="-1"/>
          <w:sz w:val="28"/>
          <w:szCs w:val="28"/>
        </w:rPr>
        <w:t>签章）</w:t>
      </w:r>
    </w:p>
    <w:p w14:paraId="702F3180">
      <w:pPr>
        <w:pStyle w:val="5"/>
        <w:spacing w:line="264" w:lineRule="auto"/>
      </w:pPr>
    </w:p>
    <w:p w14:paraId="6B7DB82B">
      <w:pPr>
        <w:tabs>
          <w:tab w:val="left" w:pos="3370"/>
        </w:tabs>
        <w:spacing w:before="91" w:line="221" w:lineRule="auto"/>
        <w:ind w:left="2527"/>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7"/>
          <w:sz w:val="28"/>
          <w:szCs w:val="28"/>
        </w:rPr>
        <w:t xml:space="preserve"> </w:t>
      </w:r>
      <w:r>
        <w:rPr>
          <w:rFonts w:ascii="黑体" w:hAnsi="黑体" w:eastAsia="黑体" w:cs="黑体"/>
          <w:spacing w:val="-10"/>
          <w:sz w:val="28"/>
          <w:szCs w:val="28"/>
        </w:rPr>
        <w:t>年</w:t>
      </w:r>
      <w:r>
        <w:rPr>
          <w:rFonts w:ascii="黑体" w:hAnsi="黑体" w:eastAsia="黑体" w:cs="黑体"/>
          <w:spacing w:val="27"/>
          <w:sz w:val="28"/>
          <w:szCs w:val="28"/>
          <w:u w:val="single" w:color="auto"/>
        </w:rPr>
        <w:t xml:space="preserve">     </w:t>
      </w:r>
      <w:r>
        <w:rPr>
          <w:rFonts w:ascii="黑体" w:hAnsi="黑体" w:eastAsia="黑体" w:cs="黑体"/>
          <w:spacing w:val="-120"/>
          <w:sz w:val="28"/>
          <w:szCs w:val="28"/>
        </w:rPr>
        <w:t xml:space="preserve"> </w:t>
      </w:r>
      <w:r>
        <w:rPr>
          <w:rFonts w:ascii="黑体" w:hAnsi="黑体" w:eastAsia="黑体" w:cs="黑体"/>
          <w:spacing w:val="-10"/>
          <w:sz w:val="28"/>
          <w:szCs w:val="28"/>
        </w:rPr>
        <w:t>月</w:t>
      </w:r>
      <w:r>
        <w:rPr>
          <w:rFonts w:ascii="黑体" w:hAnsi="黑体" w:eastAsia="黑体" w:cs="黑体"/>
          <w:sz w:val="28"/>
          <w:szCs w:val="28"/>
          <w:u w:val="single" w:color="auto"/>
        </w:rPr>
        <w:t xml:space="preserve">     </w:t>
      </w:r>
      <w:r>
        <w:rPr>
          <w:rFonts w:ascii="黑体" w:hAnsi="黑体" w:eastAsia="黑体" w:cs="黑体"/>
          <w:spacing w:val="-84"/>
          <w:sz w:val="28"/>
          <w:szCs w:val="28"/>
        </w:rPr>
        <w:t xml:space="preserve"> </w:t>
      </w:r>
      <w:r>
        <w:rPr>
          <w:rFonts w:ascii="黑体" w:hAnsi="黑体" w:eastAsia="黑体" w:cs="黑体"/>
          <w:spacing w:val="-10"/>
          <w:sz w:val="28"/>
          <w:szCs w:val="28"/>
        </w:rPr>
        <w:t>日</w:t>
      </w:r>
    </w:p>
    <w:p w14:paraId="301406E2">
      <w:pPr>
        <w:spacing w:line="221" w:lineRule="auto"/>
        <w:rPr>
          <w:rFonts w:ascii="黑体" w:hAnsi="黑体" w:eastAsia="黑体" w:cs="黑体"/>
          <w:sz w:val="28"/>
          <w:szCs w:val="28"/>
        </w:rPr>
        <w:sectPr>
          <w:footerReference r:id="rId188" w:type="default"/>
          <w:pgSz w:w="11905" w:h="16843"/>
          <w:pgMar w:top="969" w:right="1355" w:bottom="1026" w:left="1480" w:header="0" w:footer="754" w:gutter="0"/>
          <w:cols w:space="0" w:num="1"/>
          <w:rtlGutter w:val="0"/>
          <w:docGrid w:linePitch="0" w:charSpace="0"/>
        </w:sectPr>
      </w:pPr>
    </w:p>
    <w:p w14:paraId="08ACB799">
      <w:pPr>
        <w:pStyle w:val="5"/>
        <w:spacing w:line="256" w:lineRule="auto"/>
      </w:pPr>
    </w:p>
    <w:p w14:paraId="404E1AE1">
      <w:pPr>
        <w:pStyle w:val="5"/>
        <w:spacing w:line="256" w:lineRule="auto"/>
      </w:pPr>
    </w:p>
    <w:p w14:paraId="21BA2791">
      <w:pPr>
        <w:pStyle w:val="5"/>
        <w:spacing w:line="256" w:lineRule="auto"/>
      </w:pPr>
    </w:p>
    <w:p w14:paraId="4E7C3090">
      <w:pPr>
        <w:pStyle w:val="5"/>
        <w:spacing w:line="256" w:lineRule="auto"/>
      </w:pPr>
    </w:p>
    <w:p w14:paraId="09BEE407">
      <w:pPr>
        <w:pStyle w:val="5"/>
        <w:spacing w:line="257" w:lineRule="auto"/>
      </w:pPr>
    </w:p>
    <w:p w14:paraId="7F9350D9">
      <w:pPr>
        <w:spacing w:before="91" w:line="219" w:lineRule="auto"/>
        <w:ind w:left="3929"/>
        <w:outlineLvl w:val="1"/>
        <w:rPr>
          <w:rFonts w:ascii="黑体" w:hAnsi="黑体" w:eastAsia="黑体" w:cs="黑体"/>
          <w:sz w:val="28"/>
          <w:szCs w:val="28"/>
        </w:rPr>
      </w:pPr>
      <w:bookmarkStart w:id="1347" w:name="bookmark654"/>
      <w:bookmarkEnd w:id="1347"/>
      <w:bookmarkStart w:id="1348" w:name="bookmark431"/>
      <w:bookmarkEnd w:id="1348"/>
      <w:r>
        <w:rPr>
          <w:rFonts w:ascii="黑体" w:hAnsi="黑体" w:eastAsia="黑体" w:cs="黑体"/>
          <w:spacing w:val="-23"/>
          <w:sz w:val="28"/>
          <w:szCs w:val="28"/>
        </w:rPr>
        <w:t>目</w:t>
      </w:r>
      <w:r>
        <w:rPr>
          <w:rFonts w:ascii="黑体" w:hAnsi="黑体" w:eastAsia="黑体" w:cs="黑体"/>
          <w:spacing w:val="2"/>
          <w:sz w:val="28"/>
          <w:szCs w:val="28"/>
        </w:rPr>
        <w:t xml:space="preserve">    </w:t>
      </w:r>
      <w:r>
        <w:rPr>
          <w:rFonts w:ascii="黑体" w:hAnsi="黑体" w:eastAsia="黑体" w:cs="黑体"/>
          <w:spacing w:val="-23"/>
          <w:sz w:val="28"/>
          <w:szCs w:val="28"/>
        </w:rPr>
        <w:t>录</w:t>
      </w:r>
    </w:p>
    <w:p w14:paraId="5155E979">
      <w:pPr>
        <w:pStyle w:val="5"/>
        <w:spacing w:line="270" w:lineRule="auto"/>
      </w:pPr>
    </w:p>
    <w:p w14:paraId="78071263">
      <w:pPr>
        <w:pStyle w:val="5"/>
        <w:spacing w:line="271" w:lineRule="auto"/>
      </w:pPr>
    </w:p>
    <w:p w14:paraId="4925AE67">
      <w:pPr>
        <w:pStyle w:val="5"/>
        <w:spacing w:line="271" w:lineRule="auto"/>
      </w:pPr>
    </w:p>
    <w:sdt>
      <w:sdtPr>
        <w:rPr>
          <w:rFonts w:ascii="宋体" w:hAnsi="宋体" w:eastAsia="宋体" w:cs="宋体"/>
          <w:sz w:val="21"/>
          <w:szCs w:val="21"/>
        </w:rPr>
        <w:id w:val="147451911"/>
        <w:docPartObj>
          <w:docPartGallery w:val="Table of Contents"/>
          <w:docPartUnique/>
        </w:docPartObj>
      </w:sdtPr>
      <w:sdtEndPr>
        <w:rPr>
          <w:rFonts w:ascii="宋体" w:hAnsi="宋体" w:eastAsia="宋体" w:cs="宋体"/>
          <w:sz w:val="21"/>
          <w:szCs w:val="21"/>
        </w:rPr>
      </w:sdtEndPr>
      <w:sdtContent>
        <w:p w14:paraId="19943309">
          <w:pPr>
            <w:spacing w:before="69" w:line="220" w:lineRule="auto"/>
            <w:ind w:left="4"/>
            <w:rPr>
              <w:rFonts w:ascii="宋体" w:hAnsi="宋体" w:eastAsia="宋体" w:cs="宋体"/>
              <w:sz w:val="21"/>
              <w:szCs w:val="21"/>
            </w:rPr>
          </w:pPr>
          <w:r>
            <w:rPr>
              <w:rFonts w:ascii="宋体" w:hAnsi="宋体" w:eastAsia="宋体" w:cs="宋体"/>
              <w:spacing w:val="-1"/>
              <w:sz w:val="21"/>
              <w:szCs w:val="21"/>
            </w:rPr>
            <w:t>一、投标函及投标函附录等</w:t>
          </w:r>
        </w:p>
        <w:p w14:paraId="2C056B20">
          <w:pPr>
            <w:pStyle w:val="5"/>
            <w:spacing w:line="279" w:lineRule="auto"/>
          </w:pPr>
        </w:p>
        <w:p w14:paraId="4F1D2560">
          <w:pPr>
            <w:spacing w:before="68" w:line="221" w:lineRule="auto"/>
            <w:ind w:left="4"/>
            <w:rPr>
              <w:rFonts w:ascii="宋体" w:hAnsi="宋体" w:eastAsia="宋体" w:cs="宋体"/>
              <w:sz w:val="21"/>
              <w:szCs w:val="21"/>
            </w:rPr>
          </w:pPr>
          <w:r>
            <w:rPr>
              <w:rFonts w:ascii="宋体" w:hAnsi="宋体" w:eastAsia="宋体" w:cs="宋体"/>
              <w:spacing w:val="-1"/>
              <w:sz w:val="21"/>
              <w:szCs w:val="21"/>
            </w:rPr>
            <w:t>二、法定代表人身份证明</w:t>
          </w:r>
        </w:p>
        <w:p w14:paraId="46E917A4">
          <w:pPr>
            <w:pStyle w:val="5"/>
            <w:spacing w:line="278" w:lineRule="auto"/>
          </w:pPr>
        </w:p>
        <w:p w14:paraId="30D47551">
          <w:pPr>
            <w:spacing w:before="69" w:line="220" w:lineRule="auto"/>
            <w:ind w:left="4"/>
            <w:rPr>
              <w:rFonts w:ascii="宋体" w:hAnsi="宋体" w:eastAsia="宋体" w:cs="宋体"/>
              <w:sz w:val="21"/>
              <w:szCs w:val="21"/>
            </w:rPr>
          </w:pPr>
          <w:r>
            <w:rPr>
              <w:rFonts w:ascii="宋体" w:hAnsi="宋体" w:eastAsia="宋体" w:cs="宋体"/>
              <w:spacing w:val="-2"/>
              <w:sz w:val="21"/>
              <w:szCs w:val="21"/>
            </w:rPr>
            <w:t>二、授权委托书</w:t>
          </w:r>
        </w:p>
        <w:p w14:paraId="2ADC4E83">
          <w:pPr>
            <w:pStyle w:val="5"/>
            <w:spacing w:line="280" w:lineRule="auto"/>
          </w:pPr>
        </w:p>
        <w:p w14:paraId="02864CEB">
          <w:pPr>
            <w:spacing w:before="69" w:line="221" w:lineRule="auto"/>
            <w:rPr>
              <w:rFonts w:ascii="宋体" w:hAnsi="宋体" w:eastAsia="宋体" w:cs="宋体"/>
              <w:sz w:val="21"/>
              <w:szCs w:val="21"/>
            </w:rPr>
          </w:pPr>
          <w:r>
            <w:rPr>
              <w:rFonts w:ascii="宋体" w:hAnsi="宋体" w:eastAsia="宋体" w:cs="宋体"/>
              <w:spacing w:val="-1"/>
              <w:sz w:val="21"/>
              <w:szCs w:val="21"/>
            </w:rPr>
            <w:t>三、投标保证金</w:t>
          </w:r>
        </w:p>
        <w:p w14:paraId="38B4AF61">
          <w:pPr>
            <w:pStyle w:val="5"/>
            <w:spacing w:line="278" w:lineRule="auto"/>
          </w:pPr>
        </w:p>
        <w:p w14:paraId="3F94C5EF">
          <w:pPr>
            <w:spacing w:before="68" w:line="220" w:lineRule="auto"/>
            <w:ind w:left="20"/>
            <w:rPr>
              <w:rFonts w:ascii="宋体" w:hAnsi="宋体" w:eastAsia="宋体" w:cs="宋体"/>
              <w:sz w:val="21"/>
              <w:szCs w:val="21"/>
            </w:rPr>
          </w:pPr>
          <w:r>
            <w:rPr>
              <w:rFonts w:ascii="宋体" w:hAnsi="宋体" w:eastAsia="宋体" w:cs="宋体"/>
              <w:spacing w:val="-3"/>
              <w:sz w:val="21"/>
              <w:szCs w:val="21"/>
            </w:rPr>
            <w:t>四、联合体协议书（如有）</w:t>
          </w:r>
        </w:p>
        <w:p w14:paraId="603E1713">
          <w:pPr>
            <w:pStyle w:val="5"/>
            <w:spacing w:line="279" w:lineRule="auto"/>
          </w:pPr>
        </w:p>
        <w:p w14:paraId="4C130141">
          <w:pPr>
            <w:spacing w:before="69" w:line="220" w:lineRule="auto"/>
            <w:ind w:left="4"/>
            <w:rPr>
              <w:rFonts w:ascii="宋体" w:hAnsi="宋体" w:eastAsia="宋体" w:cs="宋体"/>
              <w:sz w:val="21"/>
              <w:szCs w:val="21"/>
            </w:rPr>
          </w:pPr>
          <w:r>
            <w:rPr>
              <w:rFonts w:ascii="宋体" w:hAnsi="宋体" w:eastAsia="宋体" w:cs="宋体"/>
              <w:spacing w:val="-1"/>
              <w:sz w:val="21"/>
              <w:szCs w:val="21"/>
            </w:rPr>
            <w:t>五、拟分包项目情况表</w:t>
          </w:r>
        </w:p>
        <w:p w14:paraId="310A21EF">
          <w:pPr>
            <w:pStyle w:val="5"/>
            <w:spacing w:line="279" w:lineRule="auto"/>
          </w:pPr>
        </w:p>
        <w:p w14:paraId="2D9375C3">
          <w:pPr>
            <w:spacing w:before="69" w:line="220" w:lineRule="auto"/>
            <w:ind w:left="2"/>
            <w:rPr>
              <w:rFonts w:ascii="宋体" w:hAnsi="宋体" w:eastAsia="宋体" w:cs="宋体"/>
              <w:sz w:val="21"/>
              <w:szCs w:val="21"/>
            </w:rPr>
          </w:pPr>
          <w:r>
            <w:rPr>
              <w:rFonts w:ascii="宋体" w:hAnsi="宋体" w:eastAsia="宋体" w:cs="宋体"/>
              <w:spacing w:val="-1"/>
              <w:sz w:val="21"/>
              <w:szCs w:val="21"/>
            </w:rPr>
            <w:t>六、项目管理机构</w:t>
          </w:r>
        </w:p>
        <w:p w14:paraId="4C03AC1A">
          <w:pPr>
            <w:pStyle w:val="5"/>
            <w:spacing w:line="279" w:lineRule="auto"/>
          </w:pPr>
        </w:p>
        <w:p w14:paraId="08EF6964">
          <w:pPr>
            <w:spacing w:before="68" w:line="221" w:lineRule="auto"/>
            <w:rPr>
              <w:rFonts w:ascii="宋体" w:hAnsi="宋体" w:eastAsia="宋体" w:cs="宋体"/>
              <w:sz w:val="21"/>
              <w:szCs w:val="21"/>
            </w:rPr>
          </w:pPr>
          <w:r>
            <w:rPr>
              <w:rFonts w:ascii="宋体" w:hAnsi="宋体" w:eastAsia="宋体" w:cs="宋体"/>
              <w:spacing w:val="-1"/>
              <w:sz w:val="21"/>
              <w:szCs w:val="21"/>
            </w:rPr>
            <w:t>七、资格审查资料</w:t>
          </w:r>
        </w:p>
        <w:p w14:paraId="0454F6D7">
          <w:pPr>
            <w:pStyle w:val="5"/>
            <w:spacing w:line="279" w:lineRule="auto"/>
          </w:pPr>
        </w:p>
        <w:p w14:paraId="4913C147">
          <w:pPr>
            <w:spacing w:before="69" w:line="219" w:lineRule="auto"/>
            <w:ind w:left="4"/>
            <w:rPr>
              <w:rFonts w:ascii="宋体" w:hAnsi="宋体" w:eastAsia="宋体" w:cs="宋体"/>
              <w:sz w:val="21"/>
              <w:szCs w:val="21"/>
            </w:rPr>
          </w:pPr>
          <w:r>
            <w:rPr>
              <w:rFonts w:ascii="宋体" w:hAnsi="宋体" w:eastAsia="宋体" w:cs="宋体"/>
              <w:spacing w:val="-1"/>
              <w:sz w:val="21"/>
              <w:szCs w:val="21"/>
            </w:rPr>
            <w:t>八、已标价工程量清单</w:t>
          </w:r>
        </w:p>
        <w:p w14:paraId="0BA46809">
          <w:pPr>
            <w:pStyle w:val="5"/>
            <w:spacing w:line="280" w:lineRule="auto"/>
          </w:pPr>
        </w:p>
        <w:p w14:paraId="66559B5C">
          <w:pPr>
            <w:spacing w:before="69" w:line="222" w:lineRule="auto"/>
            <w:ind w:left="5"/>
            <w:rPr>
              <w:rFonts w:ascii="宋体" w:hAnsi="宋体" w:eastAsia="宋体" w:cs="宋体"/>
              <w:sz w:val="21"/>
              <w:szCs w:val="21"/>
            </w:rPr>
          </w:pPr>
          <w:r>
            <w:rPr>
              <w:rFonts w:ascii="宋体" w:hAnsi="宋体" w:eastAsia="宋体" w:cs="宋体"/>
              <w:spacing w:val="-2"/>
              <w:sz w:val="21"/>
              <w:szCs w:val="21"/>
            </w:rPr>
            <w:t>九、施工组织设计</w:t>
          </w:r>
        </w:p>
        <w:p w14:paraId="206DB374">
          <w:pPr>
            <w:pStyle w:val="5"/>
            <w:spacing w:line="277" w:lineRule="auto"/>
          </w:pPr>
        </w:p>
        <w:p w14:paraId="508A5884">
          <w:pPr>
            <w:spacing w:before="70" w:line="221" w:lineRule="auto"/>
            <w:ind w:left="1"/>
            <w:rPr>
              <w:rFonts w:ascii="宋体" w:hAnsi="宋体" w:eastAsia="宋体" w:cs="宋体"/>
              <w:sz w:val="21"/>
              <w:szCs w:val="21"/>
            </w:rPr>
          </w:pPr>
          <w:r>
            <w:rPr>
              <w:rFonts w:ascii="宋体" w:hAnsi="宋体" w:eastAsia="宋体" w:cs="宋体"/>
              <w:spacing w:val="-1"/>
              <w:sz w:val="21"/>
              <w:szCs w:val="21"/>
            </w:rPr>
            <w:t>十、其他资料</w:t>
          </w:r>
        </w:p>
      </w:sdtContent>
    </w:sdt>
    <w:p w14:paraId="148EC17F">
      <w:pPr>
        <w:spacing w:line="221" w:lineRule="auto"/>
        <w:rPr>
          <w:rFonts w:ascii="宋体" w:hAnsi="宋体" w:eastAsia="宋体" w:cs="宋体"/>
          <w:sz w:val="21"/>
          <w:szCs w:val="21"/>
        </w:rPr>
        <w:sectPr>
          <w:footerReference r:id="rId189" w:type="default"/>
          <w:pgSz w:w="11905" w:h="16843"/>
          <w:pgMar w:top="969" w:right="1355" w:bottom="1026" w:left="1480" w:header="0" w:footer="754" w:gutter="0"/>
          <w:cols w:space="0" w:num="1"/>
          <w:rtlGutter w:val="0"/>
          <w:docGrid w:linePitch="0" w:charSpace="0"/>
        </w:sectPr>
      </w:pPr>
    </w:p>
    <w:p w14:paraId="6063162D">
      <w:pPr>
        <w:pStyle w:val="5"/>
        <w:spacing w:line="256" w:lineRule="auto"/>
      </w:pPr>
    </w:p>
    <w:p w14:paraId="05E3B125">
      <w:pPr>
        <w:pStyle w:val="5"/>
        <w:spacing w:line="256" w:lineRule="auto"/>
      </w:pPr>
    </w:p>
    <w:p w14:paraId="49B87FD5">
      <w:pPr>
        <w:pStyle w:val="5"/>
        <w:spacing w:line="256" w:lineRule="auto"/>
      </w:pPr>
    </w:p>
    <w:p w14:paraId="7DD45098">
      <w:pPr>
        <w:pStyle w:val="5"/>
        <w:spacing w:line="256" w:lineRule="auto"/>
      </w:pPr>
    </w:p>
    <w:p w14:paraId="3DBD195D">
      <w:pPr>
        <w:pStyle w:val="5"/>
        <w:spacing w:line="257" w:lineRule="auto"/>
      </w:pPr>
    </w:p>
    <w:p w14:paraId="22E9A5F4">
      <w:pPr>
        <w:spacing w:before="91" w:line="219" w:lineRule="auto"/>
        <w:ind w:left="2791"/>
        <w:outlineLvl w:val="1"/>
        <w:rPr>
          <w:rFonts w:ascii="黑体" w:hAnsi="黑体" w:eastAsia="黑体" w:cs="黑体"/>
          <w:sz w:val="28"/>
          <w:szCs w:val="28"/>
        </w:rPr>
      </w:pPr>
      <w:bookmarkStart w:id="1349" w:name="bookmark432"/>
      <w:bookmarkEnd w:id="1349"/>
      <w:bookmarkStart w:id="1350" w:name="bookmark655"/>
      <w:bookmarkEnd w:id="1350"/>
      <w:r>
        <w:rPr>
          <w:rFonts w:ascii="黑体" w:hAnsi="黑体" w:eastAsia="黑体" w:cs="黑体"/>
          <w:spacing w:val="-2"/>
          <w:sz w:val="28"/>
          <w:szCs w:val="28"/>
        </w:rPr>
        <w:t>一、投标函及投标函附录等</w:t>
      </w:r>
    </w:p>
    <w:p w14:paraId="0BE2E125">
      <w:pPr>
        <w:spacing w:before="68" w:line="220" w:lineRule="auto"/>
        <w:ind w:left="3645"/>
        <w:outlineLvl w:val="2"/>
        <w:rPr>
          <w:rFonts w:ascii="黑体" w:hAnsi="黑体" w:eastAsia="黑体" w:cs="黑体"/>
          <w:sz w:val="28"/>
          <w:szCs w:val="28"/>
        </w:rPr>
      </w:pPr>
      <w:bookmarkStart w:id="1351" w:name="bookmark433"/>
      <w:bookmarkEnd w:id="1351"/>
      <w:r>
        <w:rPr>
          <w:rFonts w:ascii="黑体" w:hAnsi="黑体" w:eastAsia="黑体" w:cs="黑体"/>
          <w:spacing w:val="-8"/>
          <w:sz w:val="28"/>
          <w:szCs w:val="28"/>
        </w:rPr>
        <w:t>（一）投标函</w:t>
      </w:r>
    </w:p>
    <w:p w14:paraId="71651797">
      <w:pPr>
        <w:tabs>
          <w:tab w:val="left" w:pos="2526"/>
        </w:tabs>
        <w:spacing w:before="158" w:line="221" w:lineRule="auto"/>
        <w:ind w:left="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3"/>
          <w:sz w:val="21"/>
          <w:szCs w:val="21"/>
        </w:rPr>
        <w:t>（招标人名称</w:t>
      </w:r>
      <w:r>
        <w:rPr>
          <w:rFonts w:ascii="宋体" w:hAnsi="宋体" w:eastAsia="宋体" w:cs="宋体"/>
          <w:spacing w:val="-20"/>
          <w:sz w:val="21"/>
          <w:szCs w:val="21"/>
        </w:rPr>
        <w:t>）：</w:t>
      </w:r>
    </w:p>
    <w:p w14:paraId="0620AD73">
      <w:pPr>
        <w:spacing w:before="186" w:line="332" w:lineRule="auto"/>
        <w:ind w:left="34" w:firstLine="415"/>
        <w:rPr>
          <w:rFonts w:ascii="宋体" w:hAnsi="宋体" w:eastAsia="宋体" w:cs="宋体"/>
          <w:sz w:val="21"/>
          <w:szCs w:val="21"/>
        </w:rPr>
      </w:pPr>
      <w:r>
        <w:rPr>
          <w:rFonts w:ascii="Times New Roman" w:hAnsi="Times New Roman" w:eastAsia="Times New Roman" w:cs="Times New Roman"/>
          <w:spacing w:val="4"/>
          <w:sz w:val="21"/>
          <w:szCs w:val="21"/>
        </w:rPr>
        <w:t>1</w:t>
      </w:r>
      <w:r>
        <w:rPr>
          <w:rFonts w:ascii="宋体" w:hAnsi="宋体" w:eastAsia="宋体" w:cs="宋体"/>
          <w:spacing w:val="4"/>
          <w:sz w:val="21"/>
          <w:szCs w:val="21"/>
        </w:rPr>
        <w:t>．我方已仔细研究了</w:t>
      </w:r>
      <w:r>
        <w:rPr>
          <w:rFonts w:ascii="宋体" w:hAnsi="宋体" w:eastAsia="宋体" w:cs="宋体"/>
          <w:spacing w:val="-98"/>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4"/>
          <w:sz w:val="21"/>
          <w:szCs w:val="21"/>
        </w:rPr>
        <w:t>（标段名称）项目招标文件的全部内容，愿意以人民</w:t>
      </w:r>
      <w:r>
        <w:rPr>
          <w:rFonts w:ascii="宋体" w:hAnsi="宋体" w:eastAsia="宋体" w:cs="宋体"/>
          <w:spacing w:val="3"/>
          <w:sz w:val="21"/>
          <w:szCs w:val="21"/>
        </w:rPr>
        <w:t>币（大写）</w:t>
      </w:r>
      <w:r>
        <w:rPr>
          <w:rFonts w:ascii="宋体" w:hAnsi="宋体" w:eastAsia="宋体" w:cs="宋体"/>
          <w:spacing w:val="1"/>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3"/>
          <w:sz w:val="21"/>
          <w:szCs w:val="21"/>
        </w:rPr>
        <w:t>元(</w:t>
      </w:r>
      <w:r>
        <w:rPr>
          <w:rFonts w:ascii="Times New Roman" w:hAnsi="Times New Roman" w:eastAsia="Times New Roman" w:cs="Times New Roman"/>
          <w:spacing w:val="3"/>
          <w:sz w:val="21"/>
          <w:szCs w:val="21"/>
        </w:rPr>
        <w:t>¥</w:t>
      </w:r>
      <w:r>
        <w:rPr>
          <w:rFonts w:ascii="Times New Roman" w:hAnsi="Times New Roman" w:eastAsia="Times New Roman" w:cs="Times New Roman"/>
          <w:spacing w:val="-52"/>
          <w:sz w:val="21"/>
          <w:szCs w:val="21"/>
        </w:rPr>
        <w:t xml:space="preserve"> </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40"/>
          <w:sz w:val="21"/>
          <w:szCs w:val="21"/>
        </w:rPr>
        <w:t xml:space="preserve"> </w:t>
      </w:r>
      <w:r>
        <w:rPr>
          <w:rFonts w:ascii="宋体" w:hAnsi="宋体" w:eastAsia="宋体" w:cs="宋体"/>
          <w:spacing w:val="3"/>
          <w:sz w:val="21"/>
          <w:szCs w:val="21"/>
        </w:rPr>
        <w:t>元）的投标总报价，工期</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3"/>
          <w:sz w:val="21"/>
          <w:szCs w:val="21"/>
        </w:rPr>
        <w:t>日历天，按合</w:t>
      </w:r>
      <w:r>
        <w:rPr>
          <w:rFonts w:ascii="宋体" w:hAnsi="宋体" w:eastAsia="宋体" w:cs="宋体"/>
          <w:sz w:val="21"/>
          <w:szCs w:val="21"/>
        </w:rPr>
        <w:t>同约定实施和完成承包工程，修补工程中的任何</w:t>
      </w:r>
      <w:r>
        <w:rPr>
          <w:rFonts w:ascii="宋体" w:hAnsi="宋体" w:eastAsia="宋体" w:cs="宋体"/>
          <w:spacing w:val="-1"/>
          <w:sz w:val="21"/>
          <w:szCs w:val="21"/>
        </w:rPr>
        <w:t>缺陷，工程质量达到</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p>
    <w:p w14:paraId="5542C0D7">
      <w:pPr>
        <w:spacing w:before="220" w:line="322" w:lineRule="auto"/>
        <w:ind w:left="19" w:right="13" w:firstLine="411"/>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．我方拟派的项目经理</w:t>
      </w:r>
      <w:r>
        <w:rPr>
          <w:rFonts w:ascii="宋体" w:hAnsi="宋体" w:eastAsia="宋体" w:cs="宋体"/>
          <w:spacing w:val="-15"/>
          <w:sz w:val="21"/>
          <w:szCs w:val="21"/>
        </w:rPr>
        <w:t>：</w:t>
      </w:r>
      <w:r>
        <w:rPr>
          <w:rFonts w:ascii="宋体" w:hAnsi="宋体" w:eastAsia="宋体" w:cs="宋体"/>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1"/>
          <w:sz w:val="21"/>
          <w:szCs w:val="21"/>
        </w:rPr>
        <w:t>姓名</w:t>
      </w:r>
      <w:r>
        <w:rPr>
          <w:rFonts w:ascii="宋体" w:hAnsi="宋体" w:eastAsia="宋体" w:cs="宋体"/>
          <w:spacing w:val="-15"/>
          <w:sz w:val="21"/>
          <w:szCs w:val="21"/>
        </w:rPr>
        <w:t>），</w:t>
      </w:r>
      <w:r>
        <w:rPr>
          <w:rFonts w:ascii="宋体" w:hAnsi="宋体" w:eastAsia="宋体" w:cs="宋体"/>
          <w:spacing w:val="1"/>
          <w:sz w:val="21"/>
          <w:szCs w:val="21"/>
        </w:rPr>
        <w:t>证书名称</w:t>
      </w:r>
      <w:r>
        <w:rPr>
          <w:rFonts w:ascii="宋体" w:hAnsi="宋体" w:eastAsia="宋体" w:cs="宋体"/>
          <w:spacing w:val="-15"/>
          <w:sz w:val="21"/>
          <w:szCs w:val="21"/>
        </w:rPr>
        <w:t>：</w:t>
      </w:r>
      <w:r>
        <w:rPr>
          <w:rFonts w:ascii="宋体" w:hAnsi="宋体" w:eastAsia="宋体" w:cs="宋体"/>
          <w:sz w:val="21"/>
          <w:szCs w:val="21"/>
          <w:u w:val="single" w:color="auto"/>
        </w:rPr>
        <w:t xml:space="preserve">              </w:t>
      </w:r>
      <w:r>
        <w:rPr>
          <w:rFonts w:ascii="宋体" w:hAnsi="宋体" w:eastAsia="宋体" w:cs="宋体"/>
          <w:spacing w:val="-74"/>
          <w:sz w:val="21"/>
          <w:szCs w:val="21"/>
        </w:rPr>
        <w:t xml:space="preserve"> </w:t>
      </w:r>
      <w:r>
        <w:rPr>
          <w:rFonts w:ascii="宋体" w:hAnsi="宋体" w:eastAsia="宋体" w:cs="宋体"/>
          <w:spacing w:val="-15"/>
          <w:sz w:val="21"/>
          <w:szCs w:val="21"/>
        </w:rPr>
        <w:t>，</w:t>
      </w:r>
      <w:r>
        <w:rPr>
          <w:rFonts w:ascii="宋体" w:hAnsi="宋体" w:eastAsia="宋体" w:cs="宋体"/>
          <w:spacing w:val="1"/>
          <w:sz w:val="21"/>
          <w:szCs w:val="21"/>
        </w:rPr>
        <w:t>证书编</w:t>
      </w:r>
      <w:r>
        <w:rPr>
          <w:rFonts w:ascii="宋体" w:hAnsi="宋体" w:eastAsia="宋体" w:cs="宋体"/>
          <w:spacing w:val="-4"/>
          <w:sz w:val="21"/>
          <w:szCs w:val="21"/>
        </w:rPr>
        <w:t>号：</w:t>
      </w:r>
      <w:r>
        <w:rPr>
          <w:rFonts w:ascii="宋体" w:hAnsi="宋体" w:eastAsia="宋体" w:cs="宋体"/>
          <w:spacing w:val="8"/>
          <w:sz w:val="21"/>
          <w:szCs w:val="21"/>
          <w:u w:val="single" w:color="auto"/>
        </w:rPr>
        <w:t xml:space="preserve">            </w:t>
      </w:r>
      <w:r>
        <w:rPr>
          <w:rFonts w:ascii="宋体" w:hAnsi="宋体" w:eastAsia="宋体" w:cs="宋体"/>
          <w:spacing w:val="-4"/>
          <w:sz w:val="21"/>
          <w:szCs w:val="21"/>
        </w:rPr>
        <w:t>。</w:t>
      </w:r>
    </w:p>
    <w:p w14:paraId="4DB70766">
      <w:pPr>
        <w:spacing w:before="196" w:line="234" w:lineRule="auto"/>
        <w:ind w:left="434"/>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．我方承诺在投标有效期</w:t>
      </w:r>
      <w:r>
        <w:rPr>
          <w:rFonts w:ascii="宋体" w:hAnsi="宋体" w:eastAsia="宋体" w:cs="宋体"/>
          <w:spacing w:val="27"/>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
          <w:sz w:val="21"/>
          <w:szCs w:val="21"/>
        </w:rPr>
        <w:t>天内不修改、撤销投标文件。</w:t>
      </w:r>
    </w:p>
    <w:p w14:paraId="793165FE">
      <w:pPr>
        <w:spacing w:before="174" w:line="234" w:lineRule="auto"/>
        <w:ind w:left="429"/>
        <w:rPr>
          <w:rFonts w:ascii="宋体" w:hAnsi="宋体" w:eastAsia="宋体" w:cs="宋体"/>
          <w:sz w:val="21"/>
          <w:szCs w:val="21"/>
        </w:rPr>
      </w:pPr>
      <w:r>
        <w:rPr>
          <w:rFonts w:ascii="Times New Roman" w:hAnsi="Times New Roman" w:eastAsia="Times New Roman" w:cs="Times New Roman"/>
          <w:spacing w:val="3"/>
          <w:sz w:val="21"/>
          <w:szCs w:val="21"/>
        </w:rPr>
        <w:t>4</w:t>
      </w:r>
      <w:r>
        <w:rPr>
          <w:rFonts w:ascii="宋体" w:hAnsi="宋体" w:eastAsia="宋体" w:cs="宋体"/>
          <w:spacing w:val="3"/>
          <w:sz w:val="21"/>
          <w:szCs w:val="21"/>
        </w:rPr>
        <w:t>．随同本投标函提交投标保证金一份，金额为人民币（大写）</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3"/>
          <w:sz w:val="21"/>
          <w:szCs w:val="21"/>
        </w:rPr>
        <w:t>元(</w:t>
      </w:r>
      <w:r>
        <w:rPr>
          <w:rFonts w:ascii="Times New Roman" w:hAnsi="Times New Roman" w:eastAsia="Times New Roman" w:cs="Times New Roman"/>
          <w:spacing w:val="3"/>
          <w:sz w:val="21"/>
          <w:szCs w:val="21"/>
        </w:rPr>
        <w:t>¥</w:t>
      </w:r>
      <w:r>
        <w:rPr>
          <w:rFonts w:ascii="Times New Roman" w:hAnsi="Times New Roman" w:eastAsia="Times New Roman" w:cs="Times New Roman"/>
          <w:spacing w:val="3"/>
          <w:sz w:val="21"/>
          <w:szCs w:val="21"/>
          <w:u w:val="single" w:color="auto"/>
        </w:rPr>
        <w:t xml:space="preserve">      </w:t>
      </w:r>
      <w:r>
        <w:rPr>
          <w:rFonts w:ascii="Times New Roman" w:hAnsi="Times New Roman" w:eastAsia="Times New Roman" w:cs="Times New Roman"/>
          <w:spacing w:val="2"/>
          <w:sz w:val="21"/>
          <w:szCs w:val="21"/>
          <w:u w:val="single" w:color="auto"/>
        </w:rPr>
        <w:t xml:space="preserve">     </w:t>
      </w:r>
      <w:r>
        <w:rPr>
          <w:rFonts w:ascii="Times New Roman" w:hAnsi="Times New Roman" w:eastAsia="Times New Roman" w:cs="Times New Roman"/>
          <w:spacing w:val="-22"/>
          <w:sz w:val="21"/>
          <w:szCs w:val="21"/>
        </w:rPr>
        <w:t xml:space="preserve"> </w:t>
      </w:r>
      <w:r>
        <w:rPr>
          <w:rFonts w:ascii="宋体" w:hAnsi="宋体" w:eastAsia="宋体" w:cs="宋体"/>
          <w:spacing w:val="2"/>
          <w:sz w:val="21"/>
          <w:szCs w:val="21"/>
        </w:rPr>
        <w:t>)。</w:t>
      </w:r>
    </w:p>
    <w:p w14:paraId="6B024921">
      <w:pPr>
        <w:spacing w:before="174" w:line="235" w:lineRule="auto"/>
        <w:ind w:left="436"/>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．如我方中标：</w:t>
      </w:r>
    </w:p>
    <w:p w14:paraId="75BA0B32">
      <w:pPr>
        <w:spacing w:before="171" w:line="234" w:lineRule="auto"/>
        <w:ind w:left="73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宋体" w:hAnsi="宋体" w:eastAsia="宋体" w:cs="宋体"/>
          <w:spacing w:val="-1"/>
          <w:sz w:val="21"/>
          <w:szCs w:val="21"/>
        </w:rPr>
        <w:t>）我方承诺在收到中标通知书后，在中标通知书规定的期限内与你方签订合同。</w:t>
      </w:r>
    </w:p>
    <w:p w14:paraId="4CB8482B">
      <w:pPr>
        <w:spacing w:before="176" w:line="234" w:lineRule="auto"/>
        <w:ind w:left="73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2</w:t>
      </w:r>
      <w:r>
        <w:rPr>
          <w:rFonts w:ascii="宋体" w:hAnsi="宋体" w:eastAsia="宋体" w:cs="宋体"/>
          <w:spacing w:val="-1"/>
          <w:sz w:val="21"/>
          <w:szCs w:val="21"/>
        </w:rPr>
        <w:t>）随同本投标函递交的投标函附录属于合同文件的组成部分。</w:t>
      </w:r>
    </w:p>
    <w:p w14:paraId="3D66177F">
      <w:pPr>
        <w:spacing w:before="174" w:line="234" w:lineRule="auto"/>
        <w:ind w:left="73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3</w:t>
      </w:r>
      <w:r>
        <w:rPr>
          <w:rFonts w:ascii="宋体" w:hAnsi="宋体" w:eastAsia="宋体" w:cs="宋体"/>
          <w:spacing w:val="-1"/>
          <w:sz w:val="21"/>
          <w:szCs w:val="21"/>
        </w:rPr>
        <w:t>）我方承诺按照招标文件规定向你方递交履约保证金。</w:t>
      </w:r>
    </w:p>
    <w:p w14:paraId="3C42C3E8">
      <w:pPr>
        <w:spacing w:before="173" w:line="234" w:lineRule="auto"/>
        <w:ind w:left="738"/>
        <w:rPr>
          <w:rFonts w:ascii="宋体" w:hAnsi="宋体" w:eastAsia="宋体" w:cs="宋体"/>
          <w:sz w:val="21"/>
          <w:szCs w:val="21"/>
        </w:rPr>
      </w:pPr>
      <w:r>
        <w:rPr>
          <w:rFonts w:ascii="宋体" w:hAnsi="宋体" w:eastAsia="宋体" w:cs="宋体"/>
          <w:spacing w:val="-1"/>
          <w:sz w:val="21"/>
          <w:szCs w:val="21"/>
        </w:rPr>
        <w:t>（</w:t>
      </w:r>
      <w:r>
        <w:rPr>
          <w:rFonts w:ascii="Times New Roman" w:hAnsi="Times New Roman" w:eastAsia="Times New Roman" w:cs="Times New Roman"/>
          <w:spacing w:val="-1"/>
          <w:sz w:val="21"/>
          <w:szCs w:val="21"/>
        </w:rPr>
        <w:t>4</w:t>
      </w:r>
      <w:r>
        <w:rPr>
          <w:rFonts w:ascii="宋体" w:hAnsi="宋体" w:eastAsia="宋体" w:cs="宋体"/>
          <w:spacing w:val="-1"/>
          <w:sz w:val="21"/>
          <w:szCs w:val="21"/>
        </w:rPr>
        <w:t>）我方承诺在合同约定的期限内完成并移交全部合同工程。</w:t>
      </w:r>
    </w:p>
    <w:p w14:paraId="6D51A6B1">
      <w:pPr>
        <w:spacing w:before="176" w:line="310" w:lineRule="auto"/>
        <w:ind w:right="7" w:firstLine="435"/>
        <w:rPr>
          <w:rFonts w:ascii="宋体" w:hAnsi="宋体" w:eastAsia="宋体" w:cs="宋体"/>
          <w:sz w:val="21"/>
          <w:szCs w:val="21"/>
        </w:rPr>
      </w:pPr>
      <w:r>
        <w:rPr>
          <w:rFonts w:ascii="Times New Roman" w:hAnsi="Times New Roman" w:eastAsia="Times New Roman" w:cs="Times New Roman"/>
          <w:spacing w:val="4"/>
          <w:sz w:val="21"/>
          <w:szCs w:val="21"/>
        </w:rPr>
        <w:t>6</w:t>
      </w:r>
      <w:r>
        <w:rPr>
          <w:rFonts w:ascii="宋体" w:hAnsi="宋体" w:eastAsia="宋体" w:cs="宋体"/>
          <w:spacing w:val="4"/>
          <w:sz w:val="21"/>
          <w:szCs w:val="21"/>
        </w:rPr>
        <w:t>．我方在此声明，所递交的投标文件及有关资料内容完整、真实和准确，且不存在第二章</w:t>
      </w:r>
      <w:r>
        <w:rPr>
          <w:rFonts w:ascii="宋体" w:hAnsi="宋体" w:eastAsia="宋体" w:cs="宋体"/>
          <w:spacing w:val="-1"/>
          <w:sz w:val="21"/>
          <w:szCs w:val="21"/>
        </w:rPr>
        <w:t>“投标人须知”第</w:t>
      </w:r>
      <w:r>
        <w:rPr>
          <w:rFonts w:ascii="宋体" w:hAnsi="宋体" w:eastAsia="宋体" w:cs="宋体"/>
          <w:spacing w:val="-20"/>
          <w:sz w:val="21"/>
          <w:szCs w:val="21"/>
        </w:rPr>
        <w:t xml:space="preserve"> </w:t>
      </w:r>
      <w:r>
        <w:rPr>
          <w:rFonts w:ascii="Times New Roman" w:hAnsi="Times New Roman" w:eastAsia="Times New Roman" w:cs="Times New Roman"/>
          <w:spacing w:val="-1"/>
          <w:sz w:val="21"/>
          <w:szCs w:val="21"/>
        </w:rPr>
        <w:t xml:space="preserve">1.4.3 </w:t>
      </w:r>
      <w:r>
        <w:rPr>
          <w:rFonts w:ascii="宋体" w:hAnsi="宋体" w:eastAsia="宋体" w:cs="宋体"/>
          <w:spacing w:val="-1"/>
          <w:sz w:val="21"/>
          <w:szCs w:val="21"/>
        </w:rPr>
        <w:t>项规定的任何一种情形。</w:t>
      </w:r>
    </w:p>
    <w:p w14:paraId="5012E9E4">
      <w:pPr>
        <w:spacing w:before="173" w:line="234" w:lineRule="auto"/>
        <w:ind w:left="433"/>
        <w:rPr>
          <w:rFonts w:ascii="宋体" w:hAnsi="宋体" w:eastAsia="宋体" w:cs="宋体"/>
          <w:sz w:val="21"/>
          <w:szCs w:val="21"/>
        </w:rPr>
      </w:pPr>
      <w:r>
        <w:rPr>
          <w:rFonts w:ascii="Times New Roman" w:hAnsi="Times New Roman" w:eastAsia="Times New Roman" w:cs="Times New Roman"/>
          <w:spacing w:val="-11"/>
          <w:sz w:val="21"/>
          <w:szCs w:val="21"/>
        </w:rPr>
        <w:t>7</w:t>
      </w:r>
      <w:r>
        <w:rPr>
          <w:rFonts w:ascii="宋体" w:hAnsi="宋体" w:eastAsia="宋体" w:cs="宋体"/>
          <w:spacing w:val="-14"/>
          <w:sz w:val="21"/>
          <w:szCs w:val="21"/>
        </w:rPr>
        <w:t>．</w:t>
      </w:r>
      <w:r>
        <w:rPr>
          <w:rFonts w:ascii="宋体" w:hAnsi="宋体" w:eastAsia="宋体" w:cs="宋体"/>
          <w:sz w:val="21"/>
          <w:szCs w:val="21"/>
          <w:u w:val="single" w:color="auto"/>
        </w:rPr>
        <w:t xml:space="preserve">                                       </w:t>
      </w:r>
      <w:r>
        <w:rPr>
          <w:rFonts w:ascii="宋体" w:hAnsi="宋体" w:eastAsia="宋体" w:cs="宋体"/>
          <w:spacing w:val="-14"/>
          <w:sz w:val="21"/>
          <w:szCs w:val="21"/>
        </w:rPr>
        <w:t>（</w:t>
      </w:r>
      <w:r>
        <w:rPr>
          <w:rFonts w:ascii="宋体" w:hAnsi="宋体" w:eastAsia="宋体" w:cs="宋体"/>
          <w:spacing w:val="-11"/>
          <w:sz w:val="21"/>
          <w:szCs w:val="21"/>
        </w:rPr>
        <w:t>其他补充说明）。</w:t>
      </w:r>
    </w:p>
    <w:p w14:paraId="53388F33">
      <w:pPr>
        <w:spacing w:before="174" w:line="220" w:lineRule="auto"/>
        <w:ind w:left="3691"/>
        <w:rPr>
          <w:rFonts w:ascii="宋体" w:hAnsi="宋体" w:eastAsia="宋体" w:cs="宋体"/>
          <w:sz w:val="21"/>
          <w:szCs w:val="21"/>
        </w:rPr>
      </w:pPr>
      <w:r>
        <w:rPr>
          <w:rFonts w:ascii="宋体" w:hAnsi="宋体" w:eastAsia="宋体" w:cs="宋体"/>
          <w:spacing w:val="-2"/>
          <w:sz w:val="21"/>
          <w:szCs w:val="21"/>
        </w:rPr>
        <w:t>投 标</w:t>
      </w:r>
      <w:r>
        <w:rPr>
          <w:rFonts w:ascii="宋体" w:hAnsi="宋体" w:eastAsia="宋体" w:cs="宋体"/>
          <w:spacing w:val="8"/>
          <w:sz w:val="21"/>
          <w:szCs w:val="21"/>
        </w:rPr>
        <w:t xml:space="preserve"> </w:t>
      </w:r>
      <w:r>
        <w:rPr>
          <w:rFonts w:ascii="宋体" w:hAnsi="宋体" w:eastAsia="宋体" w:cs="宋体"/>
          <w:spacing w:val="-2"/>
          <w:sz w:val="21"/>
          <w:szCs w:val="21"/>
        </w:rPr>
        <w:t>人</w:t>
      </w:r>
      <w:r>
        <w:rPr>
          <w:rFonts w:ascii="宋体" w:hAnsi="宋体" w:eastAsia="宋体" w:cs="宋体"/>
          <w:spacing w:val="-3"/>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2"/>
          <w:sz w:val="21"/>
          <w:szCs w:val="21"/>
        </w:rPr>
        <w:t>盖单位章）</w:t>
      </w:r>
    </w:p>
    <w:p w14:paraId="4E74553C">
      <w:pPr>
        <w:spacing w:before="189" w:line="220" w:lineRule="auto"/>
        <w:ind w:left="2429"/>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签章）</w:t>
      </w:r>
    </w:p>
    <w:p w14:paraId="5B520EAF">
      <w:pPr>
        <w:spacing w:before="190" w:line="213" w:lineRule="auto"/>
        <w:ind w:left="3689"/>
        <w:rPr>
          <w:rFonts w:ascii="Times New Roman" w:hAnsi="Times New Roman" w:eastAsia="Times New Roman" w:cs="Times New Roman"/>
          <w:sz w:val="21"/>
          <w:szCs w:val="21"/>
        </w:rPr>
      </w:pPr>
      <w:r>
        <w:rPr>
          <w:rFonts w:ascii="宋体" w:hAnsi="宋体" w:eastAsia="宋体" w:cs="宋体"/>
          <w:spacing w:val="-1"/>
          <w:sz w:val="21"/>
          <w:szCs w:val="21"/>
        </w:rPr>
        <w:t>地址：</w:t>
      </w:r>
      <w:r>
        <w:rPr>
          <w:rFonts w:ascii="Times New Roman" w:hAnsi="Times New Roman" w:eastAsia="Times New Roman" w:cs="Times New Roman"/>
          <w:spacing w:val="-1"/>
          <w:sz w:val="21"/>
          <w:szCs w:val="21"/>
        </w:rPr>
        <w:t>___________________</w:t>
      </w:r>
    </w:p>
    <w:p w14:paraId="08764ACD">
      <w:pPr>
        <w:spacing w:before="200" w:line="213" w:lineRule="auto"/>
        <w:ind w:left="3705"/>
        <w:rPr>
          <w:rFonts w:ascii="Times New Roman" w:hAnsi="Times New Roman" w:eastAsia="Times New Roman" w:cs="Times New Roman"/>
          <w:sz w:val="21"/>
          <w:szCs w:val="21"/>
        </w:rPr>
      </w:pPr>
      <w:r>
        <w:rPr>
          <w:rFonts w:ascii="宋体" w:hAnsi="宋体" w:eastAsia="宋体" w:cs="宋体"/>
          <w:spacing w:val="-1"/>
          <w:sz w:val="21"/>
          <w:szCs w:val="21"/>
        </w:rPr>
        <w:t>网址：</w:t>
      </w:r>
      <w:r>
        <w:rPr>
          <w:rFonts w:ascii="Times New Roman" w:hAnsi="Times New Roman" w:eastAsia="Times New Roman" w:cs="Times New Roman"/>
          <w:spacing w:val="-1"/>
          <w:sz w:val="21"/>
          <w:szCs w:val="21"/>
        </w:rPr>
        <w:t>___________________</w:t>
      </w:r>
    </w:p>
    <w:p w14:paraId="36BEF24D">
      <w:pPr>
        <w:spacing w:before="196" w:line="213" w:lineRule="auto"/>
        <w:ind w:left="3713"/>
        <w:rPr>
          <w:rFonts w:ascii="Times New Roman" w:hAnsi="Times New Roman" w:eastAsia="Times New Roman" w:cs="Times New Roman"/>
          <w:sz w:val="21"/>
          <w:szCs w:val="21"/>
        </w:rPr>
      </w:pPr>
      <w:r>
        <w:rPr>
          <w:rFonts w:ascii="宋体" w:hAnsi="宋体" w:eastAsia="宋体" w:cs="宋体"/>
          <w:spacing w:val="-1"/>
          <w:w w:val="99"/>
          <w:sz w:val="21"/>
          <w:szCs w:val="21"/>
        </w:rPr>
        <w:t>电话：</w:t>
      </w:r>
      <w:r>
        <w:rPr>
          <w:rFonts w:ascii="Times New Roman" w:hAnsi="Times New Roman" w:eastAsia="Times New Roman" w:cs="Times New Roman"/>
          <w:spacing w:val="-1"/>
          <w:w w:val="99"/>
          <w:sz w:val="21"/>
          <w:szCs w:val="21"/>
        </w:rPr>
        <w:t>___________________</w:t>
      </w:r>
    </w:p>
    <w:p w14:paraId="07E9B564">
      <w:pPr>
        <w:spacing w:before="197" w:line="213" w:lineRule="auto"/>
        <w:ind w:left="3687"/>
        <w:rPr>
          <w:rFonts w:ascii="Times New Roman" w:hAnsi="Times New Roman" w:eastAsia="Times New Roman" w:cs="Times New Roman"/>
          <w:sz w:val="21"/>
          <w:szCs w:val="21"/>
        </w:rPr>
      </w:pPr>
      <w:r>
        <w:rPr>
          <w:rFonts w:ascii="宋体" w:hAnsi="宋体" w:eastAsia="宋体" w:cs="宋体"/>
          <w:spacing w:val="-1"/>
          <w:sz w:val="21"/>
          <w:szCs w:val="21"/>
        </w:rPr>
        <w:t>传真：</w:t>
      </w:r>
      <w:r>
        <w:rPr>
          <w:rFonts w:ascii="Times New Roman" w:hAnsi="Times New Roman" w:eastAsia="Times New Roman" w:cs="Times New Roman"/>
          <w:spacing w:val="-1"/>
          <w:sz w:val="21"/>
          <w:szCs w:val="21"/>
        </w:rPr>
        <w:t>___________________</w:t>
      </w:r>
    </w:p>
    <w:p w14:paraId="76AD74A7">
      <w:pPr>
        <w:spacing w:before="200" w:line="213" w:lineRule="auto"/>
        <w:ind w:left="3704"/>
        <w:rPr>
          <w:rFonts w:ascii="Times New Roman" w:hAnsi="Times New Roman" w:eastAsia="Times New Roman" w:cs="Times New Roman"/>
          <w:sz w:val="21"/>
          <w:szCs w:val="21"/>
        </w:rPr>
      </w:pPr>
      <w:r>
        <w:rPr>
          <w:rFonts w:ascii="宋体" w:hAnsi="宋体" w:eastAsia="宋体" w:cs="宋体"/>
          <w:spacing w:val="-1"/>
          <w:sz w:val="21"/>
          <w:szCs w:val="21"/>
        </w:rPr>
        <w:t>邮政编码：</w:t>
      </w:r>
      <w:r>
        <w:rPr>
          <w:rFonts w:ascii="Times New Roman" w:hAnsi="Times New Roman" w:eastAsia="Times New Roman" w:cs="Times New Roman"/>
          <w:spacing w:val="-1"/>
          <w:sz w:val="21"/>
          <w:szCs w:val="21"/>
        </w:rPr>
        <w:t>___________________</w:t>
      </w:r>
    </w:p>
    <w:p w14:paraId="64A438E2">
      <w:pPr>
        <w:spacing w:before="196" w:line="221" w:lineRule="auto"/>
        <w:ind w:left="5898"/>
        <w:rPr>
          <w:rFonts w:ascii="宋体" w:hAnsi="宋体" w:eastAsia="宋体" w:cs="宋体"/>
          <w:sz w:val="21"/>
          <w:szCs w:val="21"/>
        </w:rPr>
      </w:pPr>
      <w:r>
        <w:rPr>
          <w:rFonts w:ascii="宋体" w:hAnsi="宋体" w:eastAsia="宋体" w:cs="宋体"/>
          <w:spacing w:val="-7"/>
          <w:sz w:val="21"/>
          <w:szCs w:val="21"/>
        </w:rPr>
        <w:t>年</w:t>
      </w:r>
      <w:r>
        <w:rPr>
          <w:rFonts w:ascii="宋体" w:hAnsi="宋体" w:eastAsia="宋体" w:cs="宋体"/>
          <w:spacing w:val="1"/>
          <w:sz w:val="21"/>
          <w:szCs w:val="21"/>
        </w:rPr>
        <w:t xml:space="preserve">        </w:t>
      </w:r>
      <w:r>
        <w:rPr>
          <w:rFonts w:ascii="宋体" w:hAnsi="宋体" w:eastAsia="宋体" w:cs="宋体"/>
          <w:spacing w:val="-7"/>
          <w:sz w:val="21"/>
          <w:szCs w:val="21"/>
        </w:rPr>
        <w:t>月</w:t>
      </w:r>
      <w:r>
        <w:rPr>
          <w:rFonts w:ascii="宋体" w:hAnsi="宋体" w:eastAsia="宋体" w:cs="宋体"/>
          <w:spacing w:val="5"/>
          <w:sz w:val="21"/>
          <w:szCs w:val="21"/>
        </w:rPr>
        <w:t xml:space="preserve">        </w:t>
      </w:r>
      <w:r>
        <w:rPr>
          <w:rFonts w:ascii="宋体" w:hAnsi="宋体" w:eastAsia="宋体" w:cs="宋体"/>
          <w:spacing w:val="-7"/>
          <w:sz w:val="21"/>
          <w:szCs w:val="21"/>
        </w:rPr>
        <w:t>日</w:t>
      </w:r>
    </w:p>
    <w:p w14:paraId="292B59A8">
      <w:pPr>
        <w:spacing w:line="221" w:lineRule="auto"/>
        <w:rPr>
          <w:rFonts w:ascii="宋体" w:hAnsi="宋体" w:eastAsia="宋体" w:cs="宋体"/>
          <w:sz w:val="21"/>
          <w:szCs w:val="21"/>
        </w:rPr>
        <w:sectPr>
          <w:footerReference r:id="rId190" w:type="default"/>
          <w:pgSz w:w="11905" w:h="16843"/>
          <w:pgMar w:top="969" w:right="1355" w:bottom="1026" w:left="1480" w:header="0" w:footer="754" w:gutter="0"/>
          <w:cols w:space="0" w:num="1"/>
          <w:rtlGutter w:val="0"/>
          <w:docGrid w:linePitch="0" w:charSpace="0"/>
        </w:sectPr>
      </w:pPr>
    </w:p>
    <w:p w14:paraId="7A049072">
      <w:pPr>
        <w:pStyle w:val="5"/>
        <w:spacing w:line="256" w:lineRule="auto"/>
      </w:pPr>
    </w:p>
    <w:p w14:paraId="3AB916C2">
      <w:pPr>
        <w:pStyle w:val="5"/>
        <w:spacing w:line="256" w:lineRule="auto"/>
      </w:pPr>
    </w:p>
    <w:p w14:paraId="04203CED">
      <w:pPr>
        <w:pStyle w:val="5"/>
        <w:spacing w:line="256" w:lineRule="auto"/>
      </w:pPr>
    </w:p>
    <w:p w14:paraId="5A3968DF">
      <w:pPr>
        <w:pStyle w:val="5"/>
        <w:spacing w:line="256" w:lineRule="auto"/>
      </w:pPr>
    </w:p>
    <w:p w14:paraId="659D1047">
      <w:pPr>
        <w:pStyle w:val="5"/>
        <w:spacing w:line="257" w:lineRule="auto"/>
      </w:pPr>
    </w:p>
    <w:p w14:paraId="6718AAC3">
      <w:pPr>
        <w:spacing w:before="91" w:line="219" w:lineRule="auto"/>
        <w:ind w:left="3352"/>
        <w:outlineLvl w:val="2"/>
        <w:rPr>
          <w:rFonts w:ascii="黑体" w:hAnsi="黑体" w:eastAsia="黑体" w:cs="黑体"/>
          <w:sz w:val="28"/>
          <w:szCs w:val="28"/>
        </w:rPr>
      </w:pPr>
      <w:bookmarkStart w:id="1352" w:name="bookmark656"/>
      <w:bookmarkEnd w:id="1352"/>
      <w:bookmarkStart w:id="1353" w:name="bookmark434"/>
      <w:bookmarkEnd w:id="1353"/>
      <w:r>
        <w:rPr>
          <w:rFonts w:ascii="黑体" w:hAnsi="黑体" w:eastAsia="黑体" w:cs="黑体"/>
          <w:spacing w:val="-4"/>
          <w:sz w:val="28"/>
          <w:szCs w:val="28"/>
        </w:rPr>
        <w:t>（二）投标函附录</w:t>
      </w:r>
    </w:p>
    <w:p w14:paraId="4A4421A5">
      <w:pPr>
        <w:spacing w:before="291" w:line="221" w:lineRule="auto"/>
        <w:rPr>
          <w:rFonts w:ascii="宋体" w:hAnsi="宋体" w:eastAsia="宋体" w:cs="宋体"/>
          <w:sz w:val="21"/>
          <w:szCs w:val="21"/>
        </w:rPr>
      </w:pPr>
      <w:r>
        <w:rPr>
          <w:rFonts w:ascii="宋体" w:hAnsi="宋体" w:eastAsia="宋体" w:cs="宋体"/>
          <w:b/>
          <w:bCs/>
          <w:spacing w:val="-11"/>
          <w:sz w:val="21"/>
          <w:szCs w:val="21"/>
        </w:rPr>
        <w:t>标段名称：</w:t>
      </w:r>
    </w:p>
    <w:p w14:paraId="77140F41">
      <w:pPr>
        <w:spacing w:before="21"/>
      </w:pPr>
    </w:p>
    <w:tbl>
      <w:tblPr>
        <w:tblStyle w:val="10"/>
        <w:tblW w:w="8955"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399"/>
        <w:gridCol w:w="1312"/>
        <w:gridCol w:w="3788"/>
        <w:gridCol w:w="732"/>
      </w:tblGrid>
      <w:tr w14:paraId="584F0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4" w:type="dxa"/>
            <w:vAlign w:val="top"/>
          </w:tcPr>
          <w:p w14:paraId="381E299B">
            <w:pPr>
              <w:pStyle w:val="11"/>
              <w:spacing w:before="180" w:line="222" w:lineRule="auto"/>
              <w:ind w:left="155"/>
            </w:pPr>
            <w:r>
              <w:rPr>
                <w:spacing w:val="-2"/>
              </w:rPr>
              <w:t>序号</w:t>
            </w:r>
          </w:p>
        </w:tc>
        <w:tc>
          <w:tcPr>
            <w:tcW w:w="2399" w:type="dxa"/>
            <w:vAlign w:val="top"/>
          </w:tcPr>
          <w:p w14:paraId="0EA57741">
            <w:pPr>
              <w:pStyle w:val="11"/>
              <w:spacing w:before="180" w:line="221" w:lineRule="auto"/>
              <w:ind w:left="785"/>
            </w:pPr>
            <w:r>
              <w:rPr>
                <w:spacing w:val="-2"/>
              </w:rPr>
              <w:t>条款内容</w:t>
            </w:r>
          </w:p>
        </w:tc>
        <w:tc>
          <w:tcPr>
            <w:tcW w:w="1312" w:type="dxa"/>
            <w:vAlign w:val="top"/>
          </w:tcPr>
          <w:p w14:paraId="09C39C80">
            <w:pPr>
              <w:pStyle w:val="11"/>
              <w:spacing w:before="180" w:line="221" w:lineRule="auto"/>
              <w:ind w:left="136"/>
            </w:pPr>
            <w:r>
              <w:rPr>
                <w:spacing w:val="-2"/>
              </w:rPr>
              <w:t>合同条款号</w:t>
            </w:r>
          </w:p>
        </w:tc>
        <w:tc>
          <w:tcPr>
            <w:tcW w:w="3788" w:type="dxa"/>
            <w:vAlign w:val="top"/>
          </w:tcPr>
          <w:p w14:paraId="78150C14">
            <w:pPr>
              <w:pStyle w:val="11"/>
              <w:spacing w:before="180" w:line="221" w:lineRule="auto"/>
              <w:ind w:left="1485"/>
            </w:pPr>
            <w:r>
              <w:rPr>
                <w:spacing w:val="-3"/>
              </w:rPr>
              <w:t>约定内容</w:t>
            </w:r>
          </w:p>
        </w:tc>
        <w:tc>
          <w:tcPr>
            <w:tcW w:w="732" w:type="dxa"/>
            <w:vAlign w:val="top"/>
          </w:tcPr>
          <w:p w14:paraId="17CA2C9B">
            <w:pPr>
              <w:pStyle w:val="11"/>
              <w:spacing w:before="180" w:line="222" w:lineRule="auto"/>
              <w:ind w:left="165"/>
            </w:pPr>
            <w:r>
              <w:rPr>
                <w:spacing w:val="-3"/>
              </w:rPr>
              <w:t>备注</w:t>
            </w:r>
          </w:p>
        </w:tc>
      </w:tr>
      <w:tr w14:paraId="4C41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4" w:type="dxa"/>
            <w:vAlign w:val="top"/>
          </w:tcPr>
          <w:p w14:paraId="6F552CE4">
            <w:pPr>
              <w:pStyle w:val="11"/>
              <w:spacing w:before="126" w:line="242" w:lineRule="auto"/>
              <w:ind w:left="330"/>
            </w:pPr>
            <w:r>
              <w:t>1</w:t>
            </w:r>
          </w:p>
        </w:tc>
        <w:tc>
          <w:tcPr>
            <w:tcW w:w="2399" w:type="dxa"/>
            <w:vAlign w:val="top"/>
          </w:tcPr>
          <w:p w14:paraId="6A2987ED">
            <w:pPr>
              <w:pStyle w:val="11"/>
              <w:spacing w:before="126" w:line="221" w:lineRule="auto"/>
              <w:ind w:left="115"/>
            </w:pPr>
            <w:r>
              <w:rPr>
                <w:spacing w:val="-3"/>
              </w:rPr>
              <w:t>项目经理</w:t>
            </w:r>
          </w:p>
        </w:tc>
        <w:tc>
          <w:tcPr>
            <w:tcW w:w="1312" w:type="dxa"/>
            <w:vAlign w:val="top"/>
          </w:tcPr>
          <w:p w14:paraId="75D16B81">
            <w:pPr>
              <w:pStyle w:val="11"/>
              <w:spacing w:before="150"/>
              <w:ind w:left="129"/>
            </w:pPr>
            <w:r>
              <w:rPr>
                <w:spacing w:val="-3"/>
              </w:rPr>
              <w:t>1.1.2.8</w:t>
            </w:r>
          </w:p>
        </w:tc>
        <w:tc>
          <w:tcPr>
            <w:tcW w:w="3788" w:type="dxa"/>
            <w:vAlign w:val="top"/>
          </w:tcPr>
          <w:p w14:paraId="70AA6329">
            <w:pPr>
              <w:pStyle w:val="11"/>
              <w:spacing w:before="125" w:line="221" w:lineRule="auto"/>
              <w:ind w:left="120"/>
            </w:pPr>
            <w:r>
              <w:rPr>
                <w:spacing w:val="-2"/>
              </w:rPr>
              <w:t>（见投标函）</w:t>
            </w:r>
          </w:p>
        </w:tc>
        <w:tc>
          <w:tcPr>
            <w:tcW w:w="732" w:type="dxa"/>
            <w:vAlign w:val="top"/>
          </w:tcPr>
          <w:p w14:paraId="1E081343">
            <w:pPr>
              <w:rPr>
                <w:rFonts w:ascii="Arial"/>
                <w:sz w:val="21"/>
              </w:rPr>
            </w:pPr>
          </w:p>
        </w:tc>
      </w:tr>
      <w:tr w14:paraId="18C64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4" w:type="dxa"/>
            <w:vAlign w:val="top"/>
          </w:tcPr>
          <w:p w14:paraId="3540E892">
            <w:pPr>
              <w:pStyle w:val="11"/>
              <w:spacing w:before="107" w:line="242" w:lineRule="auto"/>
              <w:ind w:left="317"/>
            </w:pPr>
            <w:r>
              <w:t>2</w:t>
            </w:r>
          </w:p>
        </w:tc>
        <w:tc>
          <w:tcPr>
            <w:tcW w:w="2399" w:type="dxa"/>
            <w:vAlign w:val="top"/>
          </w:tcPr>
          <w:p w14:paraId="4519241F">
            <w:pPr>
              <w:pStyle w:val="11"/>
              <w:spacing w:before="107" w:line="221" w:lineRule="auto"/>
              <w:ind w:left="114"/>
            </w:pPr>
            <w:r>
              <w:rPr>
                <w:spacing w:val="-3"/>
              </w:rPr>
              <w:t>工期</w:t>
            </w:r>
          </w:p>
        </w:tc>
        <w:tc>
          <w:tcPr>
            <w:tcW w:w="1312" w:type="dxa"/>
            <w:vAlign w:val="top"/>
          </w:tcPr>
          <w:p w14:paraId="066D24E0">
            <w:pPr>
              <w:pStyle w:val="11"/>
              <w:spacing w:before="131"/>
              <w:ind w:left="129"/>
            </w:pPr>
            <w:r>
              <w:rPr>
                <w:spacing w:val="-3"/>
              </w:rPr>
              <w:t>1.1.4.3</w:t>
            </w:r>
          </w:p>
        </w:tc>
        <w:tc>
          <w:tcPr>
            <w:tcW w:w="3788" w:type="dxa"/>
            <w:vAlign w:val="top"/>
          </w:tcPr>
          <w:p w14:paraId="47F299D9">
            <w:pPr>
              <w:pStyle w:val="11"/>
              <w:spacing w:before="107" w:line="221" w:lineRule="auto"/>
              <w:ind w:left="120"/>
            </w:pPr>
            <w:r>
              <w:rPr>
                <w:spacing w:val="-2"/>
              </w:rPr>
              <w:t>（见投标函）</w:t>
            </w:r>
          </w:p>
        </w:tc>
        <w:tc>
          <w:tcPr>
            <w:tcW w:w="732" w:type="dxa"/>
            <w:vAlign w:val="top"/>
          </w:tcPr>
          <w:p w14:paraId="7B13C5E2">
            <w:pPr>
              <w:rPr>
                <w:rFonts w:ascii="Arial"/>
                <w:sz w:val="21"/>
              </w:rPr>
            </w:pPr>
          </w:p>
        </w:tc>
      </w:tr>
      <w:tr w14:paraId="4B36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24" w:type="dxa"/>
            <w:vAlign w:val="top"/>
          </w:tcPr>
          <w:p w14:paraId="7281E9CD">
            <w:pPr>
              <w:pStyle w:val="11"/>
              <w:spacing w:before="101" w:line="241" w:lineRule="auto"/>
              <w:ind w:left="319"/>
            </w:pPr>
            <w:r>
              <w:t>3</w:t>
            </w:r>
          </w:p>
        </w:tc>
        <w:tc>
          <w:tcPr>
            <w:tcW w:w="2399" w:type="dxa"/>
            <w:vAlign w:val="top"/>
          </w:tcPr>
          <w:p w14:paraId="3B5E839C">
            <w:pPr>
              <w:pStyle w:val="11"/>
              <w:spacing w:before="100" w:line="221" w:lineRule="auto"/>
              <w:ind w:left="111"/>
            </w:pPr>
            <w:r>
              <w:rPr>
                <w:spacing w:val="-1"/>
              </w:rPr>
              <w:t>缺陷责任期</w:t>
            </w:r>
          </w:p>
        </w:tc>
        <w:tc>
          <w:tcPr>
            <w:tcW w:w="1312" w:type="dxa"/>
            <w:vAlign w:val="top"/>
          </w:tcPr>
          <w:p w14:paraId="01C933BB">
            <w:pPr>
              <w:pStyle w:val="11"/>
              <w:spacing w:before="127"/>
              <w:ind w:left="191"/>
            </w:pPr>
            <w:r>
              <w:rPr>
                <w:spacing w:val="-3"/>
              </w:rPr>
              <w:t>1.1.4.4</w:t>
            </w:r>
          </w:p>
        </w:tc>
        <w:tc>
          <w:tcPr>
            <w:tcW w:w="3788" w:type="dxa"/>
            <w:vAlign w:val="top"/>
          </w:tcPr>
          <w:p w14:paraId="58F5F56F">
            <w:pPr>
              <w:rPr>
                <w:rFonts w:ascii="Arial"/>
                <w:sz w:val="21"/>
              </w:rPr>
            </w:pPr>
          </w:p>
        </w:tc>
        <w:tc>
          <w:tcPr>
            <w:tcW w:w="732" w:type="dxa"/>
            <w:vAlign w:val="top"/>
          </w:tcPr>
          <w:p w14:paraId="3EC3C7ED">
            <w:pPr>
              <w:rPr>
                <w:rFonts w:ascii="Arial"/>
                <w:sz w:val="21"/>
              </w:rPr>
            </w:pPr>
          </w:p>
        </w:tc>
      </w:tr>
      <w:tr w14:paraId="53CD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277EEC95">
            <w:pPr>
              <w:pStyle w:val="11"/>
              <w:spacing w:before="178" w:line="242" w:lineRule="auto"/>
              <w:ind w:left="314"/>
            </w:pPr>
            <w:r>
              <w:t>4</w:t>
            </w:r>
          </w:p>
        </w:tc>
        <w:tc>
          <w:tcPr>
            <w:tcW w:w="2399" w:type="dxa"/>
            <w:vAlign w:val="top"/>
          </w:tcPr>
          <w:p w14:paraId="4230FD80">
            <w:pPr>
              <w:pStyle w:val="11"/>
              <w:spacing w:before="42" w:line="228" w:lineRule="auto"/>
              <w:ind w:left="111" w:right="106" w:firstLine="4"/>
            </w:pPr>
            <w:r>
              <w:rPr>
                <w:spacing w:val="7"/>
              </w:rPr>
              <w:t>项目经理每月在施工现</w:t>
            </w:r>
            <w:r>
              <w:rPr>
                <w:spacing w:val="-1"/>
              </w:rPr>
              <w:t>场的时间</w:t>
            </w:r>
          </w:p>
        </w:tc>
        <w:tc>
          <w:tcPr>
            <w:tcW w:w="1312" w:type="dxa"/>
            <w:vAlign w:val="top"/>
          </w:tcPr>
          <w:p w14:paraId="01D01AFC">
            <w:pPr>
              <w:pStyle w:val="11"/>
              <w:spacing w:before="204"/>
              <w:ind w:left="180"/>
            </w:pPr>
            <w:r>
              <w:rPr>
                <w:spacing w:val="-2"/>
              </w:rPr>
              <w:t>3.2.1</w:t>
            </w:r>
          </w:p>
        </w:tc>
        <w:tc>
          <w:tcPr>
            <w:tcW w:w="3788" w:type="dxa"/>
            <w:vAlign w:val="top"/>
          </w:tcPr>
          <w:p w14:paraId="27A86908">
            <w:pPr>
              <w:rPr>
                <w:rFonts w:ascii="Arial"/>
                <w:sz w:val="21"/>
              </w:rPr>
            </w:pPr>
          </w:p>
        </w:tc>
        <w:tc>
          <w:tcPr>
            <w:tcW w:w="732" w:type="dxa"/>
            <w:vAlign w:val="top"/>
          </w:tcPr>
          <w:p w14:paraId="33AB71E8">
            <w:pPr>
              <w:rPr>
                <w:rFonts w:ascii="Arial"/>
                <w:sz w:val="21"/>
              </w:rPr>
            </w:pPr>
          </w:p>
        </w:tc>
      </w:tr>
      <w:tr w14:paraId="58BC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03FA646C">
            <w:pPr>
              <w:pStyle w:val="11"/>
              <w:spacing w:before="180" w:line="241" w:lineRule="auto"/>
              <w:ind w:left="319"/>
            </w:pPr>
            <w:r>
              <w:t>5</w:t>
            </w:r>
          </w:p>
        </w:tc>
        <w:tc>
          <w:tcPr>
            <w:tcW w:w="2399" w:type="dxa"/>
            <w:vAlign w:val="top"/>
          </w:tcPr>
          <w:p w14:paraId="5BE5B98A">
            <w:pPr>
              <w:pStyle w:val="11"/>
              <w:spacing w:before="44" w:line="227" w:lineRule="auto"/>
              <w:ind w:left="113" w:right="106" w:firstLine="1"/>
            </w:pPr>
            <w:r>
              <w:rPr>
                <w:spacing w:val="7"/>
              </w:rPr>
              <w:t>项目经理擅自离开施工</w:t>
            </w:r>
            <w:r>
              <w:rPr>
                <w:spacing w:val="-1"/>
              </w:rPr>
              <w:t>现场的违约责任</w:t>
            </w:r>
          </w:p>
        </w:tc>
        <w:tc>
          <w:tcPr>
            <w:tcW w:w="1312" w:type="dxa"/>
            <w:vAlign w:val="top"/>
          </w:tcPr>
          <w:p w14:paraId="6B150F23">
            <w:pPr>
              <w:pStyle w:val="11"/>
              <w:spacing w:before="204"/>
              <w:ind w:left="180"/>
            </w:pPr>
            <w:r>
              <w:rPr>
                <w:spacing w:val="-2"/>
              </w:rPr>
              <w:t>3.2.1</w:t>
            </w:r>
          </w:p>
        </w:tc>
        <w:tc>
          <w:tcPr>
            <w:tcW w:w="3788" w:type="dxa"/>
            <w:vAlign w:val="top"/>
          </w:tcPr>
          <w:p w14:paraId="7FA03E85">
            <w:pPr>
              <w:rPr>
                <w:rFonts w:ascii="Arial"/>
                <w:sz w:val="21"/>
              </w:rPr>
            </w:pPr>
          </w:p>
        </w:tc>
        <w:tc>
          <w:tcPr>
            <w:tcW w:w="732" w:type="dxa"/>
            <w:vAlign w:val="top"/>
          </w:tcPr>
          <w:p w14:paraId="14E8577E">
            <w:pPr>
              <w:rPr>
                <w:rFonts w:ascii="Arial"/>
                <w:sz w:val="21"/>
              </w:rPr>
            </w:pPr>
          </w:p>
        </w:tc>
      </w:tr>
      <w:tr w14:paraId="34B9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24" w:type="dxa"/>
            <w:vAlign w:val="top"/>
          </w:tcPr>
          <w:p w14:paraId="748C39AB">
            <w:pPr>
              <w:pStyle w:val="11"/>
              <w:spacing w:before="180" w:line="241" w:lineRule="auto"/>
              <w:ind w:left="316"/>
            </w:pPr>
            <w:r>
              <w:t>6</w:t>
            </w:r>
          </w:p>
        </w:tc>
        <w:tc>
          <w:tcPr>
            <w:tcW w:w="2399" w:type="dxa"/>
            <w:vAlign w:val="top"/>
          </w:tcPr>
          <w:p w14:paraId="4E10E4F7">
            <w:pPr>
              <w:pStyle w:val="11"/>
              <w:spacing w:before="44" w:line="228" w:lineRule="auto"/>
              <w:ind w:left="116" w:right="106" w:hanging="4"/>
            </w:pPr>
            <w:r>
              <w:rPr>
                <w:spacing w:val="7"/>
              </w:rPr>
              <w:t>擅自更换项目经理的违</w:t>
            </w:r>
            <w:r>
              <w:rPr>
                <w:spacing w:val="-3"/>
              </w:rPr>
              <w:t>约责任</w:t>
            </w:r>
          </w:p>
        </w:tc>
        <w:tc>
          <w:tcPr>
            <w:tcW w:w="1312" w:type="dxa"/>
            <w:vAlign w:val="top"/>
          </w:tcPr>
          <w:p w14:paraId="779409E7">
            <w:pPr>
              <w:pStyle w:val="11"/>
              <w:spacing w:before="206"/>
              <w:ind w:left="180"/>
            </w:pPr>
            <w:r>
              <w:rPr>
                <w:spacing w:val="-2"/>
              </w:rPr>
              <w:t>3.2.3</w:t>
            </w:r>
          </w:p>
        </w:tc>
        <w:tc>
          <w:tcPr>
            <w:tcW w:w="3788" w:type="dxa"/>
            <w:vAlign w:val="top"/>
          </w:tcPr>
          <w:p w14:paraId="33E35656">
            <w:pPr>
              <w:rPr>
                <w:rFonts w:ascii="Arial"/>
                <w:sz w:val="21"/>
              </w:rPr>
            </w:pPr>
          </w:p>
        </w:tc>
        <w:tc>
          <w:tcPr>
            <w:tcW w:w="732" w:type="dxa"/>
            <w:vAlign w:val="top"/>
          </w:tcPr>
          <w:p w14:paraId="3112ABDE">
            <w:pPr>
              <w:rPr>
                <w:rFonts w:ascii="Arial"/>
                <w:sz w:val="21"/>
              </w:rPr>
            </w:pPr>
          </w:p>
        </w:tc>
      </w:tr>
      <w:tr w14:paraId="45AAC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0530926A">
            <w:pPr>
              <w:pStyle w:val="11"/>
              <w:spacing w:before="178" w:line="241" w:lineRule="auto"/>
              <w:ind w:left="320"/>
            </w:pPr>
            <w:r>
              <w:t>7</w:t>
            </w:r>
          </w:p>
        </w:tc>
        <w:tc>
          <w:tcPr>
            <w:tcW w:w="2399" w:type="dxa"/>
            <w:vAlign w:val="top"/>
          </w:tcPr>
          <w:p w14:paraId="14C8E0EB">
            <w:pPr>
              <w:pStyle w:val="11"/>
              <w:spacing w:before="44" w:line="227" w:lineRule="auto"/>
              <w:ind w:left="151" w:right="106" w:hanging="38"/>
            </w:pPr>
            <w:r>
              <w:rPr>
                <w:spacing w:val="7"/>
              </w:rPr>
              <w:t>无正当理由拒绝更换项</w:t>
            </w:r>
            <w:r>
              <w:rPr>
                <w:spacing w:val="-6"/>
              </w:rPr>
              <w:t>目经理的违约责任</w:t>
            </w:r>
          </w:p>
        </w:tc>
        <w:tc>
          <w:tcPr>
            <w:tcW w:w="1312" w:type="dxa"/>
            <w:vAlign w:val="top"/>
          </w:tcPr>
          <w:p w14:paraId="76263C17">
            <w:pPr>
              <w:pStyle w:val="11"/>
              <w:spacing w:before="204"/>
              <w:ind w:left="180"/>
            </w:pPr>
            <w:r>
              <w:rPr>
                <w:spacing w:val="-2"/>
              </w:rPr>
              <w:t>3.2.4</w:t>
            </w:r>
          </w:p>
        </w:tc>
        <w:tc>
          <w:tcPr>
            <w:tcW w:w="3788" w:type="dxa"/>
            <w:vAlign w:val="top"/>
          </w:tcPr>
          <w:p w14:paraId="4A4BE82B">
            <w:pPr>
              <w:rPr>
                <w:rFonts w:ascii="Arial"/>
                <w:sz w:val="21"/>
              </w:rPr>
            </w:pPr>
          </w:p>
        </w:tc>
        <w:tc>
          <w:tcPr>
            <w:tcW w:w="732" w:type="dxa"/>
            <w:vAlign w:val="top"/>
          </w:tcPr>
          <w:p w14:paraId="504A2A0E">
            <w:pPr>
              <w:rPr>
                <w:rFonts w:ascii="Arial"/>
                <w:sz w:val="21"/>
              </w:rPr>
            </w:pPr>
          </w:p>
        </w:tc>
      </w:tr>
      <w:tr w14:paraId="2B36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4" w:type="dxa"/>
            <w:vAlign w:val="top"/>
          </w:tcPr>
          <w:p w14:paraId="797FD021">
            <w:pPr>
              <w:pStyle w:val="11"/>
              <w:spacing w:before="86" w:line="241" w:lineRule="auto"/>
              <w:ind w:left="316"/>
            </w:pPr>
            <w:r>
              <w:t>8</w:t>
            </w:r>
          </w:p>
        </w:tc>
        <w:tc>
          <w:tcPr>
            <w:tcW w:w="2399" w:type="dxa"/>
            <w:vAlign w:val="top"/>
          </w:tcPr>
          <w:p w14:paraId="158FF70B">
            <w:pPr>
              <w:pStyle w:val="11"/>
              <w:spacing w:before="86" w:line="221" w:lineRule="auto"/>
              <w:ind w:left="111"/>
            </w:pPr>
            <w:r>
              <w:rPr>
                <w:spacing w:val="-1"/>
              </w:rPr>
              <w:t>承包人履约担保金额</w:t>
            </w:r>
          </w:p>
        </w:tc>
        <w:tc>
          <w:tcPr>
            <w:tcW w:w="1312" w:type="dxa"/>
            <w:vAlign w:val="top"/>
          </w:tcPr>
          <w:p w14:paraId="536BDB9D">
            <w:pPr>
              <w:pStyle w:val="11"/>
              <w:spacing w:before="87"/>
              <w:ind w:left="180"/>
            </w:pPr>
            <w:r>
              <w:rPr>
                <w:spacing w:val="-3"/>
              </w:rPr>
              <w:t>3.7</w:t>
            </w:r>
          </w:p>
        </w:tc>
        <w:tc>
          <w:tcPr>
            <w:tcW w:w="3788" w:type="dxa"/>
            <w:vAlign w:val="top"/>
          </w:tcPr>
          <w:p w14:paraId="3A876092">
            <w:pPr>
              <w:rPr>
                <w:rFonts w:ascii="Arial"/>
                <w:sz w:val="21"/>
              </w:rPr>
            </w:pPr>
          </w:p>
        </w:tc>
        <w:tc>
          <w:tcPr>
            <w:tcW w:w="732" w:type="dxa"/>
            <w:vAlign w:val="top"/>
          </w:tcPr>
          <w:p w14:paraId="00409847">
            <w:pPr>
              <w:rPr>
                <w:rFonts w:ascii="Arial"/>
                <w:sz w:val="21"/>
              </w:rPr>
            </w:pPr>
          </w:p>
        </w:tc>
      </w:tr>
      <w:tr w14:paraId="3745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24" w:type="dxa"/>
            <w:vAlign w:val="top"/>
          </w:tcPr>
          <w:p w14:paraId="7E2318AA">
            <w:pPr>
              <w:pStyle w:val="11"/>
              <w:spacing w:before="74" w:line="238" w:lineRule="auto"/>
              <w:ind w:left="316"/>
            </w:pPr>
            <w:r>
              <w:t>9</w:t>
            </w:r>
          </w:p>
        </w:tc>
        <w:tc>
          <w:tcPr>
            <w:tcW w:w="2399" w:type="dxa"/>
            <w:vAlign w:val="top"/>
          </w:tcPr>
          <w:p w14:paraId="2F0C31F4">
            <w:pPr>
              <w:pStyle w:val="11"/>
              <w:spacing w:before="74" w:line="221" w:lineRule="auto"/>
              <w:ind w:left="114"/>
            </w:pPr>
            <w:r>
              <w:rPr>
                <w:spacing w:val="-3"/>
              </w:rPr>
              <w:t>分包</w:t>
            </w:r>
          </w:p>
        </w:tc>
        <w:tc>
          <w:tcPr>
            <w:tcW w:w="1312" w:type="dxa"/>
            <w:vAlign w:val="top"/>
          </w:tcPr>
          <w:p w14:paraId="205FC03F">
            <w:pPr>
              <w:pStyle w:val="11"/>
              <w:spacing w:before="74" w:line="238" w:lineRule="auto"/>
              <w:ind w:left="180"/>
            </w:pPr>
            <w:r>
              <w:rPr>
                <w:spacing w:val="-2"/>
              </w:rPr>
              <w:t>3.5.2</w:t>
            </w:r>
          </w:p>
        </w:tc>
        <w:tc>
          <w:tcPr>
            <w:tcW w:w="3788" w:type="dxa"/>
            <w:vAlign w:val="top"/>
          </w:tcPr>
          <w:p w14:paraId="7F856E99">
            <w:pPr>
              <w:pStyle w:val="11"/>
              <w:spacing w:before="73" w:line="220" w:lineRule="auto"/>
              <w:ind w:left="117"/>
            </w:pPr>
            <w:r>
              <w:rPr>
                <w:spacing w:val="-2"/>
              </w:rPr>
              <w:t>见拟分包计划表</w:t>
            </w:r>
          </w:p>
        </w:tc>
        <w:tc>
          <w:tcPr>
            <w:tcW w:w="732" w:type="dxa"/>
            <w:vAlign w:val="top"/>
          </w:tcPr>
          <w:p w14:paraId="5D2366F7">
            <w:pPr>
              <w:rPr>
                <w:rFonts w:ascii="Arial"/>
                <w:sz w:val="21"/>
              </w:rPr>
            </w:pPr>
          </w:p>
        </w:tc>
      </w:tr>
      <w:tr w14:paraId="3E47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24" w:type="dxa"/>
            <w:vAlign w:val="top"/>
          </w:tcPr>
          <w:p w14:paraId="0F547AA1">
            <w:pPr>
              <w:pStyle w:val="11"/>
              <w:spacing w:before="109" w:line="241" w:lineRule="auto"/>
              <w:ind w:left="278"/>
            </w:pPr>
            <w:r>
              <w:rPr>
                <w:spacing w:val="-6"/>
              </w:rPr>
              <w:t>10</w:t>
            </w:r>
          </w:p>
        </w:tc>
        <w:tc>
          <w:tcPr>
            <w:tcW w:w="2399" w:type="dxa"/>
            <w:vAlign w:val="top"/>
          </w:tcPr>
          <w:p w14:paraId="59F4FB85">
            <w:pPr>
              <w:pStyle w:val="11"/>
              <w:spacing w:before="109" w:line="221" w:lineRule="auto"/>
              <w:ind w:left="110"/>
            </w:pPr>
            <w:r>
              <w:rPr>
                <w:spacing w:val="-1"/>
              </w:rPr>
              <w:t>逾期竣工违约金</w:t>
            </w:r>
          </w:p>
        </w:tc>
        <w:tc>
          <w:tcPr>
            <w:tcW w:w="1312" w:type="dxa"/>
            <w:vAlign w:val="top"/>
          </w:tcPr>
          <w:p w14:paraId="111C31D6">
            <w:pPr>
              <w:pStyle w:val="11"/>
              <w:spacing w:before="109"/>
              <w:ind w:left="181"/>
            </w:pPr>
            <w:r>
              <w:rPr>
                <w:spacing w:val="-2"/>
              </w:rPr>
              <w:t>7.5.2</w:t>
            </w:r>
          </w:p>
        </w:tc>
        <w:tc>
          <w:tcPr>
            <w:tcW w:w="3788" w:type="dxa"/>
            <w:vAlign w:val="top"/>
          </w:tcPr>
          <w:p w14:paraId="40E77A8A">
            <w:pPr>
              <w:pStyle w:val="11"/>
              <w:tabs>
                <w:tab w:val="left" w:pos="1263"/>
              </w:tabs>
              <w:spacing w:before="110" w:line="221" w:lineRule="auto"/>
              <w:ind w:left="106"/>
            </w:pPr>
            <w:r>
              <w:rPr>
                <w:u w:val="single" w:color="auto"/>
              </w:rPr>
              <w:tab/>
            </w:r>
            <w:r>
              <w:rPr>
                <w:spacing w:val="-95"/>
              </w:rPr>
              <w:t xml:space="preserve"> </w:t>
            </w:r>
            <w:r>
              <w:rPr>
                <w:spacing w:val="-3"/>
              </w:rPr>
              <w:t>元/天</w:t>
            </w:r>
          </w:p>
        </w:tc>
        <w:tc>
          <w:tcPr>
            <w:tcW w:w="732" w:type="dxa"/>
            <w:vAlign w:val="top"/>
          </w:tcPr>
          <w:p w14:paraId="557159CB">
            <w:pPr>
              <w:rPr>
                <w:rFonts w:ascii="Arial"/>
                <w:sz w:val="21"/>
              </w:rPr>
            </w:pPr>
          </w:p>
        </w:tc>
      </w:tr>
      <w:tr w14:paraId="7BC77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4" w:type="dxa"/>
            <w:vAlign w:val="top"/>
          </w:tcPr>
          <w:p w14:paraId="198897C0">
            <w:pPr>
              <w:pStyle w:val="11"/>
              <w:spacing w:before="105" w:line="242" w:lineRule="auto"/>
              <w:ind w:left="278"/>
            </w:pPr>
            <w:r>
              <w:rPr>
                <w:spacing w:val="-6"/>
              </w:rPr>
              <w:t>11</w:t>
            </w:r>
          </w:p>
        </w:tc>
        <w:tc>
          <w:tcPr>
            <w:tcW w:w="2399" w:type="dxa"/>
            <w:vAlign w:val="top"/>
          </w:tcPr>
          <w:p w14:paraId="532C6BFF">
            <w:pPr>
              <w:pStyle w:val="11"/>
              <w:spacing w:before="104" w:line="221" w:lineRule="auto"/>
              <w:ind w:left="110"/>
            </w:pPr>
            <w:r>
              <w:rPr>
                <w:spacing w:val="-1"/>
              </w:rPr>
              <w:t>逾期竣工违约金的上限</w:t>
            </w:r>
          </w:p>
        </w:tc>
        <w:tc>
          <w:tcPr>
            <w:tcW w:w="1312" w:type="dxa"/>
            <w:vAlign w:val="top"/>
          </w:tcPr>
          <w:p w14:paraId="4BAA99E4">
            <w:pPr>
              <w:pStyle w:val="11"/>
              <w:spacing w:before="104"/>
              <w:ind w:left="181"/>
            </w:pPr>
            <w:r>
              <w:rPr>
                <w:spacing w:val="-2"/>
              </w:rPr>
              <w:t>7.5.2</w:t>
            </w:r>
          </w:p>
        </w:tc>
        <w:tc>
          <w:tcPr>
            <w:tcW w:w="3788" w:type="dxa"/>
            <w:vAlign w:val="top"/>
          </w:tcPr>
          <w:p w14:paraId="39346026">
            <w:pPr>
              <w:rPr>
                <w:rFonts w:ascii="Arial"/>
                <w:sz w:val="21"/>
              </w:rPr>
            </w:pPr>
          </w:p>
        </w:tc>
        <w:tc>
          <w:tcPr>
            <w:tcW w:w="732" w:type="dxa"/>
            <w:vAlign w:val="top"/>
          </w:tcPr>
          <w:p w14:paraId="5409AE98">
            <w:pPr>
              <w:rPr>
                <w:rFonts w:ascii="Arial"/>
                <w:sz w:val="21"/>
              </w:rPr>
            </w:pPr>
          </w:p>
        </w:tc>
      </w:tr>
      <w:tr w14:paraId="0466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347E3696">
            <w:pPr>
              <w:pStyle w:val="11"/>
              <w:spacing w:before="182" w:line="242" w:lineRule="auto"/>
              <w:ind w:left="278"/>
            </w:pPr>
            <w:r>
              <w:rPr>
                <w:spacing w:val="-6"/>
              </w:rPr>
              <w:t>12</w:t>
            </w:r>
          </w:p>
        </w:tc>
        <w:tc>
          <w:tcPr>
            <w:tcW w:w="2399" w:type="dxa"/>
            <w:vAlign w:val="top"/>
          </w:tcPr>
          <w:p w14:paraId="5BD2A0B7">
            <w:pPr>
              <w:pStyle w:val="11"/>
              <w:spacing w:before="181" w:line="219" w:lineRule="auto"/>
              <w:ind w:left="112"/>
            </w:pPr>
            <w:r>
              <w:rPr>
                <w:spacing w:val="-1"/>
              </w:rPr>
              <w:t>价格调整的差额计算</w:t>
            </w:r>
          </w:p>
        </w:tc>
        <w:tc>
          <w:tcPr>
            <w:tcW w:w="1312" w:type="dxa"/>
            <w:vAlign w:val="top"/>
          </w:tcPr>
          <w:p w14:paraId="0CB5FEB5">
            <w:pPr>
              <w:pStyle w:val="11"/>
              <w:spacing w:before="181"/>
              <w:ind w:left="191"/>
            </w:pPr>
            <w:r>
              <w:rPr>
                <w:spacing w:val="-5"/>
              </w:rPr>
              <w:t>11.1</w:t>
            </w:r>
          </w:p>
        </w:tc>
        <w:tc>
          <w:tcPr>
            <w:tcW w:w="3788" w:type="dxa"/>
            <w:vAlign w:val="top"/>
          </w:tcPr>
          <w:p w14:paraId="108487A2">
            <w:pPr>
              <w:pStyle w:val="11"/>
              <w:spacing w:before="44" w:line="227" w:lineRule="auto"/>
              <w:ind w:left="116" w:right="102" w:hanging="3"/>
            </w:pPr>
            <w:r>
              <w:rPr>
                <w:spacing w:val="-1"/>
              </w:rPr>
              <w:t>采用价格指数进行价格调整时，见价格</w:t>
            </w:r>
            <w:r>
              <w:rPr>
                <w:spacing w:val="-2"/>
              </w:rPr>
              <w:t>指数权重表</w:t>
            </w:r>
          </w:p>
        </w:tc>
        <w:tc>
          <w:tcPr>
            <w:tcW w:w="732" w:type="dxa"/>
            <w:vAlign w:val="top"/>
          </w:tcPr>
          <w:p w14:paraId="269AB08C">
            <w:pPr>
              <w:rPr>
                <w:rFonts w:ascii="Arial"/>
                <w:sz w:val="21"/>
              </w:rPr>
            </w:pPr>
          </w:p>
        </w:tc>
      </w:tr>
      <w:tr w14:paraId="40F7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24" w:type="dxa"/>
            <w:vAlign w:val="top"/>
          </w:tcPr>
          <w:p w14:paraId="763D382F">
            <w:pPr>
              <w:pStyle w:val="11"/>
              <w:spacing w:before="119" w:line="241" w:lineRule="auto"/>
              <w:ind w:left="278"/>
            </w:pPr>
            <w:r>
              <w:rPr>
                <w:spacing w:val="-6"/>
              </w:rPr>
              <w:t>13</w:t>
            </w:r>
          </w:p>
        </w:tc>
        <w:tc>
          <w:tcPr>
            <w:tcW w:w="2399" w:type="dxa"/>
            <w:vAlign w:val="top"/>
          </w:tcPr>
          <w:p w14:paraId="00C53E9F">
            <w:pPr>
              <w:pStyle w:val="11"/>
              <w:spacing w:before="118" w:line="221" w:lineRule="auto"/>
              <w:ind w:left="113"/>
            </w:pPr>
            <w:r>
              <w:rPr>
                <w:spacing w:val="-1"/>
              </w:rPr>
              <w:t>预付款支付比例或金额</w:t>
            </w:r>
          </w:p>
        </w:tc>
        <w:tc>
          <w:tcPr>
            <w:tcW w:w="1312" w:type="dxa"/>
            <w:vAlign w:val="top"/>
          </w:tcPr>
          <w:p w14:paraId="156BD90D">
            <w:pPr>
              <w:pStyle w:val="11"/>
              <w:spacing w:before="119"/>
              <w:ind w:left="191"/>
            </w:pPr>
            <w:r>
              <w:rPr>
                <w:spacing w:val="-3"/>
              </w:rPr>
              <w:t>12.2.1</w:t>
            </w:r>
          </w:p>
        </w:tc>
        <w:tc>
          <w:tcPr>
            <w:tcW w:w="3788" w:type="dxa"/>
            <w:vAlign w:val="top"/>
          </w:tcPr>
          <w:p w14:paraId="61290C6B">
            <w:pPr>
              <w:rPr>
                <w:rFonts w:ascii="Arial"/>
                <w:sz w:val="21"/>
              </w:rPr>
            </w:pPr>
          </w:p>
        </w:tc>
        <w:tc>
          <w:tcPr>
            <w:tcW w:w="732" w:type="dxa"/>
            <w:vAlign w:val="top"/>
          </w:tcPr>
          <w:p w14:paraId="76A30E85">
            <w:pPr>
              <w:rPr>
                <w:rFonts w:ascii="Arial"/>
                <w:sz w:val="21"/>
              </w:rPr>
            </w:pPr>
          </w:p>
        </w:tc>
      </w:tr>
      <w:tr w14:paraId="63C1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24" w:type="dxa"/>
            <w:vAlign w:val="top"/>
          </w:tcPr>
          <w:p w14:paraId="00B2BF6C">
            <w:pPr>
              <w:pStyle w:val="11"/>
              <w:spacing w:before="153" w:line="242" w:lineRule="auto"/>
              <w:ind w:left="278"/>
            </w:pPr>
            <w:r>
              <w:rPr>
                <w:spacing w:val="-6"/>
              </w:rPr>
              <w:t>14</w:t>
            </w:r>
          </w:p>
        </w:tc>
        <w:tc>
          <w:tcPr>
            <w:tcW w:w="2399" w:type="dxa"/>
            <w:vAlign w:val="top"/>
          </w:tcPr>
          <w:p w14:paraId="386D2AC7">
            <w:pPr>
              <w:pStyle w:val="11"/>
              <w:spacing w:before="117" w:line="221" w:lineRule="auto"/>
              <w:ind w:left="112"/>
            </w:pPr>
            <w:r>
              <w:rPr>
                <w:spacing w:val="-1"/>
              </w:rPr>
              <w:t>质量保证金额度</w:t>
            </w:r>
          </w:p>
        </w:tc>
        <w:tc>
          <w:tcPr>
            <w:tcW w:w="1312" w:type="dxa"/>
            <w:vAlign w:val="top"/>
          </w:tcPr>
          <w:p w14:paraId="3BB61835">
            <w:pPr>
              <w:pStyle w:val="11"/>
              <w:spacing w:before="117"/>
              <w:ind w:left="191"/>
            </w:pPr>
            <w:r>
              <w:rPr>
                <w:spacing w:val="-3"/>
              </w:rPr>
              <w:t>15.3.1</w:t>
            </w:r>
          </w:p>
        </w:tc>
        <w:tc>
          <w:tcPr>
            <w:tcW w:w="3788" w:type="dxa"/>
            <w:vAlign w:val="top"/>
          </w:tcPr>
          <w:p w14:paraId="53E420C1">
            <w:pPr>
              <w:rPr>
                <w:rFonts w:ascii="Arial"/>
                <w:sz w:val="21"/>
              </w:rPr>
            </w:pPr>
          </w:p>
        </w:tc>
        <w:tc>
          <w:tcPr>
            <w:tcW w:w="732" w:type="dxa"/>
            <w:vAlign w:val="top"/>
          </w:tcPr>
          <w:p w14:paraId="25AE186A">
            <w:pPr>
              <w:rPr>
                <w:rFonts w:ascii="Arial"/>
                <w:sz w:val="21"/>
              </w:rPr>
            </w:pPr>
          </w:p>
        </w:tc>
      </w:tr>
      <w:tr w14:paraId="5098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24" w:type="dxa"/>
            <w:vAlign w:val="top"/>
          </w:tcPr>
          <w:p w14:paraId="78EB8D0D">
            <w:pPr>
              <w:pStyle w:val="11"/>
              <w:spacing w:before="105" w:line="241" w:lineRule="auto"/>
              <w:ind w:left="278"/>
            </w:pPr>
            <w:r>
              <w:rPr>
                <w:spacing w:val="-6"/>
              </w:rPr>
              <w:t>15</w:t>
            </w:r>
          </w:p>
        </w:tc>
        <w:tc>
          <w:tcPr>
            <w:tcW w:w="2399" w:type="dxa"/>
            <w:vAlign w:val="top"/>
          </w:tcPr>
          <w:p w14:paraId="39B80B59">
            <w:pPr>
              <w:pStyle w:val="11"/>
              <w:spacing w:before="106" w:line="221" w:lineRule="auto"/>
              <w:ind w:left="112"/>
            </w:pPr>
            <w:r>
              <w:rPr>
                <w:spacing w:val="-1"/>
              </w:rPr>
              <w:t>质量保证金的扣留方式</w:t>
            </w:r>
          </w:p>
        </w:tc>
        <w:tc>
          <w:tcPr>
            <w:tcW w:w="1312" w:type="dxa"/>
            <w:vAlign w:val="top"/>
          </w:tcPr>
          <w:p w14:paraId="6D598379">
            <w:pPr>
              <w:pStyle w:val="11"/>
              <w:spacing w:before="106"/>
              <w:ind w:left="191"/>
            </w:pPr>
            <w:r>
              <w:rPr>
                <w:spacing w:val="-3"/>
              </w:rPr>
              <w:t>15.3.2</w:t>
            </w:r>
          </w:p>
        </w:tc>
        <w:tc>
          <w:tcPr>
            <w:tcW w:w="3788" w:type="dxa"/>
            <w:vAlign w:val="top"/>
          </w:tcPr>
          <w:p w14:paraId="6855D41D">
            <w:pPr>
              <w:rPr>
                <w:rFonts w:ascii="Arial"/>
                <w:sz w:val="21"/>
              </w:rPr>
            </w:pPr>
          </w:p>
        </w:tc>
        <w:tc>
          <w:tcPr>
            <w:tcW w:w="732" w:type="dxa"/>
            <w:vAlign w:val="top"/>
          </w:tcPr>
          <w:p w14:paraId="28584519">
            <w:pPr>
              <w:rPr>
                <w:rFonts w:ascii="Arial"/>
                <w:sz w:val="21"/>
              </w:rPr>
            </w:pPr>
          </w:p>
        </w:tc>
      </w:tr>
      <w:tr w14:paraId="0A0BB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24" w:type="dxa"/>
            <w:vAlign w:val="top"/>
          </w:tcPr>
          <w:p w14:paraId="4524D645">
            <w:pPr>
              <w:pStyle w:val="11"/>
              <w:spacing w:before="200" w:line="241" w:lineRule="auto"/>
              <w:ind w:left="278"/>
            </w:pPr>
            <w:r>
              <w:rPr>
                <w:spacing w:val="-6"/>
              </w:rPr>
              <w:t>16</w:t>
            </w:r>
          </w:p>
        </w:tc>
        <w:tc>
          <w:tcPr>
            <w:tcW w:w="2399" w:type="dxa"/>
            <w:vAlign w:val="top"/>
          </w:tcPr>
          <w:p w14:paraId="4B3D896A">
            <w:pPr>
              <w:pStyle w:val="11"/>
              <w:spacing w:before="199" w:line="221" w:lineRule="auto"/>
              <w:ind w:left="112"/>
            </w:pPr>
            <w:r>
              <w:rPr>
                <w:spacing w:val="-1"/>
              </w:rPr>
              <w:t>技术标准和要求</w:t>
            </w:r>
          </w:p>
        </w:tc>
        <w:tc>
          <w:tcPr>
            <w:tcW w:w="1312" w:type="dxa"/>
            <w:vAlign w:val="top"/>
          </w:tcPr>
          <w:p w14:paraId="1C18416B">
            <w:pPr>
              <w:rPr>
                <w:rFonts w:ascii="Arial"/>
                <w:sz w:val="21"/>
              </w:rPr>
            </w:pPr>
          </w:p>
        </w:tc>
        <w:tc>
          <w:tcPr>
            <w:tcW w:w="3788" w:type="dxa"/>
            <w:vAlign w:val="top"/>
          </w:tcPr>
          <w:p w14:paraId="4F499627">
            <w:pPr>
              <w:pStyle w:val="11"/>
              <w:spacing w:before="200" w:line="220" w:lineRule="auto"/>
              <w:ind w:left="116"/>
            </w:pPr>
            <w:r>
              <w:rPr>
                <w:spacing w:val="-1"/>
              </w:rPr>
              <w:t>符合第七章“技术标准和要求”规定</w:t>
            </w:r>
          </w:p>
        </w:tc>
        <w:tc>
          <w:tcPr>
            <w:tcW w:w="732" w:type="dxa"/>
            <w:vAlign w:val="top"/>
          </w:tcPr>
          <w:p w14:paraId="5D91B649">
            <w:pPr>
              <w:rPr>
                <w:rFonts w:ascii="Arial"/>
                <w:sz w:val="21"/>
              </w:rPr>
            </w:pPr>
          </w:p>
        </w:tc>
      </w:tr>
      <w:tr w14:paraId="53BA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955" w:type="dxa"/>
            <w:gridSpan w:val="5"/>
            <w:vAlign w:val="top"/>
          </w:tcPr>
          <w:p w14:paraId="4FA26972">
            <w:pPr>
              <w:pStyle w:val="11"/>
              <w:spacing w:before="118"/>
              <w:ind w:left="133" w:right="112" w:hanging="17"/>
            </w:pPr>
            <w:r>
              <w:rPr>
                <w:rFonts w:ascii="黑体" w:hAnsi="黑体" w:eastAsia="黑体" w:cs="黑体"/>
                <w:spacing w:val="3"/>
              </w:rPr>
              <w:t>备注：</w:t>
            </w:r>
            <w:r>
              <w:rPr>
                <w:spacing w:val="3"/>
              </w:rPr>
              <w:t>投标人在响应招标文件中规定的实质性要求和条件的基础</w:t>
            </w:r>
            <w:r>
              <w:rPr>
                <w:spacing w:val="2"/>
              </w:rPr>
              <w:t>上，可做出其他有利于招标人</w:t>
            </w:r>
            <w:r>
              <w:rPr>
                <w:spacing w:val="-2"/>
              </w:rPr>
              <w:t>的承诺。此类承诺可在本表中予以补充填写。</w:t>
            </w:r>
          </w:p>
        </w:tc>
      </w:tr>
    </w:tbl>
    <w:p w14:paraId="0CA6FB52">
      <w:pPr>
        <w:pStyle w:val="5"/>
        <w:spacing w:line="270" w:lineRule="auto"/>
      </w:pPr>
    </w:p>
    <w:p w14:paraId="62FC5DEE">
      <w:pPr>
        <w:pStyle w:val="5"/>
        <w:spacing w:line="271" w:lineRule="auto"/>
      </w:pPr>
    </w:p>
    <w:p w14:paraId="79977359">
      <w:pPr>
        <w:spacing w:before="68" w:line="220" w:lineRule="auto"/>
        <w:ind w:left="3676"/>
        <w:rPr>
          <w:rFonts w:ascii="宋体" w:hAnsi="宋体" w:eastAsia="宋体" w:cs="宋体"/>
          <w:sz w:val="21"/>
          <w:szCs w:val="21"/>
        </w:rPr>
      </w:pPr>
      <w:r>
        <w:rPr>
          <w:rFonts w:ascii="宋体" w:hAnsi="宋体" w:eastAsia="宋体" w:cs="宋体"/>
          <w:spacing w:val="-2"/>
          <w:sz w:val="21"/>
          <w:szCs w:val="21"/>
        </w:rPr>
        <w:t>投 标</w:t>
      </w:r>
      <w:r>
        <w:rPr>
          <w:rFonts w:ascii="宋体" w:hAnsi="宋体" w:eastAsia="宋体" w:cs="宋体"/>
          <w:spacing w:val="8"/>
          <w:sz w:val="21"/>
          <w:szCs w:val="21"/>
        </w:rPr>
        <w:t xml:space="preserve"> </w:t>
      </w:r>
      <w:r>
        <w:rPr>
          <w:rFonts w:ascii="宋体" w:hAnsi="宋体" w:eastAsia="宋体" w:cs="宋体"/>
          <w:spacing w:val="-2"/>
          <w:sz w:val="21"/>
          <w:szCs w:val="21"/>
        </w:rPr>
        <w:t>人</w:t>
      </w:r>
      <w:r>
        <w:rPr>
          <w:rFonts w:ascii="宋体" w:hAnsi="宋体" w:eastAsia="宋体" w:cs="宋体"/>
          <w:spacing w:val="-3"/>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2"/>
          <w:sz w:val="21"/>
          <w:szCs w:val="21"/>
        </w:rPr>
        <w:t>盖单位章）</w:t>
      </w:r>
    </w:p>
    <w:p w14:paraId="26D1F41E">
      <w:pPr>
        <w:spacing w:before="189" w:line="220" w:lineRule="auto"/>
        <w:ind w:left="2414"/>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签章）</w:t>
      </w:r>
    </w:p>
    <w:p w14:paraId="4AD0E2AB">
      <w:pPr>
        <w:tabs>
          <w:tab w:val="left" w:pos="5977"/>
        </w:tabs>
        <w:spacing w:before="188" w:line="221" w:lineRule="auto"/>
        <w:ind w:left="503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4E63300B">
      <w:pPr>
        <w:spacing w:line="221" w:lineRule="auto"/>
        <w:rPr>
          <w:rFonts w:ascii="宋体" w:hAnsi="宋体" w:eastAsia="宋体" w:cs="宋体"/>
          <w:sz w:val="21"/>
          <w:szCs w:val="21"/>
        </w:rPr>
        <w:sectPr>
          <w:footerReference r:id="rId191" w:type="default"/>
          <w:pgSz w:w="11905" w:h="16843"/>
          <w:pgMar w:top="969" w:right="1355" w:bottom="1026" w:left="1480" w:header="0" w:footer="754" w:gutter="0"/>
          <w:cols w:space="0" w:num="1"/>
          <w:rtlGutter w:val="0"/>
          <w:docGrid w:linePitch="0" w:charSpace="0"/>
        </w:sectPr>
      </w:pPr>
    </w:p>
    <w:p w14:paraId="58D637D4">
      <w:pPr>
        <w:pStyle w:val="5"/>
        <w:spacing w:line="256" w:lineRule="auto"/>
      </w:pPr>
    </w:p>
    <w:p w14:paraId="2476E43D">
      <w:pPr>
        <w:pStyle w:val="5"/>
        <w:spacing w:line="256" w:lineRule="auto"/>
      </w:pPr>
    </w:p>
    <w:p w14:paraId="06ACAD71">
      <w:pPr>
        <w:pStyle w:val="5"/>
        <w:spacing w:line="256" w:lineRule="auto"/>
      </w:pPr>
    </w:p>
    <w:p w14:paraId="0C39B303">
      <w:pPr>
        <w:pStyle w:val="5"/>
        <w:spacing w:line="256" w:lineRule="auto"/>
      </w:pPr>
    </w:p>
    <w:p w14:paraId="1BFF686D">
      <w:pPr>
        <w:pStyle w:val="5"/>
        <w:spacing w:line="257" w:lineRule="auto"/>
      </w:pPr>
    </w:p>
    <w:p w14:paraId="2C35A25B">
      <w:pPr>
        <w:spacing w:before="91" w:line="220" w:lineRule="auto"/>
        <w:ind w:left="3354"/>
        <w:outlineLvl w:val="2"/>
        <w:rPr>
          <w:rFonts w:ascii="黑体" w:hAnsi="黑体" w:eastAsia="黑体" w:cs="黑体"/>
          <w:sz w:val="28"/>
          <w:szCs w:val="28"/>
        </w:rPr>
      </w:pPr>
      <w:bookmarkStart w:id="1354" w:name="bookmark657"/>
      <w:bookmarkEnd w:id="1354"/>
      <w:bookmarkStart w:id="1355" w:name="bookmark435"/>
      <w:bookmarkEnd w:id="1355"/>
      <w:r>
        <w:rPr>
          <w:rFonts w:ascii="黑体" w:hAnsi="黑体" w:eastAsia="黑体" w:cs="黑体"/>
          <w:spacing w:val="-4"/>
          <w:sz w:val="28"/>
          <w:szCs w:val="28"/>
        </w:rPr>
        <w:t>（三）告知承诺函</w:t>
      </w:r>
    </w:p>
    <w:p w14:paraId="7711FEAD">
      <w:pPr>
        <w:pStyle w:val="5"/>
        <w:spacing w:line="263" w:lineRule="auto"/>
      </w:pPr>
    </w:p>
    <w:p w14:paraId="5F835027">
      <w:pPr>
        <w:pStyle w:val="5"/>
        <w:spacing w:line="264" w:lineRule="auto"/>
      </w:pPr>
    </w:p>
    <w:p w14:paraId="772CA5BF">
      <w:pPr>
        <w:spacing w:before="68" w:line="387" w:lineRule="auto"/>
        <w:ind w:left="1" w:right="182" w:firstLine="420"/>
        <w:jc w:val="both"/>
        <w:rPr>
          <w:rFonts w:ascii="宋体" w:hAnsi="宋体" w:eastAsia="宋体" w:cs="宋体"/>
          <w:sz w:val="21"/>
          <w:szCs w:val="21"/>
        </w:rPr>
      </w:pPr>
      <w:r>
        <w:rPr>
          <w:rFonts w:ascii="宋体" w:hAnsi="宋体" w:eastAsia="宋体" w:cs="宋体"/>
          <w:spacing w:val="2"/>
          <w:sz w:val="21"/>
          <w:szCs w:val="21"/>
        </w:rPr>
        <w:t>我单位参与</w:t>
      </w:r>
      <w:r>
        <w:rPr>
          <w:rFonts w:ascii="宋体" w:hAnsi="宋体" w:eastAsia="宋体" w:cs="宋体"/>
          <w:spacing w:val="-86"/>
          <w:sz w:val="21"/>
          <w:szCs w:val="21"/>
        </w:rPr>
        <w:t xml:space="preserve"> </w:t>
      </w:r>
      <w:r>
        <w:rPr>
          <w:rFonts w:ascii="宋体" w:hAnsi="宋体" w:eastAsia="宋体" w:cs="宋体"/>
          <w:spacing w:val="2"/>
          <w:sz w:val="21"/>
          <w:szCs w:val="21"/>
          <w:u w:val="single" w:color="auto"/>
        </w:rPr>
        <w:t xml:space="preserve">    （标段名称</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的投标。根据《中华人民共和国招标投标法》等法律法</w:t>
      </w:r>
      <w:r>
        <w:rPr>
          <w:rFonts w:ascii="宋体" w:hAnsi="宋体" w:eastAsia="宋体" w:cs="宋体"/>
          <w:spacing w:val="4"/>
          <w:sz w:val="21"/>
          <w:szCs w:val="21"/>
        </w:rPr>
        <w:t>规的规定，我已知悉本单位相关权利义务，作为法定代表人（</w:t>
      </w:r>
      <w:r>
        <w:rPr>
          <w:rFonts w:ascii="宋体" w:hAnsi="宋体" w:eastAsia="宋体" w:cs="宋体"/>
          <w:spacing w:val="3"/>
          <w:sz w:val="21"/>
          <w:szCs w:val="21"/>
        </w:rPr>
        <w:t>或授权委托人</w:t>
      </w:r>
      <w:r>
        <w:rPr>
          <w:rFonts w:ascii="宋体" w:hAnsi="宋体" w:eastAsia="宋体" w:cs="宋体"/>
          <w:spacing w:val="-43"/>
          <w:sz w:val="21"/>
          <w:szCs w:val="21"/>
        </w:rPr>
        <w:t>），</w:t>
      </w:r>
      <w:r>
        <w:rPr>
          <w:rFonts w:ascii="宋体" w:hAnsi="宋体" w:eastAsia="宋体" w:cs="宋体"/>
          <w:spacing w:val="3"/>
          <w:sz w:val="21"/>
          <w:szCs w:val="21"/>
        </w:rPr>
        <w:t>本人清楚知晓我</w:t>
      </w:r>
      <w:r>
        <w:rPr>
          <w:rFonts w:ascii="宋体" w:hAnsi="宋体" w:eastAsia="宋体" w:cs="宋体"/>
          <w:spacing w:val="-1"/>
          <w:sz w:val="21"/>
          <w:szCs w:val="21"/>
        </w:rPr>
        <w:t>单位在本项目投标活动的情况。本人已详细阅读告知承诺函的内容，并在此郑重承诺：</w:t>
      </w:r>
    </w:p>
    <w:p w14:paraId="08500F2B">
      <w:pPr>
        <w:spacing w:line="219" w:lineRule="auto"/>
        <w:jc w:val="right"/>
        <w:rPr>
          <w:rFonts w:ascii="宋体" w:hAnsi="宋体" w:eastAsia="宋体" w:cs="宋体"/>
          <w:sz w:val="21"/>
          <w:szCs w:val="21"/>
        </w:rPr>
      </w:pPr>
      <w:r>
        <w:rPr>
          <w:rFonts w:ascii="宋体" w:hAnsi="宋体" w:eastAsia="宋体" w:cs="宋体"/>
          <w:spacing w:val="3"/>
          <w:sz w:val="21"/>
          <w:szCs w:val="21"/>
        </w:rPr>
        <w:t>一．我单位和我本人遵循公开、公平、公正、诚实守信的原则，</w:t>
      </w:r>
      <w:r>
        <w:rPr>
          <w:rFonts w:ascii="宋体" w:hAnsi="宋体" w:eastAsia="宋体" w:cs="宋体"/>
          <w:spacing w:val="30"/>
          <w:sz w:val="21"/>
          <w:szCs w:val="21"/>
        </w:rPr>
        <w:t xml:space="preserve"> </w:t>
      </w:r>
      <w:r>
        <w:rPr>
          <w:rFonts w:ascii="宋体" w:hAnsi="宋体" w:eastAsia="宋体" w:cs="宋体"/>
          <w:spacing w:val="3"/>
          <w:sz w:val="21"/>
          <w:szCs w:val="21"/>
        </w:rPr>
        <w:t>依法依规参与</w:t>
      </w:r>
      <w:r>
        <w:rPr>
          <w:rFonts w:ascii="宋体" w:hAnsi="宋体" w:eastAsia="宋体" w:cs="宋体"/>
          <w:spacing w:val="2"/>
          <w:sz w:val="21"/>
          <w:szCs w:val="21"/>
        </w:rPr>
        <w:t>本项目投标。</w:t>
      </w:r>
    </w:p>
    <w:p w14:paraId="7CE229AD">
      <w:pPr>
        <w:spacing w:before="189" w:line="303" w:lineRule="auto"/>
        <w:ind w:left="2" w:right="177" w:firstLine="421"/>
        <w:rPr>
          <w:rFonts w:ascii="宋体" w:hAnsi="宋体" w:eastAsia="宋体" w:cs="宋体"/>
          <w:sz w:val="21"/>
          <w:szCs w:val="21"/>
        </w:rPr>
      </w:pPr>
      <w:r>
        <w:rPr>
          <w:rFonts w:ascii="宋体" w:hAnsi="宋体" w:eastAsia="宋体" w:cs="宋体"/>
          <w:spacing w:val="4"/>
          <w:sz w:val="21"/>
          <w:szCs w:val="21"/>
        </w:rPr>
        <w:t>二．我单位具有参与本次投标的资质和能力，公司运营状况良好</w:t>
      </w:r>
      <w:r>
        <w:rPr>
          <w:rFonts w:ascii="宋体" w:hAnsi="宋体" w:eastAsia="宋体" w:cs="宋体"/>
          <w:spacing w:val="3"/>
          <w:sz w:val="21"/>
          <w:szCs w:val="21"/>
        </w:rPr>
        <w:t>，</w:t>
      </w:r>
      <w:r>
        <w:rPr>
          <w:rFonts w:ascii="宋体" w:hAnsi="宋体" w:eastAsia="宋体" w:cs="宋体"/>
          <w:spacing w:val="32"/>
          <w:sz w:val="21"/>
          <w:szCs w:val="21"/>
        </w:rPr>
        <w:t xml:space="preserve"> </w:t>
      </w:r>
      <w:r>
        <w:rPr>
          <w:rFonts w:ascii="宋体" w:hAnsi="宋体" w:eastAsia="宋体" w:cs="宋体"/>
          <w:spacing w:val="3"/>
          <w:sz w:val="21"/>
          <w:szCs w:val="21"/>
        </w:rPr>
        <w:t>不存在挂靠投标、不受</w:t>
      </w:r>
      <w:r>
        <w:rPr>
          <w:rFonts w:ascii="宋体" w:hAnsi="宋体" w:eastAsia="宋体" w:cs="宋体"/>
          <w:spacing w:val="-1"/>
          <w:sz w:val="21"/>
          <w:szCs w:val="21"/>
        </w:rPr>
        <w:t>让、租借、出租、出借资格或资质证书，无处罚期内的不良行为。</w:t>
      </w:r>
    </w:p>
    <w:p w14:paraId="0E96E7A6">
      <w:pPr>
        <w:spacing w:before="192" w:line="303" w:lineRule="auto"/>
        <w:ind w:left="1" w:right="177" w:firstLine="419"/>
        <w:rPr>
          <w:rFonts w:ascii="宋体" w:hAnsi="宋体" w:eastAsia="宋体" w:cs="宋体"/>
          <w:sz w:val="21"/>
          <w:szCs w:val="21"/>
        </w:rPr>
      </w:pPr>
      <w:r>
        <w:rPr>
          <w:rFonts w:ascii="宋体" w:hAnsi="宋体" w:eastAsia="宋体" w:cs="宋体"/>
          <w:sz w:val="21"/>
          <w:szCs w:val="21"/>
        </w:rPr>
        <w:t>三．我单位在本项目投标过程中从招标公告</w:t>
      </w:r>
      <w:r>
        <w:rPr>
          <w:rFonts w:ascii="Times New Roman" w:hAnsi="Times New Roman" w:eastAsia="Times New Roman" w:cs="Times New Roman"/>
          <w:sz w:val="21"/>
          <w:szCs w:val="21"/>
        </w:rPr>
        <w:t>/</w:t>
      </w:r>
      <w:r>
        <w:rPr>
          <w:rFonts w:ascii="宋体" w:hAnsi="宋体" w:eastAsia="宋体" w:cs="宋体"/>
          <w:sz w:val="21"/>
          <w:szCs w:val="21"/>
        </w:rPr>
        <w:t>投标邀请书列明的渠道获取招标文件，没有通过</w:t>
      </w:r>
      <w:r>
        <w:rPr>
          <w:rFonts w:ascii="宋体" w:hAnsi="宋体" w:eastAsia="宋体" w:cs="宋体"/>
          <w:spacing w:val="-2"/>
          <w:sz w:val="21"/>
          <w:szCs w:val="21"/>
        </w:rPr>
        <w:t>其他不正当渠道获取招标文件。</w:t>
      </w:r>
    </w:p>
    <w:p w14:paraId="6D7BCDC8">
      <w:pPr>
        <w:spacing w:before="189" w:line="304" w:lineRule="auto"/>
        <w:ind w:left="4" w:right="182" w:firstLine="436"/>
        <w:rPr>
          <w:rFonts w:ascii="宋体" w:hAnsi="宋体" w:eastAsia="宋体" w:cs="宋体"/>
          <w:sz w:val="21"/>
          <w:szCs w:val="21"/>
        </w:rPr>
      </w:pPr>
      <w:r>
        <w:rPr>
          <w:rFonts w:ascii="宋体" w:hAnsi="宋体" w:eastAsia="宋体" w:cs="宋体"/>
          <w:spacing w:val="1"/>
          <w:sz w:val="21"/>
          <w:szCs w:val="21"/>
        </w:rPr>
        <w:t>四．我单位承诺投标文件由本单位员工独立编制，严格遵守保密义务。所提供的一切投标相</w:t>
      </w:r>
      <w:r>
        <w:rPr>
          <w:rFonts w:ascii="宋体" w:hAnsi="宋体" w:eastAsia="宋体" w:cs="宋体"/>
          <w:spacing w:val="-1"/>
          <w:sz w:val="21"/>
          <w:szCs w:val="21"/>
        </w:rPr>
        <w:t>关材料都是真实、有效、合法的。</w:t>
      </w:r>
    </w:p>
    <w:p w14:paraId="09666F13">
      <w:pPr>
        <w:spacing w:before="188" w:line="304" w:lineRule="auto"/>
        <w:ind w:left="1" w:right="182" w:firstLine="422"/>
        <w:rPr>
          <w:rFonts w:ascii="宋体" w:hAnsi="宋体" w:eastAsia="宋体" w:cs="宋体"/>
          <w:sz w:val="21"/>
          <w:szCs w:val="21"/>
        </w:rPr>
      </w:pPr>
      <w:r>
        <w:rPr>
          <w:rFonts w:ascii="宋体" w:hAnsi="宋体" w:eastAsia="宋体" w:cs="宋体"/>
          <w:spacing w:val="2"/>
          <w:sz w:val="21"/>
          <w:szCs w:val="21"/>
        </w:rPr>
        <w:t>五．我单位不与其他投标人相互串通投标报价，不恶意压低或</w:t>
      </w:r>
      <w:r>
        <w:rPr>
          <w:rFonts w:ascii="宋体" w:hAnsi="宋体" w:eastAsia="宋体" w:cs="宋体"/>
          <w:spacing w:val="1"/>
          <w:sz w:val="21"/>
          <w:szCs w:val="21"/>
        </w:rPr>
        <w:t>抬高投标报价，不排挤其他投</w:t>
      </w:r>
      <w:r>
        <w:rPr>
          <w:rFonts w:ascii="宋体" w:hAnsi="宋体" w:eastAsia="宋体" w:cs="宋体"/>
          <w:sz w:val="21"/>
          <w:szCs w:val="21"/>
        </w:rPr>
        <w:t>标人的公平竞争，不损害招标人或其他投标人的合</w:t>
      </w:r>
      <w:r>
        <w:rPr>
          <w:rFonts w:ascii="宋体" w:hAnsi="宋体" w:eastAsia="宋体" w:cs="宋体"/>
          <w:spacing w:val="-1"/>
          <w:sz w:val="21"/>
          <w:szCs w:val="21"/>
        </w:rPr>
        <w:t>法权益。</w:t>
      </w:r>
    </w:p>
    <w:p w14:paraId="118D171B">
      <w:pPr>
        <w:spacing w:before="191" w:line="304" w:lineRule="auto"/>
        <w:ind w:left="1" w:right="182" w:firstLine="420"/>
        <w:rPr>
          <w:rFonts w:ascii="Times New Roman" w:hAnsi="Times New Roman" w:eastAsia="Times New Roman" w:cs="Times New Roman"/>
          <w:sz w:val="21"/>
          <w:szCs w:val="21"/>
        </w:rPr>
      </w:pPr>
      <w:r>
        <w:rPr>
          <w:rFonts w:ascii="宋体" w:hAnsi="宋体" w:eastAsia="宋体" w:cs="宋体"/>
          <w:spacing w:val="2"/>
          <w:sz w:val="21"/>
          <w:szCs w:val="21"/>
        </w:rPr>
        <w:t>六．我单位不与招标人或招标代理机构串通投标，损害国家利益</w:t>
      </w:r>
      <w:r>
        <w:rPr>
          <w:rFonts w:ascii="宋体" w:hAnsi="宋体" w:eastAsia="宋体" w:cs="宋体"/>
          <w:spacing w:val="1"/>
          <w:sz w:val="21"/>
          <w:szCs w:val="21"/>
        </w:rPr>
        <w:t>、社会公共利益或者他人的</w:t>
      </w:r>
      <w:r>
        <w:rPr>
          <w:rFonts w:ascii="宋体" w:hAnsi="宋体" w:eastAsia="宋体" w:cs="宋体"/>
          <w:spacing w:val="-2"/>
          <w:sz w:val="21"/>
          <w:szCs w:val="21"/>
        </w:rPr>
        <w:t>合法权益</w:t>
      </w:r>
      <w:r>
        <w:rPr>
          <w:rFonts w:ascii="Times New Roman" w:hAnsi="Times New Roman" w:eastAsia="Times New Roman" w:cs="Times New Roman"/>
          <w:spacing w:val="-2"/>
          <w:sz w:val="21"/>
          <w:szCs w:val="21"/>
        </w:rPr>
        <w:t>;</w:t>
      </w:r>
    </w:p>
    <w:p w14:paraId="3A2BB1AA">
      <w:pPr>
        <w:spacing w:before="186" w:line="220" w:lineRule="auto"/>
        <w:jc w:val="right"/>
        <w:rPr>
          <w:rFonts w:ascii="宋体" w:hAnsi="宋体" w:eastAsia="宋体" w:cs="宋体"/>
          <w:sz w:val="21"/>
          <w:szCs w:val="21"/>
        </w:rPr>
      </w:pPr>
      <w:r>
        <w:rPr>
          <w:rFonts w:ascii="宋体" w:hAnsi="宋体" w:eastAsia="宋体" w:cs="宋体"/>
          <w:spacing w:val="1"/>
          <w:sz w:val="21"/>
          <w:szCs w:val="21"/>
        </w:rPr>
        <w:t>七．我单位不向招标人或者评标委员会成员行贿以牟取中标，不在开标后进行虚假恶意投诉。</w:t>
      </w:r>
    </w:p>
    <w:p w14:paraId="26194191">
      <w:pPr>
        <w:spacing w:before="190" w:line="346" w:lineRule="auto"/>
        <w:ind w:left="3" w:right="180" w:firstLine="420"/>
        <w:rPr>
          <w:rFonts w:ascii="宋体" w:hAnsi="宋体" w:eastAsia="宋体" w:cs="宋体"/>
          <w:sz w:val="21"/>
          <w:szCs w:val="21"/>
        </w:rPr>
      </w:pPr>
      <w:r>
        <w:rPr>
          <w:rFonts w:ascii="宋体" w:hAnsi="宋体" w:eastAsia="宋体" w:cs="宋体"/>
          <w:spacing w:val="2"/>
          <w:sz w:val="21"/>
          <w:szCs w:val="21"/>
        </w:rPr>
        <w:t>八．我单位和我个人清楚并知晓《中华人民共和国刑法》第二</w:t>
      </w:r>
      <w:r>
        <w:rPr>
          <w:rFonts w:ascii="宋体" w:hAnsi="宋体" w:eastAsia="宋体" w:cs="宋体"/>
          <w:spacing w:val="1"/>
          <w:sz w:val="21"/>
          <w:szCs w:val="21"/>
        </w:rPr>
        <w:t>百二十三条“投标人相互串通</w:t>
      </w:r>
      <w:r>
        <w:rPr>
          <w:rFonts w:ascii="宋体" w:hAnsi="宋体" w:eastAsia="宋体" w:cs="宋体"/>
          <w:spacing w:val="2"/>
          <w:sz w:val="21"/>
          <w:szCs w:val="21"/>
        </w:rPr>
        <w:t>投标报价，损害招标人或者其他投标人利益，情节严重的，处三</w:t>
      </w:r>
      <w:r>
        <w:rPr>
          <w:rFonts w:ascii="宋体" w:hAnsi="宋体" w:eastAsia="宋体" w:cs="宋体"/>
          <w:spacing w:val="1"/>
          <w:sz w:val="21"/>
          <w:szCs w:val="21"/>
        </w:rPr>
        <w:t>年以下有期徒刑或者拘役，并处</w:t>
      </w:r>
      <w:r>
        <w:rPr>
          <w:rFonts w:ascii="宋体" w:hAnsi="宋体" w:eastAsia="宋体" w:cs="宋体"/>
          <w:spacing w:val="2"/>
          <w:sz w:val="21"/>
          <w:szCs w:val="21"/>
        </w:rPr>
        <w:t>或者单处罚金。投标人与招标人串通投标，损害国家、集体、公</w:t>
      </w:r>
      <w:r>
        <w:rPr>
          <w:rFonts w:ascii="宋体" w:hAnsi="宋体" w:eastAsia="宋体" w:cs="宋体"/>
          <w:spacing w:val="1"/>
          <w:sz w:val="21"/>
          <w:szCs w:val="21"/>
        </w:rPr>
        <w:t>民的合法利益的，依照前款的规</w:t>
      </w:r>
      <w:r>
        <w:rPr>
          <w:rFonts w:ascii="宋体" w:hAnsi="宋体" w:eastAsia="宋体" w:cs="宋体"/>
          <w:spacing w:val="-1"/>
          <w:sz w:val="21"/>
          <w:szCs w:val="21"/>
        </w:rPr>
        <w:t>定处罚”的规定。</w:t>
      </w:r>
    </w:p>
    <w:p w14:paraId="460BA1A0">
      <w:pPr>
        <w:spacing w:before="187" w:line="303" w:lineRule="auto"/>
        <w:ind w:right="182" w:firstLine="425"/>
        <w:rPr>
          <w:rFonts w:ascii="宋体" w:hAnsi="宋体" w:eastAsia="宋体" w:cs="宋体"/>
          <w:sz w:val="21"/>
          <w:szCs w:val="21"/>
        </w:rPr>
      </w:pPr>
      <w:r>
        <w:rPr>
          <w:rFonts w:ascii="宋体" w:hAnsi="宋体" w:eastAsia="宋体" w:cs="宋体"/>
          <w:spacing w:val="2"/>
          <w:sz w:val="21"/>
          <w:szCs w:val="21"/>
        </w:rPr>
        <w:t>九．我单位如在本项目招标投标活动评标工作中存在串通</w:t>
      </w:r>
      <w:r>
        <w:rPr>
          <w:rFonts w:ascii="宋体" w:hAnsi="宋体" w:eastAsia="宋体" w:cs="宋体"/>
          <w:spacing w:val="1"/>
          <w:sz w:val="21"/>
          <w:szCs w:val="21"/>
        </w:rPr>
        <w:t>投标、弄虚作假等行为的，本单位</w:t>
      </w:r>
      <w:r>
        <w:rPr>
          <w:rFonts w:ascii="宋体" w:hAnsi="宋体" w:eastAsia="宋体" w:cs="宋体"/>
          <w:spacing w:val="-1"/>
          <w:sz w:val="21"/>
          <w:szCs w:val="21"/>
        </w:rPr>
        <w:t>及本人自愿承担法律责任，接受相应刑事、纪律和行政处罚以及失信惩戒。</w:t>
      </w:r>
    </w:p>
    <w:p w14:paraId="14ABFEA0">
      <w:pPr>
        <w:spacing w:before="191" w:line="220" w:lineRule="auto"/>
        <w:ind w:left="421"/>
        <w:rPr>
          <w:rFonts w:ascii="宋体" w:hAnsi="宋体" w:eastAsia="宋体" w:cs="宋体"/>
          <w:sz w:val="21"/>
          <w:szCs w:val="21"/>
        </w:rPr>
      </w:pPr>
      <w:r>
        <w:rPr>
          <w:rFonts w:ascii="宋体" w:hAnsi="宋体" w:eastAsia="宋体" w:cs="宋体"/>
          <w:sz w:val="21"/>
          <w:szCs w:val="21"/>
        </w:rPr>
        <w:t>十．本承诺函由我单位盖章及法定代表人（授权委托人）本人亲自盖章或签字确</w:t>
      </w:r>
      <w:r>
        <w:rPr>
          <w:rFonts w:ascii="宋体" w:hAnsi="宋体" w:eastAsia="宋体" w:cs="宋体"/>
          <w:spacing w:val="-1"/>
          <w:sz w:val="21"/>
          <w:szCs w:val="21"/>
        </w:rPr>
        <w:t>认。</w:t>
      </w:r>
    </w:p>
    <w:p w14:paraId="28665621">
      <w:pPr>
        <w:pStyle w:val="5"/>
        <w:spacing w:line="278" w:lineRule="auto"/>
      </w:pPr>
    </w:p>
    <w:p w14:paraId="1775BC40">
      <w:pPr>
        <w:pStyle w:val="5"/>
        <w:spacing w:line="278" w:lineRule="auto"/>
      </w:pPr>
    </w:p>
    <w:p w14:paraId="13B124E9">
      <w:pPr>
        <w:spacing w:before="69" w:line="220" w:lineRule="auto"/>
        <w:ind w:left="5147"/>
        <w:rPr>
          <w:rFonts w:ascii="宋体" w:hAnsi="宋体" w:eastAsia="宋体" w:cs="宋体"/>
          <w:sz w:val="21"/>
          <w:szCs w:val="21"/>
        </w:rPr>
      </w:pPr>
      <w:r>
        <w:rPr>
          <w:rFonts w:ascii="宋体" w:hAnsi="宋体" w:eastAsia="宋体" w:cs="宋体"/>
          <w:spacing w:val="-7"/>
          <w:sz w:val="21"/>
          <w:szCs w:val="21"/>
        </w:rPr>
        <w:t>承诺单位</w:t>
      </w:r>
      <w:r>
        <w:rPr>
          <w:rFonts w:ascii="宋体" w:hAnsi="宋体" w:eastAsia="宋体" w:cs="宋体"/>
          <w:spacing w:val="-28"/>
          <w:sz w:val="21"/>
          <w:szCs w:val="21"/>
        </w:rPr>
        <w:t>：（</w:t>
      </w:r>
      <w:r>
        <w:rPr>
          <w:rFonts w:ascii="宋体" w:hAnsi="宋体" w:eastAsia="宋体" w:cs="宋体"/>
          <w:spacing w:val="-7"/>
          <w:sz w:val="21"/>
          <w:szCs w:val="21"/>
        </w:rPr>
        <w:t>盖单位章）</w:t>
      </w:r>
    </w:p>
    <w:p w14:paraId="345FAFED">
      <w:pPr>
        <w:spacing w:before="191" w:line="220" w:lineRule="auto"/>
        <w:ind w:left="4096"/>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50"/>
          <w:w w:val="90"/>
          <w:sz w:val="21"/>
          <w:szCs w:val="21"/>
        </w:rPr>
        <w:t>：（</w:t>
      </w:r>
      <w:r>
        <w:rPr>
          <w:rFonts w:ascii="宋体" w:hAnsi="宋体" w:eastAsia="宋体" w:cs="宋体"/>
          <w:spacing w:val="1"/>
          <w:sz w:val="21"/>
          <w:szCs w:val="21"/>
        </w:rPr>
        <w:t>签章）</w:t>
      </w:r>
    </w:p>
    <w:p w14:paraId="6EB37E7E">
      <w:pPr>
        <w:spacing w:before="190" w:line="221" w:lineRule="auto"/>
        <w:ind w:left="4662"/>
        <w:rPr>
          <w:rFonts w:ascii="宋体" w:hAnsi="宋体" w:eastAsia="宋体" w:cs="宋体"/>
          <w:sz w:val="21"/>
          <w:szCs w:val="21"/>
        </w:rPr>
      </w:pPr>
      <w:r>
        <w:rPr>
          <w:rFonts w:ascii="宋体" w:hAnsi="宋体" w:eastAsia="宋体" w:cs="宋体"/>
          <w:spacing w:val="-2"/>
          <w:sz w:val="21"/>
          <w:szCs w:val="21"/>
        </w:rPr>
        <w:t>承诺时间：   年</w:t>
      </w:r>
      <w:r>
        <w:rPr>
          <w:rFonts w:ascii="宋体" w:hAnsi="宋体" w:eastAsia="宋体" w:cs="宋体"/>
          <w:spacing w:val="2"/>
          <w:sz w:val="21"/>
          <w:szCs w:val="21"/>
        </w:rPr>
        <w:t xml:space="preserve">        </w:t>
      </w:r>
      <w:r>
        <w:rPr>
          <w:rFonts w:ascii="宋体" w:hAnsi="宋体" w:eastAsia="宋体" w:cs="宋体"/>
          <w:spacing w:val="-2"/>
          <w:sz w:val="21"/>
          <w:szCs w:val="21"/>
        </w:rPr>
        <w:t>月</w:t>
      </w:r>
      <w:r>
        <w:rPr>
          <w:rFonts w:ascii="宋体" w:hAnsi="宋体" w:eastAsia="宋体" w:cs="宋体"/>
          <w:spacing w:val="6"/>
          <w:sz w:val="21"/>
          <w:szCs w:val="21"/>
        </w:rPr>
        <w:t xml:space="preserve">      </w:t>
      </w:r>
      <w:r>
        <w:rPr>
          <w:rFonts w:ascii="宋体" w:hAnsi="宋体" w:eastAsia="宋体" w:cs="宋体"/>
          <w:spacing w:val="-2"/>
          <w:sz w:val="21"/>
          <w:szCs w:val="21"/>
        </w:rPr>
        <w:t>日</w:t>
      </w:r>
    </w:p>
    <w:p w14:paraId="2205A4A3">
      <w:pPr>
        <w:spacing w:line="221" w:lineRule="auto"/>
        <w:rPr>
          <w:rFonts w:ascii="宋体" w:hAnsi="宋体" w:eastAsia="宋体" w:cs="宋体"/>
          <w:sz w:val="21"/>
          <w:szCs w:val="21"/>
        </w:rPr>
        <w:sectPr>
          <w:footerReference r:id="rId192" w:type="default"/>
          <w:pgSz w:w="11905" w:h="16843"/>
          <w:pgMar w:top="969" w:right="1355" w:bottom="1026" w:left="1480" w:header="0" w:footer="754" w:gutter="0"/>
          <w:cols w:space="0" w:num="1"/>
          <w:rtlGutter w:val="0"/>
          <w:docGrid w:linePitch="0" w:charSpace="0"/>
        </w:sectPr>
      </w:pPr>
    </w:p>
    <w:p w14:paraId="2E8E944A">
      <w:pPr>
        <w:pStyle w:val="5"/>
        <w:spacing w:line="256" w:lineRule="auto"/>
      </w:pPr>
    </w:p>
    <w:p w14:paraId="0139673A">
      <w:pPr>
        <w:pStyle w:val="5"/>
        <w:spacing w:line="256" w:lineRule="auto"/>
      </w:pPr>
    </w:p>
    <w:p w14:paraId="7C8DADB4">
      <w:pPr>
        <w:pStyle w:val="5"/>
        <w:spacing w:line="256" w:lineRule="auto"/>
      </w:pPr>
    </w:p>
    <w:p w14:paraId="5670102E">
      <w:pPr>
        <w:pStyle w:val="5"/>
        <w:spacing w:line="256" w:lineRule="auto"/>
      </w:pPr>
    </w:p>
    <w:p w14:paraId="0B8FAB49">
      <w:pPr>
        <w:pStyle w:val="5"/>
        <w:spacing w:line="256" w:lineRule="auto"/>
      </w:pPr>
    </w:p>
    <w:p w14:paraId="27EF1E19">
      <w:pPr>
        <w:spacing w:before="91" w:line="219" w:lineRule="auto"/>
        <w:ind w:left="3631"/>
        <w:outlineLvl w:val="2"/>
        <w:rPr>
          <w:rFonts w:ascii="黑体" w:hAnsi="黑体" w:eastAsia="黑体" w:cs="黑体"/>
          <w:sz w:val="28"/>
          <w:szCs w:val="28"/>
        </w:rPr>
      </w:pPr>
      <w:bookmarkStart w:id="1356" w:name="bookmark436"/>
      <w:bookmarkEnd w:id="1356"/>
      <w:bookmarkStart w:id="1357" w:name="bookmark658"/>
      <w:bookmarkEnd w:id="1357"/>
      <w:r>
        <w:rPr>
          <w:rFonts w:ascii="黑体" w:hAnsi="黑体" w:eastAsia="黑体" w:cs="黑体"/>
          <w:spacing w:val="-9"/>
          <w:sz w:val="28"/>
          <w:szCs w:val="28"/>
        </w:rPr>
        <w:t>（四）声明函</w:t>
      </w:r>
    </w:p>
    <w:p w14:paraId="62D4D94D">
      <w:pPr>
        <w:pStyle w:val="5"/>
        <w:spacing w:line="265" w:lineRule="auto"/>
      </w:pPr>
    </w:p>
    <w:p w14:paraId="1E1FC676">
      <w:pPr>
        <w:pStyle w:val="5"/>
        <w:spacing w:line="265" w:lineRule="auto"/>
      </w:pPr>
    </w:p>
    <w:p w14:paraId="78EB257E">
      <w:pPr>
        <w:spacing w:before="68" w:line="220" w:lineRule="auto"/>
        <w:ind w:left="419"/>
        <w:rPr>
          <w:rFonts w:ascii="宋体" w:hAnsi="宋体" w:eastAsia="宋体" w:cs="宋体"/>
          <w:sz w:val="21"/>
          <w:szCs w:val="21"/>
        </w:rPr>
      </w:pPr>
      <w:r>
        <w:rPr>
          <w:rFonts w:ascii="宋体" w:hAnsi="宋体" w:eastAsia="宋体" w:cs="宋体"/>
          <w:spacing w:val="-2"/>
          <w:sz w:val="21"/>
          <w:szCs w:val="21"/>
        </w:rPr>
        <w:t>在本项目编制投标文件过程中，我单位声明如下：</w:t>
      </w:r>
    </w:p>
    <w:p w14:paraId="6C7E950A">
      <w:pPr>
        <w:spacing w:before="188" w:line="220" w:lineRule="auto"/>
        <w:ind w:left="423"/>
        <w:rPr>
          <w:rFonts w:ascii="宋体" w:hAnsi="宋体" w:eastAsia="宋体" w:cs="宋体"/>
          <w:sz w:val="21"/>
          <w:szCs w:val="21"/>
        </w:rPr>
      </w:pPr>
      <w:r>
        <w:rPr>
          <w:rFonts w:ascii="宋体" w:hAnsi="宋体" w:eastAsia="宋体" w:cs="宋体"/>
          <w:spacing w:val="-1"/>
          <w:sz w:val="21"/>
          <w:szCs w:val="21"/>
        </w:rPr>
        <w:t>一、未与本标段其他投标人委托同一单位或同一人编制投标文</w:t>
      </w:r>
      <w:r>
        <w:rPr>
          <w:rFonts w:ascii="宋体" w:hAnsi="宋体" w:eastAsia="宋体" w:cs="宋体"/>
          <w:spacing w:val="-2"/>
          <w:sz w:val="21"/>
          <w:szCs w:val="21"/>
        </w:rPr>
        <w:t>件；</w:t>
      </w:r>
    </w:p>
    <w:p w14:paraId="7999D686">
      <w:pPr>
        <w:spacing w:before="189" w:line="219" w:lineRule="auto"/>
        <w:ind w:left="423"/>
        <w:rPr>
          <w:rFonts w:ascii="宋体" w:hAnsi="宋体" w:eastAsia="宋体" w:cs="宋体"/>
          <w:sz w:val="21"/>
          <w:szCs w:val="21"/>
        </w:rPr>
      </w:pPr>
      <w:r>
        <w:rPr>
          <w:rFonts w:ascii="宋体" w:hAnsi="宋体" w:eastAsia="宋体" w:cs="宋体"/>
          <w:spacing w:val="-1"/>
          <w:sz w:val="21"/>
          <w:szCs w:val="21"/>
        </w:rPr>
        <w:t>二、未与本标段其他投标人协商投标报价；</w:t>
      </w:r>
    </w:p>
    <w:p w14:paraId="337A9F4C">
      <w:pPr>
        <w:spacing w:before="192" w:line="220" w:lineRule="auto"/>
        <w:ind w:left="420"/>
        <w:rPr>
          <w:rFonts w:ascii="宋体" w:hAnsi="宋体" w:eastAsia="宋体" w:cs="宋体"/>
          <w:sz w:val="21"/>
          <w:szCs w:val="21"/>
        </w:rPr>
      </w:pPr>
      <w:r>
        <w:rPr>
          <w:rFonts w:ascii="宋体" w:hAnsi="宋体" w:eastAsia="宋体" w:cs="宋体"/>
          <w:sz w:val="21"/>
          <w:szCs w:val="21"/>
        </w:rPr>
        <w:t>三、未与本标段其他投标人使用同一电脑等电子设备编制投标</w:t>
      </w:r>
      <w:r>
        <w:rPr>
          <w:rFonts w:ascii="宋体" w:hAnsi="宋体" w:eastAsia="宋体" w:cs="宋体"/>
          <w:spacing w:val="-1"/>
          <w:sz w:val="21"/>
          <w:szCs w:val="21"/>
        </w:rPr>
        <w:t>文件；</w:t>
      </w:r>
    </w:p>
    <w:p w14:paraId="2151C126">
      <w:pPr>
        <w:spacing w:before="189" w:line="220" w:lineRule="auto"/>
        <w:ind w:left="439"/>
        <w:rPr>
          <w:rFonts w:ascii="宋体" w:hAnsi="宋体" w:eastAsia="宋体" w:cs="宋体"/>
          <w:sz w:val="21"/>
          <w:szCs w:val="21"/>
        </w:rPr>
      </w:pPr>
      <w:r>
        <w:rPr>
          <w:rFonts w:ascii="宋体" w:hAnsi="宋体" w:eastAsia="宋体" w:cs="宋体"/>
          <w:spacing w:val="-1"/>
          <w:sz w:val="21"/>
          <w:szCs w:val="21"/>
        </w:rPr>
        <w:t>四、未使用“网络虚拟设备”等无法识别电子设备归属的电脑编制投标文件；</w:t>
      </w:r>
    </w:p>
    <w:p w14:paraId="04102D99">
      <w:pPr>
        <w:spacing w:before="188" w:line="332" w:lineRule="auto"/>
        <w:ind w:left="1" w:right="164" w:firstLine="421"/>
        <w:rPr>
          <w:rFonts w:ascii="宋体" w:hAnsi="宋体" w:eastAsia="宋体" w:cs="宋体"/>
          <w:sz w:val="21"/>
          <w:szCs w:val="21"/>
        </w:rPr>
      </w:pPr>
      <w:r>
        <w:rPr>
          <w:rFonts w:ascii="宋体" w:hAnsi="宋体" w:eastAsia="宋体" w:cs="宋体"/>
          <w:spacing w:val="2"/>
          <w:sz w:val="21"/>
          <w:szCs w:val="21"/>
        </w:rPr>
        <w:t>五、本项目技术标（施工组织设计）是针对本项目现场实际、技术特</w:t>
      </w:r>
      <w:r>
        <w:rPr>
          <w:rFonts w:ascii="宋体" w:hAnsi="宋体" w:eastAsia="宋体" w:cs="宋体"/>
          <w:spacing w:val="1"/>
          <w:sz w:val="21"/>
          <w:szCs w:val="21"/>
        </w:rPr>
        <w:t>点以及施工图纸而</w:t>
      </w:r>
      <w:r>
        <w:rPr>
          <w:rFonts w:ascii="宋体" w:hAnsi="宋体" w:eastAsia="宋体" w:cs="宋体"/>
          <w:spacing w:val="2"/>
          <w:sz w:val="21"/>
          <w:szCs w:val="21"/>
        </w:rPr>
        <w:t>编制的相应的技术方案，在编制过程中未抄袭、摘抄网络或其他</w:t>
      </w:r>
      <w:r>
        <w:rPr>
          <w:rFonts w:ascii="宋体" w:hAnsi="宋体" w:eastAsia="宋体" w:cs="宋体"/>
          <w:spacing w:val="1"/>
          <w:sz w:val="21"/>
          <w:szCs w:val="21"/>
        </w:rPr>
        <w:t>项目相关技术资料，对文件</w:t>
      </w:r>
      <w:r>
        <w:rPr>
          <w:rFonts w:ascii="宋体" w:hAnsi="宋体" w:eastAsia="宋体" w:cs="宋体"/>
          <w:spacing w:val="-3"/>
          <w:sz w:val="21"/>
          <w:szCs w:val="21"/>
        </w:rPr>
        <w:t>内容具有独立自主知识产权；</w:t>
      </w:r>
    </w:p>
    <w:p w14:paraId="2683236F">
      <w:pPr>
        <w:spacing w:before="188" w:line="304" w:lineRule="auto"/>
        <w:ind w:left="23" w:right="164" w:firstLine="397"/>
        <w:rPr>
          <w:rFonts w:ascii="宋体" w:hAnsi="宋体" w:eastAsia="宋体" w:cs="宋体"/>
          <w:sz w:val="21"/>
          <w:szCs w:val="21"/>
        </w:rPr>
      </w:pPr>
      <w:r>
        <w:rPr>
          <w:rFonts w:ascii="宋体" w:hAnsi="宋体" w:eastAsia="宋体" w:cs="宋体"/>
          <w:spacing w:val="2"/>
          <w:sz w:val="21"/>
          <w:szCs w:val="21"/>
        </w:rPr>
        <w:t>六、本项目经济标（投标报价）是依据本项目给定的图纸、工程量清单、</w:t>
      </w:r>
      <w:r>
        <w:rPr>
          <w:rFonts w:ascii="宋体" w:hAnsi="宋体" w:eastAsia="宋体" w:cs="宋体"/>
          <w:spacing w:val="1"/>
          <w:sz w:val="21"/>
          <w:szCs w:val="21"/>
        </w:rPr>
        <w:t>最高投标限价</w:t>
      </w:r>
      <w:r>
        <w:rPr>
          <w:rFonts w:ascii="宋体" w:hAnsi="宋体" w:eastAsia="宋体" w:cs="宋体"/>
          <w:spacing w:val="-1"/>
          <w:sz w:val="21"/>
          <w:szCs w:val="21"/>
        </w:rPr>
        <w:t>以及现场实际独立编制的，对投标报价编制的完整性、准确性负责；</w:t>
      </w:r>
    </w:p>
    <w:p w14:paraId="6901EE76">
      <w:pPr>
        <w:spacing w:before="191" w:line="345" w:lineRule="auto"/>
        <w:ind w:right="164" w:firstLine="418"/>
        <w:rPr>
          <w:rFonts w:ascii="宋体" w:hAnsi="宋体" w:eastAsia="宋体" w:cs="宋体"/>
          <w:sz w:val="21"/>
          <w:szCs w:val="21"/>
        </w:rPr>
      </w:pPr>
      <w:r>
        <w:rPr>
          <w:rFonts w:ascii="宋体" w:hAnsi="宋体" w:eastAsia="宋体" w:cs="宋体"/>
          <w:spacing w:val="2"/>
          <w:sz w:val="21"/>
          <w:szCs w:val="21"/>
        </w:rPr>
        <w:t>七、本项目综合标（施工管理机构和企业资信等）提供的材料均为我单位真实、</w:t>
      </w:r>
      <w:r>
        <w:rPr>
          <w:rFonts w:ascii="宋体" w:hAnsi="宋体" w:eastAsia="宋体" w:cs="宋体"/>
          <w:spacing w:val="1"/>
          <w:sz w:val="21"/>
          <w:szCs w:val="21"/>
        </w:rPr>
        <w:t>有效和</w:t>
      </w:r>
      <w:r>
        <w:rPr>
          <w:rFonts w:ascii="宋体" w:hAnsi="宋体" w:eastAsia="宋体" w:cs="宋体"/>
          <w:spacing w:val="2"/>
          <w:sz w:val="21"/>
          <w:szCs w:val="21"/>
        </w:rPr>
        <w:t>完整的材料，不存在任何弄虚作假行为。投标文件所附的各类材料</w:t>
      </w:r>
      <w:r>
        <w:rPr>
          <w:rFonts w:ascii="宋体" w:hAnsi="宋体" w:eastAsia="宋体" w:cs="宋体"/>
          <w:spacing w:val="1"/>
          <w:sz w:val="21"/>
          <w:szCs w:val="21"/>
        </w:rPr>
        <w:t>均为我单位提供相关材料和填写的内容在主体信息库依据规则生成，我单位已进行确认，并认可提供材料的有效</w:t>
      </w:r>
      <w:r>
        <w:rPr>
          <w:rFonts w:ascii="宋体" w:hAnsi="宋体" w:eastAsia="宋体" w:cs="宋体"/>
          <w:sz w:val="21"/>
          <w:szCs w:val="21"/>
        </w:rPr>
        <w:t>性、</w:t>
      </w:r>
      <w:r>
        <w:rPr>
          <w:rFonts w:ascii="宋体" w:hAnsi="宋体" w:eastAsia="宋体" w:cs="宋体"/>
          <w:spacing w:val="-1"/>
          <w:sz w:val="21"/>
          <w:szCs w:val="21"/>
        </w:rPr>
        <w:t>真实性和完整性。</w:t>
      </w:r>
    </w:p>
    <w:p w14:paraId="2AA2CACF">
      <w:pPr>
        <w:spacing w:before="188" w:line="387" w:lineRule="auto"/>
        <w:ind w:right="164" w:firstLine="421"/>
        <w:jc w:val="both"/>
        <w:rPr>
          <w:rFonts w:ascii="宋体" w:hAnsi="宋体" w:eastAsia="宋体" w:cs="宋体"/>
          <w:sz w:val="21"/>
          <w:szCs w:val="21"/>
        </w:rPr>
      </w:pPr>
      <w:r>
        <w:rPr>
          <w:rFonts w:ascii="宋体" w:hAnsi="宋体" w:eastAsia="宋体" w:cs="宋体"/>
          <w:spacing w:val="2"/>
          <w:sz w:val="21"/>
          <w:szCs w:val="21"/>
        </w:rPr>
        <w:t>我单位对以上声明内容完全负责，如违反以上任一一款，评标委员会有权</w:t>
      </w:r>
      <w:r>
        <w:rPr>
          <w:rFonts w:ascii="宋体" w:hAnsi="宋体" w:eastAsia="宋体" w:cs="宋体"/>
          <w:spacing w:val="1"/>
          <w:sz w:val="21"/>
          <w:szCs w:val="21"/>
        </w:rPr>
        <w:t>依据招标文件</w:t>
      </w:r>
      <w:r>
        <w:rPr>
          <w:rFonts w:ascii="宋体" w:hAnsi="宋体" w:eastAsia="宋体" w:cs="宋体"/>
          <w:spacing w:val="2"/>
          <w:sz w:val="21"/>
          <w:szCs w:val="21"/>
        </w:rPr>
        <w:t>相应条款否决我单位投标文件，招标人有权依据相关法律不接受我单</w:t>
      </w:r>
      <w:r>
        <w:rPr>
          <w:rFonts w:ascii="宋体" w:hAnsi="宋体" w:eastAsia="宋体" w:cs="宋体"/>
          <w:spacing w:val="1"/>
          <w:sz w:val="21"/>
          <w:szCs w:val="21"/>
        </w:rPr>
        <w:t>位投标并没收我单位投</w:t>
      </w:r>
      <w:r>
        <w:rPr>
          <w:rFonts w:ascii="宋体" w:hAnsi="宋体" w:eastAsia="宋体" w:cs="宋体"/>
          <w:sz w:val="21"/>
          <w:szCs w:val="21"/>
        </w:rPr>
        <w:t>标保证金，由此造成的一切法律责任和经济损失我单位均予以</w:t>
      </w:r>
      <w:r>
        <w:rPr>
          <w:rFonts w:ascii="宋体" w:hAnsi="宋体" w:eastAsia="宋体" w:cs="宋体"/>
          <w:spacing w:val="-1"/>
          <w:sz w:val="21"/>
          <w:szCs w:val="21"/>
        </w:rPr>
        <w:t>承担。</w:t>
      </w:r>
    </w:p>
    <w:p w14:paraId="3EA735F6">
      <w:pPr>
        <w:spacing w:before="1" w:line="220" w:lineRule="auto"/>
        <w:ind w:left="420"/>
        <w:rPr>
          <w:rFonts w:ascii="宋体" w:hAnsi="宋体" w:eastAsia="宋体" w:cs="宋体"/>
          <w:sz w:val="21"/>
          <w:szCs w:val="21"/>
        </w:rPr>
      </w:pPr>
      <w:r>
        <w:rPr>
          <w:rFonts w:ascii="宋体" w:hAnsi="宋体" w:eastAsia="宋体" w:cs="宋体"/>
          <w:spacing w:val="-4"/>
          <w:sz w:val="21"/>
          <w:szCs w:val="21"/>
        </w:rPr>
        <w:t>特此声明！</w:t>
      </w:r>
    </w:p>
    <w:p w14:paraId="1B5F8EE7">
      <w:pPr>
        <w:pStyle w:val="5"/>
        <w:spacing w:line="286" w:lineRule="auto"/>
      </w:pPr>
    </w:p>
    <w:p w14:paraId="3E833A50">
      <w:pPr>
        <w:pStyle w:val="5"/>
        <w:spacing w:line="287" w:lineRule="auto"/>
      </w:pPr>
    </w:p>
    <w:p w14:paraId="7B1D43D6">
      <w:pPr>
        <w:pStyle w:val="5"/>
        <w:spacing w:line="287" w:lineRule="auto"/>
      </w:pPr>
    </w:p>
    <w:p w14:paraId="7E048807">
      <w:pPr>
        <w:pStyle w:val="5"/>
        <w:spacing w:line="287" w:lineRule="auto"/>
      </w:pPr>
    </w:p>
    <w:p w14:paraId="0D559E08">
      <w:pPr>
        <w:pStyle w:val="5"/>
        <w:spacing w:line="287" w:lineRule="auto"/>
      </w:pPr>
    </w:p>
    <w:p w14:paraId="4ED02668">
      <w:pPr>
        <w:spacing w:before="68" w:line="220" w:lineRule="auto"/>
        <w:ind w:left="4099"/>
        <w:rPr>
          <w:rFonts w:ascii="宋体" w:hAnsi="宋体" w:eastAsia="宋体" w:cs="宋体"/>
          <w:sz w:val="21"/>
          <w:szCs w:val="21"/>
        </w:rPr>
      </w:pPr>
      <w:r>
        <w:rPr>
          <w:rFonts w:ascii="宋体" w:hAnsi="宋体" w:eastAsia="宋体" w:cs="宋体"/>
          <w:spacing w:val="-8"/>
          <w:sz w:val="21"/>
          <w:szCs w:val="21"/>
        </w:rPr>
        <w:t>声明单位</w:t>
      </w:r>
      <w:r>
        <w:rPr>
          <w:rFonts w:ascii="宋体" w:hAnsi="宋体" w:eastAsia="宋体" w:cs="宋体"/>
          <w:spacing w:val="-26"/>
          <w:sz w:val="21"/>
          <w:szCs w:val="21"/>
        </w:rPr>
        <w:t>：（</w:t>
      </w:r>
      <w:r>
        <w:rPr>
          <w:rFonts w:ascii="宋体" w:hAnsi="宋体" w:eastAsia="宋体" w:cs="宋体"/>
          <w:spacing w:val="-8"/>
          <w:sz w:val="21"/>
          <w:szCs w:val="21"/>
        </w:rPr>
        <w:t>盖单位章）</w:t>
      </w:r>
    </w:p>
    <w:p w14:paraId="7489DA2E">
      <w:pPr>
        <w:spacing w:before="189" w:line="220" w:lineRule="auto"/>
        <w:ind w:left="4095"/>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50"/>
          <w:w w:val="90"/>
          <w:sz w:val="21"/>
          <w:szCs w:val="21"/>
        </w:rPr>
        <w:t>：（</w:t>
      </w:r>
      <w:r>
        <w:rPr>
          <w:rFonts w:ascii="宋体" w:hAnsi="宋体" w:eastAsia="宋体" w:cs="宋体"/>
          <w:spacing w:val="1"/>
          <w:sz w:val="21"/>
          <w:szCs w:val="21"/>
        </w:rPr>
        <w:t>签章）</w:t>
      </w:r>
    </w:p>
    <w:p w14:paraId="64590047">
      <w:pPr>
        <w:spacing w:before="188" w:line="221" w:lineRule="auto"/>
        <w:ind w:left="4456"/>
        <w:rPr>
          <w:rFonts w:ascii="宋体" w:hAnsi="宋体" w:eastAsia="宋体" w:cs="宋体"/>
          <w:sz w:val="21"/>
          <w:szCs w:val="21"/>
        </w:rPr>
      </w:pPr>
      <w:r>
        <w:rPr>
          <w:rFonts w:ascii="宋体" w:hAnsi="宋体" w:eastAsia="宋体" w:cs="宋体"/>
          <w:spacing w:val="-2"/>
          <w:sz w:val="21"/>
          <w:szCs w:val="21"/>
        </w:rPr>
        <w:t>声明时间：     年</w:t>
      </w:r>
      <w:r>
        <w:rPr>
          <w:rFonts w:ascii="宋体" w:hAnsi="宋体" w:eastAsia="宋体" w:cs="宋体"/>
          <w:spacing w:val="1"/>
          <w:sz w:val="21"/>
          <w:szCs w:val="21"/>
        </w:rPr>
        <w:t xml:space="preserve">        </w:t>
      </w:r>
      <w:r>
        <w:rPr>
          <w:rFonts w:ascii="宋体" w:hAnsi="宋体" w:eastAsia="宋体" w:cs="宋体"/>
          <w:spacing w:val="-2"/>
          <w:sz w:val="21"/>
          <w:szCs w:val="21"/>
        </w:rPr>
        <w:t>月</w:t>
      </w:r>
      <w:r>
        <w:rPr>
          <w:rFonts w:ascii="宋体" w:hAnsi="宋体" w:eastAsia="宋体" w:cs="宋体"/>
          <w:spacing w:val="8"/>
          <w:sz w:val="21"/>
          <w:szCs w:val="21"/>
        </w:rPr>
        <w:t xml:space="preserve">      </w:t>
      </w:r>
      <w:r>
        <w:rPr>
          <w:rFonts w:ascii="宋体" w:hAnsi="宋体" w:eastAsia="宋体" w:cs="宋体"/>
          <w:spacing w:val="-2"/>
          <w:sz w:val="21"/>
          <w:szCs w:val="21"/>
        </w:rPr>
        <w:t>日</w:t>
      </w:r>
    </w:p>
    <w:p w14:paraId="3D63D4A0">
      <w:pPr>
        <w:spacing w:line="221" w:lineRule="auto"/>
        <w:rPr>
          <w:rFonts w:ascii="宋体" w:hAnsi="宋体" w:eastAsia="宋体" w:cs="宋体"/>
          <w:sz w:val="21"/>
          <w:szCs w:val="21"/>
        </w:rPr>
        <w:sectPr>
          <w:footerReference r:id="rId193" w:type="default"/>
          <w:pgSz w:w="11905" w:h="16843"/>
          <w:pgMar w:top="969" w:right="1355" w:bottom="1026" w:left="1480" w:header="0" w:footer="754" w:gutter="0"/>
          <w:cols w:space="0" w:num="1"/>
          <w:rtlGutter w:val="0"/>
          <w:docGrid w:linePitch="0" w:charSpace="0"/>
        </w:sectPr>
      </w:pPr>
    </w:p>
    <w:p w14:paraId="2BF7D3BF">
      <w:pPr>
        <w:pStyle w:val="5"/>
        <w:spacing w:line="256" w:lineRule="auto"/>
      </w:pPr>
    </w:p>
    <w:p w14:paraId="5B7D4006">
      <w:pPr>
        <w:pStyle w:val="5"/>
        <w:spacing w:line="256" w:lineRule="auto"/>
      </w:pPr>
    </w:p>
    <w:p w14:paraId="61E46EBD">
      <w:pPr>
        <w:pStyle w:val="5"/>
        <w:spacing w:line="256" w:lineRule="auto"/>
      </w:pPr>
    </w:p>
    <w:p w14:paraId="014B8F1C">
      <w:pPr>
        <w:pStyle w:val="5"/>
        <w:spacing w:line="256" w:lineRule="auto"/>
      </w:pPr>
    </w:p>
    <w:p w14:paraId="3D17A4CF">
      <w:pPr>
        <w:pStyle w:val="5"/>
        <w:spacing w:line="256" w:lineRule="auto"/>
      </w:pPr>
    </w:p>
    <w:p w14:paraId="7E33845C">
      <w:pPr>
        <w:spacing w:before="91" w:line="219" w:lineRule="auto"/>
        <w:ind w:left="2918"/>
        <w:outlineLvl w:val="1"/>
        <w:rPr>
          <w:rFonts w:ascii="黑体" w:hAnsi="黑体" w:eastAsia="黑体" w:cs="黑体"/>
          <w:sz w:val="28"/>
          <w:szCs w:val="28"/>
        </w:rPr>
      </w:pPr>
      <w:bookmarkStart w:id="1358" w:name="bookmark659"/>
      <w:bookmarkEnd w:id="1358"/>
      <w:bookmarkStart w:id="1359" w:name="bookmark437"/>
      <w:bookmarkEnd w:id="1359"/>
      <w:r>
        <w:rPr>
          <w:rFonts w:ascii="黑体" w:hAnsi="黑体" w:eastAsia="黑体" w:cs="黑体"/>
          <w:spacing w:val="-2"/>
          <w:sz w:val="28"/>
          <w:szCs w:val="28"/>
        </w:rPr>
        <w:t>二、法定代表人身份证明</w:t>
      </w:r>
    </w:p>
    <w:p w14:paraId="175CF57C">
      <w:pPr>
        <w:spacing w:before="208" w:line="221" w:lineRule="auto"/>
        <w:ind w:left="2"/>
        <w:rPr>
          <w:rFonts w:ascii="宋体" w:hAnsi="宋体" w:eastAsia="宋体" w:cs="宋体"/>
          <w:sz w:val="21"/>
          <w:szCs w:val="21"/>
        </w:rPr>
      </w:pPr>
      <w:r>
        <w:rPr>
          <w:rFonts w:ascii="宋体" w:hAnsi="宋体" w:eastAsia="宋体" w:cs="宋体"/>
          <w:spacing w:val="-12"/>
          <w:sz w:val="21"/>
          <w:szCs w:val="21"/>
        </w:rPr>
        <w:t>投</w:t>
      </w:r>
      <w:r>
        <w:rPr>
          <w:rFonts w:ascii="宋体" w:hAnsi="宋体" w:eastAsia="宋体" w:cs="宋体"/>
          <w:spacing w:val="10"/>
          <w:sz w:val="21"/>
          <w:szCs w:val="21"/>
        </w:rPr>
        <w:t xml:space="preserve"> </w:t>
      </w:r>
      <w:r>
        <w:rPr>
          <w:rFonts w:ascii="宋体" w:hAnsi="宋体" w:eastAsia="宋体" w:cs="宋体"/>
          <w:spacing w:val="-12"/>
          <w:sz w:val="21"/>
          <w:szCs w:val="21"/>
        </w:rPr>
        <w:t>标</w:t>
      </w:r>
      <w:r>
        <w:rPr>
          <w:rFonts w:ascii="宋体" w:hAnsi="宋体" w:eastAsia="宋体" w:cs="宋体"/>
          <w:spacing w:val="8"/>
          <w:sz w:val="21"/>
          <w:szCs w:val="21"/>
        </w:rPr>
        <w:t xml:space="preserve"> </w:t>
      </w:r>
      <w:r>
        <w:rPr>
          <w:rFonts w:ascii="宋体" w:hAnsi="宋体" w:eastAsia="宋体" w:cs="宋体"/>
          <w:spacing w:val="-12"/>
          <w:sz w:val="21"/>
          <w:szCs w:val="21"/>
        </w:rPr>
        <w:t>人：</w:t>
      </w:r>
    </w:p>
    <w:p w14:paraId="06CAA0E1">
      <w:pPr>
        <w:spacing w:before="250" w:line="221" w:lineRule="auto"/>
        <w:ind w:left="1"/>
        <w:rPr>
          <w:rFonts w:ascii="宋体" w:hAnsi="宋体" w:eastAsia="宋体" w:cs="宋体"/>
          <w:sz w:val="21"/>
          <w:szCs w:val="21"/>
        </w:rPr>
      </w:pPr>
      <w:r>
        <w:rPr>
          <w:rFonts w:ascii="宋体" w:hAnsi="宋体" w:eastAsia="宋体" w:cs="宋体"/>
          <w:spacing w:val="-7"/>
          <w:sz w:val="21"/>
          <w:szCs w:val="21"/>
        </w:rPr>
        <w:t>单位性质：</w:t>
      </w:r>
    </w:p>
    <w:p w14:paraId="3B735622">
      <w:pPr>
        <w:spacing w:before="247" w:line="230" w:lineRule="auto"/>
        <w:rPr>
          <w:rFonts w:ascii="宋体" w:hAnsi="宋体" w:eastAsia="宋体" w:cs="宋体"/>
          <w:sz w:val="21"/>
          <w:szCs w:val="21"/>
        </w:rPr>
      </w:pPr>
      <w:r>
        <w:rPr>
          <w:rFonts w:ascii="宋体" w:hAnsi="宋体" w:eastAsia="宋体" w:cs="宋体"/>
          <w:spacing w:val="-12"/>
          <w:sz w:val="21"/>
          <w:szCs w:val="21"/>
        </w:rPr>
        <w:t>地</w:t>
      </w:r>
      <w:r>
        <w:rPr>
          <w:rFonts w:ascii="宋体" w:hAnsi="宋体" w:eastAsia="宋体" w:cs="宋体"/>
          <w:spacing w:val="2"/>
          <w:sz w:val="21"/>
          <w:szCs w:val="21"/>
        </w:rPr>
        <w:t xml:space="preserve">    </w:t>
      </w:r>
      <w:r>
        <w:rPr>
          <w:rFonts w:ascii="宋体" w:hAnsi="宋体" w:eastAsia="宋体" w:cs="宋体"/>
          <w:spacing w:val="-12"/>
          <w:sz w:val="21"/>
          <w:szCs w:val="21"/>
        </w:rPr>
        <w:t>址：</w:t>
      </w:r>
    </w:p>
    <w:p w14:paraId="33695C7B">
      <w:pPr>
        <w:spacing w:before="237" w:line="221" w:lineRule="auto"/>
        <w:ind w:left="1"/>
        <w:rPr>
          <w:rFonts w:ascii="宋体" w:hAnsi="宋体" w:eastAsia="宋体" w:cs="宋体"/>
          <w:sz w:val="21"/>
          <w:szCs w:val="21"/>
        </w:rPr>
      </w:pPr>
      <w:r>
        <w:rPr>
          <w:rFonts w:ascii="宋体" w:hAnsi="宋体" w:eastAsia="宋体" w:cs="宋体"/>
          <w:spacing w:val="-2"/>
          <w:sz w:val="21"/>
          <w:szCs w:val="21"/>
        </w:rPr>
        <w:t>成立时间：</w:t>
      </w:r>
      <w:r>
        <w:rPr>
          <w:rFonts w:ascii="宋体" w:hAnsi="宋体" w:eastAsia="宋体" w:cs="宋体"/>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7"/>
          <w:sz w:val="21"/>
          <w:szCs w:val="21"/>
          <w:u w:val="single" w:color="auto"/>
        </w:rPr>
        <w:t xml:space="preserve">             </w:t>
      </w:r>
      <w:r>
        <w:rPr>
          <w:rFonts w:ascii="宋体" w:hAnsi="宋体" w:eastAsia="宋体" w:cs="宋体"/>
          <w:spacing w:val="-50"/>
          <w:sz w:val="21"/>
          <w:szCs w:val="21"/>
        </w:rPr>
        <w:t xml:space="preserve"> </w:t>
      </w:r>
      <w:r>
        <w:rPr>
          <w:rFonts w:ascii="宋体" w:hAnsi="宋体" w:eastAsia="宋体" w:cs="宋体"/>
          <w:spacing w:val="-2"/>
          <w:sz w:val="21"/>
          <w:szCs w:val="21"/>
        </w:rPr>
        <w:t>日</w:t>
      </w:r>
    </w:p>
    <w:p w14:paraId="41CB9301">
      <w:pPr>
        <w:spacing w:before="251" w:line="221" w:lineRule="auto"/>
        <w:ind w:left="1"/>
        <w:rPr>
          <w:rFonts w:ascii="宋体" w:hAnsi="宋体" w:eastAsia="宋体" w:cs="宋体"/>
          <w:sz w:val="21"/>
          <w:szCs w:val="21"/>
        </w:rPr>
      </w:pPr>
      <w:r>
        <w:rPr>
          <w:rFonts w:ascii="宋体" w:hAnsi="宋体" w:eastAsia="宋体" w:cs="宋体"/>
          <w:spacing w:val="-7"/>
          <w:sz w:val="21"/>
          <w:szCs w:val="21"/>
        </w:rPr>
        <w:t>经营期限：</w:t>
      </w:r>
    </w:p>
    <w:p w14:paraId="16470755">
      <w:pPr>
        <w:spacing w:before="247" w:line="221" w:lineRule="auto"/>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3"/>
          <w:sz w:val="21"/>
          <w:szCs w:val="21"/>
        </w:rPr>
        <w:t xml:space="preserve">    </w:t>
      </w:r>
      <w:r>
        <w:rPr>
          <w:rFonts w:ascii="宋体" w:hAnsi="宋体" w:eastAsia="宋体" w:cs="宋体"/>
          <w:spacing w:val="-5"/>
          <w:sz w:val="21"/>
          <w:szCs w:val="21"/>
        </w:rPr>
        <w:t>名：</w:t>
      </w:r>
      <w:r>
        <w:rPr>
          <w:rFonts w:ascii="宋体" w:hAnsi="宋体" w:eastAsia="宋体" w:cs="宋体"/>
          <w:spacing w:val="-5"/>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5"/>
          <w:sz w:val="21"/>
          <w:szCs w:val="21"/>
        </w:rPr>
        <w:t>性</w:t>
      </w:r>
      <w:r>
        <w:rPr>
          <w:rFonts w:ascii="宋体" w:hAnsi="宋体" w:eastAsia="宋体" w:cs="宋体"/>
          <w:spacing w:val="1"/>
          <w:sz w:val="21"/>
          <w:szCs w:val="21"/>
        </w:rPr>
        <w:t xml:space="preserve">        </w:t>
      </w:r>
      <w:r>
        <w:rPr>
          <w:rFonts w:ascii="宋体" w:hAnsi="宋体" w:eastAsia="宋体" w:cs="宋体"/>
          <w:spacing w:val="-5"/>
          <w:sz w:val="21"/>
          <w:szCs w:val="21"/>
        </w:rPr>
        <w:t>别：</w:t>
      </w:r>
    </w:p>
    <w:p w14:paraId="3A0D4594">
      <w:pPr>
        <w:spacing w:before="248" w:line="221" w:lineRule="auto"/>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3"/>
          <w:sz w:val="21"/>
          <w:szCs w:val="21"/>
        </w:rPr>
        <w:t xml:space="preserve">    </w:t>
      </w:r>
      <w:r>
        <w:rPr>
          <w:rFonts w:ascii="宋体" w:hAnsi="宋体" w:eastAsia="宋体" w:cs="宋体"/>
          <w:spacing w:val="-5"/>
          <w:sz w:val="21"/>
          <w:szCs w:val="21"/>
        </w:rPr>
        <w:t>龄：</w:t>
      </w:r>
      <w:r>
        <w:rPr>
          <w:rFonts w:ascii="宋体" w:hAnsi="宋体" w:eastAsia="宋体" w:cs="宋体"/>
          <w:spacing w:val="-5"/>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5"/>
          <w:sz w:val="21"/>
          <w:szCs w:val="21"/>
        </w:rPr>
        <w:t>职</w:t>
      </w:r>
      <w:r>
        <w:rPr>
          <w:rFonts w:ascii="宋体" w:hAnsi="宋体" w:eastAsia="宋体" w:cs="宋体"/>
          <w:spacing w:val="1"/>
          <w:sz w:val="21"/>
          <w:szCs w:val="21"/>
        </w:rPr>
        <w:t xml:space="preserve">        </w:t>
      </w:r>
      <w:r>
        <w:rPr>
          <w:rFonts w:ascii="宋体" w:hAnsi="宋体" w:eastAsia="宋体" w:cs="宋体"/>
          <w:spacing w:val="-5"/>
          <w:sz w:val="21"/>
          <w:szCs w:val="21"/>
        </w:rPr>
        <w:t>务：</w:t>
      </w:r>
    </w:p>
    <w:p w14:paraId="0C03039B">
      <w:pPr>
        <w:spacing w:before="250" w:line="441" w:lineRule="auto"/>
        <w:ind w:right="624" w:firstLine="4"/>
        <w:rPr>
          <w:rFonts w:ascii="宋体" w:hAnsi="宋体" w:eastAsia="宋体" w:cs="宋体"/>
          <w:sz w:val="21"/>
          <w:szCs w:val="21"/>
        </w:rPr>
      </w:pPr>
      <w:r>
        <w:rPr>
          <w:rFonts w:ascii="宋体" w:hAnsi="宋体" w:eastAsia="宋体" w:cs="宋体"/>
          <w:sz w:val="21"/>
          <w:szCs w:val="21"/>
        </w:rPr>
        <w:t>系</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（投标人名称）的法定代表人。</w:t>
      </w:r>
      <w:r>
        <w:rPr>
          <w:rFonts w:ascii="宋体" w:hAnsi="宋体" w:eastAsia="宋体" w:cs="宋体"/>
          <w:spacing w:val="-5"/>
          <w:sz w:val="21"/>
          <w:szCs w:val="21"/>
        </w:rPr>
        <w:t>特此证明。</w:t>
      </w:r>
    </w:p>
    <w:p w14:paraId="763AA7BF">
      <w:pPr>
        <w:pStyle w:val="5"/>
        <w:spacing w:line="307" w:lineRule="auto"/>
      </w:pPr>
    </w:p>
    <w:p w14:paraId="660BCB32">
      <w:pPr>
        <w:pStyle w:val="5"/>
        <w:spacing w:line="307" w:lineRule="auto"/>
      </w:pPr>
    </w:p>
    <w:p w14:paraId="519B42BF">
      <w:pPr>
        <w:pStyle w:val="5"/>
        <w:spacing w:line="308" w:lineRule="auto"/>
      </w:pPr>
    </w:p>
    <w:p w14:paraId="493BEC11">
      <w:pPr>
        <w:tabs>
          <w:tab w:val="left" w:pos="6479"/>
        </w:tabs>
        <w:spacing w:before="69" w:line="441" w:lineRule="auto"/>
        <w:ind w:left="5533" w:hanging="1458"/>
        <w:rPr>
          <w:rFonts w:ascii="宋体" w:hAnsi="宋体" w:eastAsia="宋体" w:cs="宋体"/>
          <w:sz w:val="21"/>
          <w:szCs w:val="21"/>
        </w:rPr>
      </w:pPr>
      <w:r>
        <w:rPr>
          <w:rFonts w:ascii="宋体" w:hAnsi="宋体" w:eastAsia="宋体" w:cs="宋体"/>
          <w:sz w:val="21"/>
          <w:szCs w:val="21"/>
        </w:rPr>
        <w:t>投标人</w:t>
      </w:r>
      <w:r>
        <w:rPr>
          <w:rFonts w:ascii="宋体" w:hAnsi="宋体" w:eastAsia="宋体" w:cs="宋体"/>
          <w:spacing w:val="-12"/>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12"/>
          <w:sz w:val="21"/>
          <w:szCs w:val="21"/>
        </w:rPr>
        <w:t>（</w:t>
      </w:r>
      <w:r>
        <w:rPr>
          <w:rFonts w:ascii="宋体" w:hAnsi="宋体" w:eastAsia="宋体" w:cs="宋体"/>
          <w:sz w:val="21"/>
          <w:szCs w:val="21"/>
        </w:rPr>
        <w:t>盖单位章）</w:t>
      </w: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44749E39">
      <w:pPr>
        <w:spacing w:line="441" w:lineRule="auto"/>
        <w:rPr>
          <w:rFonts w:ascii="宋体" w:hAnsi="宋体" w:eastAsia="宋体" w:cs="宋体"/>
          <w:sz w:val="21"/>
          <w:szCs w:val="21"/>
        </w:rPr>
        <w:sectPr>
          <w:footerReference r:id="rId194" w:type="default"/>
          <w:pgSz w:w="11905" w:h="16843"/>
          <w:pgMar w:top="969" w:right="1355" w:bottom="1026" w:left="1480" w:header="0" w:footer="754" w:gutter="0"/>
          <w:cols w:space="0" w:num="1"/>
          <w:rtlGutter w:val="0"/>
          <w:docGrid w:linePitch="0" w:charSpace="0"/>
        </w:sectPr>
      </w:pPr>
    </w:p>
    <w:p w14:paraId="05BE9D73">
      <w:pPr>
        <w:pStyle w:val="5"/>
        <w:spacing w:line="256" w:lineRule="auto"/>
      </w:pPr>
    </w:p>
    <w:p w14:paraId="338225D0">
      <w:pPr>
        <w:pStyle w:val="5"/>
        <w:spacing w:line="256" w:lineRule="auto"/>
      </w:pPr>
    </w:p>
    <w:p w14:paraId="177A814D">
      <w:pPr>
        <w:pStyle w:val="5"/>
        <w:spacing w:line="256" w:lineRule="auto"/>
      </w:pPr>
    </w:p>
    <w:p w14:paraId="6A09DC26">
      <w:pPr>
        <w:pStyle w:val="5"/>
        <w:spacing w:line="256" w:lineRule="auto"/>
      </w:pPr>
    </w:p>
    <w:p w14:paraId="585278B5">
      <w:pPr>
        <w:pStyle w:val="5"/>
        <w:spacing w:line="257" w:lineRule="auto"/>
      </w:pPr>
    </w:p>
    <w:p w14:paraId="7A614953">
      <w:pPr>
        <w:spacing w:before="91" w:line="220" w:lineRule="auto"/>
        <w:ind w:left="3475"/>
        <w:outlineLvl w:val="1"/>
        <w:rPr>
          <w:rFonts w:ascii="黑体" w:hAnsi="黑体" w:eastAsia="黑体" w:cs="黑体"/>
          <w:sz w:val="28"/>
          <w:szCs w:val="28"/>
        </w:rPr>
      </w:pPr>
      <w:bookmarkStart w:id="1360" w:name="bookmark660"/>
      <w:bookmarkEnd w:id="1360"/>
      <w:bookmarkStart w:id="1361" w:name="bookmark439"/>
      <w:bookmarkEnd w:id="1361"/>
      <w:r>
        <w:rPr>
          <w:rFonts w:ascii="黑体" w:hAnsi="黑体" w:eastAsia="黑体" w:cs="黑体"/>
          <w:spacing w:val="-2"/>
          <w:sz w:val="28"/>
          <w:szCs w:val="28"/>
        </w:rPr>
        <w:t>二、授权委托书</w:t>
      </w:r>
    </w:p>
    <w:p w14:paraId="2C0121D4">
      <w:pPr>
        <w:spacing w:before="206" w:line="441" w:lineRule="auto"/>
        <w:ind w:firstLine="418"/>
        <w:jc w:val="both"/>
        <w:rPr>
          <w:rFonts w:ascii="宋体" w:hAnsi="宋体" w:eastAsia="宋体" w:cs="宋体"/>
          <w:sz w:val="21"/>
          <w:szCs w:val="21"/>
        </w:rPr>
      </w:pPr>
      <w:r>
        <w:rPr>
          <w:rFonts w:ascii="宋体" w:hAnsi="宋体" w:eastAsia="宋体" w:cs="宋体"/>
          <w:spacing w:val="1"/>
          <w:sz w:val="21"/>
          <w:szCs w:val="21"/>
        </w:rPr>
        <w:t>本人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（投标人名称）的法定代表人，现委托</w:t>
      </w:r>
      <w:r>
        <w:rPr>
          <w:rFonts w:ascii="宋体" w:hAnsi="宋体" w:eastAsia="宋体" w:cs="宋体"/>
          <w:spacing w:val="-104"/>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（姓</w:t>
      </w:r>
      <w:r>
        <w:rPr>
          <w:rFonts w:ascii="宋体" w:hAnsi="宋体" w:eastAsia="宋体" w:cs="宋体"/>
          <w:sz w:val="21"/>
          <w:szCs w:val="21"/>
        </w:rPr>
        <w:t>名）</w:t>
      </w:r>
      <w:r>
        <w:rPr>
          <w:rFonts w:ascii="宋体" w:hAnsi="宋体" w:eastAsia="宋体" w:cs="宋体"/>
          <w:spacing w:val="12"/>
          <w:sz w:val="21"/>
          <w:szCs w:val="21"/>
        </w:rPr>
        <w:t>为我方代理人。代理人根据授权，以我方名义签署、澄清、说明、补正、递交、撤回、修改</w:t>
      </w:r>
      <w:r>
        <w:rPr>
          <w:rFonts w:ascii="宋体" w:hAnsi="宋体" w:eastAsia="宋体" w:cs="宋体"/>
          <w:sz w:val="21"/>
          <w:szCs w:val="21"/>
        </w:rPr>
        <w:t>项目投标文件、签订合同和处理有关事宜，其法律后果由</w:t>
      </w:r>
      <w:r>
        <w:rPr>
          <w:rFonts w:ascii="宋体" w:hAnsi="宋体" w:eastAsia="宋体" w:cs="宋体"/>
          <w:spacing w:val="-1"/>
          <w:sz w:val="21"/>
          <w:szCs w:val="21"/>
        </w:rPr>
        <w:t>我方承担。</w:t>
      </w:r>
    </w:p>
    <w:p w14:paraId="55610161">
      <w:pPr>
        <w:spacing w:before="112" w:line="221" w:lineRule="auto"/>
        <w:ind w:left="416"/>
        <w:rPr>
          <w:rFonts w:ascii="宋体" w:hAnsi="宋体" w:eastAsia="宋体" w:cs="宋体"/>
          <w:sz w:val="21"/>
          <w:szCs w:val="21"/>
        </w:rPr>
      </w:pPr>
      <w:r>
        <w:rPr>
          <w:rFonts w:ascii="宋体" w:hAnsi="宋体" w:eastAsia="宋体" w:cs="宋体"/>
          <w:spacing w:val="-6"/>
          <w:sz w:val="21"/>
          <w:szCs w:val="21"/>
        </w:rPr>
        <w:t>委托期限：</w:t>
      </w:r>
    </w:p>
    <w:p w14:paraId="0C427D96">
      <w:pPr>
        <w:pStyle w:val="5"/>
        <w:spacing w:line="319" w:lineRule="auto"/>
      </w:pPr>
    </w:p>
    <w:p w14:paraId="4FE21886">
      <w:pPr>
        <w:tabs>
          <w:tab w:val="left" w:pos="7444"/>
        </w:tabs>
        <w:spacing w:before="68" w:line="93" w:lineRule="auto"/>
        <w:ind w:left="146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w:t>
      </w:r>
    </w:p>
    <w:p w14:paraId="431A54FC">
      <w:pPr>
        <w:pStyle w:val="5"/>
        <w:spacing w:line="425" w:lineRule="auto"/>
      </w:pPr>
    </w:p>
    <w:p w14:paraId="3303774B">
      <w:pPr>
        <w:spacing w:before="68" w:line="221" w:lineRule="auto"/>
        <w:ind w:left="416"/>
        <w:rPr>
          <w:rFonts w:ascii="宋体" w:hAnsi="宋体" w:eastAsia="宋体" w:cs="宋体"/>
          <w:sz w:val="21"/>
          <w:szCs w:val="21"/>
        </w:rPr>
      </w:pPr>
      <w:r>
        <w:rPr>
          <w:rFonts w:ascii="宋体" w:hAnsi="宋体" w:eastAsia="宋体" w:cs="宋体"/>
          <w:spacing w:val="-3"/>
          <w:sz w:val="21"/>
          <w:szCs w:val="21"/>
        </w:rPr>
        <w:t>代理人无转委托权。</w:t>
      </w:r>
    </w:p>
    <w:p w14:paraId="12CB4025">
      <w:pPr>
        <w:pStyle w:val="5"/>
        <w:spacing w:line="278" w:lineRule="auto"/>
      </w:pPr>
    </w:p>
    <w:p w14:paraId="12F94F2F">
      <w:pPr>
        <w:pStyle w:val="5"/>
        <w:spacing w:line="278" w:lineRule="auto"/>
      </w:pPr>
    </w:p>
    <w:p w14:paraId="13B4D74D">
      <w:pPr>
        <w:pStyle w:val="5"/>
        <w:spacing w:line="278" w:lineRule="auto"/>
      </w:pPr>
    </w:p>
    <w:p w14:paraId="250BED5E">
      <w:pPr>
        <w:spacing w:before="69" w:line="220" w:lineRule="auto"/>
        <w:ind w:left="3571"/>
        <w:rPr>
          <w:rFonts w:ascii="宋体" w:hAnsi="宋体" w:eastAsia="宋体" w:cs="宋体"/>
          <w:sz w:val="21"/>
          <w:szCs w:val="21"/>
        </w:rPr>
      </w:pPr>
      <w:r>
        <w:rPr>
          <w:rFonts w:ascii="宋体" w:hAnsi="宋体" w:eastAsia="宋体" w:cs="宋体"/>
          <w:spacing w:val="-1"/>
          <w:sz w:val="21"/>
          <w:szCs w:val="21"/>
        </w:rPr>
        <w:t>投  标</w:t>
      </w:r>
      <w:r>
        <w:rPr>
          <w:rFonts w:ascii="宋体" w:hAnsi="宋体" w:eastAsia="宋体" w:cs="宋体"/>
          <w:spacing w:val="5"/>
          <w:sz w:val="21"/>
          <w:szCs w:val="21"/>
        </w:rPr>
        <w:t xml:space="preserve">  </w:t>
      </w:r>
      <w:r>
        <w:rPr>
          <w:rFonts w:ascii="宋体" w:hAnsi="宋体" w:eastAsia="宋体" w:cs="宋体"/>
          <w:spacing w:val="-1"/>
          <w:sz w:val="21"/>
          <w:szCs w:val="21"/>
        </w:rPr>
        <w:t>人</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
          <w:sz w:val="21"/>
          <w:szCs w:val="21"/>
        </w:rPr>
        <w:t>盖单位章）</w:t>
      </w:r>
    </w:p>
    <w:p w14:paraId="626691BD">
      <w:pPr>
        <w:pStyle w:val="5"/>
      </w:pPr>
    </w:p>
    <w:p w14:paraId="198F2CD5">
      <w:pPr>
        <w:pStyle w:val="5"/>
      </w:pPr>
    </w:p>
    <w:p w14:paraId="7ED3F2AD">
      <w:pPr>
        <w:spacing w:before="68" w:line="220" w:lineRule="auto"/>
        <w:ind w:left="3570"/>
        <w:rPr>
          <w:rFonts w:ascii="宋体" w:hAnsi="宋体" w:eastAsia="宋体" w:cs="宋体"/>
          <w:sz w:val="21"/>
          <w:szCs w:val="21"/>
        </w:rPr>
      </w:pPr>
      <w:r>
        <w:rPr>
          <w:rFonts w:ascii="宋体" w:hAnsi="宋体" w:eastAsia="宋体" w:cs="宋体"/>
          <w:spacing w:val="-1"/>
          <w:sz w:val="21"/>
          <w:szCs w:val="21"/>
        </w:rPr>
        <w:t>法定代表人</w:t>
      </w:r>
      <w:r>
        <w:rPr>
          <w:rFonts w:ascii="宋体" w:hAnsi="宋体" w:eastAsia="宋体" w:cs="宋体"/>
          <w:spacing w:val="1"/>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
          <w:sz w:val="21"/>
          <w:szCs w:val="21"/>
        </w:rPr>
        <w:t>签章）</w:t>
      </w:r>
    </w:p>
    <w:p w14:paraId="69113377">
      <w:pPr>
        <w:pStyle w:val="5"/>
        <w:spacing w:line="478" w:lineRule="auto"/>
      </w:pPr>
    </w:p>
    <w:p w14:paraId="355A122E">
      <w:pPr>
        <w:spacing w:before="69" w:line="214" w:lineRule="auto"/>
        <w:ind w:left="3574"/>
        <w:rPr>
          <w:rFonts w:ascii="宋体" w:hAnsi="宋体" w:eastAsia="宋体" w:cs="宋体"/>
          <w:sz w:val="21"/>
          <w:szCs w:val="21"/>
        </w:rPr>
      </w:pPr>
      <w:r>
        <w:rPr>
          <w:rFonts w:ascii="宋体" w:hAnsi="宋体" w:eastAsia="宋体" w:cs="宋体"/>
          <w:sz w:val="21"/>
          <w:szCs w:val="21"/>
        </w:rPr>
        <w:t>身份证号码：________________</w:t>
      </w:r>
      <w:r>
        <w:rPr>
          <w:rFonts w:ascii="宋体" w:hAnsi="宋体" w:eastAsia="宋体" w:cs="宋体"/>
          <w:spacing w:val="-1"/>
          <w:sz w:val="21"/>
          <w:szCs w:val="21"/>
        </w:rPr>
        <w:t>____________</w:t>
      </w:r>
    </w:p>
    <w:p w14:paraId="3A3AC01B">
      <w:pPr>
        <w:pStyle w:val="5"/>
        <w:spacing w:line="242" w:lineRule="auto"/>
      </w:pPr>
    </w:p>
    <w:p w14:paraId="5B654729">
      <w:pPr>
        <w:pStyle w:val="5"/>
        <w:spacing w:line="242" w:lineRule="auto"/>
      </w:pPr>
    </w:p>
    <w:p w14:paraId="6B84D629">
      <w:pPr>
        <w:spacing w:before="69" w:line="220" w:lineRule="auto"/>
        <w:ind w:left="3568"/>
        <w:rPr>
          <w:rFonts w:ascii="宋体" w:hAnsi="宋体" w:eastAsia="宋体" w:cs="宋体"/>
          <w:sz w:val="21"/>
          <w:szCs w:val="21"/>
        </w:rPr>
      </w:pPr>
      <w:r>
        <w:rPr>
          <w:rFonts w:ascii="宋体" w:hAnsi="宋体" w:eastAsia="宋体" w:cs="宋体"/>
          <w:sz w:val="21"/>
          <w:szCs w:val="21"/>
        </w:rPr>
        <w:t>委托代理人</w:t>
      </w:r>
      <w:r>
        <w:rPr>
          <w:rFonts w:ascii="宋体" w:hAnsi="宋体" w:eastAsia="宋体" w:cs="宋体"/>
          <w:spacing w:val="-3"/>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r>
        <w:rPr>
          <w:rFonts w:ascii="宋体" w:hAnsi="宋体" w:eastAsia="宋体" w:cs="宋体"/>
          <w:sz w:val="21"/>
          <w:szCs w:val="21"/>
        </w:rPr>
        <w:t>签章）</w:t>
      </w:r>
    </w:p>
    <w:p w14:paraId="26EE1962">
      <w:pPr>
        <w:pStyle w:val="5"/>
      </w:pPr>
    </w:p>
    <w:p w14:paraId="5540D1F8">
      <w:pPr>
        <w:pStyle w:val="5"/>
      </w:pPr>
    </w:p>
    <w:p w14:paraId="7E8E2B54">
      <w:pPr>
        <w:spacing w:before="68" w:line="214" w:lineRule="auto"/>
        <w:ind w:left="3574"/>
        <w:rPr>
          <w:rFonts w:ascii="宋体" w:hAnsi="宋体" w:eastAsia="宋体" w:cs="宋体"/>
          <w:sz w:val="21"/>
          <w:szCs w:val="21"/>
        </w:rPr>
      </w:pPr>
      <w:r>
        <w:rPr>
          <w:rFonts w:ascii="宋体" w:hAnsi="宋体" w:eastAsia="宋体" w:cs="宋体"/>
          <w:sz w:val="21"/>
          <w:szCs w:val="21"/>
        </w:rPr>
        <w:t>身份证号码：________________</w:t>
      </w:r>
      <w:r>
        <w:rPr>
          <w:rFonts w:ascii="宋体" w:hAnsi="宋体" w:eastAsia="宋体" w:cs="宋体"/>
          <w:spacing w:val="-1"/>
          <w:sz w:val="21"/>
          <w:szCs w:val="21"/>
        </w:rPr>
        <w:t>____________</w:t>
      </w:r>
    </w:p>
    <w:p w14:paraId="13FC38B9">
      <w:pPr>
        <w:pStyle w:val="5"/>
        <w:spacing w:line="241" w:lineRule="auto"/>
      </w:pPr>
    </w:p>
    <w:p w14:paraId="77604CBD">
      <w:pPr>
        <w:pStyle w:val="5"/>
        <w:spacing w:line="242" w:lineRule="auto"/>
      </w:pPr>
    </w:p>
    <w:p w14:paraId="59C464B6">
      <w:pPr>
        <w:tabs>
          <w:tab w:val="left" w:pos="5662"/>
        </w:tabs>
        <w:spacing w:before="69" w:line="221" w:lineRule="auto"/>
        <w:ind w:left="482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6AB198F5">
      <w:pPr>
        <w:spacing w:line="221" w:lineRule="auto"/>
        <w:rPr>
          <w:rFonts w:ascii="宋体" w:hAnsi="宋体" w:eastAsia="宋体" w:cs="宋体"/>
          <w:sz w:val="21"/>
          <w:szCs w:val="21"/>
        </w:rPr>
        <w:sectPr>
          <w:footerReference r:id="rId195" w:type="default"/>
          <w:pgSz w:w="11905" w:h="16843"/>
          <w:pgMar w:top="969" w:right="1355" w:bottom="1026" w:left="1480" w:header="0" w:footer="754" w:gutter="0"/>
          <w:cols w:space="0" w:num="1"/>
          <w:rtlGutter w:val="0"/>
          <w:docGrid w:linePitch="0" w:charSpace="0"/>
        </w:sectPr>
      </w:pPr>
    </w:p>
    <w:p w14:paraId="65561741">
      <w:pPr>
        <w:pStyle w:val="5"/>
        <w:spacing w:line="256" w:lineRule="auto"/>
      </w:pPr>
    </w:p>
    <w:p w14:paraId="62D64888">
      <w:pPr>
        <w:pStyle w:val="5"/>
        <w:spacing w:line="256" w:lineRule="auto"/>
      </w:pPr>
    </w:p>
    <w:p w14:paraId="5CC0764F">
      <w:pPr>
        <w:pStyle w:val="5"/>
        <w:spacing w:line="256" w:lineRule="auto"/>
      </w:pPr>
    </w:p>
    <w:p w14:paraId="3A1CFF94">
      <w:pPr>
        <w:pStyle w:val="5"/>
        <w:spacing w:line="256" w:lineRule="auto"/>
      </w:pPr>
    </w:p>
    <w:p w14:paraId="4228F6E6">
      <w:pPr>
        <w:pStyle w:val="5"/>
        <w:spacing w:line="257" w:lineRule="auto"/>
      </w:pPr>
    </w:p>
    <w:p w14:paraId="03178B98">
      <w:pPr>
        <w:spacing w:before="91" w:line="220" w:lineRule="auto"/>
        <w:ind w:left="3479"/>
        <w:outlineLvl w:val="1"/>
        <w:rPr>
          <w:rFonts w:ascii="黑体" w:hAnsi="黑体" w:eastAsia="黑体" w:cs="黑体"/>
          <w:sz w:val="28"/>
          <w:szCs w:val="28"/>
        </w:rPr>
      </w:pPr>
      <w:bookmarkStart w:id="1362" w:name="bookmark661"/>
      <w:bookmarkEnd w:id="1362"/>
      <w:bookmarkStart w:id="1363" w:name="bookmark440"/>
      <w:bookmarkEnd w:id="1363"/>
      <w:r>
        <w:rPr>
          <w:rFonts w:ascii="黑体" w:hAnsi="黑体" w:eastAsia="黑体" w:cs="黑体"/>
          <w:spacing w:val="-4"/>
          <w:sz w:val="28"/>
          <w:szCs w:val="28"/>
        </w:rPr>
        <w:t>三、投标保证金</w:t>
      </w:r>
    </w:p>
    <w:p w14:paraId="0BEC128B">
      <w:pPr>
        <w:pStyle w:val="5"/>
        <w:spacing w:line="475" w:lineRule="auto"/>
      </w:pPr>
    </w:p>
    <w:p w14:paraId="4F5C9A52">
      <w:pPr>
        <w:spacing w:before="69" w:line="212" w:lineRule="auto"/>
        <w:ind w:left="397"/>
        <w:rPr>
          <w:rFonts w:ascii="宋体" w:hAnsi="宋体" w:eastAsia="宋体" w:cs="宋体"/>
          <w:sz w:val="21"/>
          <w:szCs w:val="21"/>
        </w:rPr>
      </w:pPr>
      <w:r>
        <w:rPr>
          <w:rFonts w:ascii="宋体" w:hAnsi="宋体" w:eastAsia="宋体" w:cs="宋体"/>
          <w:b/>
          <w:bCs/>
          <w:spacing w:val="-2"/>
          <w:sz w:val="21"/>
          <w:szCs w:val="21"/>
        </w:rPr>
        <w:t>（一）若采用现金或支票，投标人应填写以下表</w:t>
      </w:r>
      <w:r>
        <w:rPr>
          <w:rFonts w:ascii="宋体" w:hAnsi="宋体" w:eastAsia="宋体" w:cs="宋体"/>
          <w:b/>
          <w:bCs/>
          <w:spacing w:val="-3"/>
          <w:sz w:val="21"/>
          <w:szCs w:val="21"/>
        </w:rPr>
        <w:t>格信息并提供汇款凭证的扫描件。</w:t>
      </w:r>
    </w:p>
    <w:tbl>
      <w:tblPr>
        <w:tblStyle w:val="10"/>
        <w:tblW w:w="8785"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3275"/>
        <w:gridCol w:w="1089"/>
        <w:gridCol w:w="2920"/>
      </w:tblGrid>
      <w:tr w14:paraId="2C983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8785" w:type="dxa"/>
            <w:gridSpan w:val="4"/>
            <w:vAlign w:val="top"/>
          </w:tcPr>
          <w:p w14:paraId="0D4999F6">
            <w:pPr>
              <w:pStyle w:val="11"/>
              <w:spacing w:before="34" w:line="207" w:lineRule="auto"/>
              <w:ind w:left="3766"/>
            </w:pPr>
            <w:r>
              <w:rPr>
                <w:b/>
                <w:bCs/>
                <w:spacing w:val="-3"/>
              </w:rPr>
              <w:t>现金汇款信息</w:t>
            </w:r>
          </w:p>
        </w:tc>
      </w:tr>
      <w:tr w14:paraId="433C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01" w:type="dxa"/>
            <w:vAlign w:val="top"/>
          </w:tcPr>
          <w:p w14:paraId="313DBC65">
            <w:pPr>
              <w:pStyle w:val="11"/>
              <w:spacing w:before="32" w:line="207" w:lineRule="auto"/>
              <w:ind w:left="344"/>
            </w:pPr>
            <w:r>
              <w:rPr>
                <w:spacing w:val="-4"/>
              </w:rPr>
              <w:t>收款账户</w:t>
            </w:r>
          </w:p>
        </w:tc>
        <w:tc>
          <w:tcPr>
            <w:tcW w:w="3275" w:type="dxa"/>
            <w:vAlign w:val="top"/>
          </w:tcPr>
          <w:p w14:paraId="2BFE286B">
            <w:pPr>
              <w:rPr>
                <w:rFonts w:ascii="Arial"/>
                <w:sz w:val="21"/>
              </w:rPr>
            </w:pPr>
          </w:p>
        </w:tc>
        <w:tc>
          <w:tcPr>
            <w:tcW w:w="1089" w:type="dxa"/>
            <w:vAlign w:val="top"/>
          </w:tcPr>
          <w:p w14:paraId="6F80E911">
            <w:pPr>
              <w:pStyle w:val="11"/>
              <w:spacing w:before="32" w:line="207" w:lineRule="auto"/>
              <w:ind w:left="131"/>
            </w:pPr>
            <w:r>
              <w:rPr>
                <w:spacing w:val="-2"/>
              </w:rPr>
              <w:t>汇款账户</w:t>
            </w:r>
          </w:p>
        </w:tc>
        <w:tc>
          <w:tcPr>
            <w:tcW w:w="2920" w:type="dxa"/>
            <w:vAlign w:val="top"/>
          </w:tcPr>
          <w:p w14:paraId="7F4534D6">
            <w:pPr>
              <w:rPr>
                <w:rFonts w:ascii="Arial"/>
                <w:sz w:val="21"/>
              </w:rPr>
            </w:pPr>
          </w:p>
        </w:tc>
      </w:tr>
      <w:tr w14:paraId="2F099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01" w:type="dxa"/>
            <w:vAlign w:val="top"/>
          </w:tcPr>
          <w:p w14:paraId="067FC98B">
            <w:pPr>
              <w:pStyle w:val="11"/>
              <w:spacing w:before="30" w:line="209" w:lineRule="auto"/>
              <w:ind w:left="344"/>
            </w:pPr>
            <w:r>
              <w:rPr>
                <w:spacing w:val="-4"/>
              </w:rPr>
              <w:t>收款账号</w:t>
            </w:r>
          </w:p>
        </w:tc>
        <w:tc>
          <w:tcPr>
            <w:tcW w:w="3275" w:type="dxa"/>
            <w:vAlign w:val="top"/>
          </w:tcPr>
          <w:p w14:paraId="422CDCCA">
            <w:pPr>
              <w:rPr>
                <w:rFonts w:ascii="Arial"/>
                <w:sz w:val="21"/>
              </w:rPr>
            </w:pPr>
          </w:p>
        </w:tc>
        <w:tc>
          <w:tcPr>
            <w:tcW w:w="1089" w:type="dxa"/>
            <w:vAlign w:val="top"/>
          </w:tcPr>
          <w:p w14:paraId="2274AAE6">
            <w:pPr>
              <w:pStyle w:val="11"/>
              <w:spacing w:before="30" w:line="209" w:lineRule="auto"/>
              <w:ind w:left="131"/>
            </w:pPr>
            <w:r>
              <w:rPr>
                <w:spacing w:val="-2"/>
              </w:rPr>
              <w:t>汇款账号</w:t>
            </w:r>
          </w:p>
        </w:tc>
        <w:tc>
          <w:tcPr>
            <w:tcW w:w="2920" w:type="dxa"/>
            <w:vAlign w:val="top"/>
          </w:tcPr>
          <w:p w14:paraId="0411CCBB">
            <w:pPr>
              <w:rPr>
                <w:rFonts w:ascii="Arial"/>
                <w:sz w:val="21"/>
              </w:rPr>
            </w:pPr>
          </w:p>
        </w:tc>
      </w:tr>
      <w:tr w14:paraId="4D22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501" w:type="dxa"/>
            <w:vAlign w:val="top"/>
          </w:tcPr>
          <w:p w14:paraId="512A05ED">
            <w:pPr>
              <w:pStyle w:val="11"/>
              <w:spacing w:before="30" w:line="206" w:lineRule="auto"/>
              <w:ind w:left="336"/>
            </w:pPr>
            <w:r>
              <w:rPr>
                <w:spacing w:val="-2"/>
              </w:rPr>
              <w:t>汇款金额</w:t>
            </w:r>
          </w:p>
        </w:tc>
        <w:tc>
          <w:tcPr>
            <w:tcW w:w="3275" w:type="dxa"/>
            <w:vAlign w:val="top"/>
          </w:tcPr>
          <w:p w14:paraId="0F2A2AB6">
            <w:pPr>
              <w:rPr>
                <w:rFonts w:ascii="Arial"/>
                <w:sz w:val="21"/>
              </w:rPr>
            </w:pPr>
          </w:p>
        </w:tc>
        <w:tc>
          <w:tcPr>
            <w:tcW w:w="1089" w:type="dxa"/>
            <w:vAlign w:val="top"/>
          </w:tcPr>
          <w:p w14:paraId="15129BD4">
            <w:pPr>
              <w:pStyle w:val="11"/>
              <w:spacing w:before="30" w:line="206" w:lineRule="auto"/>
              <w:ind w:left="131"/>
            </w:pPr>
            <w:r>
              <w:rPr>
                <w:spacing w:val="-2"/>
              </w:rPr>
              <w:t>汇款时间</w:t>
            </w:r>
          </w:p>
        </w:tc>
        <w:tc>
          <w:tcPr>
            <w:tcW w:w="2920" w:type="dxa"/>
            <w:vAlign w:val="top"/>
          </w:tcPr>
          <w:p w14:paraId="7CD2B395">
            <w:pPr>
              <w:rPr>
                <w:rFonts w:ascii="Arial"/>
                <w:sz w:val="21"/>
              </w:rPr>
            </w:pPr>
          </w:p>
        </w:tc>
      </w:tr>
      <w:tr w14:paraId="1DB5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501" w:type="dxa"/>
            <w:vMerge w:val="restart"/>
            <w:tcBorders>
              <w:bottom w:val="nil"/>
            </w:tcBorders>
            <w:vAlign w:val="top"/>
          </w:tcPr>
          <w:p w14:paraId="289D8FF0">
            <w:pPr>
              <w:spacing w:line="333" w:lineRule="auto"/>
              <w:rPr>
                <w:rFonts w:ascii="Arial"/>
                <w:sz w:val="21"/>
              </w:rPr>
            </w:pPr>
          </w:p>
          <w:p w14:paraId="4AC3B91E">
            <w:pPr>
              <w:spacing w:line="334" w:lineRule="auto"/>
              <w:rPr>
                <w:rFonts w:ascii="Arial"/>
                <w:sz w:val="21"/>
              </w:rPr>
            </w:pPr>
          </w:p>
          <w:p w14:paraId="387CEA4D">
            <w:pPr>
              <w:pStyle w:val="11"/>
              <w:spacing w:before="68" w:line="220" w:lineRule="auto"/>
              <w:ind w:left="562"/>
            </w:pPr>
            <w:r>
              <w:rPr>
                <w:spacing w:val="-6"/>
              </w:rPr>
              <w:t>附件</w:t>
            </w:r>
          </w:p>
        </w:tc>
        <w:tc>
          <w:tcPr>
            <w:tcW w:w="7284" w:type="dxa"/>
            <w:gridSpan w:val="3"/>
            <w:vAlign w:val="top"/>
          </w:tcPr>
          <w:p w14:paraId="1F1A22DD">
            <w:pPr>
              <w:pStyle w:val="11"/>
              <w:spacing w:before="31" w:line="207" w:lineRule="auto"/>
              <w:ind w:left="112"/>
            </w:pPr>
            <w:r>
              <w:rPr>
                <w:spacing w:val="-1"/>
              </w:rPr>
              <w:t>汇款凭证扫描件</w:t>
            </w:r>
          </w:p>
        </w:tc>
      </w:tr>
      <w:tr w14:paraId="5EB96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01" w:type="dxa"/>
            <w:vMerge w:val="continue"/>
            <w:tcBorders>
              <w:top w:val="nil"/>
              <w:bottom w:val="nil"/>
            </w:tcBorders>
            <w:vAlign w:val="top"/>
          </w:tcPr>
          <w:p w14:paraId="0AD43B5C">
            <w:pPr>
              <w:rPr>
                <w:rFonts w:ascii="Arial"/>
                <w:sz w:val="21"/>
              </w:rPr>
            </w:pPr>
          </w:p>
        </w:tc>
        <w:tc>
          <w:tcPr>
            <w:tcW w:w="7284" w:type="dxa"/>
            <w:gridSpan w:val="3"/>
            <w:vAlign w:val="top"/>
          </w:tcPr>
          <w:p w14:paraId="05335082">
            <w:pPr>
              <w:rPr>
                <w:rFonts w:ascii="Arial"/>
                <w:sz w:val="21"/>
              </w:rPr>
            </w:pPr>
          </w:p>
        </w:tc>
      </w:tr>
      <w:tr w14:paraId="1AE2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501" w:type="dxa"/>
            <w:vMerge w:val="continue"/>
            <w:tcBorders>
              <w:top w:val="nil"/>
              <w:bottom w:val="nil"/>
            </w:tcBorders>
            <w:vAlign w:val="top"/>
          </w:tcPr>
          <w:p w14:paraId="6768FD98">
            <w:pPr>
              <w:rPr>
                <w:rFonts w:ascii="Arial"/>
                <w:sz w:val="21"/>
              </w:rPr>
            </w:pPr>
          </w:p>
        </w:tc>
        <w:tc>
          <w:tcPr>
            <w:tcW w:w="7284" w:type="dxa"/>
            <w:gridSpan w:val="3"/>
            <w:vAlign w:val="top"/>
          </w:tcPr>
          <w:p w14:paraId="5D062A96">
            <w:pPr>
              <w:pStyle w:val="11"/>
              <w:spacing w:before="32" w:line="204" w:lineRule="auto"/>
              <w:ind w:left="112"/>
            </w:pPr>
            <w:r>
              <w:rPr>
                <w:spacing w:val="-1"/>
              </w:rPr>
              <w:t>基本户开户许可证扫描件</w:t>
            </w:r>
          </w:p>
        </w:tc>
      </w:tr>
      <w:tr w14:paraId="3CB50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01" w:type="dxa"/>
            <w:vMerge w:val="continue"/>
            <w:tcBorders>
              <w:top w:val="nil"/>
              <w:bottom w:val="nil"/>
            </w:tcBorders>
            <w:vAlign w:val="top"/>
          </w:tcPr>
          <w:p w14:paraId="533BAD02">
            <w:pPr>
              <w:rPr>
                <w:rFonts w:ascii="Arial"/>
                <w:sz w:val="21"/>
              </w:rPr>
            </w:pPr>
          </w:p>
        </w:tc>
        <w:tc>
          <w:tcPr>
            <w:tcW w:w="7284" w:type="dxa"/>
            <w:gridSpan w:val="3"/>
            <w:vAlign w:val="top"/>
          </w:tcPr>
          <w:p w14:paraId="7A49BC5C">
            <w:pPr>
              <w:rPr>
                <w:rFonts w:ascii="Arial"/>
                <w:sz w:val="21"/>
              </w:rPr>
            </w:pPr>
          </w:p>
        </w:tc>
      </w:tr>
      <w:tr w14:paraId="73A1E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01" w:type="dxa"/>
            <w:vMerge w:val="continue"/>
            <w:tcBorders>
              <w:top w:val="nil"/>
              <w:bottom w:val="nil"/>
            </w:tcBorders>
            <w:vAlign w:val="top"/>
          </w:tcPr>
          <w:p w14:paraId="11E28202">
            <w:pPr>
              <w:rPr>
                <w:rFonts w:ascii="Arial"/>
                <w:sz w:val="21"/>
              </w:rPr>
            </w:pPr>
          </w:p>
        </w:tc>
        <w:tc>
          <w:tcPr>
            <w:tcW w:w="7284" w:type="dxa"/>
            <w:gridSpan w:val="3"/>
            <w:vAlign w:val="top"/>
          </w:tcPr>
          <w:p w14:paraId="1C2A68C5">
            <w:pPr>
              <w:pStyle w:val="11"/>
              <w:spacing w:before="34" w:line="205" w:lineRule="auto"/>
              <w:ind w:left="113"/>
            </w:pPr>
            <w:r>
              <w:rPr>
                <w:spacing w:val="-2"/>
              </w:rPr>
              <w:t>其他材料</w:t>
            </w:r>
          </w:p>
        </w:tc>
      </w:tr>
      <w:tr w14:paraId="42D8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501" w:type="dxa"/>
            <w:vMerge w:val="continue"/>
            <w:tcBorders>
              <w:top w:val="nil"/>
            </w:tcBorders>
            <w:vAlign w:val="top"/>
          </w:tcPr>
          <w:p w14:paraId="3D0C93FD">
            <w:pPr>
              <w:rPr>
                <w:rFonts w:ascii="Arial"/>
                <w:sz w:val="21"/>
              </w:rPr>
            </w:pPr>
          </w:p>
        </w:tc>
        <w:tc>
          <w:tcPr>
            <w:tcW w:w="7284" w:type="dxa"/>
            <w:gridSpan w:val="3"/>
            <w:vAlign w:val="top"/>
          </w:tcPr>
          <w:p w14:paraId="0AC1CC4C">
            <w:pPr>
              <w:rPr>
                <w:rFonts w:ascii="Arial"/>
                <w:sz w:val="21"/>
              </w:rPr>
            </w:pPr>
          </w:p>
        </w:tc>
      </w:tr>
    </w:tbl>
    <w:p w14:paraId="6922BF9E">
      <w:pPr>
        <w:pStyle w:val="5"/>
        <w:spacing w:line="477" w:lineRule="auto"/>
      </w:pPr>
    </w:p>
    <w:p w14:paraId="7BB4397F">
      <w:pPr>
        <w:spacing w:before="68" w:line="282" w:lineRule="auto"/>
        <w:ind w:firstLine="397"/>
        <w:rPr>
          <w:rFonts w:ascii="宋体" w:hAnsi="宋体" w:eastAsia="宋体" w:cs="宋体"/>
          <w:sz w:val="21"/>
          <w:szCs w:val="21"/>
        </w:rPr>
      </w:pPr>
      <w:r>
        <w:rPr>
          <w:rFonts w:ascii="宋体" w:hAnsi="宋体" w:eastAsia="宋体" w:cs="宋体"/>
          <w:b/>
          <w:bCs/>
          <w:sz w:val="21"/>
          <w:szCs w:val="21"/>
        </w:rPr>
        <w:t>（二）若辽宁省工程建设项目电子保函保险基础服务平台电子保函，投标人应填写以下表格</w:t>
      </w:r>
      <w:r>
        <w:rPr>
          <w:rFonts w:ascii="宋体" w:hAnsi="宋体" w:eastAsia="宋体" w:cs="宋体"/>
          <w:b/>
          <w:bCs/>
          <w:spacing w:val="-5"/>
          <w:sz w:val="21"/>
          <w:szCs w:val="21"/>
        </w:rPr>
        <w:t>信息。</w:t>
      </w:r>
    </w:p>
    <w:tbl>
      <w:tblPr>
        <w:tblStyle w:val="10"/>
        <w:tblW w:w="8790"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241"/>
      </w:tblGrid>
      <w:tr w14:paraId="347C0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790" w:type="dxa"/>
            <w:gridSpan w:val="2"/>
            <w:vAlign w:val="top"/>
          </w:tcPr>
          <w:p w14:paraId="3DE14D0C">
            <w:pPr>
              <w:pStyle w:val="11"/>
              <w:spacing w:before="55" w:line="221" w:lineRule="auto"/>
              <w:ind w:left="1769"/>
            </w:pPr>
            <w:r>
              <w:rPr>
                <w:b/>
                <w:bCs/>
                <w:spacing w:val="-2"/>
              </w:rPr>
              <w:t>辽宁省工程建设项目电子保函保险基础服务平台保函信息</w:t>
            </w:r>
          </w:p>
        </w:tc>
      </w:tr>
      <w:tr w14:paraId="68659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549" w:type="dxa"/>
            <w:vAlign w:val="top"/>
          </w:tcPr>
          <w:p w14:paraId="3CF28869">
            <w:pPr>
              <w:pStyle w:val="11"/>
              <w:spacing w:before="61" w:line="221" w:lineRule="auto"/>
              <w:ind w:left="361"/>
            </w:pPr>
            <w:r>
              <w:rPr>
                <w:spacing w:val="-2"/>
              </w:rPr>
              <w:t>保函编号</w:t>
            </w:r>
          </w:p>
        </w:tc>
        <w:tc>
          <w:tcPr>
            <w:tcW w:w="7241" w:type="dxa"/>
            <w:vAlign w:val="top"/>
          </w:tcPr>
          <w:p w14:paraId="4863B25F">
            <w:pPr>
              <w:rPr>
                <w:rFonts w:ascii="Arial"/>
                <w:sz w:val="21"/>
              </w:rPr>
            </w:pPr>
          </w:p>
        </w:tc>
      </w:tr>
      <w:tr w14:paraId="00F2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549" w:type="dxa"/>
            <w:vMerge w:val="restart"/>
            <w:tcBorders>
              <w:bottom w:val="nil"/>
            </w:tcBorders>
            <w:vAlign w:val="top"/>
          </w:tcPr>
          <w:p w14:paraId="2BBACBFB">
            <w:pPr>
              <w:pStyle w:val="11"/>
              <w:spacing w:before="206" w:line="220" w:lineRule="auto"/>
              <w:ind w:left="586"/>
            </w:pPr>
            <w:r>
              <w:rPr>
                <w:spacing w:val="-6"/>
              </w:rPr>
              <w:t>附件</w:t>
            </w:r>
          </w:p>
        </w:tc>
        <w:tc>
          <w:tcPr>
            <w:tcW w:w="7241" w:type="dxa"/>
            <w:vAlign w:val="top"/>
          </w:tcPr>
          <w:p w14:paraId="6C5D9E63">
            <w:pPr>
              <w:pStyle w:val="11"/>
              <w:spacing w:before="64" w:line="221" w:lineRule="auto"/>
              <w:ind w:left="137"/>
            </w:pPr>
            <w:r>
              <w:rPr>
                <w:spacing w:val="-5"/>
              </w:rPr>
              <w:t>电子保函扫描件</w:t>
            </w:r>
          </w:p>
        </w:tc>
      </w:tr>
      <w:tr w14:paraId="2A60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49" w:type="dxa"/>
            <w:vMerge w:val="continue"/>
            <w:tcBorders>
              <w:top w:val="nil"/>
            </w:tcBorders>
            <w:vAlign w:val="top"/>
          </w:tcPr>
          <w:p w14:paraId="21DB9464">
            <w:pPr>
              <w:rPr>
                <w:rFonts w:ascii="Arial"/>
                <w:sz w:val="21"/>
              </w:rPr>
            </w:pPr>
          </w:p>
        </w:tc>
        <w:tc>
          <w:tcPr>
            <w:tcW w:w="7241" w:type="dxa"/>
            <w:vAlign w:val="top"/>
          </w:tcPr>
          <w:p w14:paraId="21C5133F">
            <w:pPr>
              <w:rPr>
                <w:rFonts w:ascii="Arial"/>
                <w:sz w:val="21"/>
              </w:rPr>
            </w:pPr>
          </w:p>
        </w:tc>
      </w:tr>
    </w:tbl>
    <w:p w14:paraId="20021E4C">
      <w:pPr>
        <w:pStyle w:val="5"/>
        <w:spacing w:line="243" w:lineRule="auto"/>
      </w:pPr>
    </w:p>
    <w:p w14:paraId="4647C78C">
      <w:pPr>
        <w:pStyle w:val="5"/>
        <w:spacing w:line="243" w:lineRule="auto"/>
      </w:pPr>
    </w:p>
    <w:p w14:paraId="664BA8D6">
      <w:pPr>
        <w:spacing w:before="68" w:line="220" w:lineRule="auto"/>
        <w:jc w:val="right"/>
        <w:rPr>
          <w:rFonts w:ascii="宋体" w:hAnsi="宋体" w:eastAsia="宋体" w:cs="宋体"/>
          <w:sz w:val="21"/>
          <w:szCs w:val="21"/>
        </w:rPr>
      </w:pPr>
      <w:r>
        <w:rPr>
          <w:rFonts w:ascii="宋体" w:hAnsi="宋体" w:eastAsia="宋体" w:cs="宋体"/>
          <w:b/>
          <w:bCs/>
          <w:sz w:val="21"/>
          <w:szCs w:val="21"/>
        </w:rPr>
        <w:t>（三）若采用纸质保函或其他平台电子保函，投标人应填写以下表格信息，并提供相关材料</w:t>
      </w:r>
    </w:p>
    <w:p w14:paraId="1205D331">
      <w:pPr>
        <w:spacing w:before="150" w:line="212" w:lineRule="auto"/>
        <w:ind w:left="2"/>
        <w:rPr>
          <w:rFonts w:ascii="宋体" w:hAnsi="宋体" w:eastAsia="宋体" w:cs="宋体"/>
          <w:sz w:val="21"/>
          <w:szCs w:val="21"/>
        </w:rPr>
      </w:pPr>
      <w:r>
        <w:rPr>
          <w:rFonts w:ascii="宋体" w:hAnsi="宋体" w:eastAsia="宋体" w:cs="宋体"/>
          <w:b/>
          <w:bCs/>
          <w:spacing w:val="-8"/>
          <w:sz w:val="21"/>
          <w:szCs w:val="21"/>
        </w:rPr>
        <w:t>扫描件信息。</w:t>
      </w:r>
    </w:p>
    <w:tbl>
      <w:tblPr>
        <w:tblStyle w:val="10"/>
        <w:tblW w:w="8785"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3268"/>
        <w:gridCol w:w="1521"/>
        <w:gridCol w:w="2483"/>
      </w:tblGrid>
      <w:tr w14:paraId="13C4E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785" w:type="dxa"/>
            <w:gridSpan w:val="4"/>
            <w:vAlign w:val="top"/>
          </w:tcPr>
          <w:p w14:paraId="67B05E57">
            <w:pPr>
              <w:pStyle w:val="11"/>
              <w:spacing w:before="34" w:line="207" w:lineRule="auto"/>
              <w:ind w:left="923"/>
            </w:pPr>
            <w:r>
              <w:rPr>
                <w:b/>
                <w:bCs/>
                <w:spacing w:val="-2"/>
              </w:rPr>
              <w:t>非辽宁省工程建设项目电子保函保险基础服务平台电子保函或纸质保函信息</w:t>
            </w:r>
          </w:p>
        </w:tc>
      </w:tr>
      <w:tr w14:paraId="7EA84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Align w:val="top"/>
          </w:tcPr>
          <w:p w14:paraId="10E63DF2">
            <w:pPr>
              <w:pStyle w:val="11"/>
              <w:spacing w:before="30" w:line="209" w:lineRule="auto"/>
              <w:ind w:left="133"/>
            </w:pPr>
            <w:r>
              <w:rPr>
                <w:spacing w:val="-1"/>
              </w:rPr>
              <w:t>保函承保单位</w:t>
            </w:r>
          </w:p>
        </w:tc>
        <w:tc>
          <w:tcPr>
            <w:tcW w:w="3268" w:type="dxa"/>
            <w:vAlign w:val="top"/>
          </w:tcPr>
          <w:p w14:paraId="2D38CDC7">
            <w:pPr>
              <w:rPr>
                <w:rFonts w:ascii="Arial"/>
                <w:sz w:val="21"/>
              </w:rPr>
            </w:pPr>
          </w:p>
        </w:tc>
        <w:tc>
          <w:tcPr>
            <w:tcW w:w="1521" w:type="dxa"/>
            <w:vAlign w:val="top"/>
          </w:tcPr>
          <w:p w14:paraId="08C0BDD0">
            <w:pPr>
              <w:pStyle w:val="11"/>
              <w:spacing w:before="30" w:line="209" w:lineRule="auto"/>
              <w:ind w:left="348"/>
            </w:pPr>
            <w:r>
              <w:rPr>
                <w:spacing w:val="-2"/>
              </w:rPr>
              <w:t>保函额度</w:t>
            </w:r>
          </w:p>
        </w:tc>
        <w:tc>
          <w:tcPr>
            <w:tcW w:w="2483" w:type="dxa"/>
            <w:vAlign w:val="top"/>
          </w:tcPr>
          <w:p w14:paraId="27CCCF26">
            <w:pPr>
              <w:rPr>
                <w:rFonts w:ascii="Arial"/>
                <w:sz w:val="21"/>
              </w:rPr>
            </w:pPr>
          </w:p>
        </w:tc>
      </w:tr>
      <w:tr w14:paraId="7F84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Align w:val="top"/>
          </w:tcPr>
          <w:p w14:paraId="0E300493">
            <w:pPr>
              <w:pStyle w:val="11"/>
              <w:spacing w:before="30" w:line="209" w:lineRule="auto"/>
              <w:ind w:left="131"/>
            </w:pPr>
            <w:r>
              <w:rPr>
                <w:spacing w:val="-1"/>
              </w:rPr>
              <w:t>缴费账户名称</w:t>
            </w:r>
          </w:p>
        </w:tc>
        <w:tc>
          <w:tcPr>
            <w:tcW w:w="3268" w:type="dxa"/>
            <w:vAlign w:val="top"/>
          </w:tcPr>
          <w:p w14:paraId="25DD5849">
            <w:pPr>
              <w:rPr>
                <w:rFonts w:ascii="Arial"/>
                <w:sz w:val="21"/>
              </w:rPr>
            </w:pPr>
          </w:p>
        </w:tc>
        <w:tc>
          <w:tcPr>
            <w:tcW w:w="1521" w:type="dxa"/>
            <w:vAlign w:val="top"/>
          </w:tcPr>
          <w:p w14:paraId="4D64BE4D">
            <w:pPr>
              <w:pStyle w:val="11"/>
              <w:spacing w:before="30" w:line="209" w:lineRule="auto"/>
              <w:ind w:left="139"/>
            </w:pPr>
            <w:r>
              <w:rPr>
                <w:spacing w:val="-1"/>
              </w:rPr>
              <w:t>保函办理时间</w:t>
            </w:r>
          </w:p>
        </w:tc>
        <w:tc>
          <w:tcPr>
            <w:tcW w:w="2483" w:type="dxa"/>
            <w:vAlign w:val="top"/>
          </w:tcPr>
          <w:p w14:paraId="23EDD14D">
            <w:pPr>
              <w:rPr>
                <w:rFonts w:ascii="Arial"/>
                <w:sz w:val="21"/>
              </w:rPr>
            </w:pPr>
          </w:p>
        </w:tc>
      </w:tr>
      <w:tr w14:paraId="2006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513" w:type="dxa"/>
            <w:vAlign w:val="top"/>
          </w:tcPr>
          <w:p w14:paraId="68249B8F">
            <w:pPr>
              <w:pStyle w:val="11"/>
              <w:spacing w:before="30" w:line="206" w:lineRule="auto"/>
              <w:ind w:left="339"/>
            </w:pPr>
            <w:r>
              <w:rPr>
                <w:spacing w:val="-1"/>
              </w:rPr>
              <w:t>缴费账号</w:t>
            </w:r>
          </w:p>
        </w:tc>
        <w:tc>
          <w:tcPr>
            <w:tcW w:w="3268" w:type="dxa"/>
            <w:vAlign w:val="top"/>
          </w:tcPr>
          <w:p w14:paraId="070C1252">
            <w:pPr>
              <w:rPr>
                <w:rFonts w:ascii="Arial"/>
                <w:sz w:val="21"/>
              </w:rPr>
            </w:pPr>
          </w:p>
        </w:tc>
        <w:tc>
          <w:tcPr>
            <w:tcW w:w="1521" w:type="dxa"/>
            <w:vAlign w:val="top"/>
          </w:tcPr>
          <w:p w14:paraId="6448F21B">
            <w:pPr>
              <w:pStyle w:val="11"/>
              <w:spacing w:before="30" w:line="206" w:lineRule="auto"/>
              <w:ind w:left="242"/>
            </w:pPr>
            <w:r>
              <w:rPr>
                <w:spacing w:val="-2"/>
              </w:rPr>
              <w:t>保函有效期</w:t>
            </w:r>
          </w:p>
        </w:tc>
        <w:tc>
          <w:tcPr>
            <w:tcW w:w="2483" w:type="dxa"/>
            <w:vAlign w:val="top"/>
          </w:tcPr>
          <w:p w14:paraId="5096B829">
            <w:pPr>
              <w:rPr>
                <w:rFonts w:ascii="Arial"/>
                <w:sz w:val="21"/>
              </w:rPr>
            </w:pPr>
          </w:p>
        </w:tc>
      </w:tr>
      <w:tr w14:paraId="3F1D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13" w:type="dxa"/>
            <w:vAlign w:val="top"/>
          </w:tcPr>
          <w:p w14:paraId="06716A06">
            <w:pPr>
              <w:pStyle w:val="11"/>
              <w:spacing w:before="31" w:line="223" w:lineRule="auto"/>
              <w:ind w:left="568" w:right="120" w:hanging="435"/>
            </w:pPr>
            <w:r>
              <w:rPr>
                <w:spacing w:val="-2"/>
              </w:rPr>
              <w:t>保函验真平台</w:t>
            </w:r>
            <w:r>
              <w:rPr>
                <w:spacing w:val="-6"/>
              </w:rPr>
              <w:t>网址</w:t>
            </w:r>
          </w:p>
        </w:tc>
        <w:tc>
          <w:tcPr>
            <w:tcW w:w="7272" w:type="dxa"/>
            <w:gridSpan w:val="3"/>
            <w:vAlign w:val="top"/>
          </w:tcPr>
          <w:p w14:paraId="732F3605">
            <w:pPr>
              <w:rPr>
                <w:rFonts w:ascii="Arial"/>
                <w:sz w:val="21"/>
              </w:rPr>
            </w:pPr>
          </w:p>
        </w:tc>
      </w:tr>
      <w:tr w14:paraId="3182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Merge w:val="restart"/>
            <w:tcBorders>
              <w:bottom w:val="nil"/>
            </w:tcBorders>
            <w:vAlign w:val="top"/>
          </w:tcPr>
          <w:p w14:paraId="719610DD">
            <w:pPr>
              <w:spacing w:line="315" w:lineRule="auto"/>
              <w:rPr>
                <w:rFonts w:ascii="Arial"/>
                <w:sz w:val="21"/>
              </w:rPr>
            </w:pPr>
          </w:p>
          <w:p w14:paraId="396B11D2">
            <w:pPr>
              <w:spacing w:line="315" w:lineRule="auto"/>
              <w:rPr>
                <w:rFonts w:ascii="Arial"/>
                <w:sz w:val="21"/>
              </w:rPr>
            </w:pPr>
          </w:p>
          <w:p w14:paraId="6F58E1D0">
            <w:pPr>
              <w:spacing w:line="316" w:lineRule="auto"/>
              <w:rPr>
                <w:rFonts w:ascii="Arial"/>
                <w:sz w:val="21"/>
              </w:rPr>
            </w:pPr>
          </w:p>
          <w:p w14:paraId="6C90C289">
            <w:pPr>
              <w:pStyle w:val="11"/>
              <w:spacing w:before="69" w:line="220" w:lineRule="auto"/>
              <w:ind w:left="569"/>
            </w:pPr>
            <w:r>
              <w:rPr>
                <w:spacing w:val="-6"/>
              </w:rPr>
              <w:t>附件</w:t>
            </w:r>
          </w:p>
        </w:tc>
        <w:tc>
          <w:tcPr>
            <w:tcW w:w="7272" w:type="dxa"/>
            <w:gridSpan w:val="3"/>
            <w:vAlign w:val="top"/>
          </w:tcPr>
          <w:p w14:paraId="0B1883B7">
            <w:pPr>
              <w:pStyle w:val="11"/>
              <w:spacing w:before="34" w:line="205" w:lineRule="auto"/>
              <w:ind w:left="113"/>
            </w:pPr>
            <w:r>
              <w:rPr>
                <w:spacing w:val="-2"/>
              </w:rPr>
              <w:t>保函扫描件</w:t>
            </w:r>
          </w:p>
        </w:tc>
      </w:tr>
      <w:tr w14:paraId="17CC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Merge w:val="continue"/>
            <w:tcBorders>
              <w:top w:val="nil"/>
              <w:bottom w:val="nil"/>
            </w:tcBorders>
            <w:vAlign w:val="top"/>
          </w:tcPr>
          <w:p w14:paraId="78B01302">
            <w:pPr>
              <w:rPr>
                <w:rFonts w:ascii="Arial"/>
                <w:sz w:val="21"/>
              </w:rPr>
            </w:pPr>
          </w:p>
        </w:tc>
        <w:tc>
          <w:tcPr>
            <w:tcW w:w="7272" w:type="dxa"/>
            <w:gridSpan w:val="3"/>
            <w:vAlign w:val="top"/>
          </w:tcPr>
          <w:p w14:paraId="60B42A6B">
            <w:pPr>
              <w:rPr>
                <w:rFonts w:ascii="Arial"/>
                <w:sz w:val="21"/>
              </w:rPr>
            </w:pPr>
          </w:p>
        </w:tc>
      </w:tr>
      <w:tr w14:paraId="68D7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513" w:type="dxa"/>
            <w:vMerge w:val="continue"/>
            <w:tcBorders>
              <w:top w:val="nil"/>
              <w:bottom w:val="nil"/>
            </w:tcBorders>
            <w:vAlign w:val="top"/>
          </w:tcPr>
          <w:p w14:paraId="2C15D7F4">
            <w:pPr>
              <w:rPr>
                <w:rFonts w:ascii="Arial"/>
                <w:sz w:val="21"/>
              </w:rPr>
            </w:pPr>
          </w:p>
        </w:tc>
        <w:tc>
          <w:tcPr>
            <w:tcW w:w="7272" w:type="dxa"/>
            <w:gridSpan w:val="3"/>
            <w:vAlign w:val="top"/>
          </w:tcPr>
          <w:p w14:paraId="7DB4DF0B">
            <w:pPr>
              <w:pStyle w:val="11"/>
              <w:spacing w:before="32" w:line="204" w:lineRule="auto"/>
              <w:ind w:left="110"/>
            </w:pPr>
            <w:r>
              <w:rPr>
                <w:spacing w:val="-1"/>
              </w:rPr>
              <w:t>缴费凭证扫描件</w:t>
            </w:r>
          </w:p>
        </w:tc>
      </w:tr>
      <w:tr w14:paraId="4ACB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Merge w:val="continue"/>
            <w:tcBorders>
              <w:top w:val="nil"/>
              <w:bottom w:val="nil"/>
            </w:tcBorders>
            <w:vAlign w:val="top"/>
          </w:tcPr>
          <w:p w14:paraId="68046266">
            <w:pPr>
              <w:rPr>
                <w:rFonts w:ascii="Arial"/>
                <w:sz w:val="21"/>
              </w:rPr>
            </w:pPr>
          </w:p>
        </w:tc>
        <w:tc>
          <w:tcPr>
            <w:tcW w:w="7272" w:type="dxa"/>
            <w:gridSpan w:val="3"/>
            <w:vAlign w:val="top"/>
          </w:tcPr>
          <w:p w14:paraId="196D8E41">
            <w:pPr>
              <w:rPr>
                <w:rFonts w:ascii="Arial"/>
                <w:sz w:val="21"/>
              </w:rPr>
            </w:pPr>
          </w:p>
        </w:tc>
      </w:tr>
      <w:tr w14:paraId="44C5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Merge w:val="continue"/>
            <w:tcBorders>
              <w:top w:val="nil"/>
              <w:bottom w:val="nil"/>
            </w:tcBorders>
            <w:vAlign w:val="top"/>
          </w:tcPr>
          <w:p w14:paraId="1E4FF490">
            <w:pPr>
              <w:rPr>
                <w:rFonts w:ascii="Arial"/>
                <w:sz w:val="21"/>
              </w:rPr>
            </w:pPr>
          </w:p>
        </w:tc>
        <w:tc>
          <w:tcPr>
            <w:tcW w:w="7272" w:type="dxa"/>
            <w:gridSpan w:val="3"/>
            <w:vAlign w:val="top"/>
          </w:tcPr>
          <w:p w14:paraId="79E1ED8D">
            <w:pPr>
              <w:pStyle w:val="11"/>
              <w:spacing w:before="33" w:line="206" w:lineRule="auto"/>
              <w:ind w:left="112"/>
            </w:pPr>
            <w:r>
              <w:rPr>
                <w:spacing w:val="-1"/>
              </w:rPr>
              <w:t>基本户开户许可证扫描件</w:t>
            </w:r>
          </w:p>
        </w:tc>
      </w:tr>
      <w:tr w14:paraId="7C43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513" w:type="dxa"/>
            <w:vMerge w:val="continue"/>
            <w:tcBorders>
              <w:top w:val="nil"/>
              <w:bottom w:val="nil"/>
            </w:tcBorders>
            <w:vAlign w:val="top"/>
          </w:tcPr>
          <w:p w14:paraId="730F7070">
            <w:pPr>
              <w:rPr>
                <w:rFonts w:ascii="Arial"/>
                <w:sz w:val="21"/>
              </w:rPr>
            </w:pPr>
          </w:p>
        </w:tc>
        <w:tc>
          <w:tcPr>
            <w:tcW w:w="7272" w:type="dxa"/>
            <w:gridSpan w:val="3"/>
            <w:vAlign w:val="top"/>
          </w:tcPr>
          <w:p w14:paraId="3CAA46D7">
            <w:pPr>
              <w:rPr>
                <w:rFonts w:ascii="Arial"/>
                <w:sz w:val="21"/>
              </w:rPr>
            </w:pPr>
          </w:p>
        </w:tc>
      </w:tr>
      <w:tr w14:paraId="23EE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513" w:type="dxa"/>
            <w:vMerge w:val="continue"/>
            <w:tcBorders>
              <w:top w:val="nil"/>
              <w:bottom w:val="nil"/>
            </w:tcBorders>
            <w:vAlign w:val="top"/>
          </w:tcPr>
          <w:p w14:paraId="555FBF8C">
            <w:pPr>
              <w:rPr>
                <w:rFonts w:ascii="Arial"/>
                <w:sz w:val="21"/>
              </w:rPr>
            </w:pPr>
          </w:p>
        </w:tc>
        <w:tc>
          <w:tcPr>
            <w:tcW w:w="7272" w:type="dxa"/>
            <w:gridSpan w:val="3"/>
            <w:vAlign w:val="top"/>
          </w:tcPr>
          <w:p w14:paraId="3F866A66">
            <w:pPr>
              <w:pStyle w:val="11"/>
              <w:spacing w:before="34" w:line="205" w:lineRule="auto"/>
              <w:ind w:left="113"/>
            </w:pPr>
            <w:r>
              <w:rPr>
                <w:spacing w:val="-2"/>
              </w:rPr>
              <w:t>其他材料</w:t>
            </w:r>
          </w:p>
        </w:tc>
      </w:tr>
      <w:tr w14:paraId="1730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513" w:type="dxa"/>
            <w:vMerge w:val="continue"/>
            <w:tcBorders>
              <w:top w:val="nil"/>
            </w:tcBorders>
            <w:vAlign w:val="top"/>
          </w:tcPr>
          <w:p w14:paraId="11B92915">
            <w:pPr>
              <w:rPr>
                <w:rFonts w:ascii="Arial"/>
                <w:sz w:val="21"/>
              </w:rPr>
            </w:pPr>
          </w:p>
        </w:tc>
        <w:tc>
          <w:tcPr>
            <w:tcW w:w="7272" w:type="dxa"/>
            <w:gridSpan w:val="3"/>
            <w:vAlign w:val="top"/>
          </w:tcPr>
          <w:p w14:paraId="0DB5CC40">
            <w:pPr>
              <w:rPr>
                <w:rFonts w:ascii="Arial"/>
                <w:sz w:val="21"/>
              </w:rPr>
            </w:pPr>
          </w:p>
        </w:tc>
      </w:tr>
    </w:tbl>
    <w:p w14:paraId="000AF0EF">
      <w:pPr>
        <w:pStyle w:val="5"/>
      </w:pPr>
    </w:p>
    <w:p w14:paraId="76EE23D8">
      <w:pPr>
        <w:sectPr>
          <w:footerReference r:id="rId196" w:type="default"/>
          <w:pgSz w:w="11905" w:h="16843"/>
          <w:pgMar w:top="969" w:right="1355" w:bottom="1026" w:left="1480" w:header="0" w:footer="754" w:gutter="0"/>
          <w:cols w:space="0" w:num="1"/>
          <w:rtlGutter w:val="0"/>
          <w:docGrid w:linePitch="0" w:charSpace="0"/>
        </w:sectPr>
      </w:pPr>
    </w:p>
    <w:p w14:paraId="5F1DF0DA">
      <w:pPr>
        <w:pStyle w:val="5"/>
        <w:spacing w:line="253" w:lineRule="auto"/>
      </w:pPr>
    </w:p>
    <w:p w14:paraId="6AC1DD50">
      <w:pPr>
        <w:pStyle w:val="5"/>
        <w:spacing w:line="253" w:lineRule="auto"/>
      </w:pPr>
    </w:p>
    <w:p w14:paraId="13480158">
      <w:pPr>
        <w:pStyle w:val="5"/>
        <w:spacing w:line="253" w:lineRule="auto"/>
      </w:pPr>
    </w:p>
    <w:p w14:paraId="0EEBD651">
      <w:pPr>
        <w:pStyle w:val="5"/>
        <w:spacing w:line="253" w:lineRule="auto"/>
      </w:pPr>
    </w:p>
    <w:p w14:paraId="7389A925">
      <w:pPr>
        <w:pStyle w:val="5"/>
        <w:spacing w:line="253" w:lineRule="auto"/>
      </w:pPr>
    </w:p>
    <w:p w14:paraId="3F60B8E6">
      <w:pPr>
        <w:pStyle w:val="5"/>
        <w:spacing w:line="253" w:lineRule="auto"/>
      </w:pPr>
    </w:p>
    <w:p w14:paraId="1AE6396D">
      <w:pPr>
        <w:pStyle w:val="5"/>
        <w:spacing w:line="254" w:lineRule="auto"/>
      </w:pPr>
    </w:p>
    <w:p w14:paraId="3F22E05D">
      <w:pPr>
        <w:spacing w:before="91" w:line="219" w:lineRule="auto"/>
        <w:ind w:left="3359"/>
        <w:outlineLvl w:val="1"/>
        <w:rPr>
          <w:rFonts w:ascii="黑体" w:hAnsi="黑体" w:eastAsia="黑体" w:cs="黑体"/>
          <w:sz w:val="28"/>
          <w:szCs w:val="28"/>
        </w:rPr>
      </w:pPr>
      <w:bookmarkStart w:id="1364" w:name="bookmark662"/>
      <w:bookmarkEnd w:id="1364"/>
      <w:bookmarkStart w:id="1365" w:name="bookmark441"/>
      <w:bookmarkEnd w:id="1365"/>
      <w:r>
        <w:rPr>
          <w:rFonts w:ascii="黑体" w:hAnsi="黑体" w:eastAsia="黑体" w:cs="黑体"/>
          <w:spacing w:val="-4"/>
          <w:sz w:val="28"/>
          <w:szCs w:val="28"/>
        </w:rPr>
        <w:t>四、联合体协议书</w:t>
      </w:r>
    </w:p>
    <w:p w14:paraId="3CCC80B9">
      <w:pPr>
        <w:spacing w:before="121" w:line="221" w:lineRule="auto"/>
        <w:ind w:left="4044"/>
        <w:rPr>
          <w:rFonts w:ascii="宋体" w:hAnsi="宋体" w:eastAsia="宋体" w:cs="宋体"/>
          <w:sz w:val="21"/>
          <w:szCs w:val="21"/>
        </w:rPr>
      </w:pPr>
      <w:r>
        <w:rPr>
          <w:rFonts w:ascii="宋体" w:hAnsi="宋体" w:eastAsia="宋体" w:cs="宋体"/>
          <w:b/>
          <w:bCs/>
          <w:spacing w:val="-7"/>
          <w:sz w:val="21"/>
          <w:szCs w:val="21"/>
        </w:rPr>
        <w:t>（如有）</w:t>
      </w:r>
    </w:p>
    <w:p w14:paraId="13EADFCF">
      <w:pPr>
        <w:pStyle w:val="5"/>
        <w:spacing w:line="466" w:lineRule="auto"/>
      </w:pPr>
    </w:p>
    <w:p w14:paraId="455FB5E1">
      <w:pPr>
        <w:spacing w:before="68" w:line="220" w:lineRule="auto"/>
        <w:ind w:left="9"/>
        <w:rPr>
          <w:rFonts w:ascii="宋体" w:hAnsi="宋体" w:eastAsia="宋体" w:cs="宋体"/>
          <w:sz w:val="21"/>
          <w:szCs w:val="21"/>
        </w:rPr>
      </w:pPr>
      <w:r>
        <w:rPr>
          <w:rFonts w:ascii="宋体" w:hAnsi="宋体" w:eastAsia="宋体" w:cs="宋体"/>
          <w:spacing w:val="-2"/>
          <w:sz w:val="21"/>
          <w:szCs w:val="21"/>
        </w:rPr>
        <w:t>牵头人名称：</w:t>
      </w:r>
    </w:p>
    <w:p w14:paraId="46FBBBDE">
      <w:pPr>
        <w:spacing w:before="143" w:line="221" w:lineRule="auto"/>
        <w:ind w:left="9"/>
        <w:rPr>
          <w:rFonts w:ascii="宋体" w:hAnsi="宋体" w:eastAsia="宋体" w:cs="宋体"/>
          <w:sz w:val="21"/>
          <w:szCs w:val="21"/>
        </w:rPr>
      </w:pPr>
      <w:r>
        <w:rPr>
          <w:rFonts w:ascii="宋体" w:hAnsi="宋体" w:eastAsia="宋体" w:cs="宋体"/>
          <w:spacing w:val="-1"/>
          <w:sz w:val="21"/>
          <w:szCs w:val="21"/>
        </w:rPr>
        <w:t>法定代表人：</w:t>
      </w:r>
    </w:p>
    <w:p w14:paraId="50AA699C">
      <w:pPr>
        <w:spacing w:before="143" w:line="221" w:lineRule="auto"/>
        <w:ind w:left="9"/>
        <w:rPr>
          <w:rFonts w:ascii="宋体" w:hAnsi="宋体" w:eastAsia="宋体" w:cs="宋体"/>
          <w:sz w:val="21"/>
          <w:szCs w:val="21"/>
        </w:rPr>
      </w:pPr>
      <w:r>
        <w:rPr>
          <w:rFonts w:ascii="宋体" w:hAnsi="宋体" w:eastAsia="宋体" w:cs="宋体"/>
          <w:spacing w:val="-7"/>
          <w:sz w:val="21"/>
          <w:szCs w:val="21"/>
        </w:rPr>
        <w:t>法定住所：</w:t>
      </w:r>
    </w:p>
    <w:p w14:paraId="0AEB196D">
      <w:pPr>
        <w:pStyle w:val="5"/>
        <w:spacing w:line="464" w:lineRule="auto"/>
      </w:pPr>
    </w:p>
    <w:p w14:paraId="742116F1">
      <w:pPr>
        <w:spacing w:before="69" w:line="222" w:lineRule="auto"/>
        <w:ind w:left="9"/>
        <w:rPr>
          <w:rFonts w:ascii="宋体" w:hAnsi="宋体" w:eastAsia="宋体" w:cs="宋体"/>
          <w:sz w:val="21"/>
          <w:szCs w:val="21"/>
        </w:rPr>
      </w:pPr>
      <w:r>
        <w:rPr>
          <w:rFonts w:ascii="宋体" w:hAnsi="宋体" w:eastAsia="宋体" w:cs="宋体"/>
          <w:spacing w:val="-2"/>
          <w:sz w:val="21"/>
          <w:szCs w:val="21"/>
        </w:rPr>
        <w:t>成员二名称：</w:t>
      </w:r>
    </w:p>
    <w:p w14:paraId="30F96333">
      <w:pPr>
        <w:spacing w:before="140" w:line="221" w:lineRule="auto"/>
        <w:ind w:left="9"/>
        <w:rPr>
          <w:rFonts w:ascii="宋体" w:hAnsi="宋体" w:eastAsia="宋体" w:cs="宋体"/>
          <w:sz w:val="21"/>
          <w:szCs w:val="21"/>
        </w:rPr>
      </w:pPr>
      <w:r>
        <w:rPr>
          <w:rFonts w:ascii="宋体" w:hAnsi="宋体" w:eastAsia="宋体" w:cs="宋体"/>
          <w:spacing w:val="-1"/>
          <w:sz w:val="21"/>
          <w:szCs w:val="21"/>
        </w:rPr>
        <w:t>法定代表人：</w:t>
      </w:r>
    </w:p>
    <w:p w14:paraId="6812BB4A">
      <w:pPr>
        <w:spacing w:before="146" w:line="221" w:lineRule="auto"/>
        <w:ind w:left="9"/>
        <w:rPr>
          <w:rFonts w:ascii="宋体" w:hAnsi="宋体" w:eastAsia="宋体" w:cs="宋体"/>
          <w:sz w:val="21"/>
          <w:szCs w:val="21"/>
        </w:rPr>
      </w:pPr>
      <w:r>
        <w:rPr>
          <w:rFonts w:ascii="宋体" w:hAnsi="宋体" w:eastAsia="宋体" w:cs="宋体"/>
          <w:spacing w:val="-7"/>
          <w:sz w:val="21"/>
          <w:szCs w:val="21"/>
        </w:rPr>
        <w:t>法定住所：</w:t>
      </w:r>
    </w:p>
    <w:p w14:paraId="61280725">
      <w:pPr>
        <w:spacing w:before="142" w:line="332" w:lineRule="exact"/>
        <w:ind w:left="547"/>
        <w:rPr>
          <w:rFonts w:ascii="宋体" w:hAnsi="宋体" w:eastAsia="宋体" w:cs="宋体"/>
          <w:sz w:val="21"/>
          <w:szCs w:val="21"/>
        </w:rPr>
      </w:pPr>
      <w:r>
        <w:rPr>
          <w:rFonts w:ascii="宋体" w:hAnsi="宋体" w:eastAsia="宋体" w:cs="宋体"/>
          <w:spacing w:val="-5"/>
          <w:position w:val="2"/>
          <w:sz w:val="21"/>
          <w:szCs w:val="21"/>
        </w:rPr>
        <w:t>……</w:t>
      </w:r>
    </w:p>
    <w:p w14:paraId="6D836731">
      <w:pPr>
        <w:spacing w:before="61" w:line="221" w:lineRule="auto"/>
        <w:ind w:left="430"/>
        <w:rPr>
          <w:rFonts w:ascii="宋体" w:hAnsi="宋体" w:eastAsia="宋体" w:cs="宋体"/>
          <w:sz w:val="21"/>
          <w:szCs w:val="21"/>
        </w:rPr>
      </w:pPr>
      <w:r>
        <w:rPr>
          <w:rFonts w:ascii="宋体" w:hAnsi="宋体" w:eastAsia="宋体" w:cs="宋体"/>
          <w:spacing w:val="-1"/>
          <w:sz w:val="21"/>
          <w:szCs w:val="21"/>
        </w:rPr>
        <w:t>鉴于上述各成员单位经过友好协商，自愿组成</w:t>
      </w:r>
      <w:r>
        <w:rPr>
          <w:rFonts w:ascii="宋体" w:hAnsi="宋体" w:eastAsia="宋体" w:cs="宋体"/>
          <w:spacing w:val="19"/>
          <w:sz w:val="21"/>
          <w:szCs w:val="21"/>
          <w:u w:val="single" w:color="auto"/>
        </w:rPr>
        <w:t xml:space="preserve">      </w:t>
      </w:r>
      <w:r>
        <w:rPr>
          <w:rFonts w:ascii="宋体" w:hAnsi="宋体" w:eastAsia="宋体" w:cs="宋体"/>
          <w:spacing w:val="-1"/>
          <w:sz w:val="21"/>
          <w:szCs w:val="21"/>
        </w:rPr>
        <w:t>（联合体名称）联合体，共同参加</w:t>
      </w:r>
    </w:p>
    <w:p w14:paraId="7AC77161">
      <w:pPr>
        <w:tabs>
          <w:tab w:val="left" w:pos="1891"/>
        </w:tabs>
        <w:spacing w:before="142" w:line="347" w:lineRule="auto"/>
        <w:ind w:left="12" w:right="163" w:hanging="1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u w:val="single" w:color="auto"/>
        </w:rPr>
        <w:tab/>
      </w:r>
      <w:r>
        <w:rPr>
          <w:rFonts w:ascii="宋体" w:hAnsi="宋体" w:eastAsia="宋体" w:cs="宋体"/>
          <w:spacing w:val="-1"/>
          <w:sz w:val="21"/>
          <w:szCs w:val="21"/>
        </w:rPr>
        <w:t>（招标人名称</w:t>
      </w:r>
      <w:r>
        <w:rPr>
          <w:rFonts w:ascii="宋体" w:hAnsi="宋体" w:eastAsia="宋体" w:cs="宋体"/>
          <w:spacing w:val="-34"/>
          <w:sz w:val="21"/>
          <w:szCs w:val="21"/>
        </w:rPr>
        <w:t>）（</w:t>
      </w:r>
      <w:r>
        <w:rPr>
          <w:rFonts w:ascii="宋体" w:hAnsi="宋体" w:eastAsia="宋体" w:cs="宋体"/>
          <w:spacing w:val="-1"/>
          <w:sz w:val="21"/>
          <w:szCs w:val="21"/>
        </w:rPr>
        <w:t>以下简称招标人</w:t>
      </w:r>
      <w:r>
        <w:rPr>
          <w:rFonts w:ascii="宋体" w:hAnsi="宋体" w:eastAsia="宋体" w:cs="宋体"/>
          <w:spacing w:val="-34"/>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4"/>
          <w:sz w:val="21"/>
          <w:szCs w:val="21"/>
        </w:rPr>
        <w:t>（</w:t>
      </w:r>
      <w:r>
        <w:rPr>
          <w:rFonts w:ascii="宋体" w:hAnsi="宋体" w:eastAsia="宋体" w:cs="宋体"/>
          <w:spacing w:val="-1"/>
          <w:sz w:val="21"/>
          <w:szCs w:val="21"/>
        </w:rPr>
        <w:t>标段名称</w:t>
      </w:r>
      <w:r>
        <w:rPr>
          <w:rFonts w:ascii="宋体" w:hAnsi="宋体" w:eastAsia="宋体" w:cs="宋体"/>
          <w:spacing w:val="-34"/>
          <w:sz w:val="21"/>
          <w:szCs w:val="21"/>
        </w:rPr>
        <w:t>）（</w:t>
      </w:r>
      <w:r>
        <w:rPr>
          <w:rFonts w:ascii="宋体" w:hAnsi="宋体" w:eastAsia="宋体" w:cs="宋体"/>
          <w:spacing w:val="-1"/>
          <w:sz w:val="21"/>
          <w:szCs w:val="21"/>
        </w:rPr>
        <w:t>以下</w:t>
      </w:r>
      <w:r>
        <w:rPr>
          <w:rFonts w:ascii="宋体" w:hAnsi="宋体" w:eastAsia="宋体" w:cs="宋体"/>
          <w:spacing w:val="2"/>
          <w:sz w:val="21"/>
          <w:szCs w:val="21"/>
        </w:rPr>
        <w:t>简称本工程）的施工投标并争取赢得本工程</w:t>
      </w:r>
      <w:r>
        <w:rPr>
          <w:rFonts w:ascii="宋体" w:hAnsi="宋体" w:eastAsia="宋体" w:cs="宋体"/>
          <w:spacing w:val="1"/>
          <w:sz w:val="21"/>
          <w:szCs w:val="21"/>
        </w:rPr>
        <w:t>施工承包合同（以下简称合同）。现就联合体投标事</w:t>
      </w:r>
      <w:r>
        <w:rPr>
          <w:rFonts w:ascii="宋体" w:hAnsi="宋体" w:eastAsia="宋体" w:cs="宋体"/>
          <w:spacing w:val="-2"/>
          <w:sz w:val="21"/>
          <w:szCs w:val="21"/>
        </w:rPr>
        <w:t>宜订立如下协议：</w:t>
      </w:r>
    </w:p>
    <w:p w14:paraId="14B6F4AD">
      <w:pPr>
        <w:spacing w:before="1" w:line="219" w:lineRule="auto"/>
        <w:ind w:left="443"/>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14"/>
          <w:sz w:val="21"/>
          <w:szCs w:val="21"/>
        </w:rPr>
        <w:t>．</w:t>
      </w:r>
      <w:r>
        <w:rPr>
          <w:rFonts w:ascii="宋体" w:hAnsi="宋体" w:eastAsia="宋体" w:cs="宋体"/>
          <w:sz w:val="21"/>
          <w:szCs w:val="21"/>
          <w:u w:val="single" w:color="auto"/>
        </w:rPr>
        <w:t xml:space="preserve">        </w:t>
      </w:r>
      <w:r>
        <w:rPr>
          <w:rFonts w:ascii="宋体" w:hAnsi="宋体" w:eastAsia="宋体" w:cs="宋体"/>
          <w:spacing w:val="-14"/>
          <w:sz w:val="21"/>
          <w:szCs w:val="21"/>
        </w:rPr>
        <w:t>（</w:t>
      </w:r>
      <w:r>
        <w:rPr>
          <w:rFonts w:ascii="宋体" w:hAnsi="宋体" w:eastAsia="宋体" w:cs="宋体"/>
          <w:sz w:val="21"/>
          <w:szCs w:val="21"/>
        </w:rPr>
        <w:t>某成员单位名称）为</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z w:val="21"/>
          <w:szCs w:val="21"/>
        </w:rPr>
        <w:t>（联合</w:t>
      </w:r>
      <w:r>
        <w:rPr>
          <w:rFonts w:ascii="宋体" w:hAnsi="宋体" w:eastAsia="宋体" w:cs="宋体"/>
          <w:spacing w:val="-1"/>
          <w:sz w:val="21"/>
          <w:szCs w:val="21"/>
        </w:rPr>
        <w:t>体名称）牵头人。</w:t>
      </w:r>
    </w:p>
    <w:p w14:paraId="5976019C">
      <w:pPr>
        <w:spacing w:before="143" w:line="304" w:lineRule="auto"/>
        <w:ind w:left="7" w:firstLine="423"/>
        <w:rPr>
          <w:rFonts w:ascii="宋体" w:hAnsi="宋体" w:eastAsia="宋体" w:cs="宋体"/>
          <w:sz w:val="21"/>
          <w:szCs w:val="21"/>
        </w:rPr>
      </w:pPr>
      <w:r>
        <w:rPr>
          <w:rFonts w:ascii="宋体" w:hAnsi="宋体" w:eastAsia="宋体" w:cs="宋体"/>
          <w:spacing w:val="3"/>
          <w:sz w:val="21"/>
          <w:szCs w:val="21"/>
        </w:rPr>
        <w:t>2．在本工程投标阶段，联合体牵头人合法代表联合体各成员负责本工程投标文件编制活</w:t>
      </w:r>
      <w:r>
        <w:rPr>
          <w:rFonts w:ascii="宋体" w:hAnsi="宋体" w:eastAsia="宋体" w:cs="宋体"/>
          <w:spacing w:val="2"/>
          <w:sz w:val="21"/>
          <w:szCs w:val="21"/>
        </w:rPr>
        <w:t>动，代表联合体提交和接收相关的资料、信息及指示，并处理与投标和中标</w:t>
      </w:r>
      <w:r>
        <w:rPr>
          <w:rFonts w:ascii="宋体" w:hAnsi="宋体" w:eastAsia="宋体" w:cs="宋体"/>
          <w:spacing w:val="1"/>
          <w:sz w:val="21"/>
          <w:szCs w:val="21"/>
        </w:rPr>
        <w:t>有关的一切事务；联合体</w:t>
      </w:r>
      <w:r>
        <w:rPr>
          <w:rFonts w:ascii="宋体" w:hAnsi="宋体" w:eastAsia="宋体" w:cs="宋体"/>
          <w:spacing w:val="-1"/>
          <w:sz w:val="21"/>
          <w:szCs w:val="21"/>
        </w:rPr>
        <w:t>中标后，联合体牵头人负责合同订立和合同实施阶段的主办、组织和协调工作。</w:t>
      </w:r>
    </w:p>
    <w:p w14:paraId="736CEB39">
      <w:pPr>
        <w:spacing w:before="144" w:line="305" w:lineRule="auto"/>
        <w:ind w:left="7" w:firstLine="425"/>
        <w:rPr>
          <w:rFonts w:ascii="宋体" w:hAnsi="宋体" w:eastAsia="宋体" w:cs="宋体"/>
          <w:sz w:val="21"/>
          <w:szCs w:val="21"/>
        </w:rPr>
      </w:pPr>
      <w:r>
        <w:rPr>
          <w:rFonts w:ascii="宋体" w:hAnsi="宋体" w:eastAsia="宋体" w:cs="宋体"/>
          <w:spacing w:val="3"/>
          <w:sz w:val="21"/>
          <w:szCs w:val="21"/>
        </w:rPr>
        <w:t>3．联合体将严格按照招标文件的各项要求，递交投标文件，履行投标义务和中标后的</w:t>
      </w:r>
      <w:r>
        <w:rPr>
          <w:rFonts w:ascii="宋体" w:hAnsi="宋体" w:eastAsia="宋体" w:cs="宋体"/>
          <w:spacing w:val="2"/>
          <w:sz w:val="21"/>
          <w:szCs w:val="21"/>
        </w:rPr>
        <w:t>合同，共同承担合同规定的一切义务和责任，联合体各成员单位按照内部职责</w:t>
      </w:r>
      <w:r>
        <w:rPr>
          <w:rFonts w:ascii="宋体" w:hAnsi="宋体" w:eastAsia="宋体" w:cs="宋体"/>
          <w:spacing w:val="1"/>
          <w:sz w:val="21"/>
          <w:szCs w:val="21"/>
        </w:rPr>
        <w:t>的部分，承担各自所负的</w:t>
      </w:r>
      <w:r>
        <w:rPr>
          <w:rFonts w:ascii="宋体" w:hAnsi="宋体" w:eastAsia="宋体" w:cs="宋体"/>
          <w:spacing w:val="-1"/>
          <w:sz w:val="21"/>
          <w:szCs w:val="21"/>
        </w:rPr>
        <w:t>责任和风险，并向招标人承担连带责任。</w:t>
      </w:r>
    </w:p>
    <w:p w14:paraId="6483F657">
      <w:pPr>
        <w:spacing w:before="142" w:line="221" w:lineRule="auto"/>
        <w:ind w:left="427"/>
        <w:rPr>
          <w:rFonts w:ascii="宋体" w:hAnsi="宋体" w:eastAsia="宋体" w:cs="宋体"/>
          <w:sz w:val="21"/>
          <w:szCs w:val="21"/>
        </w:rPr>
      </w:pPr>
      <w:r>
        <w:rPr>
          <w:rFonts w:ascii="宋体" w:hAnsi="宋体" w:eastAsia="宋体" w:cs="宋体"/>
          <w:sz w:val="21"/>
          <w:szCs w:val="21"/>
        </w:rPr>
        <w:t>4．联合体各成员单位内部的职责分工如下：</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2A4FD527">
      <w:pPr>
        <w:spacing w:before="142" w:line="221" w:lineRule="auto"/>
        <w:ind w:left="432"/>
        <w:rPr>
          <w:rFonts w:ascii="宋体" w:hAnsi="宋体" w:eastAsia="宋体" w:cs="宋体"/>
          <w:sz w:val="21"/>
          <w:szCs w:val="21"/>
        </w:rPr>
      </w:pPr>
      <w:r>
        <w:rPr>
          <w:rFonts w:ascii="宋体" w:hAnsi="宋体" w:eastAsia="宋体" w:cs="宋体"/>
          <w:sz w:val="21"/>
          <w:szCs w:val="21"/>
        </w:rPr>
        <w:t>5．投标工作和联合体在中标后工程实施过程中的有关费用按各自承担</w:t>
      </w:r>
      <w:r>
        <w:rPr>
          <w:rFonts w:ascii="宋体" w:hAnsi="宋体" w:eastAsia="宋体" w:cs="宋体"/>
          <w:spacing w:val="-1"/>
          <w:sz w:val="21"/>
          <w:szCs w:val="21"/>
        </w:rPr>
        <w:t>的工作量分摊。</w:t>
      </w:r>
    </w:p>
    <w:p w14:paraId="3331E33B">
      <w:pPr>
        <w:spacing w:before="143" w:line="220" w:lineRule="auto"/>
        <w:ind w:left="429"/>
        <w:rPr>
          <w:rFonts w:ascii="宋体" w:hAnsi="宋体" w:eastAsia="宋体" w:cs="宋体"/>
          <w:sz w:val="21"/>
          <w:szCs w:val="21"/>
        </w:rPr>
      </w:pPr>
      <w:r>
        <w:rPr>
          <w:rFonts w:ascii="宋体" w:hAnsi="宋体" w:eastAsia="宋体" w:cs="宋体"/>
          <w:sz w:val="21"/>
          <w:szCs w:val="21"/>
        </w:rPr>
        <w:t>6．联合体中标后，本联合体协议是合同的附件，对联合体各成员单位有合</w:t>
      </w:r>
      <w:r>
        <w:rPr>
          <w:rFonts w:ascii="宋体" w:hAnsi="宋体" w:eastAsia="宋体" w:cs="宋体"/>
          <w:spacing w:val="-1"/>
          <w:sz w:val="21"/>
          <w:szCs w:val="21"/>
        </w:rPr>
        <w:t>同约束力。</w:t>
      </w:r>
    </w:p>
    <w:p w14:paraId="2346FA41">
      <w:pPr>
        <w:spacing w:before="143" w:line="220" w:lineRule="auto"/>
        <w:ind w:left="433"/>
        <w:rPr>
          <w:rFonts w:ascii="宋体" w:hAnsi="宋体" w:eastAsia="宋体" w:cs="宋体"/>
          <w:sz w:val="21"/>
          <w:szCs w:val="21"/>
        </w:rPr>
      </w:pPr>
      <w:r>
        <w:rPr>
          <w:rFonts w:ascii="宋体" w:hAnsi="宋体" w:eastAsia="宋体" w:cs="宋体"/>
          <w:spacing w:val="-1"/>
          <w:sz w:val="21"/>
          <w:szCs w:val="21"/>
        </w:rPr>
        <w:t>7．本协议书自签署之日起生效，联合体未中标或者中标合同履行完毕后自动失效。</w:t>
      </w:r>
    </w:p>
    <w:p w14:paraId="35A52C51">
      <w:pPr>
        <w:spacing w:before="144" w:line="220" w:lineRule="auto"/>
        <w:ind w:left="429"/>
        <w:rPr>
          <w:rFonts w:ascii="宋体" w:hAnsi="宋体" w:eastAsia="宋体" w:cs="宋体"/>
          <w:sz w:val="21"/>
          <w:szCs w:val="21"/>
        </w:rPr>
      </w:pPr>
      <w:r>
        <w:rPr>
          <w:rFonts w:ascii="宋体" w:hAnsi="宋体" w:eastAsia="宋体" w:cs="宋体"/>
          <w:spacing w:val="-1"/>
          <w:sz w:val="21"/>
          <w:szCs w:val="21"/>
        </w:rPr>
        <w:t>8．本协议书一式</w:t>
      </w:r>
      <w:r>
        <w:rPr>
          <w:rFonts w:ascii="宋体" w:hAnsi="宋体" w:eastAsia="宋体" w:cs="宋体"/>
          <w:spacing w:val="-1"/>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1"/>
          <w:sz w:val="21"/>
          <w:szCs w:val="21"/>
        </w:rPr>
        <w:t>份，联合体成员和招标人各执一份。</w:t>
      </w:r>
    </w:p>
    <w:p w14:paraId="671EF691">
      <w:pPr>
        <w:pStyle w:val="5"/>
        <w:spacing w:line="250" w:lineRule="auto"/>
      </w:pPr>
    </w:p>
    <w:p w14:paraId="65A0D4A3">
      <w:pPr>
        <w:pStyle w:val="5"/>
        <w:spacing w:line="250" w:lineRule="auto"/>
      </w:pPr>
    </w:p>
    <w:p w14:paraId="6DA43524">
      <w:pPr>
        <w:pStyle w:val="5"/>
        <w:spacing w:line="250" w:lineRule="auto"/>
      </w:pPr>
    </w:p>
    <w:p w14:paraId="6F27C7D7">
      <w:pPr>
        <w:pStyle w:val="5"/>
        <w:spacing w:line="250" w:lineRule="auto"/>
      </w:pPr>
    </w:p>
    <w:p w14:paraId="701D6360">
      <w:pPr>
        <w:pStyle w:val="5"/>
        <w:spacing w:line="250" w:lineRule="auto"/>
      </w:pPr>
    </w:p>
    <w:p w14:paraId="201C9F48">
      <w:pPr>
        <w:spacing w:before="69" w:line="220" w:lineRule="auto"/>
        <w:ind w:left="1795"/>
        <w:rPr>
          <w:rFonts w:ascii="宋体" w:hAnsi="宋体" w:eastAsia="宋体" w:cs="宋体"/>
          <w:sz w:val="21"/>
          <w:szCs w:val="21"/>
        </w:rPr>
      </w:pPr>
      <w:r>
        <w:rPr>
          <w:rFonts w:ascii="宋体" w:hAnsi="宋体" w:eastAsia="宋体" w:cs="宋体"/>
          <w:spacing w:val="-1"/>
          <w:sz w:val="21"/>
          <w:szCs w:val="21"/>
        </w:rPr>
        <w:t>牵头人名称</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
          <w:sz w:val="21"/>
          <w:szCs w:val="21"/>
        </w:rPr>
        <w:t>盖单位章）</w:t>
      </w:r>
    </w:p>
    <w:p w14:paraId="4ED6C071">
      <w:pPr>
        <w:spacing w:before="143" w:line="220" w:lineRule="auto"/>
        <w:ind w:left="1794"/>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签章）</w:t>
      </w:r>
    </w:p>
    <w:p w14:paraId="64322AC5">
      <w:pPr>
        <w:spacing w:line="220" w:lineRule="auto"/>
        <w:rPr>
          <w:rFonts w:ascii="宋体" w:hAnsi="宋体" w:eastAsia="宋体" w:cs="宋体"/>
          <w:sz w:val="21"/>
          <w:szCs w:val="21"/>
        </w:rPr>
        <w:sectPr>
          <w:footerReference r:id="rId197" w:type="default"/>
          <w:pgSz w:w="11905" w:h="16843"/>
          <w:pgMar w:top="969" w:right="1355" w:bottom="1026" w:left="1480" w:header="0" w:footer="754" w:gutter="0"/>
          <w:cols w:space="0" w:num="1"/>
          <w:rtlGutter w:val="0"/>
          <w:docGrid w:linePitch="0" w:charSpace="0"/>
        </w:sectPr>
      </w:pPr>
    </w:p>
    <w:p w14:paraId="7674A144">
      <w:pPr>
        <w:pStyle w:val="5"/>
        <w:spacing w:line="271" w:lineRule="auto"/>
      </w:pPr>
    </w:p>
    <w:p w14:paraId="43B6B566">
      <w:pPr>
        <w:pStyle w:val="5"/>
        <w:spacing w:line="271" w:lineRule="auto"/>
      </w:pPr>
    </w:p>
    <w:p w14:paraId="0E07A668">
      <w:pPr>
        <w:pStyle w:val="5"/>
        <w:spacing w:line="272" w:lineRule="auto"/>
      </w:pPr>
    </w:p>
    <w:p w14:paraId="605DFD21">
      <w:pPr>
        <w:pStyle w:val="5"/>
        <w:spacing w:line="272" w:lineRule="auto"/>
      </w:pPr>
    </w:p>
    <w:p w14:paraId="13695EC9">
      <w:pPr>
        <w:pStyle w:val="5"/>
        <w:spacing w:line="272" w:lineRule="auto"/>
      </w:pPr>
    </w:p>
    <w:p w14:paraId="6803684C">
      <w:pPr>
        <w:spacing w:before="68" w:line="220" w:lineRule="auto"/>
        <w:ind w:left="1784"/>
        <w:rPr>
          <w:rFonts w:ascii="宋体" w:hAnsi="宋体" w:eastAsia="宋体" w:cs="宋体"/>
          <w:sz w:val="21"/>
          <w:szCs w:val="21"/>
        </w:rPr>
      </w:pPr>
      <w:bookmarkStart w:id="1366" w:name="bookmark663"/>
      <w:bookmarkEnd w:id="1366"/>
      <w:r>
        <w:rPr>
          <w:rFonts w:ascii="宋体" w:hAnsi="宋体" w:eastAsia="宋体" w:cs="宋体"/>
          <w:spacing w:val="-1"/>
          <w:sz w:val="21"/>
          <w:szCs w:val="21"/>
        </w:rPr>
        <w:t>成员二名称</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
          <w:sz w:val="21"/>
          <w:szCs w:val="21"/>
        </w:rPr>
        <w:t>盖单位章）</w:t>
      </w:r>
    </w:p>
    <w:p w14:paraId="726F78B6">
      <w:pPr>
        <w:spacing w:before="143" w:line="346" w:lineRule="auto"/>
        <w:ind w:left="2109" w:right="722" w:hanging="326"/>
        <w:rPr>
          <w:rFonts w:ascii="宋体" w:hAnsi="宋体" w:eastAsia="宋体" w:cs="宋体"/>
          <w:sz w:val="21"/>
          <w:szCs w:val="21"/>
        </w:rPr>
      </w:pPr>
      <w:r>
        <w:rPr>
          <w:rFonts w:ascii="宋体" w:hAnsi="宋体" w:eastAsia="宋体" w:cs="宋体"/>
          <w:sz w:val="21"/>
          <w:szCs w:val="21"/>
        </w:rPr>
        <w:t>法定代表人或授权委托人</w:t>
      </w:r>
      <w:r>
        <w:rPr>
          <w:rFonts w:ascii="宋体" w:hAnsi="宋体" w:eastAsia="宋体" w:cs="宋体"/>
          <w:spacing w:val="-11"/>
          <w:sz w:val="21"/>
          <w:szCs w:val="21"/>
        </w:rPr>
        <w:t>：</w:t>
      </w:r>
      <w:r>
        <w:rPr>
          <w:rFonts w:ascii="宋体" w:hAnsi="宋体" w:eastAsia="宋体" w:cs="宋体"/>
          <w:sz w:val="21"/>
          <w:szCs w:val="21"/>
          <w:u w:val="single" w:color="auto"/>
        </w:rPr>
        <w:t xml:space="preserve">                            </w:t>
      </w:r>
      <w:r>
        <w:rPr>
          <w:rFonts w:ascii="宋体" w:hAnsi="宋体" w:eastAsia="宋体" w:cs="宋体"/>
          <w:spacing w:val="-11"/>
          <w:sz w:val="21"/>
          <w:szCs w:val="21"/>
        </w:rPr>
        <w:t>（</w:t>
      </w:r>
      <w:r>
        <w:rPr>
          <w:rFonts w:ascii="宋体" w:hAnsi="宋体" w:eastAsia="宋体" w:cs="宋体"/>
          <w:sz w:val="21"/>
          <w:szCs w:val="21"/>
        </w:rPr>
        <w:t xml:space="preserve">签章） </w:t>
      </w:r>
      <w:r>
        <w:rPr>
          <w:rFonts w:ascii="宋体" w:hAnsi="宋体" w:eastAsia="宋体" w:cs="宋体"/>
          <w:spacing w:val="-5"/>
          <w:sz w:val="21"/>
          <w:szCs w:val="21"/>
        </w:rPr>
        <w:t>……</w:t>
      </w:r>
    </w:p>
    <w:p w14:paraId="5580AEDA">
      <w:pPr>
        <w:tabs>
          <w:tab w:val="left" w:pos="5427"/>
        </w:tabs>
        <w:spacing w:line="220" w:lineRule="auto"/>
        <w:ind w:left="458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4"/>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日</w:t>
      </w:r>
    </w:p>
    <w:p w14:paraId="635A154B">
      <w:pPr>
        <w:pStyle w:val="5"/>
        <w:spacing w:line="251" w:lineRule="auto"/>
      </w:pPr>
    </w:p>
    <w:p w14:paraId="31E263E6">
      <w:pPr>
        <w:pStyle w:val="5"/>
        <w:spacing w:line="251" w:lineRule="auto"/>
      </w:pPr>
    </w:p>
    <w:p w14:paraId="753CB6E3">
      <w:pPr>
        <w:pStyle w:val="5"/>
        <w:spacing w:line="251" w:lineRule="auto"/>
      </w:pPr>
    </w:p>
    <w:p w14:paraId="31D006EE">
      <w:pPr>
        <w:pStyle w:val="5"/>
        <w:spacing w:line="251" w:lineRule="auto"/>
      </w:pPr>
    </w:p>
    <w:p w14:paraId="78CE389D">
      <w:pPr>
        <w:pStyle w:val="5"/>
        <w:spacing w:line="251" w:lineRule="auto"/>
      </w:pPr>
    </w:p>
    <w:p w14:paraId="0F82A4AF">
      <w:pPr>
        <w:pStyle w:val="5"/>
        <w:spacing w:line="251" w:lineRule="auto"/>
      </w:pPr>
    </w:p>
    <w:p w14:paraId="5C36E289">
      <w:pPr>
        <w:pStyle w:val="5"/>
        <w:spacing w:line="251" w:lineRule="auto"/>
      </w:pPr>
    </w:p>
    <w:p w14:paraId="72046A02">
      <w:pPr>
        <w:pStyle w:val="5"/>
        <w:spacing w:line="252" w:lineRule="auto"/>
      </w:pPr>
    </w:p>
    <w:p w14:paraId="4A00F557">
      <w:pPr>
        <w:pStyle w:val="5"/>
        <w:spacing w:line="252" w:lineRule="auto"/>
      </w:pPr>
    </w:p>
    <w:p w14:paraId="7A3BAB6E">
      <w:pPr>
        <w:pStyle w:val="5"/>
        <w:spacing w:line="252" w:lineRule="auto"/>
      </w:pPr>
    </w:p>
    <w:p w14:paraId="212D2BBC">
      <w:pPr>
        <w:pStyle w:val="5"/>
        <w:spacing w:line="252" w:lineRule="auto"/>
      </w:pPr>
    </w:p>
    <w:p w14:paraId="17FF3590">
      <w:pPr>
        <w:pStyle w:val="5"/>
        <w:spacing w:line="252" w:lineRule="auto"/>
      </w:pPr>
    </w:p>
    <w:p w14:paraId="300DAB8F">
      <w:pPr>
        <w:pStyle w:val="5"/>
        <w:spacing w:line="252" w:lineRule="auto"/>
      </w:pPr>
    </w:p>
    <w:p w14:paraId="56988C82">
      <w:pPr>
        <w:pStyle w:val="5"/>
        <w:spacing w:line="252" w:lineRule="auto"/>
      </w:pPr>
    </w:p>
    <w:p w14:paraId="36E715EF">
      <w:pPr>
        <w:pStyle w:val="5"/>
        <w:spacing w:line="252" w:lineRule="auto"/>
      </w:pPr>
    </w:p>
    <w:p w14:paraId="24BFBAD7">
      <w:pPr>
        <w:pStyle w:val="5"/>
        <w:spacing w:line="252" w:lineRule="auto"/>
      </w:pPr>
    </w:p>
    <w:p w14:paraId="3B2B58DD">
      <w:pPr>
        <w:pStyle w:val="5"/>
        <w:spacing w:line="252" w:lineRule="auto"/>
      </w:pPr>
    </w:p>
    <w:p w14:paraId="6D700F33">
      <w:pPr>
        <w:pStyle w:val="5"/>
        <w:spacing w:line="252" w:lineRule="auto"/>
      </w:pPr>
    </w:p>
    <w:p w14:paraId="5AD20879">
      <w:pPr>
        <w:pStyle w:val="5"/>
        <w:spacing w:line="252" w:lineRule="auto"/>
      </w:pPr>
    </w:p>
    <w:p w14:paraId="2425EFB8">
      <w:pPr>
        <w:spacing w:before="68" w:line="220" w:lineRule="auto"/>
        <w:rPr>
          <w:rFonts w:ascii="宋体" w:hAnsi="宋体" w:eastAsia="宋体" w:cs="宋体"/>
          <w:sz w:val="21"/>
          <w:szCs w:val="21"/>
        </w:rPr>
      </w:pPr>
      <w:r>
        <w:rPr>
          <w:rFonts w:ascii="宋体" w:hAnsi="宋体" w:eastAsia="宋体" w:cs="宋体"/>
          <w:sz w:val="21"/>
          <w:szCs w:val="21"/>
        </w:rPr>
        <w:t>备注：1.本协议书由委托代理人签字的，应附法定代表人签字的授</w:t>
      </w:r>
      <w:r>
        <w:rPr>
          <w:rFonts w:ascii="宋体" w:hAnsi="宋体" w:eastAsia="宋体" w:cs="宋体"/>
          <w:spacing w:val="-1"/>
          <w:sz w:val="21"/>
          <w:szCs w:val="21"/>
        </w:rPr>
        <w:t>权委托书。</w:t>
      </w:r>
    </w:p>
    <w:p w14:paraId="1CF543E5">
      <w:pPr>
        <w:spacing w:before="143" w:line="220" w:lineRule="auto"/>
        <w:jc w:val="right"/>
        <w:rPr>
          <w:rFonts w:ascii="宋体" w:hAnsi="宋体" w:eastAsia="宋体" w:cs="宋体"/>
          <w:sz w:val="21"/>
          <w:szCs w:val="21"/>
        </w:rPr>
      </w:pPr>
      <w:r>
        <w:rPr>
          <w:rFonts w:ascii="宋体" w:hAnsi="宋体" w:eastAsia="宋体" w:cs="宋体"/>
          <w:spacing w:val="-1"/>
          <w:sz w:val="21"/>
          <w:szCs w:val="21"/>
        </w:rPr>
        <w:t>2.投标人未采用联合体投标的，投标文件中不需联合体协议书，也无须盖单位章和签字。</w:t>
      </w:r>
    </w:p>
    <w:p w14:paraId="296423D4">
      <w:pPr>
        <w:spacing w:line="220" w:lineRule="auto"/>
        <w:rPr>
          <w:rFonts w:ascii="宋体" w:hAnsi="宋体" w:eastAsia="宋体" w:cs="宋体"/>
          <w:sz w:val="21"/>
          <w:szCs w:val="21"/>
        </w:rPr>
        <w:sectPr>
          <w:footerReference r:id="rId198" w:type="default"/>
          <w:pgSz w:w="11905" w:h="16843"/>
          <w:pgMar w:top="969" w:right="1355" w:bottom="1026" w:left="1480" w:header="0" w:footer="754" w:gutter="0"/>
          <w:cols w:space="0" w:num="1"/>
          <w:rtlGutter w:val="0"/>
          <w:docGrid w:linePitch="0" w:charSpace="0"/>
        </w:sectPr>
      </w:pPr>
    </w:p>
    <w:p w14:paraId="084BDD46">
      <w:pPr>
        <w:pStyle w:val="5"/>
        <w:spacing w:line="256" w:lineRule="auto"/>
      </w:pPr>
    </w:p>
    <w:p w14:paraId="091CE1F6">
      <w:pPr>
        <w:pStyle w:val="5"/>
        <w:spacing w:line="256" w:lineRule="auto"/>
      </w:pPr>
    </w:p>
    <w:p w14:paraId="14AABE99">
      <w:pPr>
        <w:pStyle w:val="5"/>
        <w:spacing w:line="256" w:lineRule="auto"/>
      </w:pPr>
    </w:p>
    <w:p w14:paraId="12958D06">
      <w:pPr>
        <w:pStyle w:val="5"/>
        <w:spacing w:line="256" w:lineRule="auto"/>
      </w:pPr>
    </w:p>
    <w:p w14:paraId="7ED4CFDF">
      <w:pPr>
        <w:pStyle w:val="5"/>
        <w:spacing w:line="257" w:lineRule="auto"/>
      </w:pPr>
    </w:p>
    <w:p w14:paraId="4A4BE92E">
      <w:pPr>
        <w:spacing w:before="91" w:line="220" w:lineRule="auto"/>
        <w:ind w:left="3339"/>
        <w:outlineLvl w:val="1"/>
        <w:rPr>
          <w:rFonts w:ascii="黑体" w:hAnsi="黑体" w:eastAsia="黑体" w:cs="黑体"/>
          <w:sz w:val="28"/>
          <w:szCs w:val="28"/>
        </w:rPr>
      </w:pPr>
      <w:bookmarkStart w:id="1367" w:name="bookmark664"/>
      <w:bookmarkEnd w:id="1367"/>
      <w:bookmarkStart w:id="1368" w:name="bookmark442"/>
      <w:bookmarkEnd w:id="1368"/>
      <w:r>
        <w:rPr>
          <w:rFonts w:ascii="黑体" w:hAnsi="黑体" w:eastAsia="黑体" w:cs="黑体"/>
          <w:spacing w:val="-2"/>
          <w:sz w:val="28"/>
          <w:szCs w:val="28"/>
        </w:rPr>
        <w:t>五、拟分包计划表</w:t>
      </w:r>
    </w:p>
    <w:p w14:paraId="26066490">
      <w:pPr>
        <w:spacing w:before="158" w:line="221" w:lineRule="auto"/>
        <w:ind w:left="3822"/>
        <w:rPr>
          <w:rFonts w:ascii="宋体" w:hAnsi="宋体" w:eastAsia="宋体" w:cs="宋体"/>
          <w:sz w:val="21"/>
          <w:szCs w:val="21"/>
        </w:rPr>
      </w:pPr>
      <w:r>
        <w:rPr>
          <w:rFonts w:ascii="宋体" w:hAnsi="宋体" w:eastAsia="宋体" w:cs="宋体"/>
          <w:b/>
          <w:bCs/>
          <w:spacing w:val="-7"/>
          <w:sz w:val="21"/>
          <w:szCs w:val="21"/>
        </w:rPr>
        <w:t>（如有）</w:t>
      </w:r>
    </w:p>
    <w:p w14:paraId="5160550E">
      <w:pPr>
        <w:spacing w:before="216"/>
      </w:pPr>
    </w:p>
    <w:tbl>
      <w:tblPr>
        <w:tblStyle w:val="10"/>
        <w:tblW w:w="8511" w:type="dxa"/>
        <w:tblInd w:w="1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843"/>
        <w:gridCol w:w="751"/>
        <w:gridCol w:w="947"/>
        <w:gridCol w:w="1123"/>
        <w:gridCol w:w="1091"/>
        <w:gridCol w:w="1195"/>
        <w:gridCol w:w="988"/>
      </w:tblGrid>
      <w:tr w14:paraId="4C75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3" w:type="dxa"/>
            <w:vMerge w:val="restart"/>
            <w:tcBorders>
              <w:bottom w:val="nil"/>
            </w:tcBorders>
            <w:textDirection w:val="tbRlV"/>
            <w:vAlign w:val="top"/>
          </w:tcPr>
          <w:p w14:paraId="111B23B5">
            <w:pPr>
              <w:pStyle w:val="11"/>
              <w:spacing w:before="179" w:line="211" w:lineRule="auto"/>
              <w:ind w:left="221"/>
            </w:pPr>
            <w:r>
              <w:rPr>
                <w:spacing w:val="1"/>
              </w:rPr>
              <w:t>序</w:t>
            </w:r>
            <w:r>
              <w:rPr>
                <w:spacing w:val="-43"/>
              </w:rPr>
              <w:t xml:space="preserve"> </w:t>
            </w:r>
            <w:r>
              <w:rPr>
                <w:spacing w:val="1"/>
              </w:rPr>
              <w:t>号</w:t>
            </w:r>
          </w:p>
        </w:tc>
        <w:tc>
          <w:tcPr>
            <w:tcW w:w="1843" w:type="dxa"/>
            <w:vMerge w:val="restart"/>
            <w:tcBorders>
              <w:bottom w:val="nil"/>
            </w:tcBorders>
            <w:vAlign w:val="top"/>
          </w:tcPr>
          <w:p w14:paraId="00DE3A9A">
            <w:pPr>
              <w:pStyle w:val="11"/>
              <w:spacing w:before="221" w:line="243" w:lineRule="auto"/>
              <w:ind w:left="187" w:right="183" w:firstLine="106"/>
            </w:pPr>
            <w:r>
              <w:rPr>
                <w:spacing w:val="-1"/>
              </w:rPr>
              <w:t>拟分包项目名称、范围及理由</w:t>
            </w:r>
          </w:p>
        </w:tc>
        <w:tc>
          <w:tcPr>
            <w:tcW w:w="5107" w:type="dxa"/>
            <w:gridSpan w:val="5"/>
            <w:vAlign w:val="top"/>
          </w:tcPr>
          <w:p w14:paraId="08AD7D9D">
            <w:pPr>
              <w:pStyle w:val="11"/>
              <w:spacing w:before="125" w:line="220" w:lineRule="auto"/>
              <w:ind w:left="2032"/>
            </w:pPr>
            <w:r>
              <w:rPr>
                <w:spacing w:val="-1"/>
              </w:rPr>
              <w:t>拟选分包人</w:t>
            </w:r>
          </w:p>
        </w:tc>
        <w:tc>
          <w:tcPr>
            <w:tcW w:w="988" w:type="dxa"/>
            <w:vMerge w:val="restart"/>
            <w:tcBorders>
              <w:bottom w:val="nil"/>
            </w:tcBorders>
            <w:vAlign w:val="top"/>
          </w:tcPr>
          <w:p w14:paraId="0B9BEE58">
            <w:pPr>
              <w:spacing w:line="288" w:lineRule="auto"/>
              <w:rPr>
                <w:rFonts w:ascii="Arial"/>
                <w:sz w:val="21"/>
              </w:rPr>
            </w:pPr>
          </w:p>
          <w:p w14:paraId="44A5536D">
            <w:pPr>
              <w:pStyle w:val="11"/>
              <w:spacing w:before="68" w:line="222" w:lineRule="auto"/>
              <w:ind w:left="291"/>
            </w:pPr>
            <w:r>
              <w:rPr>
                <w:spacing w:val="-3"/>
              </w:rPr>
              <w:t>备注</w:t>
            </w:r>
          </w:p>
        </w:tc>
      </w:tr>
      <w:tr w14:paraId="2841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3" w:type="dxa"/>
            <w:vMerge w:val="continue"/>
            <w:tcBorders>
              <w:top w:val="nil"/>
            </w:tcBorders>
            <w:textDirection w:val="tbRlV"/>
            <w:vAlign w:val="top"/>
          </w:tcPr>
          <w:p w14:paraId="7C52CC66">
            <w:pPr>
              <w:rPr>
                <w:rFonts w:ascii="Arial"/>
                <w:sz w:val="21"/>
              </w:rPr>
            </w:pPr>
          </w:p>
        </w:tc>
        <w:tc>
          <w:tcPr>
            <w:tcW w:w="1843" w:type="dxa"/>
            <w:vMerge w:val="continue"/>
            <w:tcBorders>
              <w:top w:val="nil"/>
            </w:tcBorders>
            <w:vAlign w:val="top"/>
          </w:tcPr>
          <w:p w14:paraId="728621D0">
            <w:pPr>
              <w:rPr>
                <w:rFonts w:ascii="Arial"/>
                <w:sz w:val="21"/>
              </w:rPr>
            </w:pPr>
          </w:p>
        </w:tc>
        <w:tc>
          <w:tcPr>
            <w:tcW w:w="1698" w:type="dxa"/>
            <w:gridSpan w:val="2"/>
            <w:vAlign w:val="top"/>
          </w:tcPr>
          <w:p w14:paraId="311D38E3">
            <w:pPr>
              <w:pStyle w:val="11"/>
              <w:spacing w:before="121" w:line="220" w:lineRule="auto"/>
              <w:ind w:left="117"/>
            </w:pPr>
            <w:r>
              <w:rPr>
                <w:spacing w:val="-1"/>
              </w:rPr>
              <w:t>拟选分包人名称</w:t>
            </w:r>
          </w:p>
        </w:tc>
        <w:tc>
          <w:tcPr>
            <w:tcW w:w="1123" w:type="dxa"/>
            <w:vAlign w:val="top"/>
          </w:tcPr>
          <w:p w14:paraId="7EE02BE2">
            <w:pPr>
              <w:pStyle w:val="11"/>
              <w:spacing w:before="121" w:line="222" w:lineRule="auto"/>
              <w:ind w:left="147"/>
            </w:pPr>
            <w:r>
              <w:rPr>
                <w:spacing w:val="-2"/>
              </w:rPr>
              <w:t>注册地点</w:t>
            </w:r>
          </w:p>
        </w:tc>
        <w:tc>
          <w:tcPr>
            <w:tcW w:w="1091" w:type="dxa"/>
            <w:vAlign w:val="top"/>
          </w:tcPr>
          <w:p w14:paraId="61DA7FD0">
            <w:pPr>
              <w:pStyle w:val="11"/>
              <w:spacing w:before="122" w:line="221" w:lineRule="auto"/>
              <w:ind w:left="134"/>
            </w:pPr>
            <w:r>
              <w:rPr>
                <w:spacing w:val="-3"/>
              </w:rPr>
              <w:t>企业资质</w:t>
            </w:r>
          </w:p>
        </w:tc>
        <w:tc>
          <w:tcPr>
            <w:tcW w:w="1195" w:type="dxa"/>
            <w:vAlign w:val="top"/>
          </w:tcPr>
          <w:p w14:paraId="2641C41F">
            <w:pPr>
              <w:pStyle w:val="11"/>
              <w:spacing w:before="122" w:line="221" w:lineRule="auto"/>
              <w:ind w:left="183"/>
            </w:pPr>
            <w:r>
              <w:rPr>
                <w:spacing w:val="-2"/>
              </w:rPr>
              <w:t>有关业绩</w:t>
            </w:r>
          </w:p>
        </w:tc>
        <w:tc>
          <w:tcPr>
            <w:tcW w:w="988" w:type="dxa"/>
            <w:vMerge w:val="continue"/>
            <w:tcBorders>
              <w:top w:val="nil"/>
            </w:tcBorders>
            <w:vAlign w:val="top"/>
          </w:tcPr>
          <w:p w14:paraId="0B6C3515">
            <w:pPr>
              <w:rPr>
                <w:rFonts w:ascii="Arial"/>
                <w:sz w:val="21"/>
              </w:rPr>
            </w:pPr>
          </w:p>
        </w:tc>
      </w:tr>
      <w:tr w14:paraId="04D9B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13B6D99E">
            <w:pPr>
              <w:rPr>
                <w:rFonts w:ascii="Arial"/>
                <w:sz w:val="21"/>
              </w:rPr>
            </w:pPr>
          </w:p>
        </w:tc>
        <w:tc>
          <w:tcPr>
            <w:tcW w:w="1843" w:type="dxa"/>
            <w:vMerge w:val="restart"/>
            <w:tcBorders>
              <w:bottom w:val="nil"/>
            </w:tcBorders>
            <w:vAlign w:val="top"/>
          </w:tcPr>
          <w:p w14:paraId="2A8FDE48">
            <w:pPr>
              <w:rPr>
                <w:rFonts w:ascii="Arial"/>
                <w:sz w:val="21"/>
              </w:rPr>
            </w:pPr>
          </w:p>
        </w:tc>
        <w:tc>
          <w:tcPr>
            <w:tcW w:w="751" w:type="dxa"/>
            <w:vAlign w:val="top"/>
          </w:tcPr>
          <w:p w14:paraId="764A818C">
            <w:pPr>
              <w:spacing w:before="122" w:line="277" w:lineRule="exact"/>
              <w:ind w:left="334"/>
              <w:rPr>
                <w:rFonts w:ascii="黑体" w:hAnsi="黑体" w:eastAsia="黑体" w:cs="黑体"/>
                <w:sz w:val="21"/>
                <w:szCs w:val="21"/>
              </w:rPr>
            </w:pPr>
            <w:r>
              <w:rPr>
                <w:rFonts w:ascii="黑体" w:hAnsi="黑体" w:eastAsia="黑体" w:cs="黑体"/>
                <w:position w:val="1"/>
                <w:sz w:val="21"/>
                <w:szCs w:val="21"/>
              </w:rPr>
              <w:t>1</w:t>
            </w:r>
          </w:p>
        </w:tc>
        <w:tc>
          <w:tcPr>
            <w:tcW w:w="947" w:type="dxa"/>
            <w:vAlign w:val="top"/>
          </w:tcPr>
          <w:p w14:paraId="17B2E88A">
            <w:pPr>
              <w:rPr>
                <w:rFonts w:ascii="Arial"/>
                <w:sz w:val="21"/>
              </w:rPr>
            </w:pPr>
          </w:p>
        </w:tc>
        <w:tc>
          <w:tcPr>
            <w:tcW w:w="1123" w:type="dxa"/>
            <w:vAlign w:val="top"/>
          </w:tcPr>
          <w:p w14:paraId="20E82751">
            <w:pPr>
              <w:rPr>
                <w:rFonts w:ascii="Arial"/>
                <w:sz w:val="21"/>
              </w:rPr>
            </w:pPr>
          </w:p>
        </w:tc>
        <w:tc>
          <w:tcPr>
            <w:tcW w:w="1091" w:type="dxa"/>
            <w:vAlign w:val="top"/>
          </w:tcPr>
          <w:p w14:paraId="30DB4B41">
            <w:pPr>
              <w:rPr>
                <w:rFonts w:ascii="Arial"/>
                <w:sz w:val="21"/>
              </w:rPr>
            </w:pPr>
          </w:p>
        </w:tc>
        <w:tc>
          <w:tcPr>
            <w:tcW w:w="1195" w:type="dxa"/>
            <w:vAlign w:val="top"/>
          </w:tcPr>
          <w:p w14:paraId="0202CC5C">
            <w:pPr>
              <w:rPr>
                <w:rFonts w:ascii="Arial"/>
                <w:sz w:val="21"/>
              </w:rPr>
            </w:pPr>
          </w:p>
        </w:tc>
        <w:tc>
          <w:tcPr>
            <w:tcW w:w="988" w:type="dxa"/>
            <w:vAlign w:val="top"/>
          </w:tcPr>
          <w:p w14:paraId="22F3D6F6">
            <w:pPr>
              <w:rPr>
                <w:rFonts w:ascii="Arial"/>
                <w:sz w:val="21"/>
              </w:rPr>
            </w:pPr>
          </w:p>
        </w:tc>
      </w:tr>
      <w:tr w14:paraId="1530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44BBDC16">
            <w:pPr>
              <w:rPr>
                <w:rFonts w:ascii="Arial"/>
                <w:sz w:val="21"/>
              </w:rPr>
            </w:pPr>
          </w:p>
        </w:tc>
        <w:tc>
          <w:tcPr>
            <w:tcW w:w="1843" w:type="dxa"/>
            <w:vMerge w:val="continue"/>
            <w:tcBorders>
              <w:top w:val="nil"/>
              <w:bottom w:val="nil"/>
            </w:tcBorders>
            <w:vAlign w:val="top"/>
          </w:tcPr>
          <w:p w14:paraId="4F4A87DD">
            <w:pPr>
              <w:rPr>
                <w:rFonts w:ascii="Arial"/>
                <w:sz w:val="21"/>
              </w:rPr>
            </w:pPr>
          </w:p>
        </w:tc>
        <w:tc>
          <w:tcPr>
            <w:tcW w:w="751" w:type="dxa"/>
            <w:vAlign w:val="top"/>
          </w:tcPr>
          <w:p w14:paraId="5D99D0E8">
            <w:pPr>
              <w:spacing w:before="123" w:line="277" w:lineRule="exact"/>
              <w:ind w:left="322"/>
              <w:rPr>
                <w:rFonts w:ascii="黑体" w:hAnsi="黑体" w:eastAsia="黑体" w:cs="黑体"/>
                <w:sz w:val="21"/>
                <w:szCs w:val="21"/>
              </w:rPr>
            </w:pPr>
            <w:r>
              <w:rPr>
                <w:rFonts w:ascii="黑体" w:hAnsi="黑体" w:eastAsia="黑体" w:cs="黑体"/>
                <w:position w:val="1"/>
                <w:sz w:val="21"/>
                <w:szCs w:val="21"/>
              </w:rPr>
              <w:t>2</w:t>
            </w:r>
          </w:p>
        </w:tc>
        <w:tc>
          <w:tcPr>
            <w:tcW w:w="947" w:type="dxa"/>
            <w:vAlign w:val="top"/>
          </w:tcPr>
          <w:p w14:paraId="760DB920">
            <w:pPr>
              <w:rPr>
                <w:rFonts w:ascii="Arial"/>
                <w:sz w:val="21"/>
              </w:rPr>
            </w:pPr>
          </w:p>
        </w:tc>
        <w:tc>
          <w:tcPr>
            <w:tcW w:w="1123" w:type="dxa"/>
            <w:vAlign w:val="top"/>
          </w:tcPr>
          <w:p w14:paraId="3388206E">
            <w:pPr>
              <w:rPr>
                <w:rFonts w:ascii="Arial"/>
                <w:sz w:val="21"/>
              </w:rPr>
            </w:pPr>
          </w:p>
        </w:tc>
        <w:tc>
          <w:tcPr>
            <w:tcW w:w="1091" w:type="dxa"/>
            <w:vAlign w:val="top"/>
          </w:tcPr>
          <w:p w14:paraId="2EAED85F">
            <w:pPr>
              <w:rPr>
                <w:rFonts w:ascii="Arial"/>
                <w:sz w:val="21"/>
              </w:rPr>
            </w:pPr>
          </w:p>
        </w:tc>
        <w:tc>
          <w:tcPr>
            <w:tcW w:w="1195" w:type="dxa"/>
            <w:vAlign w:val="top"/>
          </w:tcPr>
          <w:p w14:paraId="663B27FC">
            <w:pPr>
              <w:rPr>
                <w:rFonts w:ascii="Arial"/>
                <w:sz w:val="21"/>
              </w:rPr>
            </w:pPr>
          </w:p>
        </w:tc>
        <w:tc>
          <w:tcPr>
            <w:tcW w:w="988" w:type="dxa"/>
            <w:vAlign w:val="top"/>
          </w:tcPr>
          <w:p w14:paraId="2F259423">
            <w:pPr>
              <w:rPr>
                <w:rFonts w:ascii="Arial"/>
                <w:sz w:val="21"/>
              </w:rPr>
            </w:pPr>
          </w:p>
        </w:tc>
      </w:tr>
      <w:tr w14:paraId="276FA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3" w:type="dxa"/>
            <w:vMerge w:val="continue"/>
            <w:tcBorders>
              <w:top w:val="nil"/>
            </w:tcBorders>
            <w:vAlign w:val="top"/>
          </w:tcPr>
          <w:p w14:paraId="7679FC0E">
            <w:pPr>
              <w:rPr>
                <w:rFonts w:ascii="Arial"/>
                <w:sz w:val="21"/>
              </w:rPr>
            </w:pPr>
          </w:p>
        </w:tc>
        <w:tc>
          <w:tcPr>
            <w:tcW w:w="1843" w:type="dxa"/>
            <w:vMerge w:val="continue"/>
            <w:tcBorders>
              <w:top w:val="nil"/>
            </w:tcBorders>
            <w:vAlign w:val="top"/>
          </w:tcPr>
          <w:p w14:paraId="53A3ABE6">
            <w:pPr>
              <w:rPr>
                <w:rFonts w:ascii="Arial"/>
                <w:sz w:val="21"/>
              </w:rPr>
            </w:pPr>
          </w:p>
        </w:tc>
        <w:tc>
          <w:tcPr>
            <w:tcW w:w="751" w:type="dxa"/>
            <w:vAlign w:val="top"/>
          </w:tcPr>
          <w:p w14:paraId="3207A0DD">
            <w:pPr>
              <w:spacing w:before="123" w:line="241" w:lineRule="auto"/>
              <w:ind w:left="323"/>
              <w:rPr>
                <w:rFonts w:ascii="黑体" w:hAnsi="黑体" w:eastAsia="黑体" w:cs="黑体"/>
                <w:sz w:val="21"/>
                <w:szCs w:val="21"/>
              </w:rPr>
            </w:pPr>
            <w:r>
              <w:rPr>
                <w:rFonts w:ascii="黑体" w:hAnsi="黑体" w:eastAsia="黑体" w:cs="黑体"/>
                <w:sz w:val="21"/>
                <w:szCs w:val="21"/>
              </w:rPr>
              <w:t>3</w:t>
            </w:r>
          </w:p>
        </w:tc>
        <w:tc>
          <w:tcPr>
            <w:tcW w:w="947" w:type="dxa"/>
            <w:vAlign w:val="top"/>
          </w:tcPr>
          <w:p w14:paraId="796CA7F9">
            <w:pPr>
              <w:rPr>
                <w:rFonts w:ascii="Arial"/>
                <w:sz w:val="21"/>
              </w:rPr>
            </w:pPr>
          </w:p>
        </w:tc>
        <w:tc>
          <w:tcPr>
            <w:tcW w:w="1123" w:type="dxa"/>
            <w:vAlign w:val="top"/>
          </w:tcPr>
          <w:p w14:paraId="6D4B4540">
            <w:pPr>
              <w:rPr>
                <w:rFonts w:ascii="Arial"/>
                <w:sz w:val="21"/>
              </w:rPr>
            </w:pPr>
          </w:p>
        </w:tc>
        <w:tc>
          <w:tcPr>
            <w:tcW w:w="1091" w:type="dxa"/>
            <w:vAlign w:val="top"/>
          </w:tcPr>
          <w:p w14:paraId="6DD738D5">
            <w:pPr>
              <w:rPr>
                <w:rFonts w:ascii="Arial"/>
                <w:sz w:val="21"/>
              </w:rPr>
            </w:pPr>
          </w:p>
        </w:tc>
        <w:tc>
          <w:tcPr>
            <w:tcW w:w="1195" w:type="dxa"/>
            <w:vAlign w:val="top"/>
          </w:tcPr>
          <w:p w14:paraId="44AD0C63">
            <w:pPr>
              <w:rPr>
                <w:rFonts w:ascii="Arial"/>
                <w:sz w:val="21"/>
              </w:rPr>
            </w:pPr>
          </w:p>
        </w:tc>
        <w:tc>
          <w:tcPr>
            <w:tcW w:w="988" w:type="dxa"/>
            <w:vAlign w:val="top"/>
          </w:tcPr>
          <w:p w14:paraId="2FF5AC9D">
            <w:pPr>
              <w:rPr>
                <w:rFonts w:ascii="Arial"/>
                <w:sz w:val="21"/>
              </w:rPr>
            </w:pPr>
          </w:p>
        </w:tc>
      </w:tr>
      <w:tr w14:paraId="6E89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3E67949A">
            <w:pPr>
              <w:rPr>
                <w:rFonts w:ascii="Arial"/>
                <w:sz w:val="21"/>
              </w:rPr>
            </w:pPr>
          </w:p>
        </w:tc>
        <w:tc>
          <w:tcPr>
            <w:tcW w:w="1843" w:type="dxa"/>
            <w:vMerge w:val="restart"/>
            <w:tcBorders>
              <w:bottom w:val="nil"/>
            </w:tcBorders>
            <w:vAlign w:val="top"/>
          </w:tcPr>
          <w:p w14:paraId="2C318370">
            <w:pPr>
              <w:rPr>
                <w:rFonts w:ascii="Arial"/>
                <w:sz w:val="21"/>
              </w:rPr>
            </w:pPr>
          </w:p>
        </w:tc>
        <w:tc>
          <w:tcPr>
            <w:tcW w:w="751" w:type="dxa"/>
            <w:vAlign w:val="top"/>
          </w:tcPr>
          <w:p w14:paraId="604C2607">
            <w:pPr>
              <w:spacing w:before="123" w:line="278" w:lineRule="exact"/>
              <w:ind w:left="334"/>
              <w:rPr>
                <w:rFonts w:ascii="黑体" w:hAnsi="黑体" w:eastAsia="黑体" w:cs="黑体"/>
                <w:sz w:val="21"/>
                <w:szCs w:val="21"/>
              </w:rPr>
            </w:pPr>
            <w:r>
              <w:rPr>
                <w:rFonts w:ascii="黑体" w:hAnsi="黑体" w:eastAsia="黑体" w:cs="黑体"/>
                <w:position w:val="1"/>
                <w:sz w:val="21"/>
                <w:szCs w:val="21"/>
              </w:rPr>
              <w:t>1</w:t>
            </w:r>
          </w:p>
        </w:tc>
        <w:tc>
          <w:tcPr>
            <w:tcW w:w="947" w:type="dxa"/>
            <w:vAlign w:val="top"/>
          </w:tcPr>
          <w:p w14:paraId="4D25DC0F">
            <w:pPr>
              <w:rPr>
                <w:rFonts w:ascii="Arial"/>
                <w:sz w:val="21"/>
              </w:rPr>
            </w:pPr>
          </w:p>
        </w:tc>
        <w:tc>
          <w:tcPr>
            <w:tcW w:w="1123" w:type="dxa"/>
            <w:vAlign w:val="top"/>
          </w:tcPr>
          <w:p w14:paraId="68F7B2E3">
            <w:pPr>
              <w:rPr>
                <w:rFonts w:ascii="Arial"/>
                <w:sz w:val="21"/>
              </w:rPr>
            </w:pPr>
          </w:p>
        </w:tc>
        <w:tc>
          <w:tcPr>
            <w:tcW w:w="1091" w:type="dxa"/>
            <w:vAlign w:val="top"/>
          </w:tcPr>
          <w:p w14:paraId="2E51F4D3">
            <w:pPr>
              <w:rPr>
                <w:rFonts w:ascii="Arial"/>
                <w:sz w:val="21"/>
              </w:rPr>
            </w:pPr>
          </w:p>
        </w:tc>
        <w:tc>
          <w:tcPr>
            <w:tcW w:w="1195" w:type="dxa"/>
            <w:vAlign w:val="top"/>
          </w:tcPr>
          <w:p w14:paraId="5302E3AB">
            <w:pPr>
              <w:rPr>
                <w:rFonts w:ascii="Arial"/>
                <w:sz w:val="21"/>
              </w:rPr>
            </w:pPr>
          </w:p>
        </w:tc>
        <w:tc>
          <w:tcPr>
            <w:tcW w:w="988" w:type="dxa"/>
            <w:vAlign w:val="top"/>
          </w:tcPr>
          <w:p w14:paraId="68C10382">
            <w:pPr>
              <w:rPr>
                <w:rFonts w:ascii="Arial"/>
                <w:sz w:val="21"/>
              </w:rPr>
            </w:pPr>
          </w:p>
        </w:tc>
      </w:tr>
      <w:tr w14:paraId="31B6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73406E38">
            <w:pPr>
              <w:rPr>
                <w:rFonts w:ascii="Arial"/>
                <w:sz w:val="21"/>
              </w:rPr>
            </w:pPr>
          </w:p>
        </w:tc>
        <w:tc>
          <w:tcPr>
            <w:tcW w:w="1843" w:type="dxa"/>
            <w:vMerge w:val="continue"/>
            <w:tcBorders>
              <w:top w:val="nil"/>
              <w:bottom w:val="nil"/>
            </w:tcBorders>
            <w:vAlign w:val="top"/>
          </w:tcPr>
          <w:p w14:paraId="11E68447">
            <w:pPr>
              <w:rPr>
                <w:rFonts w:ascii="Arial"/>
                <w:sz w:val="21"/>
              </w:rPr>
            </w:pPr>
          </w:p>
        </w:tc>
        <w:tc>
          <w:tcPr>
            <w:tcW w:w="751" w:type="dxa"/>
            <w:vAlign w:val="top"/>
          </w:tcPr>
          <w:p w14:paraId="1331C33C">
            <w:pPr>
              <w:spacing w:before="124" w:line="277" w:lineRule="exact"/>
              <w:ind w:left="322"/>
              <w:rPr>
                <w:rFonts w:ascii="黑体" w:hAnsi="黑体" w:eastAsia="黑体" w:cs="黑体"/>
                <w:sz w:val="21"/>
                <w:szCs w:val="21"/>
              </w:rPr>
            </w:pPr>
            <w:r>
              <w:rPr>
                <w:rFonts w:ascii="黑体" w:hAnsi="黑体" w:eastAsia="黑体" w:cs="黑体"/>
                <w:position w:val="1"/>
                <w:sz w:val="21"/>
                <w:szCs w:val="21"/>
              </w:rPr>
              <w:t>2</w:t>
            </w:r>
          </w:p>
        </w:tc>
        <w:tc>
          <w:tcPr>
            <w:tcW w:w="947" w:type="dxa"/>
            <w:vAlign w:val="top"/>
          </w:tcPr>
          <w:p w14:paraId="6B82E783">
            <w:pPr>
              <w:rPr>
                <w:rFonts w:ascii="Arial"/>
                <w:sz w:val="21"/>
              </w:rPr>
            </w:pPr>
          </w:p>
        </w:tc>
        <w:tc>
          <w:tcPr>
            <w:tcW w:w="1123" w:type="dxa"/>
            <w:vAlign w:val="top"/>
          </w:tcPr>
          <w:p w14:paraId="55DBF857">
            <w:pPr>
              <w:rPr>
                <w:rFonts w:ascii="Arial"/>
                <w:sz w:val="21"/>
              </w:rPr>
            </w:pPr>
          </w:p>
        </w:tc>
        <w:tc>
          <w:tcPr>
            <w:tcW w:w="1091" w:type="dxa"/>
            <w:vAlign w:val="top"/>
          </w:tcPr>
          <w:p w14:paraId="34A4B898">
            <w:pPr>
              <w:rPr>
                <w:rFonts w:ascii="Arial"/>
                <w:sz w:val="21"/>
              </w:rPr>
            </w:pPr>
          </w:p>
        </w:tc>
        <w:tc>
          <w:tcPr>
            <w:tcW w:w="1195" w:type="dxa"/>
            <w:vAlign w:val="top"/>
          </w:tcPr>
          <w:p w14:paraId="7489D99D">
            <w:pPr>
              <w:rPr>
                <w:rFonts w:ascii="Arial"/>
                <w:sz w:val="21"/>
              </w:rPr>
            </w:pPr>
          </w:p>
        </w:tc>
        <w:tc>
          <w:tcPr>
            <w:tcW w:w="988" w:type="dxa"/>
            <w:vAlign w:val="top"/>
          </w:tcPr>
          <w:p w14:paraId="6022A8DF">
            <w:pPr>
              <w:rPr>
                <w:rFonts w:ascii="Arial"/>
                <w:sz w:val="21"/>
              </w:rPr>
            </w:pPr>
          </w:p>
        </w:tc>
      </w:tr>
      <w:tr w14:paraId="74250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3" w:type="dxa"/>
            <w:vMerge w:val="continue"/>
            <w:tcBorders>
              <w:top w:val="nil"/>
            </w:tcBorders>
            <w:vAlign w:val="top"/>
          </w:tcPr>
          <w:p w14:paraId="624C51D8">
            <w:pPr>
              <w:rPr>
                <w:rFonts w:ascii="Arial"/>
                <w:sz w:val="21"/>
              </w:rPr>
            </w:pPr>
          </w:p>
        </w:tc>
        <w:tc>
          <w:tcPr>
            <w:tcW w:w="1843" w:type="dxa"/>
            <w:vMerge w:val="continue"/>
            <w:tcBorders>
              <w:top w:val="nil"/>
            </w:tcBorders>
            <w:vAlign w:val="top"/>
          </w:tcPr>
          <w:p w14:paraId="7D627DFA">
            <w:pPr>
              <w:rPr>
                <w:rFonts w:ascii="Arial"/>
                <w:sz w:val="21"/>
              </w:rPr>
            </w:pPr>
          </w:p>
        </w:tc>
        <w:tc>
          <w:tcPr>
            <w:tcW w:w="751" w:type="dxa"/>
            <w:vAlign w:val="top"/>
          </w:tcPr>
          <w:p w14:paraId="3DCFB700">
            <w:pPr>
              <w:spacing w:before="124" w:line="241" w:lineRule="auto"/>
              <w:ind w:left="323"/>
              <w:rPr>
                <w:rFonts w:ascii="黑体" w:hAnsi="黑体" w:eastAsia="黑体" w:cs="黑体"/>
                <w:sz w:val="21"/>
                <w:szCs w:val="21"/>
              </w:rPr>
            </w:pPr>
            <w:r>
              <w:rPr>
                <w:rFonts w:ascii="黑体" w:hAnsi="黑体" w:eastAsia="黑体" w:cs="黑体"/>
                <w:sz w:val="21"/>
                <w:szCs w:val="21"/>
              </w:rPr>
              <w:t>3</w:t>
            </w:r>
          </w:p>
        </w:tc>
        <w:tc>
          <w:tcPr>
            <w:tcW w:w="947" w:type="dxa"/>
            <w:vAlign w:val="top"/>
          </w:tcPr>
          <w:p w14:paraId="586097A4">
            <w:pPr>
              <w:rPr>
                <w:rFonts w:ascii="Arial"/>
                <w:sz w:val="21"/>
              </w:rPr>
            </w:pPr>
          </w:p>
        </w:tc>
        <w:tc>
          <w:tcPr>
            <w:tcW w:w="1123" w:type="dxa"/>
            <w:vAlign w:val="top"/>
          </w:tcPr>
          <w:p w14:paraId="133C4663">
            <w:pPr>
              <w:rPr>
                <w:rFonts w:ascii="Arial"/>
                <w:sz w:val="21"/>
              </w:rPr>
            </w:pPr>
          </w:p>
        </w:tc>
        <w:tc>
          <w:tcPr>
            <w:tcW w:w="1091" w:type="dxa"/>
            <w:vAlign w:val="top"/>
          </w:tcPr>
          <w:p w14:paraId="22B15AF1">
            <w:pPr>
              <w:rPr>
                <w:rFonts w:ascii="Arial"/>
                <w:sz w:val="21"/>
              </w:rPr>
            </w:pPr>
          </w:p>
        </w:tc>
        <w:tc>
          <w:tcPr>
            <w:tcW w:w="1195" w:type="dxa"/>
            <w:vAlign w:val="top"/>
          </w:tcPr>
          <w:p w14:paraId="32F31297">
            <w:pPr>
              <w:rPr>
                <w:rFonts w:ascii="Arial"/>
                <w:sz w:val="21"/>
              </w:rPr>
            </w:pPr>
          </w:p>
        </w:tc>
        <w:tc>
          <w:tcPr>
            <w:tcW w:w="988" w:type="dxa"/>
            <w:vAlign w:val="top"/>
          </w:tcPr>
          <w:p w14:paraId="1B86A2E5">
            <w:pPr>
              <w:rPr>
                <w:rFonts w:ascii="Arial"/>
                <w:sz w:val="21"/>
              </w:rPr>
            </w:pPr>
          </w:p>
        </w:tc>
      </w:tr>
      <w:tr w14:paraId="1C644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5A8E1B5A">
            <w:pPr>
              <w:rPr>
                <w:rFonts w:ascii="Arial"/>
                <w:sz w:val="21"/>
              </w:rPr>
            </w:pPr>
          </w:p>
        </w:tc>
        <w:tc>
          <w:tcPr>
            <w:tcW w:w="1843" w:type="dxa"/>
            <w:vMerge w:val="restart"/>
            <w:tcBorders>
              <w:bottom w:val="nil"/>
            </w:tcBorders>
            <w:vAlign w:val="top"/>
          </w:tcPr>
          <w:p w14:paraId="36C45E31">
            <w:pPr>
              <w:rPr>
                <w:rFonts w:ascii="Arial"/>
                <w:sz w:val="21"/>
              </w:rPr>
            </w:pPr>
          </w:p>
        </w:tc>
        <w:tc>
          <w:tcPr>
            <w:tcW w:w="751" w:type="dxa"/>
            <w:vAlign w:val="top"/>
          </w:tcPr>
          <w:p w14:paraId="718E95C9">
            <w:pPr>
              <w:spacing w:before="124" w:line="278" w:lineRule="exact"/>
              <w:ind w:left="334"/>
              <w:rPr>
                <w:rFonts w:ascii="黑体" w:hAnsi="黑体" w:eastAsia="黑体" w:cs="黑体"/>
                <w:sz w:val="21"/>
                <w:szCs w:val="21"/>
              </w:rPr>
            </w:pPr>
            <w:r>
              <w:rPr>
                <w:rFonts w:ascii="黑体" w:hAnsi="黑体" w:eastAsia="黑体" w:cs="黑体"/>
                <w:position w:val="1"/>
                <w:sz w:val="21"/>
                <w:szCs w:val="21"/>
              </w:rPr>
              <w:t>1</w:t>
            </w:r>
          </w:p>
        </w:tc>
        <w:tc>
          <w:tcPr>
            <w:tcW w:w="947" w:type="dxa"/>
            <w:vAlign w:val="top"/>
          </w:tcPr>
          <w:p w14:paraId="4BFEF08F">
            <w:pPr>
              <w:rPr>
                <w:rFonts w:ascii="Arial"/>
                <w:sz w:val="21"/>
              </w:rPr>
            </w:pPr>
          </w:p>
        </w:tc>
        <w:tc>
          <w:tcPr>
            <w:tcW w:w="1123" w:type="dxa"/>
            <w:vAlign w:val="top"/>
          </w:tcPr>
          <w:p w14:paraId="3B3D70F2">
            <w:pPr>
              <w:rPr>
                <w:rFonts w:ascii="Arial"/>
                <w:sz w:val="21"/>
              </w:rPr>
            </w:pPr>
          </w:p>
        </w:tc>
        <w:tc>
          <w:tcPr>
            <w:tcW w:w="1091" w:type="dxa"/>
            <w:vAlign w:val="top"/>
          </w:tcPr>
          <w:p w14:paraId="2EB32CD3">
            <w:pPr>
              <w:rPr>
                <w:rFonts w:ascii="Arial"/>
                <w:sz w:val="21"/>
              </w:rPr>
            </w:pPr>
          </w:p>
        </w:tc>
        <w:tc>
          <w:tcPr>
            <w:tcW w:w="1195" w:type="dxa"/>
            <w:vAlign w:val="top"/>
          </w:tcPr>
          <w:p w14:paraId="1E6338F7">
            <w:pPr>
              <w:rPr>
                <w:rFonts w:ascii="Arial"/>
                <w:sz w:val="21"/>
              </w:rPr>
            </w:pPr>
          </w:p>
        </w:tc>
        <w:tc>
          <w:tcPr>
            <w:tcW w:w="988" w:type="dxa"/>
            <w:vAlign w:val="top"/>
          </w:tcPr>
          <w:p w14:paraId="443E65FA">
            <w:pPr>
              <w:rPr>
                <w:rFonts w:ascii="Arial"/>
                <w:sz w:val="21"/>
              </w:rPr>
            </w:pPr>
          </w:p>
        </w:tc>
      </w:tr>
      <w:tr w14:paraId="3743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57B08A60">
            <w:pPr>
              <w:rPr>
                <w:rFonts w:ascii="Arial"/>
                <w:sz w:val="21"/>
              </w:rPr>
            </w:pPr>
          </w:p>
        </w:tc>
        <w:tc>
          <w:tcPr>
            <w:tcW w:w="1843" w:type="dxa"/>
            <w:vMerge w:val="continue"/>
            <w:tcBorders>
              <w:top w:val="nil"/>
              <w:bottom w:val="nil"/>
            </w:tcBorders>
            <w:vAlign w:val="top"/>
          </w:tcPr>
          <w:p w14:paraId="2B589FDD">
            <w:pPr>
              <w:rPr>
                <w:rFonts w:ascii="Arial"/>
                <w:sz w:val="21"/>
              </w:rPr>
            </w:pPr>
          </w:p>
        </w:tc>
        <w:tc>
          <w:tcPr>
            <w:tcW w:w="751" w:type="dxa"/>
            <w:vAlign w:val="top"/>
          </w:tcPr>
          <w:p w14:paraId="70824B20">
            <w:pPr>
              <w:spacing w:before="125" w:line="277" w:lineRule="exact"/>
              <w:ind w:left="322"/>
              <w:rPr>
                <w:rFonts w:ascii="黑体" w:hAnsi="黑体" w:eastAsia="黑体" w:cs="黑体"/>
                <w:sz w:val="21"/>
                <w:szCs w:val="21"/>
              </w:rPr>
            </w:pPr>
            <w:r>
              <w:rPr>
                <w:rFonts w:ascii="黑体" w:hAnsi="黑体" w:eastAsia="黑体" w:cs="黑体"/>
                <w:position w:val="1"/>
                <w:sz w:val="21"/>
                <w:szCs w:val="21"/>
              </w:rPr>
              <w:t>2</w:t>
            </w:r>
          </w:p>
        </w:tc>
        <w:tc>
          <w:tcPr>
            <w:tcW w:w="947" w:type="dxa"/>
            <w:vAlign w:val="top"/>
          </w:tcPr>
          <w:p w14:paraId="661F69C2">
            <w:pPr>
              <w:rPr>
                <w:rFonts w:ascii="Arial"/>
                <w:sz w:val="21"/>
              </w:rPr>
            </w:pPr>
          </w:p>
        </w:tc>
        <w:tc>
          <w:tcPr>
            <w:tcW w:w="1123" w:type="dxa"/>
            <w:vAlign w:val="top"/>
          </w:tcPr>
          <w:p w14:paraId="719ADCF0">
            <w:pPr>
              <w:rPr>
                <w:rFonts w:ascii="Arial"/>
                <w:sz w:val="21"/>
              </w:rPr>
            </w:pPr>
          </w:p>
        </w:tc>
        <w:tc>
          <w:tcPr>
            <w:tcW w:w="1091" w:type="dxa"/>
            <w:vAlign w:val="top"/>
          </w:tcPr>
          <w:p w14:paraId="4BC3C9ED">
            <w:pPr>
              <w:rPr>
                <w:rFonts w:ascii="Arial"/>
                <w:sz w:val="21"/>
              </w:rPr>
            </w:pPr>
          </w:p>
        </w:tc>
        <w:tc>
          <w:tcPr>
            <w:tcW w:w="1195" w:type="dxa"/>
            <w:vAlign w:val="top"/>
          </w:tcPr>
          <w:p w14:paraId="4B2B1B00">
            <w:pPr>
              <w:rPr>
                <w:rFonts w:ascii="Arial"/>
                <w:sz w:val="21"/>
              </w:rPr>
            </w:pPr>
          </w:p>
        </w:tc>
        <w:tc>
          <w:tcPr>
            <w:tcW w:w="988" w:type="dxa"/>
            <w:vAlign w:val="top"/>
          </w:tcPr>
          <w:p w14:paraId="54511054">
            <w:pPr>
              <w:rPr>
                <w:rFonts w:ascii="Arial"/>
                <w:sz w:val="21"/>
              </w:rPr>
            </w:pPr>
          </w:p>
        </w:tc>
      </w:tr>
      <w:tr w14:paraId="359A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3" w:type="dxa"/>
            <w:vMerge w:val="continue"/>
            <w:tcBorders>
              <w:top w:val="nil"/>
            </w:tcBorders>
            <w:vAlign w:val="top"/>
          </w:tcPr>
          <w:p w14:paraId="14CDB4AB">
            <w:pPr>
              <w:rPr>
                <w:rFonts w:ascii="Arial"/>
                <w:sz w:val="21"/>
              </w:rPr>
            </w:pPr>
          </w:p>
        </w:tc>
        <w:tc>
          <w:tcPr>
            <w:tcW w:w="1843" w:type="dxa"/>
            <w:vMerge w:val="continue"/>
            <w:tcBorders>
              <w:top w:val="nil"/>
            </w:tcBorders>
            <w:vAlign w:val="top"/>
          </w:tcPr>
          <w:p w14:paraId="36C6C913">
            <w:pPr>
              <w:rPr>
                <w:rFonts w:ascii="Arial"/>
                <w:sz w:val="21"/>
              </w:rPr>
            </w:pPr>
          </w:p>
        </w:tc>
        <w:tc>
          <w:tcPr>
            <w:tcW w:w="751" w:type="dxa"/>
            <w:vAlign w:val="top"/>
          </w:tcPr>
          <w:p w14:paraId="7BA617F1">
            <w:pPr>
              <w:spacing w:before="126" w:line="241" w:lineRule="auto"/>
              <w:ind w:left="323"/>
              <w:rPr>
                <w:rFonts w:ascii="黑体" w:hAnsi="黑体" w:eastAsia="黑体" w:cs="黑体"/>
                <w:sz w:val="21"/>
                <w:szCs w:val="21"/>
              </w:rPr>
            </w:pPr>
            <w:r>
              <w:rPr>
                <w:rFonts w:ascii="黑体" w:hAnsi="黑体" w:eastAsia="黑体" w:cs="黑体"/>
                <w:sz w:val="21"/>
                <w:szCs w:val="21"/>
              </w:rPr>
              <w:t>3</w:t>
            </w:r>
          </w:p>
        </w:tc>
        <w:tc>
          <w:tcPr>
            <w:tcW w:w="947" w:type="dxa"/>
            <w:vAlign w:val="top"/>
          </w:tcPr>
          <w:p w14:paraId="4EA1CA6F">
            <w:pPr>
              <w:rPr>
                <w:rFonts w:ascii="Arial"/>
                <w:sz w:val="21"/>
              </w:rPr>
            </w:pPr>
          </w:p>
        </w:tc>
        <w:tc>
          <w:tcPr>
            <w:tcW w:w="1123" w:type="dxa"/>
            <w:vAlign w:val="top"/>
          </w:tcPr>
          <w:p w14:paraId="3F7B7D8B">
            <w:pPr>
              <w:rPr>
                <w:rFonts w:ascii="Arial"/>
                <w:sz w:val="21"/>
              </w:rPr>
            </w:pPr>
          </w:p>
        </w:tc>
        <w:tc>
          <w:tcPr>
            <w:tcW w:w="1091" w:type="dxa"/>
            <w:vAlign w:val="top"/>
          </w:tcPr>
          <w:p w14:paraId="3CC397F3">
            <w:pPr>
              <w:rPr>
                <w:rFonts w:ascii="Arial"/>
                <w:sz w:val="21"/>
              </w:rPr>
            </w:pPr>
          </w:p>
        </w:tc>
        <w:tc>
          <w:tcPr>
            <w:tcW w:w="1195" w:type="dxa"/>
            <w:vAlign w:val="top"/>
          </w:tcPr>
          <w:p w14:paraId="47024E13">
            <w:pPr>
              <w:rPr>
                <w:rFonts w:ascii="Arial"/>
                <w:sz w:val="21"/>
              </w:rPr>
            </w:pPr>
          </w:p>
        </w:tc>
        <w:tc>
          <w:tcPr>
            <w:tcW w:w="988" w:type="dxa"/>
            <w:vAlign w:val="top"/>
          </w:tcPr>
          <w:p w14:paraId="186E8814">
            <w:pPr>
              <w:rPr>
                <w:rFonts w:ascii="Arial"/>
                <w:sz w:val="21"/>
              </w:rPr>
            </w:pPr>
          </w:p>
        </w:tc>
      </w:tr>
      <w:tr w14:paraId="0B82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restart"/>
            <w:tcBorders>
              <w:bottom w:val="nil"/>
            </w:tcBorders>
            <w:vAlign w:val="top"/>
          </w:tcPr>
          <w:p w14:paraId="3EA841EE">
            <w:pPr>
              <w:rPr>
                <w:rFonts w:ascii="Arial"/>
                <w:sz w:val="21"/>
              </w:rPr>
            </w:pPr>
          </w:p>
        </w:tc>
        <w:tc>
          <w:tcPr>
            <w:tcW w:w="1843" w:type="dxa"/>
            <w:vMerge w:val="restart"/>
            <w:tcBorders>
              <w:bottom w:val="nil"/>
            </w:tcBorders>
            <w:vAlign w:val="top"/>
          </w:tcPr>
          <w:p w14:paraId="0F9A1DC7">
            <w:pPr>
              <w:rPr>
                <w:rFonts w:ascii="Arial"/>
                <w:sz w:val="21"/>
              </w:rPr>
            </w:pPr>
          </w:p>
        </w:tc>
        <w:tc>
          <w:tcPr>
            <w:tcW w:w="751" w:type="dxa"/>
            <w:vAlign w:val="top"/>
          </w:tcPr>
          <w:p w14:paraId="6219AAEF">
            <w:pPr>
              <w:spacing w:before="125" w:line="277" w:lineRule="exact"/>
              <w:ind w:left="334"/>
              <w:rPr>
                <w:rFonts w:ascii="黑体" w:hAnsi="黑体" w:eastAsia="黑体" w:cs="黑体"/>
                <w:sz w:val="21"/>
                <w:szCs w:val="21"/>
              </w:rPr>
            </w:pPr>
            <w:r>
              <w:rPr>
                <w:rFonts w:ascii="黑体" w:hAnsi="黑体" w:eastAsia="黑体" w:cs="黑体"/>
                <w:position w:val="1"/>
                <w:sz w:val="21"/>
                <w:szCs w:val="21"/>
              </w:rPr>
              <w:t>1</w:t>
            </w:r>
          </w:p>
        </w:tc>
        <w:tc>
          <w:tcPr>
            <w:tcW w:w="947" w:type="dxa"/>
            <w:vAlign w:val="top"/>
          </w:tcPr>
          <w:p w14:paraId="51BDF839">
            <w:pPr>
              <w:rPr>
                <w:rFonts w:ascii="Arial"/>
                <w:sz w:val="21"/>
              </w:rPr>
            </w:pPr>
          </w:p>
        </w:tc>
        <w:tc>
          <w:tcPr>
            <w:tcW w:w="1123" w:type="dxa"/>
            <w:vAlign w:val="top"/>
          </w:tcPr>
          <w:p w14:paraId="4E71E7CA">
            <w:pPr>
              <w:rPr>
                <w:rFonts w:ascii="Arial"/>
                <w:sz w:val="21"/>
              </w:rPr>
            </w:pPr>
          </w:p>
        </w:tc>
        <w:tc>
          <w:tcPr>
            <w:tcW w:w="1091" w:type="dxa"/>
            <w:vAlign w:val="top"/>
          </w:tcPr>
          <w:p w14:paraId="55156F0E">
            <w:pPr>
              <w:rPr>
                <w:rFonts w:ascii="Arial"/>
                <w:sz w:val="21"/>
              </w:rPr>
            </w:pPr>
          </w:p>
        </w:tc>
        <w:tc>
          <w:tcPr>
            <w:tcW w:w="1195" w:type="dxa"/>
            <w:vAlign w:val="top"/>
          </w:tcPr>
          <w:p w14:paraId="7D22F532">
            <w:pPr>
              <w:rPr>
                <w:rFonts w:ascii="Arial"/>
                <w:sz w:val="21"/>
              </w:rPr>
            </w:pPr>
          </w:p>
        </w:tc>
        <w:tc>
          <w:tcPr>
            <w:tcW w:w="988" w:type="dxa"/>
            <w:vAlign w:val="top"/>
          </w:tcPr>
          <w:p w14:paraId="4672BA30">
            <w:pPr>
              <w:rPr>
                <w:rFonts w:ascii="Arial"/>
                <w:sz w:val="21"/>
              </w:rPr>
            </w:pPr>
          </w:p>
        </w:tc>
      </w:tr>
      <w:tr w14:paraId="3CC4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5F8B9A5D">
            <w:pPr>
              <w:rPr>
                <w:rFonts w:ascii="Arial"/>
                <w:sz w:val="21"/>
              </w:rPr>
            </w:pPr>
          </w:p>
        </w:tc>
        <w:tc>
          <w:tcPr>
            <w:tcW w:w="1843" w:type="dxa"/>
            <w:vMerge w:val="continue"/>
            <w:tcBorders>
              <w:top w:val="nil"/>
              <w:bottom w:val="nil"/>
            </w:tcBorders>
            <w:vAlign w:val="top"/>
          </w:tcPr>
          <w:p w14:paraId="44F5528E">
            <w:pPr>
              <w:rPr>
                <w:rFonts w:ascii="Arial"/>
                <w:sz w:val="21"/>
              </w:rPr>
            </w:pPr>
          </w:p>
        </w:tc>
        <w:tc>
          <w:tcPr>
            <w:tcW w:w="751" w:type="dxa"/>
            <w:vAlign w:val="top"/>
          </w:tcPr>
          <w:p w14:paraId="2C5606D2">
            <w:pPr>
              <w:spacing w:before="125" w:line="277" w:lineRule="exact"/>
              <w:ind w:left="322"/>
              <w:rPr>
                <w:rFonts w:ascii="黑体" w:hAnsi="黑体" w:eastAsia="黑体" w:cs="黑体"/>
                <w:sz w:val="21"/>
                <w:szCs w:val="21"/>
              </w:rPr>
            </w:pPr>
            <w:r>
              <w:rPr>
                <w:rFonts w:ascii="黑体" w:hAnsi="黑体" w:eastAsia="黑体" w:cs="黑体"/>
                <w:position w:val="1"/>
                <w:sz w:val="21"/>
                <w:szCs w:val="21"/>
              </w:rPr>
              <w:t>2</w:t>
            </w:r>
          </w:p>
        </w:tc>
        <w:tc>
          <w:tcPr>
            <w:tcW w:w="947" w:type="dxa"/>
            <w:vAlign w:val="top"/>
          </w:tcPr>
          <w:p w14:paraId="478E3C9B">
            <w:pPr>
              <w:rPr>
                <w:rFonts w:ascii="Arial"/>
                <w:sz w:val="21"/>
              </w:rPr>
            </w:pPr>
          </w:p>
        </w:tc>
        <w:tc>
          <w:tcPr>
            <w:tcW w:w="1123" w:type="dxa"/>
            <w:vAlign w:val="top"/>
          </w:tcPr>
          <w:p w14:paraId="5C8F0BDA">
            <w:pPr>
              <w:rPr>
                <w:rFonts w:ascii="Arial"/>
                <w:sz w:val="21"/>
              </w:rPr>
            </w:pPr>
          </w:p>
        </w:tc>
        <w:tc>
          <w:tcPr>
            <w:tcW w:w="1091" w:type="dxa"/>
            <w:vAlign w:val="top"/>
          </w:tcPr>
          <w:p w14:paraId="7E26AA99">
            <w:pPr>
              <w:rPr>
                <w:rFonts w:ascii="Arial"/>
                <w:sz w:val="21"/>
              </w:rPr>
            </w:pPr>
          </w:p>
        </w:tc>
        <w:tc>
          <w:tcPr>
            <w:tcW w:w="1195" w:type="dxa"/>
            <w:vAlign w:val="top"/>
          </w:tcPr>
          <w:p w14:paraId="6B0AC033">
            <w:pPr>
              <w:rPr>
                <w:rFonts w:ascii="Arial"/>
                <w:sz w:val="21"/>
              </w:rPr>
            </w:pPr>
          </w:p>
        </w:tc>
        <w:tc>
          <w:tcPr>
            <w:tcW w:w="988" w:type="dxa"/>
            <w:vAlign w:val="top"/>
          </w:tcPr>
          <w:p w14:paraId="050E2AD0">
            <w:pPr>
              <w:rPr>
                <w:rFonts w:ascii="Arial"/>
                <w:sz w:val="21"/>
              </w:rPr>
            </w:pPr>
          </w:p>
        </w:tc>
      </w:tr>
      <w:tr w14:paraId="7CFA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73" w:type="dxa"/>
            <w:vMerge w:val="continue"/>
            <w:tcBorders>
              <w:top w:val="nil"/>
            </w:tcBorders>
            <w:vAlign w:val="top"/>
          </w:tcPr>
          <w:p w14:paraId="41B0199B">
            <w:pPr>
              <w:rPr>
                <w:rFonts w:ascii="Arial"/>
                <w:sz w:val="21"/>
              </w:rPr>
            </w:pPr>
          </w:p>
        </w:tc>
        <w:tc>
          <w:tcPr>
            <w:tcW w:w="1843" w:type="dxa"/>
            <w:vMerge w:val="continue"/>
            <w:tcBorders>
              <w:top w:val="nil"/>
            </w:tcBorders>
            <w:vAlign w:val="top"/>
          </w:tcPr>
          <w:p w14:paraId="5DE9839D">
            <w:pPr>
              <w:rPr>
                <w:rFonts w:ascii="Arial"/>
                <w:sz w:val="21"/>
              </w:rPr>
            </w:pPr>
          </w:p>
        </w:tc>
        <w:tc>
          <w:tcPr>
            <w:tcW w:w="751" w:type="dxa"/>
            <w:vAlign w:val="top"/>
          </w:tcPr>
          <w:p w14:paraId="67BA2139">
            <w:pPr>
              <w:spacing w:before="126" w:line="241" w:lineRule="auto"/>
              <w:ind w:left="323"/>
              <w:rPr>
                <w:rFonts w:ascii="黑体" w:hAnsi="黑体" w:eastAsia="黑体" w:cs="黑体"/>
                <w:sz w:val="21"/>
                <w:szCs w:val="21"/>
              </w:rPr>
            </w:pPr>
            <w:r>
              <w:rPr>
                <w:rFonts w:ascii="黑体" w:hAnsi="黑体" w:eastAsia="黑体" w:cs="黑体"/>
                <w:sz w:val="21"/>
                <w:szCs w:val="21"/>
              </w:rPr>
              <w:t>3</w:t>
            </w:r>
          </w:p>
        </w:tc>
        <w:tc>
          <w:tcPr>
            <w:tcW w:w="947" w:type="dxa"/>
            <w:vAlign w:val="top"/>
          </w:tcPr>
          <w:p w14:paraId="3DA3D7D9">
            <w:pPr>
              <w:rPr>
                <w:rFonts w:ascii="Arial"/>
                <w:sz w:val="21"/>
              </w:rPr>
            </w:pPr>
          </w:p>
        </w:tc>
        <w:tc>
          <w:tcPr>
            <w:tcW w:w="1123" w:type="dxa"/>
            <w:vAlign w:val="top"/>
          </w:tcPr>
          <w:p w14:paraId="10C33286">
            <w:pPr>
              <w:rPr>
                <w:rFonts w:ascii="Arial"/>
                <w:sz w:val="21"/>
              </w:rPr>
            </w:pPr>
          </w:p>
        </w:tc>
        <w:tc>
          <w:tcPr>
            <w:tcW w:w="1091" w:type="dxa"/>
            <w:vAlign w:val="top"/>
          </w:tcPr>
          <w:p w14:paraId="1BAB7AFC">
            <w:pPr>
              <w:rPr>
                <w:rFonts w:ascii="Arial"/>
                <w:sz w:val="21"/>
              </w:rPr>
            </w:pPr>
          </w:p>
        </w:tc>
        <w:tc>
          <w:tcPr>
            <w:tcW w:w="1195" w:type="dxa"/>
            <w:vAlign w:val="top"/>
          </w:tcPr>
          <w:p w14:paraId="3905B53F">
            <w:pPr>
              <w:rPr>
                <w:rFonts w:ascii="Arial"/>
                <w:sz w:val="21"/>
              </w:rPr>
            </w:pPr>
          </w:p>
        </w:tc>
        <w:tc>
          <w:tcPr>
            <w:tcW w:w="988" w:type="dxa"/>
            <w:vAlign w:val="top"/>
          </w:tcPr>
          <w:p w14:paraId="5CB9986C">
            <w:pPr>
              <w:rPr>
                <w:rFonts w:ascii="Arial"/>
                <w:sz w:val="21"/>
              </w:rPr>
            </w:pPr>
          </w:p>
        </w:tc>
      </w:tr>
    </w:tbl>
    <w:p w14:paraId="4D6E0A85">
      <w:pPr>
        <w:pStyle w:val="5"/>
        <w:spacing w:line="244" w:lineRule="auto"/>
      </w:pPr>
    </w:p>
    <w:p w14:paraId="7168DE75">
      <w:pPr>
        <w:pStyle w:val="5"/>
        <w:spacing w:line="244" w:lineRule="auto"/>
      </w:pPr>
    </w:p>
    <w:p w14:paraId="44DEFB6F">
      <w:pPr>
        <w:pStyle w:val="5"/>
        <w:spacing w:line="244" w:lineRule="auto"/>
      </w:pPr>
    </w:p>
    <w:p w14:paraId="6912FA2B">
      <w:pPr>
        <w:pStyle w:val="5"/>
        <w:spacing w:line="245" w:lineRule="auto"/>
      </w:pPr>
    </w:p>
    <w:p w14:paraId="724EA0CF">
      <w:pPr>
        <w:spacing w:before="68" w:line="221" w:lineRule="auto"/>
        <w:ind w:left="5156"/>
        <w:rPr>
          <w:rFonts w:ascii="宋体" w:hAnsi="宋体" w:eastAsia="宋体" w:cs="宋体"/>
          <w:sz w:val="21"/>
          <w:szCs w:val="21"/>
        </w:rPr>
      </w:pPr>
      <w:r>
        <w:rPr>
          <w:rFonts w:ascii="宋体" w:hAnsi="宋体" w:eastAsia="宋体" w:cs="宋体"/>
          <w:spacing w:val="-11"/>
          <w:sz w:val="21"/>
          <w:szCs w:val="21"/>
        </w:rPr>
        <w:t>日</w:t>
      </w:r>
      <w:r>
        <w:rPr>
          <w:rFonts w:ascii="宋体" w:hAnsi="宋体" w:eastAsia="宋体" w:cs="宋体"/>
          <w:spacing w:val="13"/>
          <w:sz w:val="21"/>
          <w:szCs w:val="21"/>
        </w:rPr>
        <w:t xml:space="preserve"> </w:t>
      </w:r>
      <w:r>
        <w:rPr>
          <w:rFonts w:ascii="宋体" w:hAnsi="宋体" w:eastAsia="宋体" w:cs="宋体"/>
          <w:spacing w:val="-11"/>
          <w:sz w:val="21"/>
          <w:szCs w:val="21"/>
        </w:rPr>
        <w:t xml:space="preserve">期： </w:t>
      </w:r>
      <w:r>
        <w:rPr>
          <w:rFonts w:ascii="宋体" w:hAnsi="宋体" w:eastAsia="宋体" w:cs="宋体"/>
          <w:spacing w:val="20"/>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年</w:t>
      </w:r>
      <w:r>
        <w:rPr>
          <w:rFonts w:ascii="宋体" w:hAnsi="宋体" w:eastAsia="宋体" w:cs="宋体"/>
          <w:spacing w:val="2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月</w:t>
      </w:r>
      <w:r>
        <w:rPr>
          <w:rFonts w:ascii="宋体" w:hAnsi="宋体" w:eastAsia="宋体" w:cs="宋体"/>
          <w:spacing w:val="26"/>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1"/>
          <w:sz w:val="21"/>
          <w:szCs w:val="21"/>
        </w:rPr>
        <w:t>日</w:t>
      </w:r>
    </w:p>
    <w:p w14:paraId="5D987DD0">
      <w:pPr>
        <w:pStyle w:val="5"/>
        <w:spacing w:line="278" w:lineRule="auto"/>
      </w:pPr>
    </w:p>
    <w:p w14:paraId="6E25A617">
      <w:pPr>
        <w:pStyle w:val="5"/>
        <w:spacing w:line="278" w:lineRule="auto"/>
      </w:pPr>
    </w:p>
    <w:p w14:paraId="4FDF4C10">
      <w:pPr>
        <w:spacing w:before="68" w:line="220" w:lineRule="auto"/>
        <w:rPr>
          <w:rFonts w:ascii="宋体" w:hAnsi="宋体" w:eastAsia="宋体" w:cs="宋体"/>
          <w:sz w:val="21"/>
          <w:szCs w:val="21"/>
        </w:rPr>
      </w:pPr>
      <w:r>
        <w:rPr>
          <w:rFonts w:ascii="宋体" w:hAnsi="宋体" w:eastAsia="宋体" w:cs="宋体"/>
          <w:sz w:val="21"/>
          <w:szCs w:val="21"/>
        </w:rPr>
        <w:t>备注：本表所列分包仅限于承包人自行施工范围</w:t>
      </w:r>
      <w:r>
        <w:rPr>
          <w:rFonts w:ascii="宋体" w:hAnsi="宋体" w:eastAsia="宋体" w:cs="宋体"/>
          <w:spacing w:val="-1"/>
          <w:sz w:val="21"/>
          <w:szCs w:val="21"/>
        </w:rPr>
        <w:t>内的非主体、非关键工程。没有可不填写。</w:t>
      </w:r>
    </w:p>
    <w:p w14:paraId="56341225">
      <w:pPr>
        <w:spacing w:line="220" w:lineRule="auto"/>
        <w:rPr>
          <w:rFonts w:ascii="宋体" w:hAnsi="宋体" w:eastAsia="宋体" w:cs="宋体"/>
          <w:sz w:val="21"/>
          <w:szCs w:val="21"/>
        </w:rPr>
        <w:sectPr>
          <w:footerReference r:id="rId199" w:type="default"/>
          <w:pgSz w:w="11905" w:h="16843"/>
          <w:pgMar w:top="969" w:right="1355" w:bottom="1026" w:left="1480" w:header="0" w:footer="754" w:gutter="0"/>
          <w:cols w:space="0" w:num="1"/>
          <w:rtlGutter w:val="0"/>
          <w:docGrid w:linePitch="0" w:charSpace="0"/>
        </w:sectPr>
      </w:pPr>
    </w:p>
    <w:p w14:paraId="36FDD4B6">
      <w:pPr>
        <w:pStyle w:val="5"/>
        <w:spacing w:line="288" w:lineRule="auto"/>
      </w:pPr>
    </w:p>
    <w:p w14:paraId="0BE6154A">
      <w:pPr>
        <w:pStyle w:val="5"/>
        <w:spacing w:line="289" w:lineRule="auto"/>
      </w:pPr>
    </w:p>
    <w:p w14:paraId="7E3C00B4">
      <w:pPr>
        <w:pStyle w:val="5"/>
        <w:spacing w:line="289" w:lineRule="auto"/>
      </w:pPr>
    </w:p>
    <w:p w14:paraId="416C4848">
      <w:pPr>
        <w:pStyle w:val="5"/>
        <w:spacing w:line="289" w:lineRule="auto"/>
      </w:pPr>
    </w:p>
    <w:p w14:paraId="08418278">
      <w:pPr>
        <w:spacing w:before="91" w:line="219" w:lineRule="auto"/>
        <w:ind w:left="5669"/>
        <w:outlineLvl w:val="1"/>
        <w:rPr>
          <w:rFonts w:ascii="黑体" w:hAnsi="黑体" w:eastAsia="黑体" w:cs="黑体"/>
          <w:sz w:val="28"/>
          <w:szCs w:val="28"/>
        </w:rPr>
      </w:pPr>
      <w:bookmarkStart w:id="1369" w:name="bookmark665"/>
      <w:bookmarkEnd w:id="1369"/>
      <w:bookmarkStart w:id="1370" w:name="bookmark443"/>
      <w:bookmarkEnd w:id="1370"/>
      <w:r>
        <w:rPr>
          <w:rFonts w:ascii="黑体" w:hAnsi="黑体" w:eastAsia="黑体" w:cs="黑体"/>
          <w:spacing w:val="-3"/>
          <w:sz w:val="28"/>
          <w:szCs w:val="28"/>
        </w:rPr>
        <w:t>六、项目管理机构</w:t>
      </w:r>
    </w:p>
    <w:p w14:paraId="2165DB99">
      <w:pPr>
        <w:pStyle w:val="5"/>
        <w:spacing w:line="337" w:lineRule="auto"/>
      </w:pPr>
    </w:p>
    <w:p w14:paraId="214030FC">
      <w:pPr>
        <w:spacing w:before="91" w:line="211" w:lineRule="auto"/>
        <w:ind w:left="4840"/>
        <w:outlineLvl w:val="2"/>
        <w:rPr>
          <w:rFonts w:ascii="黑体" w:hAnsi="黑体" w:eastAsia="黑体" w:cs="黑体"/>
          <w:sz w:val="28"/>
          <w:szCs w:val="28"/>
        </w:rPr>
      </w:pPr>
      <w:bookmarkStart w:id="1371" w:name="bookmark444"/>
      <w:bookmarkEnd w:id="1371"/>
      <w:r>
        <w:rPr>
          <w:rFonts w:ascii="黑体" w:hAnsi="黑体" w:eastAsia="黑体" w:cs="黑体"/>
          <w:spacing w:val="-3"/>
          <w:sz w:val="28"/>
          <w:szCs w:val="28"/>
        </w:rPr>
        <w:t>（一）项目管理机构主要人员表</w:t>
      </w:r>
    </w:p>
    <w:tbl>
      <w:tblPr>
        <w:tblStyle w:val="10"/>
        <w:tblW w:w="138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
        <w:gridCol w:w="1221"/>
        <w:gridCol w:w="789"/>
        <w:gridCol w:w="509"/>
        <w:gridCol w:w="720"/>
        <w:gridCol w:w="720"/>
        <w:gridCol w:w="926"/>
        <w:gridCol w:w="991"/>
        <w:gridCol w:w="540"/>
        <w:gridCol w:w="1080"/>
        <w:gridCol w:w="1245"/>
        <w:gridCol w:w="622"/>
        <w:gridCol w:w="1065"/>
        <w:gridCol w:w="1065"/>
        <w:gridCol w:w="1080"/>
        <w:gridCol w:w="904"/>
      </w:tblGrid>
      <w:tr w14:paraId="0AA71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65" w:type="dxa"/>
            <w:vMerge w:val="restart"/>
            <w:tcBorders>
              <w:bottom w:val="nil"/>
            </w:tcBorders>
            <w:textDirection w:val="tbRlV"/>
            <w:vAlign w:val="top"/>
          </w:tcPr>
          <w:p w14:paraId="2CE75B6A">
            <w:pPr>
              <w:pStyle w:val="11"/>
              <w:spacing w:before="74" w:line="211" w:lineRule="auto"/>
              <w:ind w:left="183"/>
            </w:pPr>
            <w:r>
              <w:rPr>
                <w:spacing w:val="1"/>
              </w:rPr>
              <w:t>序</w:t>
            </w:r>
            <w:r>
              <w:rPr>
                <w:spacing w:val="-43"/>
              </w:rPr>
              <w:t xml:space="preserve"> </w:t>
            </w:r>
            <w:r>
              <w:rPr>
                <w:spacing w:val="1"/>
              </w:rPr>
              <w:t>号</w:t>
            </w:r>
          </w:p>
        </w:tc>
        <w:tc>
          <w:tcPr>
            <w:tcW w:w="1221" w:type="dxa"/>
            <w:vMerge w:val="restart"/>
            <w:tcBorders>
              <w:bottom w:val="nil"/>
            </w:tcBorders>
            <w:vAlign w:val="top"/>
          </w:tcPr>
          <w:p w14:paraId="43F08A64">
            <w:pPr>
              <w:spacing w:line="300" w:lineRule="auto"/>
              <w:rPr>
                <w:rFonts w:ascii="Arial"/>
                <w:sz w:val="21"/>
              </w:rPr>
            </w:pPr>
          </w:p>
          <w:p w14:paraId="3213451D">
            <w:pPr>
              <w:pStyle w:val="11"/>
              <w:spacing w:before="68" w:line="221" w:lineRule="auto"/>
              <w:ind w:left="424"/>
            </w:pPr>
            <w:r>
              <w:rPr>
                <w:spacing w:val="-8"/>
              </w:rPr>
              <w:t>岗位</w:t>
            </w:r>
          </w:p>
        </w:tc>
        <w:tc>
          <w:tcPr>
            <w:tcW w:w="789" w:type="dxa"/>
            <w:vMerge w:val="restart"/>
            <w:tcBorders>
              <w:bottom w:val="nil"/>
            </w:tcBorders>
            <w:vAlign w:val="top"/>
          </w:tcPr>
          <w:p w14:paraId="714FB35E">
            <w:pPr>
              <w:spacing w:line="247" w:lineRule="auto"/>
              <w:rPr>
                <w:rFonts w:ascii="Arial"/>
                <w:sz w:val="21"/>
              </w:rPr>
            </w:pPr>
          </w:p>
          <w:p w14:paraId="3F62C1F8">
            <w:pPr>
              <w:pStyle w:val="11"/>
              <w:spacing w:before="68" w:line="221" w:lineRule="auto"/>
              <w:ind w:left="185"/>
            </w:pPr>
            <w:r>
              <w:rPr>
                <w:spacing w:val="-2"/>
              </w:rPr>
              <w:t>姓名</w:t>
            </w:r>
          </w:p>
        </w:tc>
        <w:tc>
          <w:tcPr>
            <w:tcW w:w="509" w:type="dxa"/>
            <w:vMerge w:val="restart"/>
            <w:tcBorders>
              <w:bottom w:val="nil"/>
            </w:tcBorders>
            <w:vAlign w:val="top"/>
          </w:tcPr>
          <w:p w14:paraId="49BBB6DC">
            <w:pPr>
              <w:spacing w:line="248" w:lineRule="auto"/>
              <w:rPr>
                <w:rFonts w:ascii="Arial"/>
                <w:sz w:val="21"/>
              </w:rPr>
            </w:pPr>
          </w:p>
          <w:p w14:paraId="48F14CB6">
            <w:pPr>
              <w:pStyle w:val="11"/>
              <w:spacing w:before="68" w:line="221" w:lineRule="auto"/>
              <w:ind w:left="47"/>
            </w:pPr>
            <w:r>
              <w:rPr>
                <w:spacing w:val="-3"/>
              </w:rPr>
              <w:t>性别</w:t>
            </w:r>
          </w:p>
        </w:tc>
        <w:tc>
          <w:tcPr>
            <w:tcW w:w="720" w:type="dxa"/>
            <w:vMerge w:val="restart"/>
            <w:tcBorders>
              <w:bottom w:val="nil"/>
            </w:tcBorders>
            <w:vAlign w:val="top"/>
          </w:tcPr>
          <w:p w14:paraId="7D21B65E">
            <w:pPr>
              <w:spacing w:line="247" w:lineRule="auto"/>
              <w:rPr>
                <w:rFonts w:ascii="Arial"/>
                <w:sz w:val="21"/>
              </w:rPr>
            </w:pPr>
          </w:p>
          <w:p w14:paraId="52CD4D4F">
            <w:pPr>
              <w:pStyle w:val="11"/>
              <w:spacing w:before="68" w:line="221" w:lineRule="auto"/>
              <w:ind w:left="154"/>
            </w:pPr>
            <w:r>
              <w:rPr>
                <w:spacing w:val="-2"/>
              </w:rPr>
              <w:t>年龄</w:t>
            </w:r>
          </w:p>
        </w:tc>
        <w:tc>
          <w:tcPr>
            <w:tcW w:w="720" w:type="dxa"/>
            <w:vMerge w:val="restart"/>
            <w:tcBorders>
              <w:bottom w:val="nil"/>
            </w:tcBorders>
            <w:vAlign w:val="top"/>
          </w:tcPr>
          <w:p w14:paraId="5E1ADDA0">
            <w:pPr>
              <w:spacing w:line="247" w:lineRule="auto"/>
              <w:rPr>
                <w:rFonts w:ascii="Arial"/>
                <w:sz w:val="21"/>
              </w:rPr>
            </w:pPr>
          </w:p>
          <w:p w14:paraId="0D5C7ECA">
            <w:pPr>
              <w:pStyle w:val="11"/>
              <w:spacing w:before="69" w:line="222" w:lineRule="auto"/>
              <w:ind w:left="157"/>
            </w:pPr>
            <w:r>
              <w:rPr>
                <w:spacing w:val="-3"/>
              </w:rPr>
              <w:t>学历</w:t>
            </w:r>
          </w:p>
        </w:tc>
        <w:tc>
          <w:tcPr>
            <w:tcW w:w="926" w:type="dxa"/>
            <w:vMerge w:val="restart"/>
            <w:tcBorders>
              <w:bottom w:val="nil"/>
            </w:tcBorders>
            <w:vAlign w:val="top"/>
          </w:tcPr>
          <w:p w14:paraId="1382B3B8">
            <w:pPr>
              <w:spacing w:line="248" w:lineRule="auto"/>
              <w:rPr>
                <w:rFonts w:ascii="Arial"/>
                <w:sz w:val="21"/>
              </w:rPr>
            </w:pPr>
          </w:p>
          <w:p w14:paraId="55DEC879">
            <w:pPr>
              <w:pStyle w:val="11"/>
              <w:spacing w:before="68" w:line="221" w:lineRule="auto"/>
              <w:ind w:left="45"/>
            </w:pPr>
            <w:r>
              <w:rPr>
                <w:spacing w:val="-2"/>
              </w:rPr>
              <w:t>所学专业</w:t>
            </w:r>
          </w:p>
        </w:tc>
        <w:tc>
          <w:tcPr>
            <w:tcW w:w="991" w:type="dxa"/>
            <w:vMerge w:val="restart"/>
            <w:tcBorders>
              <w:bottom w:val="nil"/>
            </w:tcBorders>
            <w:vAlign w:val="top"/>
          </w:tcPr>
          <w:p w14:paraId="3C1D51DB">
            <w:pPr>
              <w:pStyle w:val="11"/>
              <w:spacing w:before="182" w:line="243" w:lineRule="auto"/>
              <w:ind w:left="288" w:right="74" w:hanging="211"/>
            </w:pPr>
            <w:r>
              <w:rPr>
                <w:spacing w:val="-2"/>
              </w:rPr>
              <w:t>专业工作年限</w:t>
            </w:r>
          </w:p>
        </w:tc>
        <w:tc>
          <w:tcPr>
            <w:tcW w:w="1620" w:type="dxa"/>
            <w:gridSpan w:val="2"/>
            <w:vAlign w:val="top"/>
          </w:tcPr>
          <w:p w14:paraId="4194BD20">
            <w:pPr>
              <w:pStyle w:val="11"/>
              <w:spacing w:before="108" w:line="221" w:lineRule="auto"/>
              <w:ind w:left="186"/>
            </w:pPr>
            <w:r>
              <w:rPr>
                <w:spacing w:val="-1"/>
              </w:rPr>
              <w:t>专业技术职称</w:t>
            </w:r>
          </w:p>
        </w:tc>
        <w:tc>
          <w:tcPr>
            <w:tcW w:w="3997" w:type="dxa"/>
            <w:gridSpan w:val="4"/>
            <w:vAlign w:val="top"/>
          </w:tcPr>
          <w:p w14:paraId="277ED719">
            <w:pPr>
              <w:pStyle w:val="11"/>
              <w:spacing w:before="161" w:line="221" w:lineRule="auto"/>
              <w:ind w:left="1059"/>
            </w:pPr>
            <w:r>
              <w:rPr>
                <w:spacing w:val="-1"/>
              </w:rPr>
              <w:t>执业或职业资格证明</w:t>
            </w:r>
          </w:p>
        </w:tc>
        <w:tc>
          <w:tcPr>
            <w:tcW w:w="1080" w:type="dxa"/>
            <w:vMerge w:val="restart"/>
            <w:tcBorders>
              <w:bottom w:val="nil"/>
            </w:tcBorders>
            <w:vAlign w:val="top"/>
          </w:tcPr>
          <w:p w14:paraId="657A9607">
            <w:pPr>
              <w:spacing w:line="300" w:lineRule="auto"/>
              <w:rPr>
                <w:rFonts w:ascii="Arial"/>
                <w:sz w:val="21"/>
              </w:rPr>
            </w:pPr>
          </w:p>
          <w:p w14:paraId="3C143061">
            <w:pPr>
              <w:pStyle w:val="11"/>
              <w:spacing w:before="68" w:line="220" w:lineRule="auto"/>
              <w:ind w:left="126"/>
            </w:pPr>
            <w:r>
              <w:rPr>
                <w:spacing w:val="-2"/>
              </w:rPr>
              <w:t>社会保险</w:t>
            </w:r>
          </w:p>
        </w:tc>
        <w:tc>
          <w:tcPr>
            <w:tcW w:w="904" w:type="dxa"/>
            <w:vMerge w:val="restart"/>
            <w:tcBorders>
              <w:bottom w:val="nil"/>
            </w:tcBorders>
            <w:vAlign w:val="top"/>
          </w:tcPr>
          <w:p w14:paraId="4148DC3A">
            <w:pPr>
              <w:pStyle w:val="11"/>
              <w:spacing w:before="160" w:line="299" w:lineRule="auto"/>
              <w:ind w:left="35" w:right="30" w:firstLine="104"/>
            </w:pPr>
            <w:r>
              <w:rPr>
                <w:spacing w:val="-2"/>
              </w:rPr>
              <w:t>执业或职业单位</w:t>
            </w:r>
          </w:p>
        </w:tc>
      </w:tr>
      <w:tr w14:paraId="059D7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5" w:type="dxa"/>
            <w:vMerge w:val="continue"/>
            <w:tcBorders>
              <w:top w:val="nil"/>
            </w:tcBorders>
            <w:textDirection w:val="tbRlV"/>
            <w:vAlign w:val="top"/>
          </w:tcPr>
          <w:p w14:paraId="4B89736E">
            <w:pPr>
              <w:rPr>
                <w:rFonts w:ascii="Arial"/>
                <w:sz w:val="21"/>
              </w:rPr>
            </w:pPr>
          </w:p>
        </w:tc>
        <w:tc>
          <w:tcPr>
            <w:tcW w:w="1221" w:type="dxa"/>
            <w:vMerge w:val="continue"/>
            <w:tcBorders>
              <w:top w:val="nil"/>
            </w:tcBorders>
            <w:vAlign w:val="top"/>
          </w:tcPr>
          <w:p w14:paraId="78EDAC2D">
            <w:pPr>
              <w:rPr>
                <w:rFonts w:ascii="Arial"/>
                <w:sz w:val="21"/>
              </w:rPr>
            </w:pPr>
          </w:p>
        </w:tc>
        <w:tc>
          <w:tcPr>
            <w:tcW w:w="789" w:type="dxa"/>
            <w:vMerge w:val="continue"/>
            <w:tcBorders>
              <w:top w:val="nil"/>
            </w:tcBorders>
            <w:vAlign w:val="top"/>
          </w:tcPr>
          <w:p w14:paraId="50EA56D3">
            <w:pPr>
              <w:rPr>
                <w:rFonts w:ascii="Arial"/>
                <w:sz w:val="21"/>
              </w:rPr>
            </w:pPr>
          </w:p>
        </w:tc>
        <w:tc>
          <w:tcPr>
            <w:tcW w:w="509" w:type="dxa"/>
            <w:vMerge w:val="continue"/>
            <w:tcBorders>
              <w:top w:val="nil"/>
            </w:tcBorders>
            <w:vAlign w:val="top"/>
          </w:tcPr>
          <w:p w14:paraId="29EFF8BD">
            <w:pPr>
              <w:rPr>
                <w:rFonts w:ascii="Arial"/>
                <w:sz w:val="21"/>
              </w:rPr>
            </w:pPr>
          </w:p>
        </w:tc>
        <w:tc>
          <w:tcPr>
            <w:tcW w:w="720" w:type="dxa"/>
            <w:vMerge w:val="continue"/>
            <w:tcBorders>
              <w:top w:val="nil"/>
            </w:tcBorders>
            <w:vAlign w:val="top"/>
          </w:tcPr>
          <w:p w14:paraId="227BF2C2">
            <w:pPr>
              <w:rPr>
                <w:rFonts w:ascii="Arial"/>
                <w:sz w:val="21"/>
              </w:rPr>
            </w:pPr>
          </w:p>
        </w:tc>
        <w:tc>
          <w:tcPr>
            <w:tcW w:w="720" w:type="dxa"/>
            <w:vMerge w:val="continue"/>
            <w:tcBorders>
              <w:top w:val="nil"/>
            </w:tcBorders>
            <w:vAlign w:val="top"/>
          </w:tcPr>
          <w:p w14:paraId="2D4A037B">
            <w:pPr>
              <w:rPr>
                <w:rFonts w:ascii="Arial"/>
                <w:sz w:val="21"/>
              </w:rPr>
            </w:pPr>
          </w:p>
        </w:tc>
        <w:tc>
          <w:tcPr>
            <w:tcW w:w="926" w:type="dxa"/>
            <w:vMerge w:val="continue"/>
            <w:tcBorders>
              <w:top w:val="nil"/>
            </w:tcBorders>
            <w:vAlign w:val="top"/>
          </w:tcPr>
          <w:p w14:paraId="598B592C">
            <w:pPr>
              <w:rPr>
                <w:rFonts w:ascii="Arial"/>
                <w:sz w:val="21"/>
              </w:rPr>
            </w:pPr>
          </w:p>
        </w:tc>
        <w:tc>
          <w:tcPr>
            <w:tcW w:w="991" w:type="dxa"/>
            <w:vMerge w:val="continue"/>
            <w:tcBorders>
              <w:top w:val="nil"/>
            </w:tcBorders>
            <w:vAlign w:val="top"/>
          </w:tcPr>
          <w:p w14:paraId="0D420863">
            <w:pPr>
              <w:rPr>
                <w:rFonts w:ascii="Arial"/>
                <w:sz w:val="21"/>
              </w:rPr>
            </w:pPr>
          </w:p>
        </w:tc>
        <w:tc>
          <w:tcPr>
            <w:tcW w:w="540" w:type="dxa"/>
            <w:vAlign w:val="top"/>
          </w:tcPr>
          <w:p w14:paraId="765298BD">
            <w:pPr>
              <w:pStyle w:val="11"/>
              <w:spacing w:before="97" w:line="221" w:lineRule="auto"/>
              <w:ind w:left="68"/>
            </w:pPr>
            <w:r>
              <w:rPr>
                <w:spacing w:val="-3"/>
              </w:rPr>
              <w:t>级别</w:t>
            </w:r>
          </w:p>
        </w:tc>
        <w:tc>
          <w:tcPr>
            <w:tcW w:w="1080" w:type="dxa"/>
            <w:vAlign w:val="top"/>
          </w:tcPr>
          <w:p w14:paraId="1B743AE3">
            <w:pPr>
              <w:pStyle w:val="11"/>
              <w:spacing w:before="97" w:line="221" w:lineRule="auto"/>
              <w:ind w:left="126"/>
            </w:pPr>
            <w:r>
              <w:rPr>
                <w:spacing w:val="-2"/>
              </w:rPr>
              <w:t>职称专业</w:t>
            </w:r>
          </w:p>
        </w:tc>
        <w:tc>
          <w:tcPr>
            <w:tcW w:w="1245" w:type="dxa"/>
            <w:vAlign w:val="top"/>
          </w:tcPr>
          <w:p w14:paraId="43735EF9">
            <w:pPr>
              <w:pStyle w:val="11"/>
              <w:spacing w:before="97" w:line="220" w:lineRule="auto"/>
              <w:ind w:left="207"/>
            </w:pPr>
            <w:r>
              <w:rPr>
                <w:spacing w:val="-2"/>
              </w:rPr>
              <w:t>证书名称</w:t>
            </w:r>
          </w:p>
        </w:tc>
        <w:tc>
          <w:tcPr>
            <w:tcW w:w="622" w:type="dxa"/>
            <w:vAlign w:val="top"/>
          </w:tcPr>
          <w:p w14:paraId="6316460D">
            <w:pPr>
              <w:pStyle w:val="11"/>
              <w:spacing w:before="97" w:line="221" w:lineRule="auto"/>
              <w:ind w:left="108"/>
            </w:pPr>
            <w:r>
              <w:rPr>
                <w:spacing w:val="-3"/>
              </w:rPr>
              <w:t>级别</w:t>
            </w:r>
          </w:p>
        </w:tc>
        <w:tc>
          <w:tcPr>
            <w:tcW w:w="1065" w:type="dxa"/>
            <w:vAlign w:val="top"/>
          </w:tcPr>
          <w:p w14:paraId="4C1AA2A8">
            <w:pPr>
              <w:pStyle w:val="11"/>
              <w:spacing w:before="97" w:line="222" w:lineRule="auto"/>
              <w:ind w:left="327"/>
            </w:pPr>
            <w:r>
              <w:rPr>
                <w:spacing w:val="-2"/>
              </w:rPr>
              <w:t>证号</w:t>
            </w:r>
          </w:p>
        </w:tc>
        <w:tc>
          <w:tcPr>
            <w:tcW w:w="1065" w:type="dxa"/>
            <w:vAlign w:val="top"/>
          </w:tcPr>
          <w:p w14:paraId="53217129">
            <w:pPr>
              <w:pStyle w:val="11"/>
              <w:spacing w:before="97" w:line="221" w:lineRule="auto"/>
              <w:ind w:left="327"/>
            </w:pPr>
            <w:r>
              <w:rPr>
                <w:spacing w:val="-2"/>
              </w:rPr>
              <w:t>专业</w:t>
            </w:r>
          </w:p>
        </w:tc>
        <w:tc>
          <w:tcPr>
            <w:tcW w:w="1080" w:type="dxa"/>
            <w:vMerge w:val="continue"/>
            <w:tcBorders>
              <w:top w:val="nil"/>
            </w:tcBorders>
            <w:vAlign w:val="top"/>
          </w:tcPr>
          <w:p w14:paraId="3C20A86B">
            <w:pPr>
              <w:rPr>
                <w:rFonts w:ascii="Arial"/>
                <w:sz w:val="21"/>
              </w:rPr>
            </w:pPr>
          </w:p>
        </w:tc>
        <w:tc>
          <w:tcPr>
            <w:tcW w:w="904" w:type="dxa"/>
            <w:vMerge w:val="continue"/>
            <w:tcBorders>
              <w:top w:val="nil"/>
            </w:tcBorders>
            <w:vAlign w:val="top"/>
          </w:tcPr>
          <w:p w14:paraId="5A385BB0">
            <w:pPr>
              <w:rPr>
                <w:rFonts w:ascii="Arial"/>
                <w:sz w:val="21"/>
              </w:rPr>
            </w:pPr>
          </w:p>
        </w:tc>
      </w:tr>
      <w:tr w14:paraId="2C008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5" w:type="dxa"/>
            <w:vAlign w:val="top"/>
          </w:tcPr>
          <w:p w14:paraId="5170DB05">
            <w:pPr>
              <w:spacing w:before="152" w:line="236" w:lineRule="auto"/>
              <w:ind w:left="151"/>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21" w:type="dxa"/>
            <w:vAlign w:val="top"/>
          </w:tcPr>
          <w:p w14:paraId="18F6E587">
            <w:pPr>
              <w:rPr>
                <w:rFonts w:ascii="Arial"/>
                <w:sz w:val="21"/>
              </w:rPr>
            </w:pPr>
          </w:p>
        </w:tc>
        <w:tc>
          <w:tcPr>
            <w:tcW w:w="789" w:type="dxa"/>
            <w:vAlign w:val="top"/>
          </w:tcPr>
          <w:p w14:paraId="472D629A">
            <w:pPr>
              <w:rPr>
                <w:rFonts w:ascii="Arial"/>
                <w:sz w:val="21"/>
              </w:rPr>
            </w:pPr>
          </w:p>
        </w:tc>
        <w:tc>
          <w:tcPr>
            <w:tcW w:w="509" w:type="dxa"/>
            <w:vAlign w:val="top"/>
          </w:tcPr>
          <w:p w14:paraId="46364A49">
            <w:pPr>
              <w:rPr>
                <w:rFonts w:ascii="Arial"/>
                <w:sz w:val="21"/>
              </w:rPr>
            </w:pPr>
          </w:p>
        </w:tc>
        <w:tc>
          <w:tcPr>
            <w:tcW w:w="720" w:type="dxa"/>
            <w:vAlign w:val="top"/>
          </w:tcPr>
          <w:p w14:paraId="04A4D676">
            <w:pPr>
              <w:rPr>
                <w:rFonts w:ascii="Arial"/>
                <w:sz w:val="21"/>
              </w:rPr>
            </w:pPr>
          </w:p>
        </w:tc>
        <w:tc>
          <w:tcPr>
            <w:tcW w:w="720" w:type="dxa"/>
            <w:vAlign w:val="top"/>
          </w:tcPr>
          <w:p w14:paraId="3C39D059">
            <w:pPr>
              <w:rPr>
                <w:rFonts w:ascii="Arial"/>
                <w:sz w:val="21"/>
              </w:rPr>
            </w:pPr>
          </w:p>
        </w:tc>
        <w:tc>
          <w:tcPr>
            <w:tcW w:w="926" w:type="dxa"/>
            <w:vAlign w:val="top"/>
          </w:tcPr>
          <w:p w14:paraId="5546259D">
            <w:pPr>
              <w:rPr>
                <w:rFonts w:ascii="Arial"/>
                <w:sz w:val="21"/>
              </w:rPr>
            </w:pPr>
          </w:p>
        </w:tc>
        <w:tc>
          <w:tcPr>
            <w:tcW w:w="991" w:type="dxa"/>
            <w:vAlign w:val="top"/>
          </w:tcPr>
          <w:p w14:paraId="192D0E2F">
            <w:pPr>
              <w:rPr>
                <w:rFonts w:ascii="Arial"/>
                <w:sz w:val="21"/>
              </w:rPr>
            </w:pPr>
          </w:p>
        </w:tc>
        <w:tc>
          <w:tcPr>
            <w:tcW w:w="540" w:type="dxa"/>
            <w:vAlign w:val="top"/>
          </w:tcPr>
          <w:p w14:paraId="667CAF16">
            <w:pPr>
              <w:rPr>
                <w:rFonts w:ascii="Arial"/>
                <w:sz w:val="21"/>
              </w:rPr>
            </w:pPr>
          </w:p>
        </w:tc>
        <w:tc>
          <w:tcPr>
            <w:tcW w:w="1080" w:type="dxa"/>
            <w:vAlign w:val="top"/>
          </w:tcPr>
          <w:p w14:paraId="7807A295">
            <w:pPr>
              <w:rPr>
                <w:rFonts w:ascii="Arial"/>
                <w:sz w:val="21"/>
              </w:rPr>
            </w:pPr>
          </w:p>
        </w:tc>
        <w:tc>
          <w:tcPr>
            <w:tcW w:w="1245" w:type="dxa"/>
            <w:vAlign w:val="top"/>
          </w:tcPr>
          <w:p w14:paraId="78CB05C4">
            <w:pPr>
              <w:rPr>
                <w:rFonts w:ascii="Arial"/>
                <w:sz w:val="21"/>
              </w:rPr>
            </w:pPr>
          </w:p>
        </w:tc>
        <w:tc>
          <w:tcPr>
            <w:tcW w:w="622" w:type="dxa"/>
            <w:vAlign w:val="top"/>
          </w:tcPr>
          <w:p w14:paraId="20D479C4">
            <w:pPr>
              <w:rPr>
                <w:rFonts w:ascii="Arial"/>
                <w:sz w:val="21"/>
              </w:rPr>
            </w:pPr>
          </w:p>
        </w:tc>
        <w:tc>
          <w:tcPr>
            <w:tcW w:w="1065" w:type="dxa"/>
            <w:vAlign w:val="top"/>
          </w:tcPr>
          <w:p w14:paraId="6CFCFACD">
            <w:pPr>
              <w:rPr>
                <w:rFonts w:ascii="Arial"/>
                <w:sz w:val="21"/>
              </w:rPr>
            </w:pPr>
          </w:p>
        </w:tc>
        <w:tc>
          <w:tcPr>
            <w:tcW w:w="1065" w:type="dxa"/>
            <w:vAlign w:val="top"/>
          </w:tcPr>
          <w:p w14:paraId="21BEB4B5">
            <w:pPr>
              <w:rPr>
                <w:rFonts w:ascii="Arial"/>
                <w:sz w:val="21"/>
              </w:rPr>
            </w:pPr>
          </w:p>
        </w:tc>
        <w:tc>
          <w:tcPr>
            <w:tcW w:w="1080" w:type="dxa"/>
            <w:vAlign w:val="top"/>
          </w:tcPr>
          <w:p w14:paraId="2E8AAE78">
            <w:pPr>
              <w:rPr>
                <w:rFonts w:ascii="Arial"/>
                <w:sz w:val="21"/>
              </w:rPr>
            </w:pPr>
          </w:p>
        </w:tc>
        <w:tc>
          <w:tcPr>
            <w:tcW w:w="904" w:type="dxa"/>
            <w:vAlign w:val="top"/>
          </w:tcPr>
          <w:p w14:paraId="064C29D7">
            <w:pPr>
              <w:rPr>
                <w:rFonts w:ascii="Arial"/>
                <w:sz w:val="21"/>
              </w:rPr>
            </w:pPr>
          </w:p>
        </w:tc>
      </w:tr>
      <w:tr w14:paraId="3053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4F1F7BBC">
            <w:pPr>
              <w:spacing w:before="151" w:line="236" w:lineRule="auto"/>
              <w:ind w:left="131"/>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21" w:type="dxa"/>
            <w:vAlign w:val="top"/>
          </w:tcPr>
          <w:p w14:paraId="2951470C">
            <w:pPr>
              <w:rPr>
                <w:rFonts w:ascii="Arial"/>
                <w:sz w:val="21"/>
              </w:rPr>
            </w:pPr>
          </w:p>
        </w:tc>
        <w:tc>
          <w:tcPr>
            <w:tcW w:w="789" w:type="dxa"/>
            <w:vAlign w:val="top"/>
          </w:tcPr>
          <w:p w14:paraId="25BEB293">
            <w:pPr>
              <w:rPr>
                <w:rFonts w:ascii="Arial"/>
                <w:sz w:val="21"/>
              </w:rPr>
            </w:pPr>
          </w:p>
        </w:tc>
        <w:tc>
          <w:tcPr>
            <w:tcW w:w="509" w:type="dxa"/>
            <w:vAlign w:val="top"/>
          </w:tcPr>
          <w:p w14:paraId="5FE35CC1">
            <w:pPr>
              <w:rPr>
                <w:rFonts w:ascii="Arial"/>
                <w:sz w:val="21"/>
              </w:rPr>
            </w:pPr>
          </w:p>
        </w:tc>
        <w:tc>
          <w:tcPr>
            <w:tcW w:w="720" w:type="dxa"/>
            <w:vAlign w:val="top"/>
          </w:tcPr>
          <w:p w14:paraId="622A823B">
            <w:pPr>
              <w:rPr>
                <w:rFonts w:ascii="Arial"/>
                <w:sz w:val="21"/>
              </w:rPr>
            </w:pPr>
          </w:p>
        </w:tc>
        <w:tc>
          <w:tcPr>
            <w:tcW w:w="720" w:type="dxa"/>
            <w:vAlign w:val="top"/>
          </w:tcPr>
          <w:p w14:paraId="3C94F03B">
            <w:pPr>
              <w:rPr>
                <w:rFonts w:ascii="Arial"/>
                <w:sz w:val="21"/>
              </w:rPr>
            </w:pPr>
          </w:p>
        </w:tc>
        <w:tc>
          <w:tcPr>
            <w:tcW w:w="926" w:type="dxa"/>
            <w:vAlign w:val="top"/>
          </w:tcPr>
          <w:p w14:paraId="11CB9B1F">
            <w:pPr>
              <w:rPr>
                <w:rFonts w:ascii="Arial"/>
                <w:sz w:val="21"/>
              </w:rPr>
            </w:pPr>
          </w:p>
        </w:tc>
        <w:tc>
          <w:tcPr>
            <w:tcW w:w="991" w:type="dxa"/>
            <w:vAlign w:val="top"/>
          </w:tcPr>
          <w:p w14:paraId="6E7A2923">
            <w:pPr>
              <w:rPr>
                <w:rFonts w:ascii="Arial"/>
                <w:sz w:val="21"/>
              </w:rPr>
            </w:pPr>
          </w:p>
        </w:tc>
        <w:tc>
          <w:tcPr>
            <w:tcW w:w="540" w:type="dxa"/>
            <w:vAlign w:val="top"/>
          </w:tcPr>
          <w:p w14:paraId="7C7AB1DB">
            <w:pPr>
              <w:rPr>
                <w:rFonts w:ascii="Arial"/>
                <w:sz w:val="21"/>
              </w:rPr>
            </w:pPr>
          </w:p>
        </w:tc>
        <w:tc>
          <w:tcPr>
            <w:tcW w:w="1080" w:type="dxa"/>
            <w:vAlign w:val="top"/>
          </w:tcPr>
          <w:p w14:paraId="545E9AF2">
            <w:pPr>
              <w:rPr>
                <w:rFonts w:ascii="Arial"/>
                <w:sz w:val="21"/>
              </w:rPr>
            </w:pPr>
          </w:p>
        </w:tc>
        <w:tc>
          <w:tcPr>
            <w:tcW w:w="1245" w:type="dxa"/>
            <w:vAlign w:val="top"/>
          </w:tcPr>
          <w:p w14:paraId="50E8EDE5">
            <w:pPr>
              <w:rPr>
                <w:rFonts w:ascii="Arial"/>
                <w:sz w:val="21"/>
              </w:rPr>
            </w:pPr>
          </w:p>
        </w:tc>
        <w:tc>
          <w:tcPr>
            <w:tcW w:w="622" w:type="dxa"/>
            <w:vAlign w:val="top"/>
          </w:tcPr>
          <w:p w14:paraId="35A31547">
            <w:pPr>
              <w:rPr>
                <w:rFonts w:ascii="Arial"/>
                <w:sz w:val="21"/>
              </w:rPr>
            </w:pPr>
          </w:p>
        </w:tc>
        <w:tc>
          <w:tcPr>
            <w:tcW w:w="1065" w:type="dxa"/>
            <w:vAlign w:val="top"/>
          </w:tcPr>
          <w:p w14:paraId="67A5899B">
            <w:pPr>
              <w:rPr>
                <w:rFonts w:ascii="Arial"/>
                <w:sz w:val="21"/>
              </w:rPr>
            </w:pPr>
          </w:p>
        </w:tc>
        <w:tc>
          <w:tcPr>
            <w:tcW w:w="1065" w:type="dxa"/>
            <w:vAlign w:val="top"/>
          </w:tcPr>
          <w:p w14:paraId="274ED06A">
            <w:pPr>
              <w:rPr>
                <w:rFonts w:ascii="Arial"/>
                <w:sz w:val="21"/>
              </w:rPr>
            </w:pPr>
          </w:p>
        </w:tc>
        <w:tc>
          <w:tcPr>
            <w:tcW w:w="1080" w:type="dxa"/>
            <w:vAlign w:val="top"/>
          </w:tcPr>
          <w:p w14:paraId="3841B1F4">
            <w:pPr>
              <w:rPr>
                <w:rFonts w:ascii="Arial"/>
                <w:sz w:val="21"/>
              </w:rPr>
            </w:pPr>
          </w:p>
        </w:tc>
        <w:tc>
          <w:tcPr>
            <w:tcW w:w="904" w:type="dxa"/>
            <w:vAlign w:val="top"/>
          </w:tcPr>
          <w:p w14:paraId="002A623D">
            <w:pPr>
              <w:rPr>
                <w:rFonts w:ascii="Arial"/>
                <w:sz w:val="21"/>
              </w:rPr>
            </w:pPr>
          </w:p>
        </w:tc>
      </w:tr>
      <w:tr w14:paraId="4D3A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402072EC">
            <w:pPr>
              <w:spacing w:before="152" w:line="234" w:lineRule="auto"/>
              <w:ind w:left="135"/>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221" w:type="dxa"/>
            <w:vAlign w:val="top"/>
          </w:tcPr>
          <w:p w14:paraId="29853C28">
            <w:pPr>
              <w:rPr>
                <w:rFonts w:ascii="Arial"/>
                <w:sz w:val="21"/>
              </w:rPr>
            </w:pPr>
          </w:p>
        </w:tc>
        <w:tc>
          <w:tcPr>
            <w:tcW w:w="789" w:type="dxa"/>
            <w:vAlign w:val="top"/>
          </w:tcPr>
          <w:p w14:paraId="2ACEE536">
            <w:pPr>
              <w:rPr>
                <w:rFonts w:ascii="Arial"/>
                <w:sz w:val="21"/>
              </w:rPr>
            </w:pPr>
          </w:p>
        </w:tc>
        <w:tc>
          <w:tcPr>
            <w:tcW w:w="509" w:type="dxa"/>
            <w:vAlign w:val="top"/>
          </w:tcPr>
          <w:p w14:paraId="7DB00B3C">
            <w:pPr>
              <w:rPr>
                <w:rFonts w:ascii="Arial"/>
                <w:sz w:val="21"/>
              </w:rPr>
            </w:pPr>
          </w:p>
        </w:tc>
        <w:tc>
          <w:tcPr>
            <w:tcW w:w="720" w:type="dxa"/>
            <w:vAlign w:val="top"/>
          </w:tcPr>
          <w:p w14:paraId="6903D597">
            <w:pPr>
              <w:rPr>
                <w:rFonts w:ascii="Arial"/>
                <w:sz w:val="21"/>
              </w:rPr>
            </w:pPr>
          </w:p>
        </w:tc>
        <w:tc>
          <w:tcPr>
            <w:tcW w:w="720" w:type="dxa"/>
            <w:vAlign w:val="top"/>
          </w:tcPr>
          <w:p w14:paraId="29A0B9A2">
            <w:pPr>
              <w:rPr>
                <w:rFonts w:ascii="Arial"/>
                <w:sz w:val="21"/>
              </w:rPr>
            </w:pPr>
          </w:p>
        </w:tc>
        <w:tc>
          <w:tcPr>
            <w:tcW w:w="926" w:type="dxa"/>
            <w:vAlign w:val="top"/>
          </w:tcPr>
          <w:p w14:paraId="10BFFBEB">
            <w:pPr>
              <w:rPr>
                <w:rFonts w:ascii="Arial"/>
                <w:sz w:val="21"/>
              </w:rPr>
            </w:pPr>
          </w:p>
        </w:tc>
        <w:tc>
          <w:tcPr>
            <w:tcW w:w="991" w:type="dxa"/>
            <w:vAlign w:val="top"/>
          </w:tcPr>
          <w:p w14:paraId="1335645B">
            <w:pPr>
              <w:rPr>
                <w:rFonts w:ascii="Arial"/>
                <w:sz w:val="21"/>
              </w:rPr>
            </w:pPr>
          </w:p>
        </w:tc>
        <w:tc>
          <w:tcPr>
            <w:tcW w:w="540" w:type="dxa"/>
            <w:vAlign w:val="top"/>
          </w:tcPr>
          <w:p w14:paraId="35551F43">
            <w:pPr>
              <w:rPr>
                <w:rFonts w:ascii="Arial"/>
                <w:sz w:val="21"/>
              </w:rPr>
            </w:pPr>
          </w:p>
        </w:tc>
        <w:tc>
          <w:tcPr>
            <w:tcW w:w="1080" w:type="dxa"/>
            <w:vAlign w:val="top"/>
          </w:tcPr>
          <w:p w14:paraId="286FDF01">
            <w:pPr>
              <w:rPr>
                <w:rFonts w:ascii="Arial"/>
                <w:sz w:val="21"/>
              </w:rPr>
            </w:pPr>
          </w:p>
        </w:tc>
        <w:tc>
          <w:tcPr>
            <w:tcW w:w="1245" w:type="dxa"/>
            <w:vAlign w:val="top"/>
          </w:tcPr>
          <w:p w14:paraId="283CBB52">
            <w:pPr>
              <w:rPr>
                <w:rFonts w:ascii="Arial"/>
                <w:sz w:val="21"/>
              </w:rPr>
            </w:pPr>
          </w:p>
        </w:tc>
        <w:tc>
          <w:tcPr>
            <w:tcW w:w="622" w:type="dxa"/>
            <w:vAlign w:val="top"/>
          </w:tcPr>
          <w:p w14:paraId="660BAE8B">
            <w:pPr>
              <w:rPr>
                <w:rFonts w:ascii="Arial"/>
                <w:sz w:val="21"/>
              </w:rPr>
            </w:pPr>
          </w:p>
        </w:tc>
        <w:tc>
          <w:tcPr>
            <w:tcW w:w="1065" w:type="dxa"/>
            <w:vAlign w:val="top"/>
          </w:tcPr>
          <w:p w14:paraId="33B177F0">
            <w:pPr>
              <w:rPr>
                <w:rFonts w:ascii="Arial"/>
                <w:sz w:val="21"/>
              </w:rPr>
            </w:pPr>
          </w:p>
        </w:tc>
        <w:tc>
          <w:tcPr>
            <w:tcW w:w="1065" w:type="dxa"/>
            <w:vAlign w:val="top"/>
          </w:tcPr>
          <w:p w14:paraId="2A0D96BE">
            <w:pPr>
              <w:rPr>
                <w:rFonts w:ascii="Arial"/>
                <w:sz w:val="21"/>
              </w:rPr>
            </w:pPr>
          </w:p>
        </w:tc>
        <w:tc>
          <w:tcPr>
            <w:tcW w:w="1080" w:type="dxa"/>
            <w:vAlign w:val="top"/>
          </w:tcPr>
          <w:p w14:paraId="493C0868">
            <w:pPr>
              <w:rPr>
                <w:rFonts w:ascii="Arial"/>
                <w:sz w:val="21"/>
              </w:rPr>
            </w:pPr>
          </w:p>
        </w:tc>
        <w:tc>
          <w:tcPr>
            <w:tcW w:w="904" w:type="dxa"/>
            <w:vAlign w:val="top"/>
          </w:tcPr>
          <w:p w14:paraId="48636377">
            <w:pPr>
              <w:rPr>
                <w:rFonts w:ascii="Arial"/>
                <w:sz w:val="21"/>
              </w:rPr>
            </w:pPr>
          </w:p>
        </w:tc>
      </w:tr>
      <w:tr w14:paraId="5210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276414C1">
            <w:pPr>
              <w:spacing w:before="153" w:line="236" w:lineRule="auto"/>
              <w:ind w:left="13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221" w:type="dxa"/>
            <w:vAlign w:val="top"/>
          </w:tcPr>
          <w:p w14:paraId="618DF654">
            <w:pPr>
              <w:rPr>
                <w:rFonts w:ascii="Arial"/>
                <w:sz w:val="21"/>
              </w:rPr>
            </w:pPr>
          </w:p>
        </w:tc>
        <w:tc>
          <w:tcPr>
            <w:tcW w:w="789" w:type="dxa"/>
            <w:vAlign w:val="top"/>
          </w:tcPr>
          <w:p w14:paraId="527ABA1B">
            <w:pPr>
              <w:rPr>
                <w:rFonts w:ascii="Arial"/>
                <w:sz w:val="21"/>
              </w:rPr>
            </w:pPr>
          </w:p>
        </w:tc>
        <w:tc>
          <w:tcPr>
            <w:tcW w:w="509" w:type="dxa"/>
            <w:vAlign w:val="top"/>
          </w:tcPr>
          <w:p w14:paraId="0796AA8E">
            <w:pPr>
              <w:rPr>
                <w:rFonts w:ascii="Arial"/>
                <w:sz w:val="21"/>
              </w:rPr>
            </w:pPr>
          </w:p>
        </w:tc>
        <w:tc>
          <w:tcPr>
            <w:tcW w:w="720" w:type="dxa"/>
            <w:vAlign w:val="top"/>
          </w:tcPr>
          <w:p w14:paraId="1460D5B5">
            <w:pPr>
              <w:rPr>
                <w:rFonts w:ascii="Arial"/>
                <w:sz w:val="21"/>
              </w:rPr>
            </w:pPr>
          </w:p>
        </w:tc>
        <w:tc>
          <w:tcPr>
            <w:tcW w:w="720" w:type="dxa"/>
            <w:vAlign w:val="top"/>
          </w:tcPr>
          <w:p w14:paraId="37ED38B0">
            <w:pPr>
              <w:rPr>
                <w:rFonts w:ascii="Arial"/>
                <w:sz w:val="21"/>
              </w:rPr>
            </w:pPr>
          </w:p>
        </w:tc>
        <w:tc>
          <w:tcPr>
            <w:tcW w:w="926" w:type="dxa"/>
            <w:vAlign w:val="top"/>
          </w:tcPr>
          <w:p w14:paraId="58219D1C">
            <w:pPr>
              <w:rPr>
                <w:rFonts w:ascii="Arial"/>
                <w:sz w:val="21"/>
              </w:rPr>
            </w:pPr>
          </w:p>
        </w:tc>
        <w:tc>
          <w:tcPr>
            <w:tcW w:w="991" w:type="dxa"/>
            <w:vAlign w:val="top"/>
          </w:tcPr>
          <w:p w14:paraId="3D5FAADD">
            <w:pPr>
              <w:rPr>
                <w:rFonts w:ascii="Arial"/>
                <w:sz w:val="21"/>
              </w:rPr>
            </w:pPr>
          </w:p>
        </w:tc>
        <w:tc>
          <w:tcPr>
            <w:tcW w:w="540" w:type="dxa"/>
            <w:vAlign w:val="top"/>
          </w:tcPr>
          <w:p w14:paraId="36AF24C3">
            <w:pPr>
              <w:rPr>
                <w:rFonts w:ascii="Arial"/>
                <w:sz w:val="21"/>
              </w:rPr>
            </w:pPr>
          </w:p>
        </w:tc>
        <w:tc>
          <w:tcPr>
            <w:tcW w:w="1080" w:type="dxa"/>
            <w:vAlign w:val="top"/>
          </w:tcPr>
          <w:p w14:paraId="2BFBE0C2">
            <w:pPr>
              <w:rPr>
                <w:rFonts w:ascii="Arial"/>
                <w:sz w:val="21"/>
              </w:rPr>
            </w:pPr>
          </w:p>
        </w:tc>
        <w:tc>
          <w:tcPr>
            <w:tcW w:w="1245" w:type="dxa"/>
            <w:vAlign w:val="top"/>
          </w:tcPr>
          <w:p w14:paraId="3966608C">
            <w:pPr>
              <w:rPr>
                <w:rFonts w:ascii="Arial"/>
                <w:sz w:val="21"/>
              </w:rPr>
            </w:pPr>
          </w:p>
        </w:tc>
        <w:tc>
          <w:tcPr>
            <w:tcW w:w="622" w:type="dxa"/>
            <w:vAlign w:val="top"/>
          </w:tcPr>
          <w:p w14:paraId="53CE0C6C">
            <w:pPr>
              <w:rPr>
                <w:rFonts w:ascii="Arial"/>
                <w:sz w:val="21"/>
              </w:rPr>
            </w:pPr>
          </w:p>
        </w:tc>
        <w:tc>
          <w:tcPr>
            <w:tcW w:w="1065" w:type="dxa"/>
            <w:vAlign w:val="top"/>
          </w:tcPr>
          <w:p w14:paraId="223EDB46">
            <w:pPr>
              <w:rPr>
                <w:rFonts w:ascii="Arial"/>
                <w:sz w:val="21"/>
              </w:rPr>
            </w:pPr>
          </w:p>
        </w:tc>
        <w:tc>
          <w:tcPr>
            <w:tcW w:w="1065" w:type="dxa"/>
            <w:vAlign w:val="top"/>
          </w:tcPr>
          <w:p w14:paraId="0D069D94">
            <w:pPr>
              <w:rPr>
                <w:rFonts w:ascii="Arial"/>
                <w:sz w:val="21"/>
              </w:rPr>
            </w:pPr>
          </w:p>
        </w:tc>
        <w:tc>
          <w:tcPr>
            <w:tcW w:w="1080" w:type="dxa"/>
            <w:vAlign w:val="top"/>
          </w:tcPr>
          <w:p w14:paraId="1A33F38E">
            <w:pPr>
              <w:rPr>
                <w:rFonts w:ascii="Arial"/>
                <w:sz w:val="21"/>
              </w:rPr>
            </w:pPr>
          </w:p>
        </w:tc>
        <w:tc>
          <w:tcPr>
            <w:tcW w:w="904" w:type="dxa"/>
            <w:vAlign w:val="top"/>
          </w:tcPr>
          <w:p w14:paraId="6112C870">
            <w:pPr>
              <w:rPr>
                <w:rFonts w:ascii="Arial"/>
                <w:sz w:val="21"/>
              </w:rPr>
            </w:pPr>
          </w:p>
        </w:tc>
      </w:tr>
      <w:tr w14:paraId="44A3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0F1EFEEF">
            <w:pPr>
              <w:spacing w:before="153" w:line="234" w:lineRule="auto"/>
              <w:ind w:left="137"/>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221" w:type="dxa"/>
            <w:vAlign w:val="top"/>
          </w:tcPr>
          <w:p w14:paraId="180734A3">
            <w:pPr>
              <w:rPr>
                <w:rFonts w:ascii="Arial"/>
                <w:sz w:val="21"/>
              </w:rPr>
            </w:pPr>
          </w:p>
        </w:tc>
        <w:tc>
          <w:tcPr>
            <w:tcW w:w="789" w:type="dxa"/>
            <w:vAlign w:val="top"/>
          </w:tcPr>
          <w:p w14:paraId="20F91422">
            <w:pPr>
              <w:rPr>
                <w:rFonts w:ascii="Arial"/>
                <w:sz w:val="21"/>
              </w:rPr>
            </w:pPr>
          </w:p>
        </w:tc>
        <w:tc>
          <w:tcPr>
            <w:tcW w:w="509" w:type="dxa"/>
            <w:vAlign w:val="top"/>
          </w:tcPr>
          <w:p w14:paraId="1E997E92">
            <w:pPr>
              <w:rPr>
                <w:rFonts w:ascii="Arial"/>
                <w:sz w:val="21"/>
              </w:rPr>
            </w:pPr>
          </w:p>
        </w:tc>
        <w:tc>
          <w:tcPr>
            <w:tcW w:w="720" w:type="dxa"/>
            <w:vAlign w:val="top"/>
          </w:tcPr>
          <w:p w14:paraId="01701840">
            <w:pPr>
              <w:rPr>
                <w:rFonts w:ascii="Arial"/>
                <w:sz w:val="21"/>
              </w:rPr>
            </w:pPr>
          </w:p>
        </w:tc>
        <w:tc>
          <w:tcPr>
            <w:tcW w:w="720" w:type="dxa"/>
            <w:vAlign w:val="top"/>
          </w:tcPr>
          <w:p w14:paraId="283D3EFD">
            <w:pPr>
              <w:rPr>
                <w:rFonts w:ascii="Arial"/>
                <w:sz w:val="21"/>
              </w:rPr>
            </w:pPr>
          </w:p>
        </w:tc>
        <w:tc>
          <w:tcPr>
            <w:tcW w:w="926" w:type="dxa"/>
            <w:vAlign w:val="top"/>
          </w:tcPr>
          <w:p w14:paraId="275E858F">
            <w:pPr>
              <w:rPr>
                <w:rFonts w:ascii="Arial"/>
                <w:sz w:val="21"/>
              </w:rPr>
            </w:pPr>
          </w:p>
        </w:tc>
        <w:tc>
          <w:tcPr>
            <w:tcW w:w="991" w:type="dxa"/>
            <w:vAlign w:val="top"/>
          </w:tcPr>
          <w:p w14:paraId="1A2A3997">
            <w:pPr>
              <w:rPr>
                <w:rFonts w:ascii="Arial"/>
                <w:sz w:val="21"/>
              </w:rPr>
            </w:pPr>
          </w:p>
        </w:tc>
        <w:tc>
          <w:tcPr>
            <w:tcW w:w="540" w:type="dxa"/>
            <w:vAlign w:val="top"/>
          </w:tcPr>
          <w:p w14:paraId="6B0B1C3D">
            <w:pPr>
              <w:rPr>
                <w:rFonts w:ascii="Arial"/>
                <w:sz w:val="21"/>
              </w:rPr>
            </w:pPr>
          </w:p>
        </w:tc>
        <w:tc>
          <w:tcPr>
            <w:tcW w:w="1080" w:type="dxa"/>
            <w:vAlign w:val="top"/>
          </w:tcPr>
          <w:p w14:paraId="3F9C4E9B">
            <w:pPr>
              <w:rPr>
                <w:rFonts w:ascii="Arial"/>
                <w:sz w:val="21"/>
              </w:rPr>
            </w:pPr>
          </w:p>
        </w:tc>
        <w:tc>
          <w:tcPr>
            <w:tcW w:w="1245" w:type="dxa"/>
            <w:vAlign w:val="top"/>
          </w:tcPr>
          <w:p w14:paraId="0644EE55">
            <w:pPr>
              <w:rPr>
                <w:rFonts w:ascii="Arial"/>
                <w:sz w:val="21"/>
              </w:rPr>
            </w:pPr>
          </w:p>
        </w:tc>
        <w:tc>
          <w:tcPr>
            <w:tcW w:w="622" w:type="dxa"/>
            <w:vAlign w:val="top"/>
          </w:tcPr>
          <w:p w14:paraId="49483DFF">
            <w:pPr>
              <w:rPr>
                <w:rFonts w:ascii="Arial"/>
                <w:sz w:val="21"/>
              </w:rPr>
            </w:pPr>
          </w:p>
        </w:tc>
        <w:tc>
          <w:tcPr>
            <w:tcW w:w="1065" w:type="dxa"/>
            <w:vAlign w:val="top"/>
          </w:tcPr>
          <w:p w14:paraId="19D9DE6D">
            <w:pPr>
              <w:rPr>
                <w:rFonts w:ascii="Arial"/>
                <w:sz w:val="21"/>
              </w:rPr>
            </w:pPr>
          </w:p>
        </w:tc>
        <w:tc>
          <w:tcPr>
            <w:tcW w:w="1065" w:type="dxa"/>
            <w:vAlign w:val="top"/>
          </w:tcPr>
          <w:p w14:paraId="71D93178">
            <w:pPr>
              <w:rPr>
                <w:rFonts w:ascii="Arial"/>
                <w:sz w:val="21"/>
              </w:rPr>
            </w:pPr>
          </w:p>
        </w:tc>
        <w:tc>
          <w:tcPr>
            <w:tcW w:w="1080" w:type="dxa"/>
            <w:vAlign w:val="top"/>
          </w:tcPr>
          <w:p w14:paraId="25118122">
            <w:pPr>
              <w:rPr>
                <w:rFonts w:ascii="Arial"/>
                <w:sz w:val="21"/>
              </w:rPr>
            </w:pPr>
          </w:p>
        </w:tc>
        <w:tc>
          <w:tcPr>
            <w:tcW w:w="904" w:type="dxa"/>
            <w:vAlign w:val="top"/>
          </w:tcPr>
          <w:p w14:paraId="4CB4C297">
            <w:pPr>
              <w:rPr>
                <w:rFonts w:ascii="Arial"/>
                <w:sz w:val="21"/>
              </w:rPr>
            </w:pPr>
          </w:p>
        </w:tc>
      </w:tr>
      <w:tr w14:paraId="56602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65" w:type="dxa"/>
            <w:vAlign w:val="top"/>
          </w:tcPr>
          <w:p w14:paraId="5BF2D4B3">
            <w:pPr>
              <w:spacing w:before="153" w:line="234" w:lineRule="auto"/>
              <w:ind w:left="136"/>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221" w:type="dxa"/>
            <w:vAlign w:val="top"/>
          </w:tcPr>
          <w:p w14:paraId="2428BB87">
            <w:pPr>
              <w:rPr>
                <w:rFonts w:ascii="Arial"/>
                <w:sz w:val="21"/>
              </w:rPr>
            </w:pPr>
          </w:p>
        </w:tc>
        <w:tc>
          <w:tcPr>
            <w:tcW w:w="789" w:type="dxa"/>
            <w:vAlign w:val="top"/>
          </w:tcPr>
          <w:p w14:paraId="3FC66D7E">
            <w:pPr>
              <w:rPr>
                <w:rFonts w:ascii="Arial"/>
                <w:sz w:val="21"/>
              </w:rPr>
            </w:pPr>
          </w:p>
        </w:tc>
        <w:tc>
          <w:tcPr>
            <w:tcW w:w="509" w:type="dxa"/>
            <w:vAlign w:val="top"/>
          </w:tcPr>
          <w:p w14:paraId="542E2072">
            <w:pPr>
              <w:rPr>
                <w:rFonts w:ascii="Arial"/>
                <w:sz w:val="21"/>
              </w:rPr>
            </w:pPr>
          </w:p>
        </w:tc>
        <w:tc>
          <w:tcPr>
            <w:tcW w:w="720" w:type="dxa"/>
            <w:vAlign w:val="top"/>
          </w:tcPr>
          <w:p w14:paraId="23EE9692">
            <w:pPr>
              <w:rPr>
                <w:rFonts w:ascii="Arial"/>
                <w:sz w:val="21"/>
              </w:rPr>
            </w:pPr>
          </w:p>
        </w:tc>
        <w:tc>
          <w:tcPr>
            <w:tcW w:w="720" w:type="dxa"/>
            <w:vAlign w:val="top"/>
          </w:tcPr>
          <w:p w14:paraId="1A78C3CC">
            <w:pPr>
              <w:rPr>
                <w:rFonts w:ascii="Arial"/>
                <w:sz w:val="21"/>
              </w:rPr>
            </w:pPr>
          </w:p>
        </w:tc>
        <w:tc>
          <w:tcPr>
            <w:tcW w:w="926" w:type="dxa"/>
            <w:vAlign w:val="top"/>
          </w:tcPr>
          <w:p w14:paraId="309395CB">
            <w:pPr>
              <w:rPr>
                <w:rFonts w:ascii="Arial"/>
                <w:sz w:val="21"/>
              </w:rPr>
            </w:pPr>
          </w:p>
        </w:tc>
        <w:tc>
          <w:tcPr>
            <w:tcW w:w="991" w:type="dxa"/>
            <w:vAlign w:val="top"/>
          </w:tcPr>
          <w:p w14:paraId="589782DB">
            <w:pPr>
              <w:rPr>
                <w:rFonts w:ascii="Arial"/>
                <w:sz w:val="21"/>
              </w:rPr>
            </w:pPr>
          </w:p>
        </w:tc>
        <w:tc>
          <w:tcPr>
            <w:tcW w:w="540" w:type="dxa"/>
            <w:vAlign w:val="top"/>
          </w:tcPr>
          <w:p w14:paraId="43D15D01">
            <w:pPr>
              <w:rPr>
                <w:rFonts w:ascii="Arial"/>
                <w:sz w:val="21"/>
              </w:rPr>
            </w:pPr>
          </w:p>
        </w:tc>
        <w:tc>
          <w:tcPr>
            <w:tcW w:w="1080" w:type="dxa"/>
            <w:vAlign w:val="top"/>
          </w:tcPr>
          <w:p w14:paraId="28761C55">
            <w:pPr>
              <w:rPr>
                <w:rFonts w:ascii="Arial"/>
                <w:sz w:val="21"/>
              </w:rPr>
            </w:pPr>
          </w:p>
        </w:tc>
        <w:tc>
          <w:tcPr>
            <w:tcW w:w="1245" w:type="dxa"/>
            <w:vAlign w:val="top"/>
          </w:tcPr>
          <w:p w14:paraId="4684380A">
            <w:pPr>
              <w:rPr>
                <w:rFonts w:ascii="Arial"/>
                <w:sz w:val="21"/>
              </w:rPr>
            </w:pPr>
          </w:p>
        </w:tc>
        <w:tc>
          <w:tcPr>
            <w:tcW w:w="622" w:type="dxa"/>
            <w:vAlign w:val="top"/>
          </w:tcPr>
          <w:p w14:paraId="4E55A50D">
            <w:pPr>
              <w:rPr>
                <w:rFonts w:ascii="Arial"/>
                <w:sz w:val="21"/>
              </w:rPr>
            </w:pPr>
          </w:p>
        </w:tc>
        <w:tc>
          <w:tcPr>
            <w:tcW w:w="1065" w:type="dxa"/>
            <w:vAlign w:val="top"/>
          </w:tcPr>
          <w:p w14:paraId="5E5C5DD5">
            <w:pPr>
              <w:rPr>
                <w:rFonts w:ascii="Arial"/>
                <w:sz w:val="21"/>
              </w:rPr>
            </w:pPr>
          </w:p>
        </w:tc>
        <w:tc>
          <w:tcPr>
            <w:tcW w:w="1065" w:type="dxa"/>
            <w:vAlign w:val="top"/>
          </w:tcPr>
          <w:p w14:paraId="4B5394D6">
            <w:pPr>
              <w:rPr>
                <w:rFonts w:ascii="Arial"/>
                <w:sz w:val="21"/>
              </w:rPr>
            </w:pPr>
          </w:p>
        </w:tc>
        <w:tc>
          <w:tcPr>
            <w:tcW w:w="1080" w:type="dxa"/>
            <w:vAlign w:val="top"/>
          </w:tcPr>
          <w:p w14:paraId="665D1F1A">
            <w:pPr>
              <w:rPr>
                <w:rFonts w:ascii="Arial"/>
                <w:sz w:val="21"/>
              </w:rPr>
            </w:pPr>
          </w:p>
        </w:tc>
        <w:tc>
          <w:tcPr>
            <w:tcW w:w="904" w:type="dxa"/>
            <w:vAlign w:val="top"/>
          </w:tcPr>
          <w:p w14:paraId="33CBE7B0">
            <w:pPr>
              <w:rPr>
                <w:rFonts w:ascii="Arial"/>
                <w:sz w:val="21"/>
              </w:rPr>
            </w:pPr>
          </w:p>
        </w:tc>
      </w:tr>
      <w:tr w14:paraId="41A0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51556D92">
            <w:pPr>
              <w:spacing w:before="154" w:line="233" w:lineRule="auto"/>
              <w:ind w:left="134"/>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221" w:type="dxa"/>
            <w:vAlign w:val="top"/>
          </w:tcPr>
          <w:p w14:paraId="3C9118F0">
            <w:pPr>
              <w:rPr>
                <w:rFonts w:ascii="Arial"/>
                <w:sz w:val="21"/>
              </w:rPr>
            </w:pPr>
          </w:p>
        </w:tc>
        <w:tc>
          <w:tcPr>
            <w:tcW w:w="789" w:type="dxa"/>
            <w:vAlign w:val="top"/>
          </w:tcPr>
          <w:p w14:paraId="2EAD49B3">
            <w:pPr>
              <w:rPr>
                <w:rFonts w:ascii="Arial"/>
                <w:sz w:val="21"/>
              </w:rPr>
            </w:pPr>
          </w:p>
        </w:tc>
        <w:tc>
          <w:tcPr>
            <w:tcW w:w="509" w:type="dxa"/>
            <w:vAlign w:val="top"/>
          </w:tcPr>
          <w:p w14:paraId="5507F7CD">
            <w:pPr>
              <w:rPr>
                <w:rFonts w:ascii="Arial"/>
                <w:sz w:val="21"/>
              </w:rPr>
            </w:pPr>
          </w:p>
        </w:tc>
        <w:tc>
          <w:tcPr>
            <w:tcW w:w="720" w:type="dxa"/>
            <w:vAlign w:val="top"/>
          </w:tcPr>
          <w:p w14:paraId="3F78F582">
            <w:pPr>
              <w:rPr>
                <w:rFonts w:ascii="Arial"/>
                <w:sz w:val="21"/>
              </w:rPr>
            </w:pPr>
          </w:p>
        </w:tc>
        <w:tc>
          <w:tcPr>
            <w:tcW w:w="720" w:type="dxa"/>
            <w:vAlign w:val="top"/>
          </w:tcPr>
          <w:p w14:paraId="3D64F7BA">
            <w:pPr>
              <w:rPr>
                <w:rFonts w:ascii="Arial"/>
                <w:sz w:val="21"/>
              </w:rPr>
            </w:pPr>
          </w:p>
        </w:tc>
        <w:tc>
          <w:tcPr>
            <w:tcW w:w="926" w:type="dxa"/>
            <w:vAlign w:val="top"/>
          </w:tcPr>
          <w:p w14:paraId="138DAC22">
            <w:pPr>
              <w:rPr>
                <w:rFonts w:ascii="Arial"/>
                <w:sz w:val="21"/>
              </w:rPr>
            </w:pPr>
          </w:p>
        </w:tc>
        <w:tc>
          <w:tcPr>
            <w:tcW w:w="991" w:type="dxa"/>
            <w:vAlign w:val="top"/>
          </w:tcPr>
          <w:p w14:paraId="4A7740E8">
            <w:pPr>
              <w:rPr>
                <w:rFonts w:ascii="Arial"/>
                <w:sz w:val="21"/>
              </w:rPr>
            </w:pPr>
          </w:p>
        </w:tc>
        <w:tc>
          <w:tcPr>
            <w:tcW w:w="540" w:type="dxa"/>
            <w:vAlign w:val="top"/>
          </w:tcPr>
          <w:p w14:paraId="4CD91525">
            <w:pPr>
              <w:rPr>
                <w:rFonts w:ascii="Arial"/>
                <w:sz w:val="21"/>
              </w:rPr>
            </w:pPr>
          </w:p>
        </w:tc>
        <w:tc>
          <w:tcPr>
            <w:tcW w:w="1080" w:type="dxa"/>
            <w:vAlign w:val="top"/>
          </w:tcPr>
          <w:p w14:paraId="6DA44BDC">
            <w:pPr>
              <w:rPr>
                <w:rFonts w:ascii="Arial"/>
                <w:sz w:val="21"/>
              </w:rPr>
            </w:pPr>
          </w:p>
        </w:tc>
        <w:tc>
          <w:tcPr>
            <w:tcW w:w="1245" w:type="dxa"/>
            <w:vAlign w:val="top"/>
          </w:tcPr>
          <w:p w14:paraId="669121CF">
            <w:pPr>
              <w:rPr>
                <w:rFonts w:ascii="Arial"/>
                <w:sz w:val="21"/>
              </w:rPr>
            </w:pPr>
          </w:p>
        </w:tc>
        <w:tc>
          <w:tcPr>
            <w:tcW w:w="622" w:type="dxa"/>
            <w:vAlign w:val="top"/>
          </w:tcPr>
          <w:p w14:paraId="400E8357">
            <w:pPr>
              <w:rPr>
                <w:rFonts w:ascii="Arial"/>
                <w:sz w:val="21"/>
              </w:rPr>
            </w:pPr>
          </w:p>
        </w:tc>
        <w:tc>
          <w:tcPr>
            <w:tcW w:w="1065" w:type="dxa"/>
            <w:vAlign w:val="top"/>
          </w:tcPr>
          <w:p w14:paraId="43118E10">
            <w:pPr>
              <w:rPr>
                <w:rFonts w:ascii="Arial"/>
                <w:sz w:val="21"/>
              </w:rPr>
            </w:pPr>
          </w:p>
        </w:tc>
        <w:tc>
          <w:tcPr>
            <w:tcW w:w="1065" w:type="dxa"/>
            <w:vAlign w:val="top"/>
          </w:tcPr>
          <w:p w14:paraId="0E857F32">
            <w:pPr>
              <w:rPr>
                <w:rFonts w:ascii="Arial"/>
                <w:sz w:val="21"/>
              </w:rPr>
            </w:pPr>
          </w:p>
        </w:tc>
        <w:tc>
          <w:tcPr>
            <w:tcW w:w="1080" w:type="dxa"/>
            <w:vAlign w:val="top"/>
          </w:tcPr>
          <w:p w14:paraId="488FC056">
            <w:pPr>
              <w:rPr>
                <w:rFonts w:ascii="Arial"/>
                <w:sz w:val="21"/>
              </w:rPr>
            </w:pPr>
          </w:p>
        </w:tc>
        <w:tc>
          <w:tcPr>
            <w:tcW w:w="904" w:type="dxa"/>
            <w:vAlign w:val="top"/>
          </w:tcPr>
          <w:p w14:paraId="1EA8D3C3">
            <w:pPr>
              <w:rPr>
                <w:rFonts w:ascii="Arial"/>
                <w:sz w:val="21"/>
              </w:rPr>
            </w:pPr>
          </w:p>
        </w:tc>
      </w:tr>
      <w:tr w14:paraId="62CC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6C92C53D">
            <w:pPr>
              <w:spacing w:before="154" w:line="234" w:lineRule="auto"/>
              <w:ind w:left="139"/>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221" w:type="dxa"/>
            <w:vAlign w:val="top"/>
          </w:tcPr>
          <w:p w14:paraId="0EF4E53B">
            <w:pPr>
              <w:rPr>
                <w:rFonts w:ascii="Arial"/>
                <w:sz w:val="21"/>
              </w:rPr>
            </w:pPr>
          </w:p>
        </w:tc>
        <w:tc>
          <w:tcPr>
            <w:tcW w:w="789" w:type="dxa"/>
            <w:vAlign w:val="top"/>
          </w:tcPr>
          <w:p w14:paraId="2289F03C">
            <w:pPr>
              <w:rPr>
                <w:rFonts w:ascii="Arial"/>
                <w:sz w:val="21"/>
              </w:rPr>
            </w:pPr>
          </w:p>
        </w:tc>
        <w:tc>
          <w:tcPr>
            <w:tcW w:w="509" w:type="dxa"/>
            <w:vAlign w:val="top"/>
          </w:tcPr>
          <w:p w14:paraId="3B1E0E93">
            <w:pPr>
              <w:rPr>
                <w:rFonts w:ascii="Arial"/>
                <w:sz w:val="21"/>
              </w:rPr>
            </w:pPr>
          </w:p>
        </w:tc>
        <w:tc>
          <w:tcPr>
            <w:tcW w:w="720" w:type="dxa"/>
            <w:vAlign w:val="top"/>
          </w:tcPr>
          <w:p w14:paraId="0CFE5C98">
            <w:pPr>
              <w:rPr>
                <w:rFonts w:ascii="Arial"/>
                <w:sz w:val="21"/>
              </w:rPr>
            </w:pPr>
          </w:p>
        </w:tc>
        <w:tc>
          <w:tcPr>
            <w:tcW w:w="720" w:type="dxa"/>
            <w:vAlign w:val="top"/>
          </w:tcPr>
          <w:p w14:paraId="2215208D">
            <w:pPr>
              <w:rPr>
                <w:rFonts w:ascii="Arial"/>
                <w:sz w:val="21"/>
              </w:rPr>
            </w:pPr>
          </w:p>
        </w:tc>
        <w:tc>
          <w:tcPr>
            <w:tcW w:w="926" w:type="dxa"/>
            <w:vAlign w:val="top"/>
          </w:tcPr>
          <w:p w14:paraId="71383D2A">
            <w:pPr>
              <w:rPr>
                <w:rFonts w:ascii="Arial"/>
                <w:sz w:val="21"/>
              </w:rPr>
            </w:pPr>
          </w:p>
        </w:tc>
        <w:tc>
          <w:tcPr>
            <w:tcW w:w="991" w:type="dxa"/>
            <w:vAlign w:val="top"/>
          </w:tcPr>
          <w:p w14:paraId="412C5F81">
            <w:pPr>
              <w:rPr>
                <w:rFonts w:ascii="Arial"/>
                <w:sz w:val="21"/>
              </w:rPr>
            </w:pPr>
          </w:p>
        </w:tc>
        <w:tc>
          <w:tcPr>
            <w:tcW w:w="540" w:type="dxa"/>
            <w:vAlign w:val="top"/>
          </w:tcPr>
          <w:p w14:paraId="721149ED">
            <w:pPr>
              <w:rPr>
                <w:rFonts w:ascii="Arial"/>
                <w:sz w:val="21"/>
              </w:rPr>
            </w:pPr>
          </w:p>
        </w:tc>
        <w:tc>
          <w:tcPr>
            <w:tcW w:w="1080" w:type="dxa"/>
            <w:vAlign w:val="top"/>
          </w:tcPr>
          <w:p w14:paraId="525BC176">
            <w:pPr>
              <w:rPr>
                <w:rFonts w:ascii="Arial"/>
                <w:sz w:val="21"/>
              </w:rPr>
            </w:pPr>
          </w:p>
        </w:tc>
        <w:tc>
          <w:tcPr>
            <w:tcW w:w="1245" w:type="dxa"/>
            <w:vAlign w:val="top"/>
          </w:tcPr>
          <w:p w14:paraId="4CFD7ABA">
            <w:pPr>
              <w:rPr>
                <w:rFonts w:ascii="Arial"/>
                <w:sz w:val="21"/>
              </w:rPr>
            </w:pPr>
          </w:p>
        </w:tc>
        <w:tc>
          <w:tcPr>
            <w:tcW w:w="622" w:type="dxa"/>
            <w:vAlign w:val="top"/>
          </w:tcPr>
          <w:p w14:paraId="4CAC6CEA">
            <w:pPr>
              <w:rPr>
                <w:rFonts w:ascii="Arial"/>
                <w:sz w:val="21"/>
              </w:rPr>
            </w:pPr>
          </w:p>
        </w:tc>
        <w:tc>
          <w:tcPr>
            <w:tcW w:w="1065" w:type="dxa"/>
            <w:vAlign w:val="top"/>
          </w:tcPr>
          <w:p w14:paraId="06308CB1">
            <w:pPr>
              <w:rPr>
                <w:rFonts w:ascii="Arial"/>
                <w:sz w:val="21"/>
              </w:rPr>
            </w:pPr>
          </w:p>
        </w:tc>
        <w:tc>
          <w:tcPr>
            <w:tcW w:w="1065" w:type="dxa"/>
            <w:vAlign w:val="top"/>
          </w:tcPr>
          <w:p w14:paraId="31DE8386">
            <w:pPr>
              <w:rPr>
                <w:rFonts w:ascii="Arial"/>
                <w:sz w:val="21"/>
              </w:rPr>
            </w:pPr>
          </w:p>
        </w:tc>
        <w:tc>
          <w:tcPr>
            <w:tcW w:w="1080" w:type="dxa"/>
            <w:vAlign w:val="top"/>
          </w:tcPr>
          <w:p w14:paraId="2633AEA7">
            <w:pPr>
              <w:rPr>
                <w:rFonts w:ascii="Arial"/>
                <w:sz w:val="21"/>
              </w:rPr>
            </w:pPr>
          </w:p>
        </w:tc>
        <w:tc>
          <w:tcPr>
            <w:tcW w:w="904" w:type="dxa"/>
            <w:vAlign w:val="top"/>
          </w:tcPr>
          <w:p w14:paraId="529006E1">
            <w:pPr>
              <w:rPr>
                <w:rFonts w:ascii="Arial"/>
                <w:sz w:val="21"/>
              </w:rPr>
            </w:pPr>
          </w:p>
        </w:tc>
      </w:tr>
      <w:tr w14:paraId="51DE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65" w:type="dxa"/>
            <w:vAlign w:val="top"/>
          </w:tcPr>
          <w:p w14:paraId="7336737D">
            <w:pPr>
              <w:spacing w:before="156" w:line="233" w:lineRule="auto"/>
              <w:ind w:left="135"/>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221" w:type="dxa"/>
            <w:vAlign w:val="top"/>
          </w:tcPr>
          <w:p w14:paraId="49A12DBA">
            <w:pPr>
              <w:rPr>
                <w:rFonts w:ascii="Arial"/>
                <w:sz w:val="21"/>
              </w:rPr>
            </w:pPr>
          </w:p>
        </w:tc>
        <w:tc>
          <w:tcPr>
            <w:tcW w:w="789" w:type="dxa"/>
            <w:vAlign w:val="top"/>
          </w:tcPr>
          <w:p w14:paraId="4A5A8102">
            <w:pPr>
              <w:rPr>
                <w:rFonts w:ascii="Arial"/>
                <w:sz w:val="21"/>
              </w:rPr>
            </w:pPr>
          </w:p>
        </w:tc>
        <w:tc>
          <w:tcPr>
            <w:tcW w:w="509" w:type="dxa"/>
            <w:vAlign w:val="top"/>
          </w:tcPr>
          <w:p w14:paraId="0D5982C2">
            <w:pPr>
              <w:rPr>
                <w:rFonts w:ascii="Arial"/>
                <w:sz w:val="21"/>
              </w:rPr>
            </w:pPr>
          </w:p>
        </w:tc>
        <w:tc>
          <w:tcPr>
            <w:tcW w:w="720" w:type="dxa"/>
            <w:vAlign w:val="top"/>
          </w:tcPr>
          <w:p w14:paraId="02660864">
            <w:pPr>
              <w:rPr>
                <w:rFonts w:ascii="Arial"/>
                <w:sz w:val="21"/>
              </w:rPr>
            </w:pPr>
          </w:p>
        </w:tc>
        <w:tc>
          <w:tcPr>
            <w:tcW w:w="720" w:type="dxa"/>
            <w:vAlign w:val="top"/>
          </w:tcPr>
          <w:p w14:paraId="6E0F2878">
            <w:pPr>
              <w:rPr>
                <w:rFonts w:ascii="Arial"/>
                <w:sz w:val="21"/>
              </w:rPr>
            </w:pPr>
          </w:p>
        </w:tc>
        <w:tc>
          <w:tcPr>
            <w:tcW w:w="926" w:type="dxa"/>
            <w:vAlign w:val="top"/>
          </w:tcPr>
          <w:p w14:paraId="6351E8C4">
            <w:pPr>
              <w:rPr>
                <w:rFonts w:ascii="Arial"/>
                <w:sz w:val="21"/>
              </w:rPr>
            </w:pPr>
          </w:p>
        </w:tc>
        <w:tc>
          <w:tcPr>
            <w:tcW w:w="991" w:type="dxa"/>
            <w:vAlign w:val="top"/>
          </w:tcPr>
          <w:p w14:paraId="4776B10D">
            <w:pPr>
              <w:rPr>
                <w:rFonts w:ascii="Arial"/>
                <w:sz w:val="21"/>
              </w:rPr>
            </w:pPr>
          </w:p>
        </w:tc>
        <w:tc>
          <w:tcPr>
            <w:tcW w:w="540" w:type="dxa"/>
            <w:vAlign w:val="top"/>
          </w:tcPr>
          <w:p w14:paraId="291BBC3C">
            <w:pPr>
              <w:rPr>
                <w:rFonts w:ascii="Arial"/>
                <w:sz w:val="21"/>
              </w:rPr>
            </w:pPr>
          </w:p>
        </w:tc>
        <w:tc>
          <w:tcPr>
            <w:tcW w:w="1080" w:type="dxa"/>
            <w:vAlign w:val="top"/>
          </w:tcPr>
          <w:p w14:paraId="488D9F1E">
            <w:pPr>
              <w:rPr>
                <w:rFonts w:ascii="Arial"/>
                <w:sz w:val="21"/>
              </w:rPr>
            </w:pPr>
          </w:p>
        </w:tc>
        <w:tc>
          <w:tcPr>
            <w:tcW w:w="1245" w:type="dxa"/>
            <w:vAlign w:val="top"/>
          </w:tcPr>
          <w:p w14:paraId="7650A537">
            <w:pPr>
              <w:rPr>
                <w:rFonts w:ascii="Arial"/>
                <w:sz w:val="21"/>
              </w:rPr>
            </w:pPr>
          </w:p>
        </w:tc>
        <w:tc>
          <w:tcPr>
            <w:tcW w:w="622" w:type="dxa"/>
            <w:vAlign w:val="top"/>
          </w:tcPr>
          <w:p w14:paraId="3C194ED9">
            <w:pPr>
              <w:rPr>
                <w:rFonts w:ascii="Arial"/>
                <w:sz w:val="21"/>
              </w:rPr>
            </w:pPr>
          </w:p>
        </w:tc>
        <w:tc>
          <w:tcPr>
            <w:tcW w:w="1065" w:type="dxa"/>
            <w:vAlign w:val="top"/>
          </w:tcPr>
          <w:p w14:paraId="2198C546">
            <w:pPr>
              <w:rPr>
                <w:rFonts w:ascii="Arial"/>
                <w:sz w:val="21"/>
              </w:rPr>
            </w:pPr>
          </w:p>
        </w:tc>
        <w:tc>
          <w:tcPr>
            <w:tcW w:w="1065" w:type="dxa"/>
            <w:vAlign w:val="top"/>
          </w:tcPr>
          <w:p w14:paraId="646172C5">
            <w:pPr>
              <w:rPr>
                <w:rFonts w:ascii="Arial"/>
                <w:sz w:val="21"/>
              </w:rPr>
            </w:pPr>
          </w:p>
        </w:tc>
        <w:tc>
          <w:tcPr>
            <w:tcW w:w="1080" w:type="dxa"/>
            <w:vAlign w:val="top"/>
          </w:tcPr>
          <w:p w14:paraId="7DF4740D">
            <w:pPr>
              <w:rPr>
                <w:rFonts w:ascii="Arial"/>
                <w:sz w:val="21"/>
              </w:rPr>
            </w:pPr>
          </w:p>
        </w:tc>
        <w:tc>
          <w:tcPr>
            <w:tcW w:w="904" w:type="dxa"/>
            <w:vAlign w:val="top"/>
          </w:tcPr>
          <w:p w14:paraId="37453B9E">
            <w:pPr>
              <w:rPr>
                <w:rFonts w:ascii="Arial"/>
                <w:sz w:val="21"/>
              </w:rPr>
            </w:pPr>
          </w:p>
        </w:tc>
      </w:tr>
      <w:tr w14:paraId="73C1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65" w:type="dxa"/>
            <w:vAlign w:val="top"/>
          </w:tcPr>
          <w:p w14:paraId="6B0F3E80">
            <w:pPr>
              <w:pStyle w:val="11"/>
              <w:spacing w:before="121" w:line="321" w:lineRule="exact"/>
              <w:ind w:left="95"/>
            </w:pPr>
            <w:r>
              <w:rPr>
                <w:position w:val="2"/>
              </w:rPr>
              <w:t>…</w:t>
            </w:r>
          </w:p>
        </w:tc>
        <w:tc>
          <w:tcPr>
            <w:tcW w:w="1221" w:type="dxa"/>
            <w:vAlign w:val="top"/>
          </w:tcPr>
          <w:p w14:paraId="687DC077">
            <w:pPr>
              <w:rPr>
                <w:rFonts w:ascii="Arial"/>
                <w:sz w:val="21"/>
              </w:rPr>
            </w:pPr>
          </w:p>
        </w:tc>
        <w:tc>
          <w:tcPr>
            <w:tcW w:w="789" w:type="dxa"/>
            <w:vAlign w:val="top"/>
          </w:tcPr>
          <w:p w14:paraId="28184F1B">
            <w:pPr>
              <w:rPr>
                <w:rFonts w:ascii="Arial"/>
                <w:sz w:val="21"/>
              </w:rPr>
            </w:pPr>
          </w:p>
        </w:tc>
        <w:tc>
          <w:tcPr>
            <w:tcW w:w="509" w:type="dxa"/>
            <w:vAlign w:val="top"/>
          </w:tcPr>
          <w:p w14:paraId="177E8485">
            <w:pPr>
              <w:rPr>
                <w:rFonts w:ascii="Arial"/>
                <w:sz w:val="21"/>
              </w:rPr>
            </w:pPr>
          </w:p>
        </w:tc>
        <w:tc>
          <w:tcPr>
            <w:tcW w:w="720" w:type="dxa"/>
            <w:vAlign w:val="top"/>
          </w:tcPr>
          <w:p w14:paraId="0C112A8C">
            <w:pPr>
              <w:rPr>
                <w:rFonts w:ascii="Arial"/>
                <w:sz w:val="21"/>
              </w:rPr>
            </w:pPr>
          </w:p>
        </w:tc>
        <w:tc>
          <w:tcPr>
            <w:tcW w:w="720" w:type="dxa"/>
            <w:vAlign w:val="top"/>
          </w:tcPr>
          <w:p w14:paraId="34748E45">
            <w:pPr>
              <w:rPr>
                <w:rFonts w:ascii="Arial"/>
                <w:sz w:val="21"/>
              </w:rPr>
            </w:pPr>
          </w:p>
        </w:tc>
        <w:tc>
          <w:tcPr>
            <w:tcW w:w="926" w:type="dxa"/>
            <w:vAlign w:val="top"/>
          </w:tcPr>
          <w:p w14:paraId="12C5F121">
            <w:pPr>
              <w:rPr>
                <w:rFonts w:ascii="Arial"/>
                <w:sz w:val="21"/>
              </w:rPr>
            </w:pPr>
          </w:p>
        </w:tc>
        <w:tc>
          <w:tcPr>
            <w:tcW w:w="991" w:type="dxa"/>
            <w:vAlign w:val="top"/>
          </w:tcPr>
          <w:p w14:paraId="14A83715">
            <w:pPr>
              <w:rPr>
                <w:rFonts w:ascii="Arial"/>
                <w:sz w:val="21"/>
              </w:rPr>
            </w:pPr>
          </w:p>
        </w:tc>
        <w:tc>
          <w:tcPr>
            <w:tcW w:w="540" w:type="dxa"/>
            <w:vAlign w:val="top"/>
          </w:tcPr>
          <w:p w14:paraId="782942E2">
            <w:pPr>
              <w:rPr>
                <w:rFonts w:ascii="Arial"/>
                <w:sz w:val="21"/>
              </w:rPr>
            </w:pPr>
          </w:p>
        </w:tc>
        <w:tc>
          <w:tcPr>
            <w:tcW w:w="1080" w:type="dxa"/>
            <w:vAlign w:val="top"/>
          </w:tcPr>
          <w:p w14:paraId="1065BF11">
            <w:pPr>
              <w:rPr>
                <w:rFonts w:ascii="Arial"/>
                <w:sz w:val="21"/>
              </w:rPr>
            </w:pPr>
          </w:p>
        </w:tc>
        <w:tc>
          <w:tcPr>
            <w:tcW w:w="1245" w:type="dxa"/>
            <w:vAlign w:val="top"/>
          </w:tcPr>
          <w:p w14:paraId="0BC83555">
            <w:pPr>
              <w:rPr>
                <w:rFonts w:ascii="Arial"/>
                <w:sz w:val="21"/>
              </w:rPr>
            </w:pPr>
          </w:p>
        </w:tc>
        <w:tc>
          <w:tcPr>
            <w:tcW w:w="622" w:type="dxa"/>
            <w:vAlign w:val="top"/>
          </w:tcPr>
          <w:p w14:paraId="791BC351">
            <w:pPr>
              <w:rPr>
                <w:rFonts w:ascii="Arial"/>
                <w:sz w:val="21"/>
              </w:rPr>
            </w:pPr>
          </w:p>
        </w:tc>
        <w:tc>
          <w:tcPr>
            <w:tcW w:w="1065" w:type="dxa"/>
            <w:vAlign w:val="top"/>
          </w:tcPr>
          <w:p w14:paraId="2487EEBB">
            <w:pPr>
              <w:rPr>
                <w:rFonts w:ascii="Arial"/>
                <w:sz w:val="21"/>
              </w:rPr>
            </w:pPr>
          </w:p>
        </w:tc>
        <w:tc>
          <w:tcPr>
            <w:tcW w:w="1065" w:type="dxa"/>
            <w:vAlign w:val="top"/>
          </w:tcPr>
          <w:p w14:paraId="1CE027B1">
            <w:pPr>
              <w:rPr>
                <w:rFonts w:ascii="Arial"/>
                <w:sz w:val="21"/>
              </w:rPr>
            </w:pPr>
          </w:p>
        </w:tc>
        <w:tc>
          <w:tcPr>
            <w:tcW w:w="1080" w:type="dxa"/>
            <w:vAlign w:val="top"/>
          </w:tcPr>
          <w:p w14:paraId="058136A9">
            <w:pPr>
              <w:rPr>
                <w:rFonts w:ascii="Arial"/>
                <w:sz w:val="21"/>
              </w:rPr>
            </w:pPr>
          </w:p>
        </w:tc>
        <w:tc>
          <w:tcPr>
            <w:tcW w:w="904" w:type="dxa"/>
            <w:vAlign w:val="top"/>
          </w:tcPr>
          <w:p w14:paraId="54827133">
            <w:pPr>
              <w:rPr>
                <w:rFonts w:ascii="Arial"/>
                <w:sz w:val="21"/>
              </w:rPr>
            </w:pPr>
          </w:p>
        </w:tc>
      </w:tr>
    </w:tbl>
    <w:p w14:paraId="797B3A09">
      <w:pPr>
        <w:spacing w:before="159" w:line="220" w:lineRule="auto"/>
        <w:ind w:left="5"/>
        <w:rPr>
          <w:rFonts w:ascii="宋体" w:hAnsi="宋体" w:eastAsia="宋体" w:cs="宋体"/>
          <w:sz w:val="21"/>
          <w:szCs w:val="21"/>
        </w:rPr>
      </w:pPr>
      <w:r>
        <w:rPr>
          <w:rFonts w:ascii="宋体" w:hAnsi="宋体" w:eastAsia="宋体" w:cs="宋体"/>
          <w:sz w:val="21"/>
          <w:szCs w:val="21"/>
        </w:rPr>
        <w:t>备注：1.执业、职业单位指拟投入的项目管理机构人员目前是否在投标人处注册执业或岗</w:t>
      </w:r>
      <w:r>
        <w:rPr>
          <w:rFonts w:ascii="宋体" w:hAnsi="宋体" w:eastAsia="宋体" w:cs="宋体"/>
          <w:spacing w:val="-1"/>
          <w:sz w:val="21"/>
          <w:szCs w:val="21"/>
        </w:rPr>
        <w:t>位登记。</w:t>
      </w:r>
    </w:p>
    <w:p w14:paraId="7E000C33">
      <w:pPr>
        <w:spacing w:before="146" w:line="220" w:lineRule="auto"/>
        <w:ind w:left="637"/>
        <w:rPr>
          <w:rFonts w:ascii="宋体" w:hAnsi="宋体" w:eastAsia="宋体" w:cs="宋体"/>
          <w:sz w:val="21"/>
          <w:szCs w:val="21"/>
        </w:rPr>
      </w:pPr>
      <w:r>
        <w:rPr>
          <w:rFonts w:ascii="宋体" w:hAnsi="宋体" w:eastAsia="宋体" w:cs="宋体"/>
          <w:sz w:val="21"/>
          <w:szCs w:val="21"/>
        </w:rPr>
        <w:t>2.附项目管理机构主要人员社会保险证明。社会保险证明中缴费单位应与投标单</w:t>
      </w:r>
      <w:r>
        <w:rPr>
          <w:rFonts w:ascii="宋体" w:hAnsi="宋体" w:eastAsia="宋体" w:cs="宋体"/>
          <w:spacing w:val="-1"/>
          <w:sz w:val="21"/>
          <w:szCs w:val="21"/>
        </w:rPr>
        <w:t>位一致。</w:t>
      </w:r>
    </w:p>
    <w:p w14:paraId="0EEA9F95">
      <w:pPr>
        <w:spacing w:line="220" w:lineRule="auto"/>
        <w:rPr>
          <w:rFonts w:ascii="宋体" w:hAnsi="宋体" w:eastAsia="宋体" w:cs="宋体"/>
          <w:sz w:val="21"/>
          <w:szCs w:val="21"/>
        </w:rPr>
        <w:sectPr>
          <w:footerReference r:id="rId200" w:type="default"/>
          <w:pgSz w:w="11905" w:h="16843"/>
          <w:pgMar w:top="969" w:right="1355" w:bottom="1026" w:left="1480" w:header="0" w:footer="754" w:gutter="0"/>
          <w:cols w:space="0" w:num="1"/>
          <w:rtlGutter w:val="0"/>
          <w:docGrid w:linePitch="0" w:charSpace="0"/>
        </w:sectPr>
      </w:pPr>
    </w:p>
    <w:p w14:paraId="3F4BDC71">
      <w:pPr>
        <w:pStyle w:val="5"/>
        <w:spacing w:line="242" w:lineRule="auto"/>
      </w:pPr>
    </w:p>
    <w:p w14:paraId="07A1483C">
      <w:pPr>
        <w:pStyle w:val="5"/>
        <w:spacing w:line="242" w:lineRule="auto"/>
      </w:pPr>
    </w:p>
    <w:p w14:paraId="3450DF95">
      <w:pPr>
        <w:pStyle w:val="5"/>
        <w:spacing w:line="243" w:lineRule="auto"/>
      </w:pPr>
    </w:p>
    <w:p w14:paraId="1E2C01AF">
      <w:pPr>
        <w:pStyle w:val="5"/>
        <w:spacing w:line="243" w:lineRule="auto"/>
      </w:pPr>
    </w:p>
    <w:p w14:paraId="5F6D3BB0">
      <w:pPr>
        <w:pStyle w:val="5"/>
        <w:spacing w:line="243" w:lineRule="auto"/>
      </w:pPr>
    </w:p>
    <w:p w14:paraId="315D3AB2">
      <w:pPr>
        <w:pStyle w:val="5"/>
        <w:spacing w:line="243" w:lineRule="auto"/>
      </w:pPr>
    </w:p>
    <w:p w14:paraId="04BCFFD5">
      <w:pPr>
        <w:pStyle w:val="5"/>
        <w:spacing w:line="243" w:lineRule="auto"/>
      </w:pPr>
    </w:p>
    <w:p w14:paraId="5C85E62A">
      <w:pPr>
        <w:spacing w:before="91" w:line="219" w:lineRule="auto"/>
        <w:ind w:left="3070"/>
        <w:outlineLvl w:val="2"/>
        <w:rPr>
          <w:rFonts w:ascii="黑体" w:hAnsi="黑体" w:eastAsia="黑体" w:cs="黑体"/>
          <w:sz w:val="28"/>
          <w:szCs w:val="28"/>
        </w:rPr>
      </w:pPr>
      <w:bookmarkStart w:id="1372" w:name="bookmark666"/>
      <w:bookmarkEnd w:id="1372"/>
      <w:bookmarkStart w:id="1373" w:name="bookmark445"/>
      <w:bookmarkEnd w:id="1373"/>
      <w:r>
        <w:rPr>
          <w:rFonts w:ascii="黑体" w:hAnsi="黑体" w:eastAsia="黑体" w:cs="黑体"/>
          <w:spacing w:val="-4"/>
          <w:sz w:val="28"/>
          <w:szCs w:val="28"/>
        </w:rPr>
        <w:t>（二）项目经理简历表</w:t>
      </w:r>
    </w:p>
    <w:p w14:paraId="1472F826">
      <w:pPr>
        <w:spacing w:before="166"/>
      </w:pPr>
    </w:p>
    <w:tbl>
      <w:tblPr>
        <w:tblStyle w:val="10"/>
        <w:tblW w:w="8790"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1029"/>
        <w:gridCol w:w="1130"/>
        <w:gridCol w:w="1269"/>
        <w:gridCol w:w="2114"/>
        <w:gridCol w:w="2154"/>
      </w:tblGrid>
      <w:tr w14:paraId="2806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94" w:type="dxa"/>
            <w:vAlign w:val="top"/>
          </w:tcPr>
          <w:p w14:paraId="1879C336">
            <w:pPr>
              <w:pStyle w:val="11"/>
              <w:spacing w:before="125" w:line="221" w:lineRule="auto"/>
              <w:ind w:left="116"/>
            </w:pPr>
            <w:r>
              <w:rPr>
                <w:spacing w:val="-4"/>
              </w:rPr>
              <w:t>姓</w:t>
            </w:r>
            <w:r>
              <w:rPr>
                <w:spacing w:val="5"/>
              </w:rPr>
              <w:t xml:space="preserve">  </w:t>
            </w:r>
            <w:r>
              <w:rPr>
                <w:spacing w:val="-4"/>
              </w:rPr>
              <w:t>名</w:t>
            </w:r>
          </w:p>
        </w:tc>
        <w:tc>
          <w:tcPr>
            <w:tcW w:w="1029" w:type="dxa"/>
            <w:vAlign w:val="top"/>
          </w:tcPr>
          <w:p w14:paraId="6CD617EB">
            <w:pPr>
              <w:rPr>
                <w:rFonts w:ascii="Arial"/>
                <w:sz w:val="21"/>
              </w:rPr>
            </w:pPr>
          </w:p>
        </w:tc>
        <w:tc>
          <w:tcPr>
            <w:tcW w:w="1130" w:type="dxa"/>
            <w:vAlign w:val="top"/>
          </w:tcPr>
          <w:p w14:paraId="05ECD95B">
            <w:pPr>
              <w:pStyle w:val="11"/>
              <w:spacing w:before="125" w:line="221" w:lineRule="auto"/>
              <w:ind w:left="255"/>
            </w:pPr>
            <w:r>
              <w:rPr>
                <w:spacing w:val="-4"/>
              </w:rPr>
              <w:t>年</w:t>
            </w:r>
            <w:r>
              <w:rPr>
                <w:spacing w:val="4"/>
              </w:rPr>
              <w:t xml:space="preserve">  </w:t>
            </w:r>
            <w:r>
              <w:rPr>
                <w:spacing w:val="-4"/>
              </w:rPr>
              <w:t>龄</w:t>
            </w:r>
          </w:p>
        </w:tc>
        <w:tc>
          <w:tcPr>
            <w:tcW w:w="1269" w:type="dxa"/>
            <w:vAlign w:val="top"/>
          </w:tcPr>
          <w:p w14:paraId="0C145D00">
            <w:pPr>
              <w:rPr>
                <w:rFonts w:ascii="Arial"/>
                <w:sz w:val="21"/>
              </w:rPr>
            </w:pPr>
          </w:p>
        </w:tc>
        <w:tc>
          <w:tcPr>
            <w:tcW w:w="2114" w:type="dxa"/>
            <w:vAlign w:val="top"/>
          </w:tcPr>
          <w:p w14:paraId="663BEB0A">
            <w:pPr>
              <w:pStyle w:val="11"/>
              <w:spacing w:before="125" w:line="222" w:lineRule="auto"/>
              <w:ind w:left="857"/>
            </w:pPr>
            <w:r>
              <w:rPr>
                <w:spacing w:val="-3"/>
              </w:rPr>
              <w:t>学历</w:t>
            </w:r>
          </w:p>
        </w:tc>
        <w:tc>
          <w:tcPr>
            <w:tcW w:w="2154" w:type="dxa"/>
            <w:vAlign w:val="top"/>
          </w:tcPr>
          <w:p w14:paraId="47877DB0">
            <w:pPr>
              <w:rPr>
                <w:rFonts w:ascii="Arial"/>
                <w:sz w:val="21"/>
              </w:rPr>
            </w:pPr>
          </w:p>
        </w:tc>
      </w:tr>
      <w:tr w14:paraId="11444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4" w:type="dxa"/>
            <w:vAlign w:val="top"/>
          </w:tcPr>
          <w:p w14:paraId="0AA25964">
            <w:pPr>
              <w:pStyle w:val="11"/>
              <w:spacing w:before="120" w:line="223" w:lineRule="auto"/>
              <w:ind w:left="236"/>
            </w:pPr>
            <w:r>
              <w:rPr>
                <w:spacing w:val="-4"/>
              </w:rPr>
              <w:t>职</w:t>
            </w:r>
            <w:r>
              <w:rPr>
                <w:spacing w:val="4"/>
              </w:rPr>
              <w:t xml:space="preserve">  </w:t>
            </w:r>
            <w:r>
              <w:rPr>
                <w:spacing w:val="-4"/>
              </w:rPr>
              <w:t>称</w:t>
            </w:r>
          </w:p>
        </w:tc>
        <w:tc>
          <w:tcPr>
            <w:tcW w:w="1029" w:type="dxa"/>
            <w:vAlign w:val="top"/>
          </w:tcPr>
          <w:p w14:paraId="75263D74">
            <w:pPr>
              <w:rPr>
                <w:rFonts w:ascii="Arial"/>
                <w:sz w:val="21"/>
              </w:rPr>
            </w:pPr>
          </w:p>
        </w:tc>
        <w:tc>
          <w:tcPr>
            <w:tcW w:w="1130" w:type="dxa"/>
            <w:vAlign w:val="top"/>
          </w:tcPr>
          <w:p w14:paraId="796AED39">
            <w:pPr>
              <w:pStyle w:val="11"/>
              <w:spacing w:before="120" w:line="221" w:lineRule="auto"/>
              <w:ind w:left="255"/>
            </w:pPr>
            <w:r>
              <w:rPr>
                <w:spacing w:val="-4"/>
              </w:rPr>
              <w:t>职</w:t>
            </w:r>
            <w:r>
              <w:rPr>
                <w:spacing w:val="5"/>
              </w:rPr>
              <w:t xml:space="preserve">  </w:t>
            </w:r>
            <w:r>
              <w:rPr>
                <w:spacing w:val="-4"/>
              </w:rPr>
              <w:t>务</w:t>
            </w:r>
          </w:p>
        </w:tc>
        <w:tc>
          <w:tcPr>
            <w:tcW w:w="1269" w:type="dxa"/>
            <w:vAlign w:val="top"/>
          </w:tcPr>
          <w:p w14:paraId="2429A438">
            <w:pPr>
              <w:rPr>
                <w:rFonts w:ascii="Arial"/>
                <w:sz w:val="21"/>
              </w:rPr>
            </w:pPr>
          </w:p>
        </w:tc>
        <w:tc>
          <w:tcPr>
            <w:tcW w:w="2114" w:type="dxa"/>
            <w:vAlign w:val="top"/>
          </w:tcPr>
          <w:p w14:paraId="465CBAC3">
            <w:pPr>
              <w:pStyle w:val="11"/>
              <w:spacing w:before="121" w:line="220" w:lineRule="auto"/>
              <w:ind w:left="327"/>
            </w:pPr>
            <w:r>
              <w:rPr>
                <w:spacing w:val="-1"/>
              </w:rPr>
              <w:t>拟在本工程任职</w:t>
            </w:r>
          </w:p>
        </w:tc>
        <w:tc>
          <w:tcPr>
            <w:tcW w:w="2154" w:type="dxa"/>
            <w:vAlign w:val="top"/>
          </w:tcPr>
          <w:p w14:paraId="744AC44B">
            <w:pPr>
              <w:pStyle w:val="11"/>
              <w:spacing w:before="121" w:line="221" w:lineRule="auto"/>
              <w:ind w:left="665"/>
            </w:pPr>
            <w:r>
              <w:rPr>
                <w:spacing w:val="-3"/>
              </w:rPr>
              <w:t>项目经理</w:t>
            </w:r>
          </w:p>
        </w:tc>
      </w:tr>
      <w:tr w14:paraId="02E2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53" w:type="dxa"/>
            <w:gridSpan w:val="3"/>
            <w:vAlign w:val="top"/>
          </w:tcPr>
          <w:p w14:paraId="04AA72DC">
            <w:pPr>
              <w:pStyle w:val="11"/>
              <w:spacing w:before="120" w:line="221" w:lineRule="auto"/>
              <w:ind w:left="475"/>
            </w:pPr>
            <w:r>
              <w:rPr>
                <w:spacing w:val="-1"/>
              </w:rPr>
              <w:t>注册建造师执业资格等级</w:t>
            </w:r>
          </w:p>
        </w:tc>
        <w:tc>
          <w:tcPr>
            <w:tcW w:w="1269" w:type="dxa"/>
            <w:vAlign w:val="top"/>
          </w:tcPr>
          <w:p w14:paraId="7C27FBF7">
            <w:pPr>
              <w:pStyle w:val="11"/>
              <w:spacing w:before="121" w:line="223" w:lineRule="auto"/>
              <w:ind w:left="853"/>
            </w:pPr>
            <w:r>
              <w:t>级</w:t>
            </w:r>
          </w:p>
        </w:tc>
        <w:tc>
          <w:tcPr>
            <w:tcW w:w="2114" w:type="dxa"/>
            <w:vAlign w:val="top"/>
          </w:tcPr>
          <w:p w14:paraId="36209C97">
            <w:pPr>
              <w:pStyle w:val="11"/>
              <w:spacing w:before="120" w:line="221" w:lineRule="auto"/>
              <w:ind w:left="539"/>
            </w:pPr>
            <w:r>
              <w:rPr>
                <w:spacing w:val="-2"/>
              </w:rPr>
              <w:t>建造师专业</w:t>
            </w:r>
          </w:p>
        </w:tc>
        <w:tc>
          <w:tcPr>
            <w:tcW w:w="2154" w:type="dxa"/>
            <w:vAlign w:val="top"/>
          </w:tcPr>
          <w:p w14:paraId="25125962">
            <w:pPr>
              <w:rPr>
                <w:rFonts w:ascii="Arial"/>
                <w:sz w:val="21"/>
              </w:rPr>
            </w:pPr>
          </w:p>
        </w:tc>
      </w:tr>
      <w:tr w14:paraId="393A9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53" w:type="dxa"/>
            <w:gridSpan w:val="3"/>
            <w:vAlign w:val="top"/>
          </w:tcPr>
          <w:p w14:paraId="38D6DA19">
            <w:pPr>
              <w:pStyle w:val="11"/>
              <w:spacing w:before="122" w:line="220" w:lineRule="auto"/>
              <w:ind w:left="585"/>
            </w:pPr>
            <w:r>
              <w:rPr>
                <w:spacing w:val="-1"/>
              </w:rPr>
              <w:t>安全生产考核合格证书</w:t>
            </w:r>
          </w:p>
        </w:tc>
        <w:tc>
          <w:tcPr>
            <w:tcW w:w="5537" w:type="dxa"/>
            <w:gridSpan w:val="3"/>
            <w:vAlign w:val="top"/>
          </w:tcPr>
          <w:p w14:paraId="25A5C7DB">
            <w:pPr>
              <w:rPr>
                <w:rFonts w:ascii="Arial"/>
                <w:sz w:val="21"/>
              </w:rPr>
            </w:pPr>
          </w:p>
        </w:tc>
      </w:tr>
      <w:tr w14:paraId="4974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94" w:type="dxa"/>
            <w:vAlign w:val="top"/>
          </w:tcPr>
          <w:p w14:paraId="36A0DE3A">
            <w:pPr>
              <w:pStyle w:val="11"/>
              <w:spacing w:before="121" w:line="221" w:lineRule="auto"/>
              <w:ind w:left="137"/>
            </w:pPr>
            <w:r>
              <w:rPr>
                <w:spacing w:val="-3"/>
              </w:rPr>
              <w:t>毕业学校</w:t>
            </w:r>
          </w:p>
        </w:tc>
        <w:tc>
          <w:tcPr>
            <w:tcW w:w="7696" w:type="dxa"/>
            <w:gridSpan w:val="5"/>
            <w:vAlign w:val="top"/>
          </w:tcPr>
          <w:p w14:paraId="47E68B70">
            <w:pPr>
              <w:pStyle w:val="11"/>
              <w:spacing w:before="121" w:line="221" w:lineRule="auto"/>
              <w:ind w:left="952"/>
            </w:pPr>
            <w:r>
              <w:rPr>
                <w:spacing w:val="-3"/>
              </w:rPr>
              <w:t>年毕业于</w:t>
            </w:r>
            <w:r>
              <w:t xml:space="preserve">                  </w:t>
            </w:r>
            <w:r>
              <w:rPr>
                <w:spacing w:val="-3"/>
              </w:rPr>
              <w:t>学校</w:t>
            </w:r>
            <w:r>
              <w:rPr>
                <w:spacing w:val="1"/>
              </w:rPr>
              <w:t xml:space="preserve">            </w:t>
            </w:r>
            <w:r>
              <w:rPr>
                <w:spacing w:val="-3"/>
              </w:rPr>
              <w:t>专业</w:t>
            </w:r>
          </w:p>
        </w:tc>
      </w:tr>
      <w:tr w14:paraId="473CB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90" w:type="dxa"/>
            <w:gridSpan w:val="6"/>
            <w:vAlign w:val="top"/>
          </w:tcPr>
          <w:p w14:paraId="00885B94">
            <w:pPr>
              <w:pStyle w:val="11"/>
              <w:spacing w:before="122" w:line="221" w:lineRule="auto"/>
              <w:ind w:left="3771"/>
            </w:pPr>
            <w:r>
              <w:rPr>
                <w:spacing w:val="-2"/>
              </w:rPr>
              <w:t>主要工作经历</w:t>
            </w:r>
          </w:p>
        </w:tc>
      </w:tr>
      <w:tr w14:paraId="1ED0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94" w:type="dxa"/>
            <w:vAlign w:val="top"/>
          </w:tcPr>
          <w:p w14:paraId="2D44C961">
            <w:pPr>
              <w:pStyle w:val="11"/>
              <w:spacing w:before="121" w:line="223" w:lineRule="auto"/>
              <w:ind w:left="245"/>
            </w:pPr>
            <w:r>
              <w:rPr>
                <w:spacing w:val="-9"/>
              </w:rPr>
              <w:t>时</w:t>
            </w:r>
            <w:r>
              <w:rPr>
                <w:spacing w:val="12"/>
              </w:rPr>
              <w:t xml:space="preserve">  </w:t>
            </w:r>
            <w:r>
              <w:rPr>
                <w:spacing w:val="-9"/>
              </w:rPr>
              <w:t>间</w:t>
            </w:r>
          </w:p>
        </w:tc>
        <w:tc>
          <w:tcPr>
            <w:tcW w:w="3428" w:type="dxa"/>
            <w:gridSpan w:val="3"/>
            <w:vAlign w:val="top"/>
          </w:tcPr>
          <w:p w14:paraId="2EC459BB">
            <w:pPr>
              <w:pStyle w:val="11"/>
              <w:spacing w:before="121" w:line="221" w:lineRule="auto"/>
              <w:ind w:left="670"/>
            </w:pPr>
            <w:r>
              <w:rPr>
                <w:spacing w:val="-1"/>
              </w:rPr>
              <w:t>参加过的类似项目名称</w:t>
            </w:r>
          </w:p>
        </w:tc>
        <w:tc>
          <w:tcPr>
            <w:tcW w:w="2114" w:type="dxa"/>
            <w:vAlign w:val="top"/>
          </w:tcPr>
          <w:p w14:paraId="4D55BAC3">
            <w:pPr>
              <w:pStyle w:val="11"/>
              <w:spacing w:before="121" w:line="221" w:lineRule="auto"/>
              <w:ind w:left="435"/>
            </w:pPr>
            <w:r>
              <w:rPr>
                <w:spacing w:val="-2"/>
              </w:rPr>
              <w:t>工程概况说明</w:t>
            </w:r>
          </w:p>
        </w:tc>
        <w:tc>
          <w:tcPr>
            <w:tcW w:w="2154" w:type="dxa"/>
            <w:vAlign w:val="top"/>
          </w:tcPr>
          <w:p w14:paraId="13F8E0C7">
            <w:pPr>
              <w:pStyle w:val="11"/>
              <w:spacing w:before="122" w:line="221" w:lineRule="auto"/>
              <w:ind w:left="245"/>
            </w:pPr>
            <w:r>
              <w:rPr>
                <w:spacing w:val="-1"/>
              </w:rPr>
              <w:t>发包人及联系电话</w:t>
            </w:r>
          </w:p>
        </w:tc>
      </w:tr>
      <w:tr w14:paraId="30AC1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4" w:type="dxa"/>
            <w:vAlign w:val="top"/>
          </w:tcPr>
          <w:p w14:paraId="62FA893E">
            <w:pPr>
              <w:rPr>
                <w:rFonts w:ascii="Arial"/>
                <w:sz w:val="21"/>
              </w:rPr>
            </w:pPr>
          </w:p>
        </w:tc>
        <w:tc>
          <w:tcPr>
            <w:tcW w:w="3428" w:type="dxa"/>
            <w:gridSpan w:val="3"/>
            <w:vAlign w:val="top"/>
          </w:tcPr>
          <w:p w14:paraId="508D16F6">
            <w:pPr>
              <w:rPr>
                <w:rFonts w:ascii="Arial"/>
                <w:sz w:val="21"/>
              </w:rPr>
            </w:pPr>
          </w:p>
        </w:tc>
        <w:tc>
          <w:tcPr>
            <w:tcW w:w="2114" w:type="dxa"/>
            <w:vAlign w:val="top"/>
          </w:tcPr>
          <w:p w14:paraId="4A18F75C">
            <w:pPr>
              <w:rPr>
                <w:rFonts w:ascii="Arial"/>
                <w:sz w:val="21"/>
              </w:rPr>
            </w:pPr>
          </w:p>
        </w:tc>
        <w:tc>
          <w:tcPr>
            <w:tcW w:w="2154" w:type="dxa"/>
            <w:vAlign w:val="top"/>
          </w:tcPr>
          <w:p w14:paraId="10C4C305">
            <w:pPr>
              <w:rPr>
                <w:rFonts w:ascii="Arial"/>
                <w:sz w:val="21"/>
              </w:rPr>
            </w:pPr>
          </w:p>
        </w:tc>
      </w:tr>
      <w:tr w14:paraId="1BBB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4" w:type="dxa"/>
            <w:vAlign w:val="top"/>
          </w:tcPr>
          <w:p w14:paraId="0D5BAD06">
            <w:pPr>
              <w:rPr>
                <w:rFonts w:ascii="Arial"/>
                <w:sz w:val="21"/>
              </w:rPr>
            </w:pPr>
          </w:p>
        </w:tc>
        <w:tc>
          <w:tcPr>
            <w:tcW w:w="3428" w:type="dxa"/>
            <w:gridSpan w:val="3"/>
            <w:vAlign w:val="top"/>
          </w:tcPr>
          <w:p w14:paraId="2B0BD65D">
            <w:pPr>
              <w:rPr>
                <w:rFonts w:ascii="Arial"/>
                <w:sz w:val="21"/>
              </w:rPr>
            </w:pPr>
          </w:p>
        </w:tc>
        <w:tc>
          <w:tcPr>
            <w:tcW w:w="2114" w:type="dxa"/>
            <w:vAlign w:val="top"/>
          </w:tcPr>
          <w:p w14:paraId="432FC56E">
            <w:pPr>
              <w:rPr>
                <w:rFonts w:ascii="Arial"/>
                <w:sz w:val="21"/>
              </w:rPr>
            </w:pPr>
          </w:p>
        </w:tc>
        <w:tc>
          <w:tcPr>
            <w:tcW w:w="2154" w:type="dxa"/>
            <w:vAlign w:val="top"/>
          </w:tcPr>
          <w:p w14:paraId="3A969D02">
            <w:pPr>
              <w:rPr>
                <w:rFonts w:ascii="Arial"/>
                <w:sz w:val="21"/>
              </w:rPr>
            </w:pPr>
          </w:p>
        </w:tc>
      </w:tr>
      <w:tr w14:paraId="17B4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4" w:type="dxa"/>
            <w:vAlign w:val="top"/>
          </w:tcPr>
          <w:p w14:paraId="40F85C29">
            <w:pPr>
              <w:rPr>
                <w:rFonts w:ascii="Arial"/>
                <w:sz w:val="21"/>
              </w:rPr>
            </w:pPr>
          </w:p>
        </w:tc>
        <w:tc>
          <w:tcPr>
            <w:tcW w:w="3428" w:type="dxa"/>
            <w:gridSpan w:val="3"/>
            <w:vAlign w:val="top"/>
          </w:tcPr>
          <w:p w14:paraId="43FA5AFC">
            <w:pPr>
              <w:rPr>
                <w:rFonts w:ascii="Arial"/>
                <w:sz w:val="21"/>
              </w:rPr>
            </w:pPr>
          </w:p>
        </w:tc>
        <w:tc>
          <w:tcPr>
            <w:tcW w:w="2114" w:type="dxa"/>
            <w:vAlign w:val="top"/>
          </w:tcPr>
          <w:p w14:paraId="0ECB9518">
            <w:pPr>
              <w:rPr>
                <w:rFonts w:ascii="Arial"/>
                <w:sz w:val="21"/>
              </w:rPr>
            </w:pPr>
          </w:p>
        </w:tc>
        <w:tc>
          <w:tcPr>
            <w:tcW w:w="2154" w:type="dxa"/>
            <w:vAlign w:val="top"/>
          </w:tcPr>
          <w:p w14:paraId="456B3059">
            <w:pPr>
              <w:rPr>
                <w:rFonts w:ascii="Arial"/>
                <w:sz w:val="21"/>
              </w:rPr>
            </w:pPr>
          </w:p>
        </w:tc>
      </w:tr>
      <w:tr w14:paraId="62C2B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4" w:type="dxa"/>
            <w:vAlign w:val="top"/>
          </w:tcPr>
          <w:p w14:paraId="62F48E27">
            <w:pPr>
              <w:rPr>
                <w:rFonts w:ascii="Arial"/>
                <w:sz w:val="21"/>
              </w:rPr>
            </w:pPr>
          </w:p>
        </w:tc>
        <w:tc>
          <w:tcPr>
            <w:tcW w:w="3428" w:type="dxa"/>
            <w:gridSpan w:val="3"/>
            <w:vAlign w:val="top"/>
          </w:tcPr>
          <w:p w14:paraId="674F9A7C">
            <w:pPr>
              <w:rPr>
                <w:rFonts w:ascii="Arial"/>
                <w:sz w:val="21"/>
              </w:rPr>
            </w:pPr>
          </w:p>
        </w:tc>
        <w:tc>
          <w:tcPr>
            <w:tcW w:w="2114" w:type="dxa"/>
            <w:vAlign w:val="top"/>
          </w:tcPr>
          <w:p w14:paraId="4C047C6E">
            <w:pPr>
              <w:rPr>
                <w:rFonts w:ascii="Arial"/>
                <w:sz w:val="21"/>
              </w:rPr>
            </w:pPr>
          </w:p>
        </w:tc>
        <w:tc>
          <w:tcPr>
            <w:tcW w:w="2154" w:type="dxa"/>
            <w:vAlign w:val="top"/>
          </w:tcPr>
          <w:p w14:paraId="58AB4B8B">
            <w:pPr>
              <w:rPr>
                <w:rFonts w:ascii="Arial"/>
                <w:sz w:val="21"/>
              </w:rPr>
            </w:pPr>
          </w:p>
        </w:tc>
      </w:tr>
      <w:tr w14:paraId="3C089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4" w:type="dxa"/>
            <w:vAlign w:val="top"/>
          </w:tcPr>
          <w:p w14:paraId="2D6C3232">
            <w:pPr>
              <w:rPr>
                <w:rFonts w:ascii="Arial"/>
                <w:sz w:val="21"/>
              </w:rPr>
            </w:pPr>
          </w:p>
        </w:tc>
        <w:tc>
          <w:tcPr>
            <w:tcW w:w="3428" w:type="dxa"/>
            <w:gridSpan w:val="3"/>
            <w:vAlign w:val="top"/>
          </w:tcPr>
          <w:p w14:paraId="26CC733A">
            <w:pPr>
              <w:rPr>
                <w:rFonts w:ascii="Arial"/>
                <w:sz w:val="21"/>
              </w:rPr>
            </w:pPr>
          </w:p>
        </w:tc>
        <w:tc>
          <w:tcPr>
            <w:tcW w:w="2114" w:type="dxa"/>
            <w:vAlign w:val="top"/>
          </w:tcPr>
          <w:p w14:paraId="317CD7C8">
            <w:pPr>
              <w:rPr>
                <w:rFonts w:ascii="Arial"/>
                <w:sz w:val="21"/>
              </w:rPr>
            </w:pPr>
          </w:p>
        </w:tc>
        <w:tc>
          <w:tcPr>
            <w:tcW w:w="2154" w:type="dxa"/>
            <w:vAlign w:val="top"/>
          </w:tcPr>
          <w:p w14:paraId="165854DF">
            <w:pPr>
              <w:rPr>
                <w:rFonts w:ascii="Arial"/>
                <w:sz w:val="21"/>
              </w:rPr>
            </w:pPr>
          </w:p>
        </w:tc>
      </w:tr>
      <w:tr w14:paraId="5048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4" w:type="dxa"/>
            <w:vAlign w:val="top"/>
          </w:tcPr>
          <w:p w14:paraId="6F336AB2">
            <w:pPr>
              <w:rPr>
                <w:rFonts w:ascii="Arial"/>
                <w:sz w:val="21"/>
              </w:rPr>
            </w:pPr>
          </w:p>
        </w:tc>
        <w:tc>
          <w:tcPr>
            <w:tcW w:w="3428" w:type="dxa"/>
            <w:gridSpan w:val="3"/>
            <w:vAlign w:val="top"/>
          </w:tcPr>
          <w:p w14:paraId="725054A6">
            <w:pPr>
              <w:rPr>
                <w:rFonts w:ascii="Arial"/>
                <w:sz w:val="21"/>
              </w:rPr>
            </w:pPr>
          </w:p>
        </w:tc>
        <w:tc>
          <w:tcPr>
            <w:tcW w:w="2114" w:type="dxa"/>
            <w:vAlign w:val="top"/>
          </w:tcPr>
          <w:p w14:paraId="0461FD0C">
            <w:pPr>
              <w:rPr>
                <w:rFonts w:ascii="Arial"/>
                <w:sz w:val="21"/>
              </w:rPr>
            </w:pPr>
          </w:p>
        </w:tc>
        <w:tc>
          <w:tcPr>
            <w:tcW w:w="2154" w:type="dxa"/>
            <w:vAlign w:val="top"/>
          </w:tcPr>
          <w:p w14:paraId="6E2ADA7E">
            <w:pPr>
              <w:rPr>
                <w:rFonts w:ascii="Arial"/>
                <w:sz w:val="21"/>
              </w:rPr>
            </w:pPr>
          </w:p>
        </w:tc>
      </w:tr>
      <w:tr w14:paraId="0A1F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4" w:type="dxa"/>
            <w:vAlign w:val="top"/>
          </w:tcPr>
          <w:p w14:paraId="68B43BC0">
            <w:pPr>
              <w:rPr>
                <w:rFonts w:ascii="Arial"/>
                <w:sz w:val="21"/>
              </w:rPr>
            </w:pPr>
          </w:p>
        </w:tc>
        <w:tc>
          <w:tcPr>
            <w:tcW w:w="3428" w:type="dxa"/>
            <w:gridSpan w:val="3"/>
            <w:vAlign w:val="top"/>
          </w:tcPr>
          <w:p w14:paraId="4BA887D9">
            <w:pPr>
              <w:rPr>
                <w:rFonts w:ascii="Arial"/>
                <w:sz w:val="21"/>
              </w:rPr>
            </w:pPr>
          </w:p>
        </w:tc>
        <w:tc>
          <w:tcPr>
            <w:tcW w:w="2114" w:type="dxa"/>
            <w:vAlign w:val="top"/>
          </w:tcPr>
          <w:p w14:paraId="2C76E165">
            <w:pPr>
              <w:rPr>
                <w:rFonts w:ascii="Arial"/>
                <w:sz w:val="21"/>
              </w:rPr>
            </w:pPr>
          </w:p>
        </w:tc>
        <w:tc>
          <w:tcPr>
            <w:tcW w:w="2154" w:type="dxa"/>
            <w:vAlign w:val="top"/>
          </w:tcPr>
          <w:p w14:paraId="2F81CC99">
            <w:pPr>
              <w:rPr>
                <w:rFonts w:ascii="Arial"/>
                <w:sz w:val="21"/>
              </w:rPr>
            </w:pPr>
          </w:p>
        </w:tc>
      </w:tr>
      <w:tr w14:paraId="7877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94" w:type="dxa"/>
            <w:vAlign w:val="top"/>
          </w:tcPr>
          <w:p w14:paraId="4C5D1773">
            <w:pPr>
              <w:rPr>
                <w:rFonts w:ascii="Arial"/>
                <w:sz w:val="21"/>
              </w:rPr>
            </w:pPr>
          </w:p>
        </w:tc>
        <w:tc>
          <w:tcPr>
            <w:tcW w:w="3428" w:type="dxa"/>
            <w:gridSpan w:val="3"/>
            <w:vAlign w:val="top"/>
          </w:tcPr>
          <w:p w14:paraId="59312663">
            <w:pPr>
              <w:rPr>
                <w:rFonts w:ascii="Arial"/>
                <w:sz w:val="21"/>
              </w:rPr>
            </w:pPr>
          </w:p>
        </w:tc>
        <w:tc>
          <w:tcPr>
            <w:tcW w:w="2114" w:type="dxa"/>
            <w:vAlign w:val="top"/>
          </w:tcPr>
          <w:p w14:paraId="1BA30F13">
            <w:pPr>
              <w:rPr>
                <w:rFonts w:ascii="Arial"/>
                <w:sz w:val="21"/>
              </w:rPr>
            </w:pPr>
          </w:p>
        </w:tc>
        <w:tc>
          <w:tcPr>
            <w:tcW w:w="2154" w:type="dxa"/>
            <w:vAlign w:val="top"/>
          </w:tcPr>
          <w:p w14:paraId="72DAF0D9">
            <w:pPr>
              <w:rPr>
                <w:rFonts w:ascii="Arial"/>
                <w:sz w:val="21"/>
              </w:rPr>
            </w:pPr>
          </w:p>
        </w:tc>
      </w:tr>
      <w:tr w14:paraId="0C21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94" w:type="dxa"/>
            <w:vAlign w:val="top"/>
          </w:tcPr>
          <w:p w14:paraId="68217670">
            <w:pPr>
              <w:rPr>
                <w:rFonts w:ascii="Arial"/>
                <w:sz w:val="21"/>
              </w:rPr>
            </w:pPr>
          </w:p>
        </w:tc>
        <w:tc>
          <w:tcPr>
            <w:tcW w:w="3428" w:type="dxa"/>
            <w:gridSpan w:val="3"/>
            <w:vAlign w:val="top"/>
          </w:tcPr>
          <w:p w14:paraId="47C3B4DB">
            <w:pPr>
              <w:rPr>
                <w:rFonts w:ascii="Arial"/>
                <w:sz w:val="21"/>
              </w:rPr>
            </w:pPr>
          </w:p>
        </w:tc>
        <w:tc>
          <w:tcPr>
            <w:tcW w:w="2114" w:type="dxa"/>
            <w:vAlign w:val="top"/>
          </w:tcPr>
          <w:p w14:paraId="44E75F7F">
            <w:pPr>
              <w:rPr>
                <w:rFonts w:ascii="Arial"/>
                <w:sz w:val="21"/>
              </w:rPr>
            </w:pPr>
          </w:p>
        </w:tc>
        <w:tc>
          <w:tcPr>
            <w:tcW w:w="2154" w:type="dxa"/>
            <w:vAlign w:val="top"/>
          </w:tcPr>
          <w:p w14:paraId="2A4FCC89">
            <w:pPr>
              <w:rPr>
                <w:rFonts w:ascii="Arial"/>
                <w:sz w:val="21"/>
              </w:rPr>
            </w:pPr>
          </w:p>
        </w:tc>
      </w:tr>
    </w:tbl>
    <w:p w14:paraId="387E219F">
      <w:pPr>
        <w:spacing w:before="77" w:line="220" w:lineRule="auto"/>
        <w:rPr>
          <w:rFonts w:ascii="宋体" w:hAnsi="宋体" w:eastAsia="宋体" w:cs="宋体"/>
          <w:sz w:val="21"/>
          <w:szCs w:val="21"/>
        </w:rPr>
      </w:pPr>
      <w:r>
        <w:rPr>
          <w:rFonts w:ascii="宋体" w:hAnsi="宋体" w:eastAsia="宋体" w:cs="宋体"/>
          <w:spacing w:val="-3"/>
          <w:sz w:val="21"/>
          <w:szCs w:val="21"/>
        </w:rPr>
        <w:t>备注：1.项目经理应附建造师注册证书、安全生产考核合格证书（</w:t>
      </w:r>
      <w:r>
        <w:rPr>
          <w:rFonts w:ascii="Times New Roman" w:hAnsi="Times New Roman" w:eastAsia="Times New Roman" w:cs="Times New Roman"/>
          <w:spacing w:val="-3"/>
          <w:sz w:val="21"/>
          <w:szCs w:val="21"/>
        </w:rPr>
        <w:t>B</w:t>
      </w:r>
      <w:r>
        <w:rPr>
          <w:rFonts w:ascii="宋体" w:hAnsi="宋体" w:eastAsia="宋体" w:cs="宋体"/>
          <w:spacing w:val="-3"/>
          <w:sz w:val="21"/>
          <w:szCs w:val="21"/>
        </w:rPr>
        <w:t>证）、职称证书、学历证书。</w:t>
      </w:r>
    </w:p>
    <w:p w14:paraId="4E396286">
      <w:pPr>
        <w:spacing w:before="76" w:line="220" w:lineRule="auto"/>
        <w:ind w:left="631"/>
        <w:rPr>
          <w:rFonts w:ascii="宋体" w:hAnsi="宋体" w:eastAsia="宋体" w:cs="宋体"/>
          <w:sz w:val="21"/>
          <w:szCs w:val="21"/>
        </w:rPr>
      </w:pPr>
      <w:r>
        <w:rPr>
          <w:rFonts w:ascii="宋体" w:hAnsi="宋体" w:eastAsia="宋体" w:cs="宋体"/>
          <w:sz w:val="21"/>
          <w:szCs w:val="21"/>
        </w:rPr>
        <w:t>2.类似项目限于以项目经理身份参与的项目。须附</w:t>
      </w:r>
      <w:r>
        <w:rPr>
          <w:rFonts w:ascii="宋体" w:hAnsi="宋体" w:eastAsia="宋体" w:cs="宋体"/>
          <w:spacing w:val="-1"/>
          <w:sz w:val="21"/>
          <w:szCs w:val="21"/>
        </w:rPr>
        <w:t>业绩证明材料。</w:t>
      </w:r>
    </w:p>
    <w:p w14:paraId="3D7D6E2B">
      <w:pPr>
        <w:spacing w:line="220" w:lineRule="auto"/>
        <w:rPr>
          <w:rFonts w:ascii="宋体" w:hAnsi="宋体" w:eastAsia="宋体" w:cs="宋体"/>
          <w:sz w:val="21"/>
          <w:szCs w:val="21"/>
        </w:rPr>
        <w:sectPr>
          <w:footerReference r:id="rId201" w:type="default"/>
          <w:pgSz w:w="11905" w:h="16843"/>
          <w:pgMar w:top="969" w:right="1355" w:bottom="1026" w:left="1480" w:header="0" w:footer="754" w:gutter="0"/>
          <w:cols w:space="0" w:num="1"/>
          <w:rtlGutter w:val="0"/>
          <w:docGrid w:linePitch="0" w:charSpace="0"/>
        </w:sectPr>
      </w:pPr>
    </w:p>
    <w:p w14:paraId="0D6E67A5">
      <w:pPr>
        <w:pStyle w:val="5"/>
        <w:spacing w:line="258" w:lineRule="auto"/>
      </w:pPr>
    </w:p>
    <w:p w14:paraId="280AAAA0">
      <w:pPr>
        <w:pStyle w:val="5"/>
        <w:spacing w:line="259" w:lineRule="auto"/>
      </w:pPr>
    </w:p>
    <w:p w14:paraId="1637150F">
      <w:pPr>
        <w:pStyle w:val="5"/>
        <w:spacing w:line="259" w:lineRule="auto"/>
      </w:pPr>
    </w:p>
    <w:p w14:paraId="021114B2">
      <w:pPr>
        <w:pStyle w:val="5"/>
        <w:spacing w:line="259" w:lineRule="auto"/>
      </w:pPr>
    </w:p>
    <w:p w14:paraId="62DDE197">
      <w:pPr>
        <w:pStyle w:val="5"/>
        <w:spacing w:line="259" w:lineRule="auto"/>
      </w:pPr>
    </w:p>
    <w:p w14:paraId="02B61B5D">
      <w:pPr>
        <w:pStyle w:val="5"/>
        <w:spacing w:line="259" w:lineRule="auto"/>
      </w:pPr>
    </w:p>
    <w:p w14:paraId="63C2B7EC">
      <w:pPr>
        <w:spacing w:before="91" w:line="220" w:lineRule="auto"/>
        <w:ind w:left="3640"/>
        <w:outlineLvl w:val="2"/>
        <w:rPr>
          <w:rFonts w:ascii="黑体" w:hAnsi="黑体" w:eastAsia="黑体" w:cs="黑体"/>
          <w:sz w:val="28"/>
          <w:szCs w:val="28"/>
        </w:rPr>
      </w:pPr>
      <w:bookmarkStart w:id="1374" w:name="bookmark667"/>
      <w:bookmarkEnd w:id="1374"/>
      <w:bookmarkStart w:id="1375" w:name="bookmark446"/>
      <w:bookmarkEnd w:id="1375"/>
      <w:r>
        <w:rPr>
          <w:rFonts w:ascii="黑体" w:hAnsi="黑体" w:eastAsia="黑体" w:cs="黑体"/>
          <w:spacing w:val="-8"/>
          <w:sz w:val="28"/>
          <w:szCs w:val="28"/>
        </w:rPr>
        <w:t>（三）承诺书</w:t>
      </w:r>
    </w:p>
    <w:p w14:paraId="11D03141">
      <w:pPr>
        <w:tabs>
          <w:tab w:val="left" w:pos="2205"/>
        </w:tabs>
        <w:spacing w:before="287"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5DAB7E10">
      <w:pPr>
        <w:spacing w:before="163" w:line="387" w:lineRule="auto"/>
        <w:ind w:left="9" w:firstLine="420"/>
        <w:jc w:val="both"/>
        <w:rPr>
          <w:rFonts w:ascii="宋体" w:hAnsi="宋体" w:eastAsia="宋体" w:cs="宋体"/>
          <w:sz w:val="21"/>
          <w:szCs w:val="21"/>
        </w:rPr>
      </w:pPr>
      <w:r>
        <w:rPr>
          <w:rFonts w:ascii="宋体" w:hAnsi="宋体" w:eastAsia="宋体" w:cs="宋体"/>
          <w:spacing w:val="-3"/>
          <w:sz w:val="21"/>
          <w:szCs w:val="21"/>
        </w:rPr>
        <w:t>我方在此声明，我方拟派往</w:t>
      </w:r>
      <w:r>
        <w:rPr>
          <w:rFonts w:ascii="宋体" w:hAnsi="宋体" w:eastAsia="宋体" w:cs="宋体"/>
          <w:spacing w:val="-104"/>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（标段名称</w:t>
      </w:r>
      <w:r>
        <w:rPr>
          <w:rFonts w:ascii="宋体" w:hAnsi="宋体" w:eastAsia="宋体" w:cs="宋体"/>
          <w:spacing w:val="-32"/>
          <w:sz w:val="21"/>
          <w:szCs w:val="21"/>
        </w:rPr>
        <w:t>）（</w:t>
      </w:r>
      <w:r>
        <w:rPr>
          <w:rFonts w:ascii="宋体" w:hAnsi="宋体" w:eastAsia="宋体" w:cs="宋体"/>
          <w:spacing w:val="-4"/>
          <w:sz w:val="21"/>
          <w:szCs w:val="21"/>
        </w:rPr>
        <w:t>以下简称“本工程”）的项目</w:t>
      </w:r>
      <w:r>
        <w:rPr>
          <w:rFonts w:ascii="宋体" w:hAnsi="宋体" w:eastAsia="宋体" w:cs="宋体"/>
          <w:spacing w:val="1"/>
          <w:sz w:val="21"/>
          <w:szCs w:val="21"/>
        </w:rPr>
        <w:t>经理</w:t>
      </w:r>
      <w:r>
        <w:rPr>
          <w:rFonts w:ascii="宋体" w:hAnsi="宋体" w:eastAsia="宋体" w:cs="宋体"/>
          <w:spacing w:val="1"/>
          <w:sz w:val="21"/>
          <w:szCs w:val="21"/>
          <w:u w:val="single" w:color="auto"/>
        </w:rPr>
        <w:t xml:space="preserve">            </w:t>
      </w:r>
      <w:r>
        <w:rPr>
          <w:rFonts w:ascii="宋体" w:hAnsi="宋体" w:eastAsia="宋体" w:cs="宋体"/>
          <w:spacing w:val="21"/>
          <w:sz w:val="21"/>
          <w:szCs w:val="21"/>
        </w:rPr>
        <w:t xml:space="preserve"> </w:t>
      </w:r>
      <w:r>
        <w:rPr>
          <w:rFonts w:ascii="宋体" w:hAnsi="宋体" w:eastAsia="宋体" w:cs="宋体"/>
          <w:spacing w:val="1"/>
          <w:sz w:val="21"/>
          <w:szCs w:val="21"/>
        </w:rPr>
        <w:t>（项目经理姓名）</w:t>
      </w:r>
      <w:r>
        <w:rPr>
          <w:rFonts w:ascii="宋体" w:hAnsi="宋体" w:eastAsia="宋体" w:cs="宋体"/>
          <w:spacing w:val="9"/>
          <w:sz w:val="21"/>
          <w:szCs w:val="21"/>
        </w:rPr>
        <w:t xml:space="preserve"> </w:t>
      </w:r>
      <w:r>
        <w:rPr>
          <w:rFonts w:ascii="宋体" w:hAnsi="宋体" w:eastAsia="宋体" w:cs="宋体"/>
          <w:spacing w:val="1"/>
          <w:sz w:val="21"/>
          <w:szCs w:val="21"/>
        </w:rPr>
        <w:t>现阶段（投标截止时间之前）没有担其他在施建设工程项</w:t>
      </w:r>
      <w:r>
        <w:rPr>
          <w:rFonts w:ascii="宋体" w:hAnsi="宋体" w:eastAsia="宋体" w:cs="宋体"/>
          <w:spacing w:val="-4"/>
          <w:sz w:val="21"/>
          <w:szCs w:val="21"/>
        </w:rPr>
        <w:t>目的项目经理。</w:t>
      </w:r>
    </w:p>
    <w:p w14:paraId="2A73C8EE">
      <w:pPr>
        <w:spacing w:before="2" w:line="386" w:lineRule="auto"/>
        <w:ind w:left="9" w:right="3" w:firstLine="418"/>
        <w:jc w:val="both"/>
        <w:rPr>
          <w:rFonts w:ascii="宋体" w:hAnsi="宋体" w:eastAsia="宋体" w:cs="宋体"/>
          <w:sz w:val="21"/>
          <w:szCs w:val="21"/>
        </w:rPr>
      </w:pPr>
      <w:r>
        <w:rPr>
          <w:rFonts w:ascii="宋体" w:hAnsi="宋体" w:eastAsia="宋体" w:cs="宋体"/>
          <w:spacing w:val="2"/>
          <w:sz w:val="21"/>
          <w:szCs w:val="21"/>
        </w:rPr>
        <w:t>根据《注册建造师执业管理办法（试行）》第九条规定“注册建造师不得同</w:t>
      </w:r>
      <w:r>
        <w:rPr>
          <w:rFonts w:ascii="宋体" w:hAnsi="宋体" w:eastAsia="宋体" w:cs="宋体"/>
          <w:spacing w:val="1"/>
          <w:sz w:val="21"/>
          <w:szCs w:val="21"/>
        </w:rPr>
        <w:t>时担任两个及以</w:t>
      </w:r>
      <w:r>
        <w:rPr>
          <w:rFonts w:ascii="宋体" w:hAnsi="宋体" w:eastAsia="宋体" w:cs="宋体"/>
          <w:sz w:val="21"/>
          <w:szCs w:val="21"/>
        </w:rPr>
        <w:t>上建设工程施工项目负责人”，</w:t>
      </w:r>
      <w:r>
        <w:rPr>
          <w:rFonts w:ascii="宋体" w:hAnsi="宋体" w:eastAsia="宋体" w:cs="宋体"/>
          <w:spacing w:val="-32"/>
          <w:sz w:val="21"/>
          <w:szCs w:val="21"/>
        </w:rPr>
        <w:t xml:space="preserve"> </w:t>
      </w:r>
      <w:r>
        <w:rPr>
          <w:rFonts w:ascii="宋体" w:hAnsi="宋体" w:eastAsia="宋体" w:cs="宋体"/>
          <w:sz w:val="21"/>
          <w:szCs w:val="21"/>
        </w:rPr>
        <w:t>第十条规定“注册建造师担任施工项目负责人期间原则上不得更</w:t>
      </w:r>
      <w:r>
        <w:rPr>
          <w:rFonts w:ascii="宋体" w:hAnsi="宋体" w:eastAsia="宋体" w:cs="宋体"/>
          <w:spacing w:val="-5"/>
          <w:sz w:val="21"/>
          <w:szCs w:val="21"/>
        </w:rPr>
        <w:t>换”。我方拟派项目经理的能够参加本工程的投标是基于以下理由：</w:t>
      </w:r>
    </w:p>
    <w:p w14:paraId="1217A75B">
      <w:pPr>
        <w:spacing w:before="1" w:line="219" w:lineRule="auto"/>
        <w:ind w:left="555"/>
        <w:rPr>
          <w:rFonts w:ascii="宋体" w:hAnsi="宋体" w:eastAsia="宋体" w:cs="宋体"/>
          <w:sz w:val="21"/>
          <w:szCs w:val="21"/>
        </w:rPr>
      </w:pPr>
      <w:r>
        <w:rPr>
          <w:rFonts w:ascii="宋体" w:hAnsi="宋体" w:eastAsia="宋体" w:cs="宋体"/>
          <w:spacing w:val="-4"/>
          <w:sz w:val="21"/>
          <w:szCs w:val="21"/>
        </w:rPr>
        <w:t>□  拟派项目经理无在建工程。</w:t>
      </w:r>
    </w:p>
    <w:p w14:paraId="65230188">
      <w:pPr>
        <w:spacing w:before="189" w:line="220" w:lineRule="auto"/>
        <w:ind w:left="555"/>
        <w:rPr>
          <w:rFonts w:ascii="宋体" w:hAnsi="宋体" w:eastAsia="宋体" w:cs="宋体"/>
          <w:sz w:val="21"/>
          <w:szCs w:val="21"/>
        </w:rPr>
      </w:pPr>
      <w:r>
        <w:rPr>
          <w:rFonts w:ascii="宋体" w:hAnsi="宋体" w:eastAsia="宋体" w:cs="宋体"/>
          <w:spacing w:val="-3"/>
          <w:sz w:val="21"/>
          <w:szCs w:val="21"/>
        </w:rPr>
        <w:t>□  拟派项目经理存在《注册建造师执业管理办法（试行</w:t>
      </w:r>
      <w:r>
        <w:rPr>
          <w:rFonts w:ascii="宋体" w:hAnsi="宋体" w:eastAsia="宋体" w:cs="宋体"/>
          <w:spacing w:val="-4"/>
          <w:sz w:val="21"/>
          <w:szCs w:val="21"/>
        </w:rPr>
        <w:t>）》第九条规定的下列情形：</w:t>
      </w:r>
    </w:p>
    <w:p w14:paraId="30A02CDC">
      <w:pPr>
        <w:spacing w:before="192" w:line="221" w:lineRule="auto"/>
        <w:ind w:left="975"/>
        <w:rPr>
          <w:rFonts w:ascii="宋体" w:hAnsi="宋体" w:eastAsia="宋体" w:cs="宋体"/>
          <w:sz w:val="21"/>
          <w:szCs w:val="21"/>
        </w:rPr>
      </w:pPr>
      <w:r>
        <w:rPr>
          <w:rFonts w:ascii="宋体" w:hAnsi="宋体" w:eastAsia="宋体" w:cs="宋体"/>
          <w:spacing w:val="-2"/>
          <w:sz w:val="21"/>
          <w:szCs w:val="21"/>
        </w:rPr>
        <w:t>□同一工程相邻分段发包或分期施工的</w:t>
      </w:r>
      <w:r>
        <w:rPr>
          <w:rFonts w:ascii="宋体" w:hAnsi="宋体" w:eastAsia="宋体" w:cs="宋体"/>
          <w:spacing w:val="-54"/>
          <w:sz w:val="21"/>
          <w:szCs w:val="21"/>
        </w:rPr>
        <w:t xml:space="preserve"> </w:t>
      </w:r>
      <w:r>
        <w:rPr>
          <w:rFonts w:ascii="宋体" w:hAnsi="宋体" w:eastAsia="宋体" w:cs="宋体"/>
          <w:spacing w:val="-2"/>
          <w:sz w:val="21"/>
          <w:szCs w:val="21"/>
        </w:rPr>
        <w:t>;</w:t>
      </w:r>
    </w:p>
    <w:p w14:paraId="39688BFD">
      <w:pPr>
        <w:spacing w:before="187" w:line="221" w:lineRule="auto"/>
        <w:ind w:left="975"/>
        <w:rPr>
          <w:rFonts w:ascii="宋体" w:hAnsi="宋体" w:eastAsia="宋体" w:cs="宋体"/>
          <w:sz w:val="21"/>
          <w:szCs w:val="21"/>
        </w:rPr>
      </w:pPr>
      <w:r>
        <w:rPr>
          <w:rFonts w:ascii="宋体" w:hAnsi="宋体" w:eastAsia="宋体" w:cs="宋体"/>
          <w:spacing w:val="-5"/>
          <w:sz w:val="21"/>
          <w:szCs w:val="21"/>
        </w:rPr>
        <w:t>□合同约定的工程验收合格的；</w:t>
      </w:r>
    </w:p>
    <w:p w14:paraId="13184DA9">
      <w:pPr>
        <w:spacing w:before="188" w:line="221" w:lineRule="auto"/>
        <w:ind w:left="975"/>
        <w:rPr>
          <w:rFonts w:ascii="宋体" w:hAnsi="宋体" w:eastAsia="宋体" w:cs="宋体"/>
          <w:sz w:val="21"/>
          <w:szCs w:val="21"/>
        </w:rPr>
      </w:pPr>
      <w:r>
        <w:rPr>
          <w:rFonts w:ascii="宋体" w:hAnsi="宋体" w:eastAsia="宋体" w:cs="宋体"/>
          <w:spacing w:val="-4"/>
          <w:sz w:val="21"/>
          <w:szCs w:val="21"/>
        </w:rPr>
        <w:t>□因非承包方原因致使工程项目停工超过</w:t>
      </w:r>
      <w:r>
        <w:rPr>
          <w:rFonts w:ascii="宋体" w:hAnsi="宋体" w:eastAsia="宋体" w:cs="宋体"/>
          <w:spacing w:val="-28"/>
          <w:sz w:val="21"/>
          <w:szCs w:val="21"/>
        </w:rPr>
        <w:t xml:space="preserve"> </w:t>
      </w:r>
      <w:r>
        <w:rPr>
          <w:rFonts w:ascii="宋体" w:hAnsi="宋体" w:eastAsia="宋体" w:cs="宋体"/>
          <w:spacing w:val="-4"/>
          <w:sz w:val="21"/>
          <w:szCs w:val="21"/>
        </w:rPr>
        <w:t>120</w:t>
      </w:r>
      <w:r>
        <w:rPr>
          <w:rFonts w:ascii="宋体" w:hAnsi="宋体" w:eastAsia="宋体" w:cs="宋体"/>
          <w:spacing w:val="-41"/>
          <w:sz w:val="21"/>
          <w:szCs w:val="21"/>
        </w:rPr>
        <w:t xml:space="preserve"> </w:t>
      </w:r>
      <w:r>
        <w:rPr>
          <w:rFonts w:ascii="宋体" w:hAnsi="宋体" w:eastAsia="宋体" w:cs="宋体"/>
          <w:spacing w:val="-4"/>
          <w:sz w:val="21"/>
          <w:szCs w:val="21"/>
        </w:rPr>
        <w:t>天</w:t>
      </w:r>
      <w:r>
        <w:rPr>
          <w:rFonts w:ascii="宋体" w:hAnsi="宋体" w:eastAsia="宋体" w:cs="宋体"/>
          <w:spacing w:val="-5"/>
          <w:sz w:val="21"/>
          <w:szCs w:val="21"/>
        </w:rPr>
        <w:t>（含</w:t>
      </w:r>
      <w:r>
        <w:rPr>
          <w:rFonts w:ascii="宋体" w:hAnsi="宋体" w:eastAsia="宋体" w:cs="宋体"/>
          <w:spacing w:val="-11"/>
          <w:sz w:val="21"/>
          <w:szCs w:val="21"/>
        </w:rPr>
        <w:t>），</w:t>
      </w:r>
      <w:r>
        <w:rPr>
          <w:rFonts w:ascii="宋体" w:hAnsi="宋体" w:eastAsia="宋体" w:cs="宋体"/>
          <w:spacing w:val="-5"/>
          <w:sz w:val="21"/>
          <w:szCs w:val="21"/>
        </w:rPr>
        <w:t>经建设单位同意的。</w:t>
      </w:r>
    </w:p>
    <w:p w14:paraId="51F405B4">
      <w:pPr>
        <w:spacing w:before="190" w:line="304" w:lineRule="auto"/>
        <w:ind w:left="8" w:right="11" w:firstLine="547"/>
        <w:rPr>
          <w:rFonts w:ascii="宋体" w:hAnsi="宋体" w:eastAsia="宋体" w:cs="宋体"/>
          <w:sz w:val="21"/>
          <w:szCs w:val="21"/>
        </w:rPr>
      </w:pPr>
      <w:r>
        <w:rPr>
          <w:rFonts w:ascii="宋体" w:hAnsi="宋体" w:eastAsia="宋体" w:cs="宋体"/>
          <w:spacing w:val="4"/>
          <w:sz w:val="21"/>
          <w:szCs w:val="21"/>
        </w:rPr>
        <w:t>□  拟派项目经理担任其他施工项目负责人期间因下列原因进行</w:t>
      </w:r>
      <w:r>
        <w:rPr>
          <w:rFonts w:ascii="宋体" w:hAnsi="宋体" w:eastAsia="宋体" w:cs="宋体"/>
          <w:spacing w:val="3"/>
          <w:sz w:val="21"/>
          <w:szCs w:val="21"/>
        </w:rPr>
        <w:t>了更换，并办理书面交接</w:t>
      </w:r>
      <w:r>
        <w:rPr>
          <w:rFonts w:ascii="宋体" w:hAnsi="宋体" w:eastAsia="宋体" w:cs="宋体"/>
          <w:spacing w:val="-12"/>
          <w:sz w:val="21"/>
          <w:szCs w:val="21"/>
        </w:rPr>
        <w:t>手续：</w:t>
      </w:r>
    </w:p>
    <w:p w14:paraId="38A77BE0">
      <w:pPr>
        <w:spacing w:before="187" w:line="221" w:lineRule="auto"/>
        <w:ind w:left="975"/>
        <w:rPr>
          <w:rFonts w:ascii="宋体" w:hAnsi="宋体" w:eastAsia="宋体" w:cs="宋体"/>
          <w:sz w:val="21"/>
          <w:szCs w:val="21"/>
        </w:rPr>
      </w:pPr>
      <w:r>
        <w:rPr>
          <w:rFonts w:ascii="宋体" w:hAnsi="宋体" w:eastAsia="宋体" w:cs="宋体"/>
          <w:spacing w:val="-1"/>
          <w:sz w:val="21"/>
          <w:szCs w:val="21"/>
        </w:rPr>
        <w:t>□发包方与注册建造师受聘企业已解除承包合</w:t>
      </w:r>
      <w:r>
        <w:rPr>
          <w:rFonts w:ascii="宋体" w:hAnsi="宋体" w:eastAsia="宋体" w:cs="宋体"/>
          <w:spacing w:val="-2"/>
          <w:sz w:val="21"/>
          <w:szCs w:val="21"/>
        </w:rPr>
        <w:t>同的；</w:t>
      </w:r>
    </w:p>
    <w:p w14:paraId="7BE358BD">
      <w:pPr>
        <w:spacing w:before="190" w:line="221" w:lineRule="auto"/>
        <w:ind w:left="975"/>
        <w:rPr>
          <w:rFonts w:ascii="宋体" w:hAnsi="宋体" w:eastAsia="宋体" w:cs="宋体"/>
          <w:sz w:val="21"/>
          <w:szCs w:val="21"/>
        </w:rPr>
      </w:pPr>
      <w:r>
        <w:rPr>
          <w:rFonts w:ascii="宋体" w:hAnsi="宋体" w:eastAsia="宋体" w:cs="宋体"/>
          <w:spacing w:val="-2"/>
          <w:sz w:val="21"/>
          <w:szCs w:val="21"/>
        </w:rPr>
        <w:t>□发包方同意更换项目负责人的；</w:t>
      </w:r>
    </w:p>
    <w:p w14:paraId="1816F157">
      <w:pPr>
        <w:spacing w:before="188" w:line="221" w:lineRule="auto"/>
        <w:ind w:left="975"/>
        <w:rPr>
          <w:rFonts w:ascii="宋体" w:hAnsi="宋体" w:eastAsia="宋体" w:cs="宋体"/>
          <w:sz w:val="21"/>
          <w:szCs w:val="21"/>
        </w:rPr>
      </w:pPr>
      <w:r>
        <w:rPr>
          <w:rFonts w:ascii="宋体" w:hAnsi="宋体" w:eastAsia="宋体" w:cs="宋体"/>
          <w:spacing w:val="-2"/>
          <w:sz w:val="21"/>
          <w:szCs w:val="21"/>
        </w:rPr>
        <w:t>□因不可抗力等特殊情况必须更换项目负责人的。</w:t>
      </w:r>
    </w:p>
    <w:p w14:paraId="5A80A316">
      <w:pPr>
        <w:spacing w:before="188" w:line="239" w:lineRule="auto"/>
        <w:ind w:left="555"/>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5"/>
          <w:sz w:val="21"/>
          <w:szCs w:val="21"/>
        </w:rPr>
        <w:t>。</w:t>
      </w:r>
    </w:p>
    <w:p w14:paraId="2C930FB9">
      <w:pPr>
        <w:spacing w:before="170" w:line="221" w:lineRule="auto"/>
        <w:ind w:left="429"/>
        <w:rPr>
          <w:rFonts w:ascii="宋体" w:hAnsi="宋体" w:eastAsia="宋体" w:cs="宋体"/>
          <w:sz w:val="21"/>
          <w:szCs w:val="21"/>
        </w:rPr>
      </w:pPr>
      <w:r>
        <w:rPr>
          <w:rFonts w:ascii="宋体" w:hAnsi="宋体" w:eastAsia="宋体" w:cs="宋体"/>
          <w:sz w:val="21"/>
          <w:szCs w:val="21"/>
        </w:rPr>
        <w:t>我方保证上述信息的真实性和准确性，并承担相应的</w:t>
      </w:r>
      <w:r>
        <w:rPr>
          <w:rFonts w:ascii="宋体" w:hAnsi="宋体" w:eastAsia="宋体" w:cs="宋体"/>
          <w:spacing w:val="-1"/>
          <w:sz w:val="21"/>
          <w:szCs w:val="21"/>
        </w:rPr>
        <w:t>法律责任。</w:t>
      </w:r>
    </w:p>
    <w:p w14:paraId="211814EF">
      <w:pPr>
        <w:spacing w:before="188" w:line="221" w:lineRule="auto"/>
        <w:ind w:left="428"/>
        <w:rPr>
          <w:rFonts w:ascii="宋体" w:hAnsi="宋体" w:eastAsia="宋体" w:cs="宋体"/>
          <w:sz w:val="21"/>
          <w:szCs w:val="21"/>
        </w:rPr>
      </w:pPr>
      <w:r>
        <w:rPr>
          <w:rFonts w:ascii="宋体" w:hAnsi="宋体" w:eastAsia="宋体" w:cs="宋体"/>
          <w:spacing w:val="-2"/>
          <w:sz w:val="21"/>
          <w:szCs w:val="21"/>
        </w:rPr>
        <w:t>特此承诺</w:t>
      </w:r>
    </w:p>
    <w:p w14:paraId="6EE0DD9E">
      <w:pPr>
        <w:pStyle w:val="5"/>
        <w:spacing w:line="279" w:lineRule="auto"/>
      </w:pPr>
    </w:p>
    <w:p w14:paraId="7C7BCA86">
      <w:pPr>
        <w:pStyle w:val="5"/>
        <w:spacing w:line="279" w:lineRule="auto"/>
      </w:pPr>
    </w:p>
    <w:p w14:paraId="16077D46">
      <w:pPr>
        <w:spacing w:before="68" w:line="220" w:lineRule="auto"/>
        <w:ind w:right="9"/>
        <w:jc w:val="right"/>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z w:val="21"/>
          <w:szCs w:val="21"/>
        </w:rPr>
        <w:t>：</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rPr>
        <w:t>（</w:t>
      </w:r>
      <w:r>
        <w:rPr>
          <w:rFonts w:ascii="宋体" w:hAnsi="宋体" w:eastAsia="宋体" w:cs="宋体"/>
          <w:spacing w:val="-2"/>
          <w:sz w:val="21"/>
          <w:szCs w:val="21"/>
        </w:rPr>
        <w:t>盖单位章）</w:t>
      </w:r>
    </w:p>
    <w:p w14:paraId="7D8DBF0D">
      <w:pPr>
        <w:spacing w:before="189" w:line="220" w:lineRule="auto"/>
        <w:ind w:right="1"/>
        <w:jc w:val="right"/>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10"/>
          <w:sz w:val="21"/>
          <w:szCs w:val="21"/>
        </w:rPr>
        <w:t>：</w:t>
      </w:r>
      <w:r>
        <w:rPr>
          <w:rFonts w:ascii="宋体" w:hAnsi="宋体" w:eastAsia="宋体" w:cs="宋体"/>
          <w:sz w:val="21"/>
          <w:szCs w:val="21"/>
          <w:u w:val="single" w:color="auto"/>
        </w:rPr>
        <w:t xml:space="preserve">                             </w:t>
      </w:r>
      <w:r>
        <w:rPr>
          <w:rFonts w:ascii="宋体" w:hAnsi="宋体" w:eastAsia="宋体" w:cs="宋体"/>
          <w:spacing w:val="-10"/>
          <w:sz w:val="21"/>
          <w:szCs w:val="21"/>
        </w:rPr>
        <w:t>（</w:t>
      </w:r>
      <w:r>
        <w:rPr>
          <w:rFonts w:ascii="宋体" w:hAnsi="宋体" w:eastAsia="宋体" w:cs="宋体"/>
          <w:spacing w:val="1"/>
          <w:sz w:val="21"/>
          <w:szCs w:val="21"/>
        </w:rPr>
        <w:t>签章）</w:t>
      </w:r>
    </w:p>
    <w:p w14:paraId="542E6244">
      <w:pPr>
        <w:tabs>
          <w:tab w:val="left" w:pos="6592"/>
        </w:tabs>
        <w:spacing w:before="47" w:line="221" w:lineRule="auto"/>
        <w:ind w:left="554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4"/>
          <w:sz w:val="21"/>
          <w:szCs w:val="21"/>
        </w:rPr>
        <w:t xml:space="preserve"> </w:t>
      </w:r>
      <w:r>
        <w:rPr>
          <w:rFonts w:ascii="宋体" w:hAnsi="宋体" w:eastAsia="宋体" w:cs="宋体"/>
          <w:spacing w:val="-22"/>
          <w:sz w:val="21"/>
          <w:szCs w:val="21"/>
        </w:rPr>
        <w:t>年</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2"/>
          <w:sz w:val="21"/>
          <w:szCs w:val="21"/>
        </w:rPr>
        <w:t>月</w:t>
      </w:r>
      <w:r>
        <w:rPr>
          <w:rFonts w:ascii="宋体" w:hAnsi="宋体" w:eastAsia="宋体" w:cs="宋体"/>
          <w:spacing w:val="14"/>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2"/>
          <w:sz w:val="21"/>
          <w:szCs w:val="21"/>
        </w:rPr>
        <w:t>日</w:t>
      </w:r>
    </w:p>
    <w:p w14:paraId="1B861EC4">
      <w:pPr>
        <w:spacing w:line="221" w:lineRule="auto"/>
        <w:rPr>
          <w:rFonts w:ascii="宋体" w:hAnsi="宋体" w:eastAsia="宋体" w:cs="宋体"/>
          <w:sz w:val="21"/>
          <w:szCs w:val="21"/>
        </w:rPr>
        <w:sectPr>
          <w:footerReference r:id="rId202" w:type="default"/>
          <w:pgSz w:w="11905" w:h="16843"/>
          <w:pgMar w:top="969" w:right="1355" w:bottom="1026" w:left="1480" w:header="0" w:footer="754" w:gutter="0"/>
          <w:cols w:space="0" w:num="1"/>
          <w:rtlGutter w:val="0"/>
          <w:docGrid w:linePitch="0" w:charSpace="0"/>
        </w:sectPr>
      </w:pPr>
    </w:p>
    <w:p w14:paraId="191EB8E5">
      <w:pPr>
        <w:pStyle w:val="5"/>
        <w:spacing w:line="256" w:lineRule="auto"/>
      </w:pPr>
    </w:p>
    <w:p w14:paraId="3665D2C3">
      <w:pPr>
        <w:pStyle w:val="5"/>
        <w:spacing w:line="256" w:lineRule="auto"/>
      </w:pPr>
    </w:p>
    <w:p w14:paraId="72CFE822">
      <w:pPr>
        <w:pStyle w:val="5"/>
        <w:spacing w:line="256" w:lineRule="auto"/>
      </w:pPr>
    </w:p>
    <w:p w14:paraId="2130E503">
      <w:pPr>
        <w:pStyle w:val="5"/>
        <w:spacing w:line="256" w:lineRule="auto"/>
      </w:pPr>
    </w:p>
    <w:p w14:paraId="4417FC00">
      <w:pPr>
        <w:pStyle w:val="5"/>
        <w:spacing w:line="256" w:lineRule="auto"/>
      </w:pPr>
    </w:p>
    <w:p w14:paraId="46AAA307">
      <w:pPr>
        <w:spacing w:before="91" w:line="219" w:lineRule="auto"/>
        <w:ind w:left="2240"/>
        <w:outlineLvl w:val="2"/>
        <w:rPr>
          <w:rFonts w:ascii="黑体" w:hAnsi="黑体" w:eastAsia="黑体" w:cs="黑体"/>
          <w:sz w:val="28"/>
          <w:szCs w:val="28"/>
        </w:rPr>
      </w:pPr>
      <w:bookmarkStart w:id="1376" w:name="bookmark447"/>
      <w:bookmarkEnd w:id="1376"/>
      <w:bookmarkStart w:id="1377" w:name="bookmark668"/>
      <w:bookmarkEnd w:id="1377"/>
      <w:r>
        <w:rPr>
          <w:rFonts w:ascii="黑体" w:hAnsi="黑体" w:eastAsia="黑体" w:cs="黑体"/>
          <w:spacing w:val="-2"/>
          <w:sz w:val="28"/>
          <w:szCs w:val="28"/>
        </w:rPr>
        <w:t>（四）其他主要项目管理人员简历表</w:t>
      </w:r>
    </w:p>
    <w:p w14:paraId="64677EEA">
      <w:pPr>
        <w:spacing w:before="20"/>
      </w:pPr>
    </w:p>
    <w:tbl>
      <w:tblPr>
        <w:tblStyle w:val="1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2865"/>
        <w:gridCol w:w="1795"/>
        <w:gridCol w:w="2869"/>
      </w:tblGrid>
      <w:tr w14:paraId="2337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69" w:type="dxa"/>
            <w:vAlign w:val="top"/>
          </w:tcPr>
          <w:p w14:paraId="38CBCBCC">
            <w:pPr>
              <w:spacing w:line="276" w:lineRule="auto"/>
              <w:rPr>
                <w:rFonts w:ascii="Arial"/>
                <w:sz w:val="21"/>
              </w:rPr>
            </w:pPr>
          </w:p>
          <w:p w14:paraId="7C455847">
            <w:pPr>
              <w:pStyle w:val="11"/>
              <w:spacing w:before="69" w:line="221" w:lineRule="auto"/>
              <w:ind w:left="139"/>
            </w:pPr>
            <w:r>
              <w:rPr>
                <w:spacing w:val="-7"/>
              </w:rPr>
              <w:t>岗位名称</w:t>
            </w:r>
          </w:p>
        </w:tc>
        <w:tc>
          <w:tcPr>
            <w:tcW w:w="7529" w:type="dxa"/>
            <w:gridSpan w:val="3"/>
            <w:vAlign w:val="top"/>
          </w:tcPr>
          <w:p w14:paraId="1BE0A187">
            <w:pPr>
              <w:rPr>
                <w:rFonts w:ascii="Arial"/>
                <w:sz w:val="21"/>
              </w:rPr>
            </w:pPr>
          </w:p>
        </w:tc>
      </w:tr>
      <w:tr w14:paraId="5D86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5D49D258">
            <w:pPr>
              <w:pStyle w:val="11"/>
              <w:spacing w:before="223" w:line="221" w:lineRule="auto"/>
              <w:ind w:left="116"/>
            </w:pPr>
            <w:r>
              <w:rPr>
                <w:spacing w:val="-4"/>
              </w:rPr>
              <w:t>姓</w:t>
            </w:r>
            <w:r>
              <w:rPr>
                <w:spacing w:val="2"/>
              </w:rPr>
              <w:t xml:space="preserve">    </w:t>
            </w:r>
            <w:r>
              <w:rPr>
                <w:spacing w:val="-4"/>
              </w:rPr>
              <w:t>名</w:t>
            </w:r>
          </w:p>
        </w:tc>
        <w:tc>
          <w:tcPr>
            <w:tcW w:w="2865" w:type="dxa"/>
            <w:vAlign w:val="top"/>
          </w:tcPr>
          <w:p w14:paraId="2C5A9B7A">
            <w:pPr>
              <w:rPr>
                <w:rFonts w:ascii="Arial"/>
                <w:sz w:val="21"/>
              </w:rPr>
            </w:pPr>
          </w:p>
        </w:tc>
        <w:tc>
          <w:tcPr>
            <w:tcW w:w="1795" w:type="dxa"/>
            <w:vAlign w:val="top"/>
          </w:tcPr>
          <w:p w14:paraId="29AD89F6">
            <w:pPr>
              <w:pStyle w:val="11"/>
              <w:spacing w:before="223" w:line="221" w:lineRule="auto"/>
              <w:ind w:left="117"/>
            </w:pPr>
            <w:r>
              <w:rPr>
                <w:spacing w:val="-4"/>
              </w:rPr>
              <w:t>年</w:t>
            </w:r>
            <w:r>
              <w:rPr>
                <w:spacing w:val="1"/>
              </w:rPr>
              <w:t xml:space="preserve">    </w:t>
            </w:r>
            <w:r>
              <w:rPr>
                <w:spacing w:val="-4"/>
              </w:rPr>
              <w:t>龄</w:t>
            </w:r>
          </w:p>
        </w:tc>
        <w:tc>
          <w:tcPr>
            <w:tcW w:w="2869" w:type="dxa"/>
            <w:vAlign w:val="top"/>
          </w:tcPr>
          <w:p w14:paraId="324C47E9">
            <w:pPr>
              <w:rPr>
                <w:rFonts w:ascii="Arial"/>
                <w:sz w:val="21"/>
              </w:rPr>
            </w:pPr>
          </w:p>
        </w:tc>
      </w:tr>
      <w:tr w14:paraId="71674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4DA0FBF5">
            <w:pPr>
              <w:pStyle w:val="11"/>
              <w:spacing w:before="225" w:line="221" w:lineRule="auto"/>
              <w:ind w:left="118"/>
            </w:pPr>
            <w:r>
              <w:rPr>
                <w:spacing w:val="-5"/>
              </w:rPr>
              <w:t>性</w:t>
            </w:r>
            <w:r>
              <w:rPr>
                <w:spacing w:val="2"/>
              </w:rPr>
              <w:t xml:space="preserve">    </w:t>
            </w:r>
            <w:r>
              <w:rPr>
                <w:spacing w:val="-5"/>
              </w:rPr>
              <w:t>别</w:t>
            </w:r>
          </w:p>
        </w:tc>
        <w:tc>
          <w:tcPr>
            <w:tcW w:w="2865" w:type="dxa"/>
            <w:vAlign w:val="top"/>
          </w:tcPr>
          <w:p w14:paraId="167EFA9A">
            <w:pPr>
              <w:rPr>
                <w:rFonts w:ascii="Arial"/>
                <w:sz w:val="21"/>
              </w:rPr>
            </w:pPr>
          </w:p>
        </w:tc>
        <w:tc>
          <w:tcPr>
            <w:tcW w:w="1795" w:type="dxa"/>
            <w:vAlign w:val="top"/>
          </w:tcPr>
          <w:p w14:paraId="6AFD0748">
            <w:pPr>
              <w:pStyle w:val="11"/>
              <w:spacing w:before="224" w:line="221" w:lineRule="auto"/>
              <w:ind w:left="120"/>
            </w:pPr>
            <w:r>
              <w:rPr>
                <w:spacing w:val="-3"/>
              </w:rPr>
              <w:t>毕业学校</w:t>
            </w:r>
          </w:p>
        </w:tc>
        <w:tc>
          <w:tcPr>
            <w:tcW w:w="2869" w:type="dxa"/>
            <w:vAlign w:val="top"/>
          </w:tcPr>
          <w:p w14:paraId="5953160B">
            <w:pPr>
              <w:rPr>
                <w:rFonts w:ascii="Arial"/>
                <w:sz w:val="21"/>
              </w:rPr>
            </w:pPr>
          </w:p>
        </w:tc>
      </w:tr>
      <w:tr w14:paraId="7C3F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69" w:type="dxa"/>
            <w:vAlign w:val="top"/>
          </w:tcPr>
          <w:p w14:paraId="131EA001">
            <w:pPr>
              <w:pStyle w:val="11"/>
              <w:spacing w:before="226" w:line="221" w:lineRule="auto"/>
              <w:ind w:left="120"/>
            </w:pPr>
            <w:r>
              <w:rPr>
                <w:spacing w:val="-2"/>
              </w:rPr>
              <w:t>学历和专业</w:t>
            </w:r>
          </w:p>
        </w:tc>
        <w:tc>
          <w:tcPr>
            <w:tcW w:w="2865" w:type="dxa"/>
            <w:vAlign w:val="top"/>
          </w:tcPr>
          <w:p w14:paraId="6FB816F9">
            <w:pPr>
              <w:rPr>
                <w:rFonts w:ascii="Arial"/>
                <w:sz w:val="21"/>
              </w:rPr>
            </w:pPr>
          </w:p>
        </w:tc>
        <w:tc>
          <w:tcPr>
            <w:tcW w:w="1795" w:type="dxa"/>
            <w:vAlign w:val="top"/>
          </w:tcPr>
          <w:p w14:paraId="4F992178">
            <w:pPr>
              <w:pStyle w:val="11"/>
              <w:spacing w:before="225" w:line="221" w:lineRule="auto"/>
              <w:ind w:left="120"/>
            </w:pPr>
            <w:r>
              <w:rPr>
                <w:spacing w:val="-3"/>
              </w:rPr>
              <w:t>毕业时间</w:t>
            </w:r>
          </w:p>
        </w:tc>
        <w:tc>
          <w:tcPr>
            <w:tcW w:w="2869" w:type="dxa"/>
            <w:vAlign w:val="top"/>
          </w:tcPr>
          <w:p w14:paraId="331FF57C">
            <w:pPr>
              <w:rPr>
                <w:rFonts w:ascii="Arial"/>
                <w:sz w:val="21"/>
              </w:rPr>
            </w:pPr>
          </w:p>
        </w:tc>
      </w:tr>
      <w:tr w14:paraId="4F3E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69" w:type="dxa"/>
            <w:vAlign w:val="top"/>
          </w:tcPr>
          <w:p w14:paraId="16E00596">
            <w:pPr>
              <w:pStyle w:val="11"/>
              <w:spacing w:before="90"/>
              <w:ind w:left="125" w:right="104" w:hanging="9"/>
            </w:pPr>
            <w:r>
              <w:rPr>
                <w:spacing w:val="-12"/>
              </w:rPr>
              <w:t>执</w:t>
            </w:r>
            <w:r>
              <w:rPr>
                <w:spacing w:val="-46"/>
              </w:rPr>
              <w:t xml:space="preserve"> </w:t>
            </w:r>
            <w:r>
              <w:rPr>
                <w:spacing w:val="-12"/>
              </w:rPr>
              <w:t>业</w:t>
            </w:r>
            <w:r>
              <w:rPr>
                <w:spacing w:val="-47"/>
              </w:rPr>
              <w:t xml:space="preserve"> </w:t>
            </w:r>
            <w:r>
              <w:rPr>
                <w:spacing w:val="-12"/>
              </w:rPr>
              <w:t>/</w:t>
            </w:r>
            <w:r>
              <w:rPr>
                <w:spacing w:val="-23"/>
              </w:rPr>
              <w:t xml:space="preserve"> </w:t>
            </w:r>
            <w:r>
              <w:rPr>
                <w:spacing w:val="-12"/>
              </w:rPr>
              <w:t>岗</w:t>
            </w:r>
            <w:r>
              <w:rPr>
                <w:spacing w:val="-47"/>
              </w:rPr>
              <w:t xml:space="preserve"> </w:t>
            </w:r>
            <w:r>
              <w:rPr>
                <w:spacing w:val="-12"/>
              </w:rPr>
              <w:t>位</w:t>
            </w:r>
            <w:r>
              <w:rPr>
                <w:spacing w:val="-4"/>
              </w:rPr>
              <w:t>资格</w:t>
            </w:r>
          </w:p>
        </w:tc>
        <w:tc>
          <w:tcPr>
            <w:tcW w:w="2865" w:type="dxa"/>
            <w:vAlign w:val="top"/>
          </w:tcPr>
          <w:p w14:paraId="39BAF7EA">
            <w:pPr>
              <w:rPr>
                <w:rFonts w:ascii="Arial"/>
                <w:sz w:val="21"/>
              </w:rPr>
            </w:pPr>
          </w:p>
        </w:tc>
        <w:tc>
          <w:tcPr>
            <w:tcW w:w="1795" w:type="dxa"/>
            <w:vAlign w:val="top"/>
          </w:tcPr>
          <w:p w14:paraId="61EFDD36">
            <w:pPr>
              <w:pStyle w:val="11"/>
              <w:spacing w:before="224" w:line="221" w:lineRule="auto"/>
              <w:ind w:left="117"/>
            </w:pPr>
            <w:r>
              <w:rPr>
                <w:spacing w:val="-2"/>
              </w:rPr>
              <w:t>专业职称</w:t>
            </w:r>
          </w:p>
        </w:tc>
        <w:tc>
          <w:tcPr>
            <w:tcW w:w="2869" w:type="dxa"/>
            <w:vAlign w:val="top"/>
          </w:tcPr>
          <w:p w14:paraId="2A1E87F4">
            <w:pPr>
              <w:rPr>
                <w:rFonts w:ascii="Arial"/>
                <w:sz w:val="21"/>
              </w:rPr>
            </w:pPr>
          </w:p>
        </w:tc>
      </w:tr>
      <w:tr w14:paraId="3ACE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9" w:type="dxa"/>
            <w:vAlign w:val="top"/>
          </w:tcPr>
          <w:p w14:paraId="4CCBCA50">
            <w:pPr>
              <w:pStyle w:val="11"/>
              <w:spacing w:before="89"/>
              <w:ind w:left="116" w:right="308"/>
            </w:pPr>
            <w:r>
              <w:rPr>
                <w:spacing w:val="-2"/>
              </w:rPr>
              <w:t>执业/岗位证书编号</w:t>
            </w:r>
          </w:p>
        </w:tc>
        <w:tc>
          <w:tcPr>
            <w:tcW w:w="2865" w:type="dxa"/>
            <w:vAlign w:val="top"/>
          </w:tcPr>
          <w:p w14:paraId="10A6AA73">
            <w:pPr>
              <w:rPr>
                <w:rFonts w:ascii="Arial"/>
                <w:sz w:val="21"/>
              </w:rPr>
            </w:pPr>
          </w:p>
        </w:tc>
        <w:tc>
          <w:tcPr>
            <w:tcW w:w="1795" w:type="dxa"/>
            <w:vAlign w:val="top"/>
          </w:tcPr>
          <w:p w14:paraId="1FF48567">
            <w:pPr>
              <w:pStyle w:val="11"/>
              <w:spacing w:before="225" w:line="221" w:lineRule="auto"/>
              <w:ind w:left="117"/>
            </w:pPr>
            <w:r>
              <w:rPr>
                <w:spacing w:val="-1"/>
              </w:rPr>
              <w:t>专业工作年限</w:t>
            </w:r>
          </w:p>
        </w:tc>
        <w:tc>
          <w:tcPr>
            <w:tcW w:w="2869" w:type="dxa"/>
            <w:vAlign w:val="top"/>
          </w:tcPr>
          <w:p w14:paraId="1EB0C250">
            <w:pPr>
              <w:rPr>
                <w:rFonts w:ascii="Arial"/>
                <w:sz w:val="21"/>
              </w:rPr>
            </w:pPr>
          </w:p>
        </w:tc>
      </w:tr>
      <w:tr w14:paraId="5403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1369" w:type="dxa"/>
            <w:textDirection w:val="tbRlV"/>
            <w:vAlign w:val="top"/>
          </w:tcPr>
          <w:p w14:paraId="63B0BBE0">
            <w:pPr>
              <w:spacing w:line="246" w:lineRule="auto"/>
              <w:rPr>
                <w:rFonts w:ascii="Arial"/>
                <w:sz w:val="21"/>
              </w:rPr>
            </w:pPr>
          </w:p>
          <w:p w14:paraId="214DD204">
            <w:pPr>
              <w:spacing w:line="247" w:lineRule="auto"/>
              <w:rPr>
                <w:rFonts w:ascii="Arial"/>
                <w:sz w:val="21"/>
              </w:rPr>
            </w:pPr>
          </w:p>
          <w:p w14:paraId="013E68F8">
            <w:pPr>
              <w:spacing w:line="247" w:lineRule="auto"/>
              <w:rPr>
                <w:rFonts w:ascii="Arial"/>
                <w:sz w:val="21"/>
              </w:rPr>
            </w:pPr>
          </w:p>
          <w:p w14:paraId="307D4669">
            <w:pPr>
              <w:pStyle w:val="11"/>
              <w:spacing w:before="70" w:line="210" w:lineRule="auto"/>
              <w:ind w:left="847"/>
            </w:pPr>
            <w:r>
              <w:rPr>
                <w:spacing w:val="1"/>
              </w:rPr>
              <w:t>主</w:t>
            </w:r>
            <w:r>
              <w:rPr>
                <w:spacing w:val="-41"/>
              </w:rPr>
              <w:t xml:space="preserve"> </w:t>
            </w:r>
            <w:r>
              <w:rPr>
                <w:spacing w:val="1"/>
              </w:rPr>
              <w:t>要</w:t>
            </w:r>
            <w:r>
              <w:rPr>
                <w:spacing w:val="-45"/>
              </w:rPr>
              <w:t xml:space="preserve"> </w:t>
            </w:r>
            <w:r>
              <w:rPr>
                <w:spacing w:val="1"/>
              </w:rPr>
              <w:t>工</w:t>
            </w:r>
            <w:r>
              <w:rPr>
                <w:spacing w:val="-43"/>
              </w:rPr>
              <w:t xml:space="preserve"> </w:t>
            </w:r>
            <w:r>
              <w:rPr>
                <w:spacing w:val="1"/>
              </w:rPr>
              <w:t>作</w:t>
            </w:r>
            <w:r>
              <w:rPr>
                <w:spacing w:val="-45"/>
              </w:rPr>
              <w:t xml:space="preserve"> </w:t>
            </w:r>
            <w:r>
              <w:rPr>
                <w:spacing w:val="1"/>
              </w:rPr>
              <w:t>业</w:t>
            </w:r>
            <w:r>
              <w:rPr>
                <w:spacing w:val="-42"/>
              </w:rPr>
              <w:t xml:space="preserve"> </w:t>
            </w:r>
            <w:r>
              <w:rPr>
                <w:spacing w:val="1"/>
              </w:rPr>
              <w:t>绩</w:t>
            </w:r>
            <w:r>
              <w:rPr>
                <w:spacing w:val="-45"/>
              </w:rPr>
              <w:t xml:space="preserve"> </w:t>
            </w:r>
            <w:r>
              <w:rPr>
                <w:spacing w:val="1"/>
              </w:rPr>
              <w:t>及</w:t>
            </w:r>
            <w:r>
              <w:rPr>
                <w:spacing w:val="-43"/>
              </w:rPr>
              <w:t xml:space="preserve"> </w:t>
            </w:r>
            <w:r>
              <w:rPr>
                <w:spacing w:val="1"/>
              </w:rPr>
              <w:t>担</w:t>
            </w:r>
            <w:r>
              <w:rPr>
                <w:spacing w:val="-45"/>
              </w:rPr>
              <w:t xml:space="preserve"> </w:t>
            </w:r>
            <w:r>
              <w:rPr>
                <w:spacing w:val="1"/>
              </w:rPr>
              <w:t>任</w:t>
            </w:r>
            <w:r>
              <w:rPr>
                <w:spacing w:val="-42"/>
              </w:rPr>
              <w:t xml:space="preserve"> </w:t>
            </w:r>
            <w:r>
              <w:rPr>
                <w:spacing w:val="1"/>
              </w:rPr>
              <w:t>的</w:t>
            </w:r>
            <w:r>
              <w:rPr>
                <w:spacing w:val="-45"/>
              </w:rPr>
              <w:t xml:space="preserve"> </w:t>
            </w:r>
            <w:r>
              <w:rPr>
                <w:spacing w:val="1"/>
              </w:rPr>
              <w:t>主</w:t>
            </w:r>
            <w:r>
              <w:rPr>
                <w:spacing w:val="-43"/>
              </w:rPr>
              <w:t xml:space="preserve"> </w:t>
            </w:r>
            <w:r>
              <w:rPr>
                <w:spacing w:val="1"/>
              </w:rPr>
              <w:t>要</w:t>
            </w:r>
            <w:r>
              <w:rPr>
                <w:spacing w:val="-45"/>
              </w:rPr>
              <w:t xml:space="preserve"> </w:t>
            </w:r>
            <w:r>
              <w:rPr>
                <w:spacing w:val="1"/>
              </w:rPr>
              <w:t>工</w:t>
            </w:r>
            <w:r>
              <w:rPr>
                <w:spacing w:val="-42"/>
              </w:rPr>
              <w:t xml:space="preserve"> </w:t>
            </w:r>
            <w:r>
              <w:rPr>
                <w:spacing w:val="1"/>
              </w:rPr>
              <w:t>作</w:t>
            </w:r>
          </w:p>
        </w:tc>
        <w:tc>
          <w:tcPr>
            <w:tcW w:w="7529" w:type="dxa"/>
            <w:gridSpan w:val="3"/>
            <w:vAlign w:val="top"/>
          </w:tcPr>
          <w:p w14:paraId="4ACE6B2C">
            <w:pPr>
              <w:rPr>
                <w:rFonts w:ascii="Arial"/>
                <w:sz w:val="21"/>
              </w:rPr>
            </w:pPr>
          </w:p>
        </w:tc>
      </w:tr>
    </w:tbl>
    <w:p w14:paraId="38AE21F4">
      <w:pPr>
        <w:spacing w:before="30"/>
        <w:ind w:left="642" w:hanging="632"/>
        <w:rPr>
          <w:rFonts w:ascii="宋体" w:hAnsi="宋体" w:eastAsia="宋体" w:cs="宋体"/>
          <w:sz w:val="21"/>
          <w:szCs w:val="21"/>
        </w:rPr>
      </w:pPr>
      <w:r>
        <w:rPr>
          <w:rFonts w:ascii="宋体" w:hAnsi="宋体" w:eastAsia="宋体" w:cs="宋体"/>
          <w:spacing w:val="2"/>
          <w:sz w:val="21"/>
          <w:szCs w:val="21"/>
        </w:rPr>
        <w:t>备注：其他主要项目管理人员指项目副经理（如有）、项目技术负责人、施</w:t>
      </w:r>
      <w:r>
        <w:rPr>
          <w:rFonts w:ascii="宋体" w:hAnsi="宋体" w:eastAsia="宋体" w:cs="宋体"/>
          <w:spacing w:val="1"/>
          <w:sz w:val="21"/>
          <w:szCs w:val="21"/>
        </w:rPr>
        <w:t>工管理、质量管理、</w:t>
      </w:r>
      <w:r>
        <w:rPr>
          <w:rFonts w:ascii="宋体" w:hAnsi="宋体" w:eastAsia="宋体" w:cs="宋体"/>
          <w:spacing w:val="2"/>
          <w:sz w:val="21"/>
          <w:szCs w:val="21"/>
        </w:rPr>
        <w:t>安全管理及资格条件要求的其他岗位人员。其中项</w:t>
      </w:r>
      <w:r>
        <w:rPr>
          <w:rFonts w:ascii="宋体" w:hAnsi="宋体" w:eastAsia="宋体" w:cs="宋体"/>
          <w:spacing w:val="1"/>
          <w:sz w:val="21"/>
          <w:szCs w:val="21"/>
        </w:rPr>
        <w:t>目副经理（如有）、项目技术负责人应</w:t>
      </w:r>
      <w:r>
        <w:rPr>
          <w:rFonts w:ascii="宋体" w:hAnsi="宋体" w:eastAsia="宋体" w:cs="宋体"/>
          <w:spacing w:val="-5"/>
          <w:sz w:val="21"/>
          <w:szCs w:val="21"/>
        </w:rPr>
        <w:t>附资格证书（如有）、注册证书（如有）、职称证书、学历证书,</w:t>
      </w:r>
      <w:r>
        <w:rPr>
          <w:rFonts w:ascii="宋体" w:hAnsi="宋体" w:eastAsia="宋体" w:cs="宋体"/>
          <w:spacing w:val="63"/>
          <w:sz w:val="21"/>
          <w:szCs w:val="21"/>
        </w:rPr>
        <w:t xml:space="preserve"> </w:t>
      </w:r>
      <w:r>
        <w:rPr>
          <w:rFonts w:ascii="宋体" w:hAnsi="宋体" w:eastAsia="宋体" w:cs="宋体"/>
          <w:spacing w:val="-5"/>
          <w:sz w:val="21"/>
          <w:szCs w:val="21"/>
        </w:rPr>
        <w:t>主要业绩证明材料；安全</w:t>
      </w:r>
      <w:r>
        <w:rPr>
          <w:rFonts w:ascii="宋体" w:hAnsi="宋体" w:eastAsia="宋体" w:cs="宋体"/>
          <w:spacing w:val="-2"/>
          <w:sz w:val="21"/>
          <w:szCs w:val="21"/>
        </w:rPr>
        <w:t xml:space="preserve">管理人员应附有效的安全生产考核合格证书（C </w:t>
      </w:r>
      <w:r>
        <w:rPr>
          <w:rFonts w:ascii="宋体" w:hAnsi="宋体" w:eastAsia="宋体" w:cs="宋体"/>
          <w:spacing w:val="-3"/>
          <w:sz w:val="21"/>
          <w:szCs w:val="21"/>
        </w:rPr>
        <w:t>证</w:t>
      </w:r>
      <w:r>
        <w:rPr>
          <w:rFonts w:ascii="宋体" w:hAnsi="宋体" w:eastAsia="宋体" w:cs="宋体"/>
          <w:spacing w:val="-22"/>
          <w:sz w:val="21"/>
          <w:szCs w:val="21"/>
        </w:rPr>
        <w:t>）；</w:t>
      </w:r>
      <w:r>
        <w:rPr>
          <w:rFonts w:ascii="宋体" w:hAnsi="宋体" w:eastAsia="宋体" w:cs="宋体"/>
          <w:spacing w:val="-3"/>
          <w:sz w:val="21"/>
          <w:szCs w:val="21"/>
        </w:rPr>
        <w:t>施工管理、质量管理及资格条件要求</w:t>
      </w:r>
      <w:r>
        <w:rPr>
          <w:rFonts w:ascii="宋体" w:hAnsi="宋体" w:eastAsia="宋体" w:cs="宋体"/>
          <w:spacing w:val="-2"/>
          <w:sz w:val="21"/>
          <w:szCs w:val="21"/>
        </w:rPr>
        <w:t>的其他岗位人员应附岗位培训考核合格证书。</w:t>
      </w:r>
    </w:p>
    <w:p w14:paraId="0197C9D7">
      <w:pPr>
        <w:rPr>
          <w:rFonts w:ascii="宋体" w:hAnsi="宋体" w:eastAsia="宋体" w:cs="宋体"/>
          <w:sz w:val="21"/>
          <w:szCs w:val="21"/>
        </w:rPr>
        <w:sectPr>
          <w:footerReference r:id="rId203" w:type="default"/>
          <w:pgSz w:w="11905" w:h="16843"/>
          <w:pgMar w:top="969" w:right="1355" w:bottom="1026" w:left="1480" w:header="0" w:footer="754" w:gutter="0"/>
          <w:cols w:space="0" w:num="1"/>
          <w:rtlGutter w:val="0"/>
          <w:docGrid w:linePitch="0" w:charSpace="0"/>
        </w:sectPr>
      </w:pPr>
    </w:p>
    <w:p w14:paraId="1E1A5904">
      <w:pPr>
        <w:pStyle w:val="5"/>
        <w:spacing w:line="256" w:lineRule="auto"/>
      </w:pPr>
    </w:p>
    <w:p w14:paraId="4ADB1B0B">
      <w:pPr>
        <w:pStyle w:val="5"/>
        <w:spacing w:line="256" w:lineRule="auto"/>
      </w:pPr>
    </w:p>
    <w:p w14:paraId="29F4A445">
      <w:pPr>
        <w:pStyle w:val="5"/>
        <w:spacing w:line="256" w:lineRule="auto"/>
      </w:pPr>
    </w:p>
    <w:p w14:paraId="1FB5A98D">
      <w:pPr>
        <w:pStyle w:val="5"/>
        <w:spacing w:line="256" w:lineRule="auto"/>
      </w:pPr>
    </w:p>
    <w:p w14:paraId="0EC851AE">
      <w:pPr>
        <w:pStyle w:val="5"/>
        <w:spacing w:line="257" w:lineRule="auto"/>
      </w:pPr>
    </w:p>
    <w:p w14:paraId="57631942">
      <w:pPr>
        <w:spacing w:before="91" w:line="219" w:lineRule="auto"/>
        <w:ind w:left="3330"/>
        <w:outlineLvl w:val="1"/>
        <w:rPr>
          <w:rFonts w:ascii="黑体" w:hAnsi="黑体" w:eastAsia="黑体" w:cs="黑体"/>
          <w:sz w:val="28"/>
          <w:szCs w:val="28"/>
        </w:rPr>
      </w:pPr>
      <w:bookmarkStart w:id="1378" w:name="bookmark448"/>
      <w:bookmarkEnd w:id="1378"/>
      <w:bookmarkStart w:id="1379" w:name="bookmark669"/>
      <w:bookmarkEnd w:id="1379"/>
      <w:r>
        <w:rPr>
          <w:rFonts w:ascii="黑体" w:hAnsi="黑体" w:eastAsia="黑体" w:cs="黑体"/>
          <w:spacing w:val="-1"/>
          <w:sz w:val="28"/>
          <w:szCs w:val="28"/>
        </w:rPr>
        <w:t>七、资格审查资料</w:t>
      </w:r>
    </w:p>
    <w:p w14:paraId="7D929250">
      <w:pPr>
        <w:spacing w:before="102" w:line="220" w:lineRule="auto"/>
        <w:ind w:left="3264"/>
        <w:outlineLvl w:val="2"/>
        <w:rPr>
          <w:rFonts w:ascii="黑体" w:hAnsi="黑体" w:eastAsia="黑体" w:cs="黑体"/>
          <w:sz w:val="24"/>
          <w:szCs w:val="24"/>
        </w:rPr>
      </w:pPr>
      <w:bookmarkStart w:id="1380" w:name="bookmark449"/>
      <w:bookmarkEnd w:id="1380"/>
      <w:r>
        <w:rPr>
          <w:rFonts w:ascii="黑体" w:hAnsi="黑体" w:eastAsia="黑体" w:cs="黑体"/>
          <w:spacing w:val="-4"/>
          <w:sz w:val="24"/>
          <w:szCs w:val="24"/>
        </w:rPr>
        <w:t>（一）投标人基本情况</w:t>
      </w:r>
    </w:p>
    <w:p w14:paraId="13FF9033">
      <w:pPr>
        <w:spacing w:before="114" w:line="220" w:lineRule="auto"/>
        <w:ind w:left="3317"/>
        <w:outlineLvl w:val="2"/>
        <w:rPr>
          <w:rFonts w:ascii="黑体" w:hAnsi="黑体" w:eastAsia="黑体" w:cs="黑体"/>
          <w:sz w:val="24"/>
          <w:szCs w:val="24"/>
        </w:rPr>
      </w:pPr>
      <w:bookmarkStart w:id="1381" w:name="bookmark450"/>
      <w:bookmarkEnd w:id="1381"/>
      <w:r>
        <w:rPr>
          <w:rFonts w:ascii="Times New Roman" w:hAnsi="Times New Roman" w:eastAsia="Times New Roman" w:cs="Times New Roman"/>
          <w:spacing w:val="-3"/>
          <w:sz w:val="24"/>
          <w:szCs w:val="24"/>
        </w:rPr>
        <w:t xml:space="preserve">1-1 </w:t>
      </w:r>
      <w:r>
        <w:rPr>
          <w:rFonts w:ascii="黑体" w:hAnsi="黑体" w:eastAsia="黑体" w:cs="黑体"/>
          <w:spacing w:val="-3"/>
          <w:sz w:val="24"/>
          <w:szCs w:val="24"/>
        </w:rPr>
        <w:t>投标人基本情况表</w:t>
      </w:r>
    </w:p>
    <w:tbl>
      <w:tblPr>
        <w:tblStyle w:val="10"/>
        <w:tblW w:w="8718"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8"/>
        <w:gridCol w:w="1379"/>
        <w:gridCol w:w="1111"/>
        <w:gridCol w:w="1245"/>
        <w:gridCol w:w="374"/>
        <w:gridCol w:w="900"/>
        <w:gridCol w:w="1322"/>
      </w:tblGrid>
      <w:tr w14:paraId="0251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89" w:type="dxa"/>
            <w:vAlign w:val="top"/>
          </w:tcPr>
          <w:p w14:paraId="0E340B05">
            <w:pPr>
              <w:pStyle w:val="11"/>
              <w:spacing w:before="181" w:line="221" w:lineRule="auto"/>
              <w:ind w:left="226"/>
            </w:pPr>
            <w:r>
              <w:rPr>
                <w:spacing w:val="-2"/>
              </w:rPr>
              <w:t>投标人名称</w:t>
            </w:r>
          </w:p>
        </w:tc>
        <w:tc>
          <w:tcPr>
            <w:tcW w:w="7229" w:type="dxa"/>
            <w:gridSpan w:val="7"/>
            <w:vAlign w:val="top"/>
          </w:tcPr>
          <w:p w14:paraId="5C0F94D2">
            <w:pPr>
              <w:rPr>
                <w:rFonts w:ascii="Arial"/>
                <w:sz w:val="21"/>
              </w:rPr>
            </w:pPr>
          </w:p>
        </w:tc>
      </w:tr>
      <w:tr w14:paraId="1F75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89" w:type="dxa"/>
            <w:vAlign w:val="top"/>
          </w:tcPr>
          <w:p w14:paraId="62BFB4BD">
            <w:pPr>
              <w:pStyle w:val="11"/>
              <w:spacing w:before="179" w:line="222" w:lineRule="auto"/>
              <w:ind w:left="329"/>
            </w:pPr>
            <w:r>
              <w:rPr>
                <w:spacing w:val="-2"/>
              </w:rPr>
              <w:t>注册地址</w:t>
            </w:r>
          </w:p>
        </w:tc>
        <w:tc>
          <w:tcPr>
            <w:tcW w:w="3388" w:type="dxa"/>
            <w:gridSpan w:val="3"/>
            <w:vAlign w:val="top"/>
          </w:tcPr>
          <w:p w14:paraId="4F5DEB38">
            <w:pPr>
              <w:rPr>
                <w:rFonts w:ascii="Arial"/>
                <w:sz w:val="21"/>
              </w:rPr>
            </w:pPr>
          </w:p>
        </w:tc>
        <w:tc>
          <w:tcPr>
            <w:tcW w:w="1245" w:type="dxa"/>
            <w:vAlign w:val="top"/>
          </w:tcPr>
          <w:p w14:paraId="18CD41EA">
            <w:pPr>
              <w:pStyle w:val="11"/>
              <w:spacing w:before="178" w:line="221" w:lineRule="auto"/>
              <w:ind w:left="223"/>
            </w:pPr>
            <w:r>
              <w:rPr>
                <w:spacing w:val="-6"/>
              </w:rPr>
              <w:t>邮政编码</w:t>
            </w:r>
          </w:p>
        </w:tc>
        <w:tc>
          <w:tcPr>
            <w:tcW w:w="2596" w:type="dxa"/>
            <w:gridSpan w:val="3"/>
            <w:vAlign w:val="top"/>
          </w:tcPr>
          <w:p w14:paraId="255E68C9">
            <w:pPr>
              <w:rPr>
                <w:rFonts w:ascii="Arial"/>
                <w:sz w:val="21"/>
              </w:rPr>
            </w:pPr>
          </w:p>
        </w:tc>
      </w:tr>
      <w:tr w14:paraId="3BE7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14:paraId="01F1DACA">
            <w:pPr>
              <w:spacing w:line="395" w:lineRule="auto"/>
              <w:rPr>
                <w:rFonts w:ascii="Arial"/>
                <w:sz w:val="21"/>
              </w:rPr>
            </w:pPr>
          </w:p>
          <w:p w14:paraId="7A560B89">
            <w:pPr>
              <w:pStyle w:val="11"/>
              <w:spacing w:before="68" w:line="222" w:lineRule="auto"/>
              <w:ind w:left="330"/>
            </w:pPr>
            <w:r>
              <w:rPr>
                <w:spacing w:val="-2"/>
              </w:rPr>
              <w:t>联系方式</w:t>
            </w:r>
          </w:p>
        </w:tc>
        <w:tc>
          <w:tcPr>
            <w:tcW w:w="898" w:type="dxa"/>
            <w:vAlign w:val="top"/>
          </w:tcPr>
          <w:p w14:paraId="64ADAE78">
            <w:pPr>
              <w:pStyle w:val="11"/>
              <w:spacing w:before="176" w:line="223" w:lineRule="auto"/>
              <w:ind w:left="135"/>
            </w:pPr>
            <w:r>
              <w:rPr>
                <w:spacing w:val="-2"/>
              </w:rPr>
              <w:t>联系人</w:t>
            </w:r>
          </w:p>
        </w:tc>
        <w:tc>
          <w:tcPr>
            <w:tcW w:w="2490" w:type="dxa"/>
            <w:gridSpan w:val="2"/>
            <w:vAlign w:val="top"/>
          </w:tcPr>
          <w:p w14:paraId="655E4AB0">
            <w:pPr>
              <w:rPr>
                <w:rFonts w:ascii="Arial"/>
                <w:sz w:val="21"/>
              </w:rPr>
            </w:pPr>
          </w:p>
        </w:tc>
        <w:tc>
          <w:tcPr>
            <w:tcW w:w="1245" w:type="dxa"/>
            <w:vAlign w:val="top"/>
          </w:tcPr>
          <w:p w14:paraId="2CE12B03">
            <w:pPr>
              <w:pStyle w:val="11"/>
              <w:spacing w:before="176" w:line="223" w:lineRule="auto"/>
              <w:ind w:left="338"/>
            </w:pPr>
            <w:r>
              <w:rPr>
                <w:spacing w:val="-16"/>
              </w:rPr>
              <w:t>电</w:t>
            </w:r>
            <w:r>
              <w:rPr>
                <w:spacing w:val="4"/>
              </w:rPr>
              <w:t xml:space="preserve">  </w:t>
            </w:r>
            <w:r>
              <w:rPr>
                <w:spacing w:val="-16"/>
              </w:rPr>
              <w:t>话</w:t>
            </w:r>
          </w:p>
        </w:tc>
        <w:tc>
          <w:tcPr>
            <w:tcW w:w="2596" w:type="dxa"/>
            <w:gridSpan w:val="3"/>
            <w:vAlign w:val="top"/>
          </w:tcPr>
          <w:p w14:paraId="113D0E01">
            <w:pPr>
              <w:rPr>
                <w:rFonts w:ascii="Arial"/>
                <w:sz w:val="21"/>
              </w:rPr>
            </w:pPr>
          </w:p>
        </w:tc>
      </w:tr>
      <w:tr w14:paraId="1CF9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continue"/>
            <w:tcBorders>
              <w:top w:val="nil"/>
            </w:tcBorders>
            <w:vAlign w:val="top"/>
          </w:tcPr>
          <w:p w14:paraId="216FE024">
            <w:pPr>
              <w:rPr>
                <w:rFonts w:ascii="Arial"/>
                <w:sz w:val="21"/>
              </w:rPr>
            </w:pPr>
          </w:p>
        </w:tc>
        <w:tc>
          <w:tcPr>
            <w:tcW w:w="898" w:type="dxa"/>
            <w:vAlign w:val="top"/>
          </w:tcPr>
          <w:p w14:paraId="650C0F1E">
            <w:pPr>
              <w:pStyle w:val="11"/>
              <w:spacing w:before="180" w:line="220" w:lineRule="auto"/>
              <w:ind w:left="132"/>
            </w:pPr>
            <w:r>
              <w:rPr>
                <w:spacing w:val="-3"/>
              </w:rPr>
              <w:t>传</w:t>
            </w:r>
            <w:r>
              <w:rPr>
                <w:spacing w:val="5"/>
              </w:rPr>
              <w:t xml:space="preserve">  </w:t>
            </w:r>
            <w:r>
              <w:rPr>
                <w:spacing w:val="-3"/>
              </w:rPr>
              <w:t>真</w:t>
            </w:r>
          </w:p>
        </w:tc>
        <w:tc>
          <w:tcPr>
            <w:tcW w:w="2490" w:type="dxa"/>
            <w:gridSpan w:val="2"/>
            <w:vAlign w:val="top"/>
          </w:tcPr>
          <w:p w14:paraId="66D36FFA">
            <w:pPr>
              <w:rPr>
                <w:rFonts w:ascii="Arial"/>
                <w:sz w:val="21"/>
              </w:rPr>
            </w:pPr>
          </w:p>
        </w:tc>
        <w:tc>
          <w:tcPr>
            <w:tcW w:w="1245" w:type="dxa"/>
            <w:vAlign w:val="top"/>
          </w:tcPr>
          <w:p w14:paraId="411E2978">
            <w:pPr>
              <w:pStyle w:val="11"/>
              <w:spacing w:before="179" w:line="226" w:lineRule="auto"/>
              <w:ind w:left="330"/>
            </w:pPr>
            <w:r>
              <w:rPr>
                <w:spacing w:val="-12"/>
              </w:rPr>
              <w:t>网</w:t>
            </w:r>
            <w:r>
              <w:rPr>
                <w:spacing w:val="5"/>
              </w:rPr>
              <w:t xml:space="preserve">  </w:t>
            </w:r>
            <w:r>
              <w:rPr>
                <w:spacing w:val="-12"/>
              </w:rPr>
              <w:t>址</w:t>
            </w:r>
          </w:p>
        </w:tc>
        <w:tc>
          <w:tcPr>
            <w:tcW w:w="2596" w:type="dxa"/>
            <w:gridSpan w:val="3"/>
            <w:vAlign w:val="top"/>
          </w:tcPr>
          <w:p w14:paraId="6BF39BDF">
            <w:pPr>
              <w:rPr>
                <w:rFonts w:ascii="Arial"/>
                <w:sz w:val="21"/>
              </w:rPr>
            </w:pPr>
          </w:p>
        </w:tc>
      </w:tr>
      <w:tr w14:paraId="716F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89" w:type="dxa"/>
            <w:vAlign w:val="top"/>
          </w:tcPr>
          <w:p w14:paraId="405ACE79">
            <w:pPr>
              <w:pStyle w:val="11"/>
              <w:spacing w:before="180" w:line="221" w:lineRule="auto"/>
              <w:ind w:left="332"/>
            </w:pPr>
            <w:r>
              <w:rPr>
                <w:spacing w:val="-2"/>
              </w:rPr>
              <w:t>组织结构</w:t>
            </w:r>
          </w:p>
        </w:tc>
        <w:tc>
          <w:tcPr>
            <w:tcW w:w="7229" w:type="dxa"/>
            <w:gridSpan w:val="7"/>
            <w:vAlign w:val="top"/>
          </w:tcPr>
          <w:p w14:paraId="1DB3AD2A">
            <w:pPr>
              <w:rPr>
                <w:rFonts w:ascii="Arial"/>
                <w:sz w:val="21"/>
              </w:rPr>
            </w:pPr>
          </w:p>
        </w:tc>
      </w:tr>
      <w:tr w14:paraId="3EB9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7C5A4073">
            <w:pPr>
              <w:pStyle w:val="11"/>
              <w:spacing w:before="177" w:line="221" w:lineRule="auto"/>
              <w:ind w:left="224"/>
            </w:pPr>
            <w:r>
              <w:rPr>
                <w:spacing w:val="-2"/>
              </w:rPr>
              <w:t>法定代表人</w:t>
            </w:r>
          </w:p>
        </w:tc>
        <w:tc>
          <w:tcPr>
            <w:tcW w:w="898" w:type="dxa"/>
            <w:vAlign w:val="top"/>
          </w:tcPr>
          <w:p w14:paraId="0DD8253A">
            <w:pPr>
              <w:pStyle w:val="11"/>
              <w:spacing w:before="177" w:line="221" w:lineRule="auto"/>
              <w:ind w:left="239"/>
            </w:pPr>
            <w:r>
              <w:rPr>
                <w:spacing w:val="-2"/>
              </w:rPr>
              <w:t>姓名</w:t>
            </w:r>
          </w:p>
        </w:tc>
        <w:tc>
          <w:tcPr>
            <w:tcW w:w="1379" w:type="dxa"/>
            <w:vAlign w:val="top"/>
          </w:tcPr>
          <w:p w14:paraId="3495118C">
            <w:pPr>
              <w:rPr>
                <w:rFonts w:ascii="Arial"/>
                <w:sz w:val="21"/>
              </w:rPr>
            </w:pPr>
          </w:p>
        </w:tc>
        <w:tc>
          <w:tcPr>
            <w:tcW w:w="1111" w:type="dxa"/>
            <w:vAlign w:val="top"/>
          </w:tcPr>
          <w:p w14:paraId="1276DC9F">
            <w:pPr>
              <w:pStyle w:val="11"/>
              <w:spacing w:before="177" w:line="221" w:lineRule="auto"/>
              <w:ind w:left="138"/>
            </w:pPr>
            <w:r>
              <w:rPr>
                <w:spacing w:val="-2"/>
              </w:rPr>
              <w:t>技术职称</w:t>
            </w:r>
          </w:p>
        </w:tc>
        <w:tc>
          <w:tcPr>
            <w:tcW w:w="1619" w:type="dxa"/>
            <w:gridSpan w:val="2"/>
            <w:vAlign w:val="top"/>
          </w:tcPr>
          <w:p w14:paraId="25E5EAC3">
            <w:pPr>
              <w:rPr>
                <w:rFonts w:ascii="Arial"/>
                <w:sz w:val="21"/>
              </w:rPr>
            </w:pPr>
          </w:p>
        </w:tc>
        <w:tc>
          <w:tcPr>
            <w:tcW w:w="900" w:type="dxa"/>
            <w:vAlign w:val="top"/>
          </w:tcPr>
          <w:p w14:paraId="6CBBEF33">
            <w:pPr>
              <w:pStyle w:val="11"/>
              <w:spacing w:before="177" w:line="223" w:lineRule="auto"/>
              <w:ind w:left="272"/>
            </w:pPr>
            <w:r>
              <w:rPr>
                <w:spacing w:val="-8"/>
              </w:rPr>
              <w:t>电话</w:t>
            </w:r>
          </w:p>
        </w:tc>
        <w:tc>
          <w:tcPr>
            <w:tcW w:w="1322" w:type="dxa"/>
            <w:vAlign w:val="top"/>
          </w:tcPr>
          <w:p w14:paraId="1DC23498">
            <w:pPr>
              <w:rPr>
                <w:rFonts w:ascii="Arial"/>
                <w:sz w:val="21"/>
              </w:rPr>
            </w:pPr>
          </w:p>
        </w:tc>
      </w:tr>
      <w:tr w14:paraId="51D8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89" w:type="dxa"/>
            <w:vAlign w:val="top"/>
          </w:tcPr>
          <w:p w14:paraId="39622C7D">
            <w:pPr>
              <w:pStyle w:val="11"/>
              <w:spacing w:before="180" w:line="221" w:lineRule="auto"/>
              <w:ind w:left="224"/>
            </w:pPr>
            <w:r>
              <w:rPr>
                <w:spacing w:val="-2"/>
              </w:rPr>
              <w:t>技术负责人</w:t>
            </w:r>
          </w:p>
        </w:tc>
        <w:tc>
          <w:tcPr>
            <w:tcW w:w="898" w:type="dxa"/>
            <w:vAlign w:val="top"/>
          </w:tcPr>
          <w:p w14:paraId="41CD32BD">
            <w:pPr>
              <w:pStyle w:val="11"/>
              <w:spacing w:before="180" w:line="221" w:lineRule="auto"/>
              <w:ind w:left="239"/>
            </w:pPr>
            <w:r>
              <w:rPr>
                <w:spacing w:val="-2"/>
              </w:rPr>
              <w:t>姓名</w:t>
            </w:r>
          </w:p>
        </w:tc>
        <w:tc>
          <w:tcPr>
            <w:tcW w:w="1379" w:type="dxa"/>
            <w:vAlign w:val="top"/>
          </w:tcPr>
          <w:p w14:paraId="64C927C1">
            <w:pPr>
              <w:rPr>
                <w:rFonts w:ascii="Arial"/>
                <w:sz w:val="21"/>
              </w:rPr>
            </w:pPr>
          </w:p>
        </w:tc>
        <w:tc>
          <w:tcPr>
            <w:tcW w:w="1111" w:type="dxa"/>
            <w:vAlign w:val="top"/>
          </w:tcPr>
          <w:p w14:paraId="43120408">
            <w:pPr>
              <w:pStyle w:val="11"/>
              <w:spacing w:before="180" w:line="221" w:lineRule="auto"/>
              <w:ind w:left="138"/>
            </w:pPr>
            <w:r>
              <w:rPr>
                <w:spacing w:val="-2"/>
              </w:rPr>
              <w:t>技术职称</w:t>
            </w:r>
          </w:p>
        </w:tc>
        <w:tc>
          <w:tcPr>
            <w:tcW w:w="1619" w:type="dxa"/>
            <w:gridSpan w:val="2"/>
            <w:vAlign w:val="top"/>
          </w:tcPr>
          <w:p w14:paraId="5ED9CDB1">
            <w:pPr>
              <w:rPr>
                <w:rFonts w:ascii="Arial"/>
                <w:sz w:val="21"/>
              </w:rPr>
            </w:pPr>
          </w:p>
        </w:tc>
        <w:tc>
          <w:tcPr>
            <w:tcW w:w="900" w:type="dxa"/>
            <w:vAlign w:val="top"/>
          </w:tcPr>
          <w:p w14:paraId="15CAB222">
            <w:pPr>
              <w:pStyle w:val="11"/>
              <w:spacing w:before="180" w:line="223" w:lineRule="auto"/>
              <w:ind w:left="272"/>
            </w:pPr>
            <w:r>
              <w:rPr>
                <w:spacing w:val="-8"/>
              </w:rPr>
              <w:t>电话</w:t>
            </w:r>
          </w:p>
        </w:tc>
        <w:tc>
          <w:tcPr>
            <w:tcW w:w="1322" w:type="dxa"/>
            <w:vAlign w:val="top"/>
          </w:tcPr>
          <w:p w14:paraId="27FE9742">
            <w:pPr>
              <w:rPr>
                <w:rFonts w:ascii="Arial"/>
                <w:sz w:val="21"/>
              </w:rPr>
            </w:pPr>
          </w:p>
        </w:tc>
      </w:tr>
      <w:tr w14:paraId="1733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08D3C258">
            <w:pPr>
              <w:pStyle w:val="11"/>
              <w:spacing w:before="178" w:line="222" w:lineRule="auto"/>
              <w:ind w:left="331"/>
            </w:pPr>
            <w:r>
              <w:rPr>
                <w:spacing w:val="-2"/>
              </w:rPr>
              <w:t>成立时间</w:t>
            </w:r>
          </w:p>
        </w:tc>
        <w:tc>
          <w:tcPr>
            <w:tcW w:w="2277" w:type="dxa"/>
            <w:gridSpan w:val="2"/>
            <w:vAlign w:val="top"/>
          </w:tcPr>
          <w:p w14:paraId="67302682">
            <w:pPr>
              <w:rPr>
                <w:rFonts w:ascii="Arial"/>
                <w:sz w:val="21"/>
              </w:rPr>
            </w:pPr>
          </w:p>
        </w:tc>
        <w:tc>
          <w:tcPr>
            <w:tcW w:w="4952" w:type="dxa"/>
            <w:gridSpan w:val="5"/>
            <w:vAlign w:val="top"/>
          </w:tcPr>
          <w:p w14:paraId="25226BF3">
            <w:pPr>
              <w:pStyle w:val="11"/>
              <w:spacing w:before="178" w:line="221" w:lineRule="auto"/>
              <w:ind w:left="119"/>
            </w:pPr>
            <w:r>
              <w:rPr>
                <w:spacing w:val="-3"/>
              </w:rPr>
              <w:t>员工总人数：</w:t>
            </w:r>
          </w:p>
        </w:tc>
      </w:tr>
      <w:tr w14:paraId="4E0A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89" w:type="dxa"/>
            <w:vAlign w:val="top"/>
          </w:tcPr>
          <w:p w14:paraId="1642B0F3">
            <w:pPr>
              <w:pStyle w:val="11"/>
              <w:spacing w:before="180" w:line="221" w:lineRule="auto"/>
              <w:ind w:left="124"/>
            </w:pPr>
            <w:r>
              <w:rPr>
                <w:spacing w:val="-2"/>
              </w:rPr>
              <w:t>企业资质等级</w:t>
            </w:r>
          </w:p>
        </w:tc>
        <w:tc>
          <w:tcPr>
            <w:tcW w:w="2277" w:type="dxa"/>
            <w:gridSpan w:val="2"/>
            <w:vAlign w:val="top"/>
          </w:tcPr>
          <w:p w14:paraId="1EB872CF">
            <w:pPr>
              <w:rPr>
                <w:rFonts w:ascii="Arial"/>
                <w:sz w:val="21"/>
              </w:rPr>
            </w:pPr>
          </w:p>
        </w:tc>
        <w:tc>
          <w:tcPr>
            <w:tcW w:w="1111" w:type="dxa"/>
            <w:vMerge w:val="restart"/>
            <w:tcBorders>
              <w:bottom w:val="nil"/>
            </w:tcBorders>
            <w:vAlign w:val="top"/>
          </w:tcPr>
          <w:p w14:paraId="0D874482">
            <w:pPr>
              <w:spacing w:line="251" w:lineRule="auto"/>
              <w:rPr>
                <w:rFonts w:ascii="Arial"/>
                <w:sz w:val="21"/>
              </w:rPr>
            </w:pPr>
          </w:p>
          <w:p w14:paraId="23326189">
            <w:pPr>
              <w:spacing w:line="251" w:lineRule="auto"/>
              <w:rPr>
                <w:rFonts w:ascii="Arial"/>
                <w:sz w:val="21"/>
              </w:rPr>
            </w:pPr>
          </w:p>
          <w:p w14:paraId="3717CC12">
            <w:pPr>
              <w:spacing w:line="251" w:lineRule="auto"/>
              <w:rPr>
                <w:rFonts w:ascii="Arial"/>
                <w:sz w:val="21"/>
              </w:rPr>
            </w:pPr>
          </w:p>
          <w:p w14:paraId="7C38BB5E">
            <w:pPr>
              <w:spacing w:line="252" w:lineRule="auto"/>
              <w:rPr>
                <w:rFonts w:ascii="Arial"/>
                <w:sz w:val="21"/>
              </w:rPr>
            </w:pPr>
          </w:p>
          <w:p w14:paraId="0704D343">
            <w:pPr>
              <w:spacing w:line="252" w:lineRule="auto"/>
              <w:rPr>
                <w:rFonts w:ascii="Arial"/>
                <w:sz w:val="21"/>
              </w:rPr>
            </w:pPr>
          </w:p>
          <w:p w14:paraId="0B6D1481">
            <w:pPr>
              <w:pStyle w:val="11"/>
              <w:spacing w:before="68" w:line="221" w:lineRule="auto"/>
              <w:ind w:left="349"/>
            </w:pPr>
            <w:r>
              <w:rPr>
                <w:spacing w:val="-2"/>
              </w:rPr>
              <w:t>其中</w:t>
            </w:r>
          </w:p>
        </w:tc>
        <w:tc>
          <w:tcPr>
            <w:tcW w:w="1619" w:type="dxa"/>
            <w:gridSpan w:val="2"/>
            <w:vAlign w:val="top"/>
          </w:tcPr>
          <w:p w14:paraId="303C92F8">
            <w:pPr>
              <w:pStyle w:val="11"/>
              <w:spacing w:before="180" w:line="221" w:lineRule="auto"/>
              <w:ind w:left="289"/>
            </w:pPr>
            <w:r>
              <w:rPr>
                <w:spacing w:val="-1"/>
              </w:rPr>
              <w:t>注册建造师</w:t>
            </w:r>
          </w:p>
        </w:tc>
        <w:tc>
          <w:tcPr>
            <w:tcW w:w="2222" w:type="dxa"/>
            <w:gridSpan w:val="2"/>
            <w:vAlign w:val="top"/>
          </w:tcPr>
          <w:p w14:paraId="3A907DE7">
            <w:pPr>
              <w:rPr>
                <w:rFonts w:ascii="Arial"/>
                <w:sz w:val="21"/>
              </w:rPr>
            </w:pPr>
          </w:p>
        </w:tc>
      </w:tr>
      <w:tr w14:paraId="33667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3CEDA5E8">
            <w:pPr>
              <w:pStyle w:val="11"/>
              <w:spacing w:before="178" w:line="221" w:lineRule="auto"/>
              <w:ind w:left="230"/>
            </w:pPr>
            <w:r>
              <w:rPr>
                <w:spacing w:val="-3"/>
              </w:rPr>
              <w:t>营业执照号</w:t>
            </w:r>
          </w:p>
        </w:tc>
        <w:tc>
          <w:tcPr>
            <w:tcW w:w="2277" w:type="dxa"/>
            <w:gridSpan w:val="2"/>
            <w:vAlign w:val="top"/>
          </w:tcPr>
          <w:p w14:paraId="6FF3C47F">
            <w:pPr>
              <w:rPr>
                <w:rFonts w:ascii="Arial"/>
                <w:sz w:val="21"/>
              </w:rPr>
            </w:pPr>
          </w:p>
        </w:tc>
        <w:tc>
          <w:tcPr>
            <w:tcW w:w="1111" w:type="dxa"/>
            <w:vMerge w:val="continue"/>
            <w:tcBorders>
              <w:top w:val="nil"/>
              <w:bottom w:val="nil"/>
            </w:tcBorders>
            <w:vAlign w:val="top"/>
          </w:tcPr>
          <w:p w14:paraId="109B3BEC">
            <w:pPr>
              <w:rPr>
                <w:rFonts w:ascii="Arial"/>
                <w:sz w:val="21"/>
              </w:rPr>
            </w:pPr>
          </w:p>
        </w:tc>
        <w:tc>
          <w:tcPr>
            <w:tcW w:w="1619" w:type="dxa"/>
            <w:gridSpan w:val="2"/>
            <w:vAlign w:val="top"/>
          </w:tcPr>
          <w:p w14:paraId="6F0D9065">
            <w:pPr>
              <w:pStyle w:val="11"/>
              <w:spacing w:before="178" w:line="221" w:lineRule="auto"/>
              <w:ind w:left="192"/>
            </w:pPr>
            <w:r>
              <w:rPr>
                <w:spacing w:val="-2"/>
              </w:rPr>
              <w:t>高级职称人员</w:t>
            </w:r>
          </w:p>
        </w:tc>
        <w:tc>
          <w:tcPr>
            <w:tcW w:w="2222" w:type="dxa"/>
            <w:gridSpan w:val="2"/>
            <w:vAlign w:val="top"/>
          </w:tcPr>
          <w:p w14:paraId="02C31AC6">
            <w:pPr>
              <w:rPr>
                <w:rFonts w:ascii="Arial"/>
                <w:sz w:val="21"/>
              </w:rPr>
            </w:pPr>
          </w:p>
        </w:tc>
      </w:tr>
      <w:tr w14:paraId="7CBF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1142EDE6">
            <w:pPr>
              <w:pStyle w:val="11"/>
              <w:spacing w:before="179" w:line="222" w:lineRule="auto"/>
              <w:ind w:left="329"/>
            </w:pPr>
            <w:r>
              <w:rPr>
                <w:spacing w:val="-2"/>
              </w:rPr>
              <w:t>注册资金</w:t>
            </w:r>
          </w:p>
        </w:tc>
        <w:tc>
          <w:tcPr>
            <w:tcW w:w="2277" w:type="dxa"/>
            <w:gridSpan w:val="2"/>
            <w:vAlign w:val="top"/>
          </w:tcPr>
          <w:p w14:paraId="232CC884">
            <w:pPr>
              <w:rPr>
                <w:rFonts w:ascii="Arial"/>
                <w:sz w:val="21"/>
              </w:rPr>
            </w:pPr>
          </w:p>
        </w:tc>
        <w:tc>
          <w:tcPr>
            <w:tcW w:w="1111" w:type="dxa"/>
            <w:vMerge w:val="continue"/>
            <w:tcBorders>
              <w:top w:val="nil"/>
              <w:bottom w:val="nil"/>
            </w:tcBorders>
            <w:vAlign w:val="top"/>
          </w:tcPr>
          <w:p w14:paraId="67D73267">
            <w:pPr>
              <w:rPr>
                <w:rFonts w:ascii="Arial"/>
                <w:sz w:val="21"/>
              </w:rPr>
            </w:pPr>
          </w:p>
        </w:tc>
        <w:tc>
          <w:tcPr>
            <w:tcW w:w="1619" w:type="dxa"/>
            <w:gridSpan w:val="2"/>
            <w:vAlign w:val="top"/>
          </w:tcPr>
          <w:p w14:paraId="7D354238">
            <w:pPr>
              <w:pStyle w:val="11"/>
              <w:spacing w:before="179" w:line="221" w:lineRule="auto"/>
              <w:ind w:left="206"/>
            </w:pPr>
            <w:r>
              <w:rPr>
                <w:spacing w:val="-5"/>
              </w:rPr>
              <w:t>中级职称人员</w:t>
            </w:r>
          </w:p>
        </w:tc>
        <w:tc>
          <w:tcPr>
            <w:tcW w:w="2222" w:type="dxa"/>
            <w:gridSpan w:val="2"/>
            <w:vAlign w:val="top"/>
          </w:tcPr>
          <w:p w14:paraId="54AD048C">
            <w:pPr>
              <w:rPr>
                <w:rFonts w:ascii="Arial"/>
                <w:sz w:val="21"/>
              </w:rPr>
            </w:pPr>
          </w:p>
        </w:tc>
      </w:tr>
      <w:tr w14:paraId="6996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89" w:type="dxa"/>
            <w:vAlign w:val="top"/>
          </w:tcPr>
          <w:p w14:paraId="58A11D31">
            <w:pPr>
              <w:pStyle w:val="11"/>
              <w:spacing w:before="44" w:line="220" w:lineRule="auto"/>
              <w:ind w:left="329"/>
            </w:pPr>
            <w:r>
              <w:rPr>
                <w:spacing w:val="-2"/>
              </w:rPr>
              <w:t>基本帐户</w:t>
            </w:r>
          </w:p>
          <w:p w14:paraId="4EFD77E2">
            <w:pPr>
              <w:pStyle w:val="11"/>
              <w:spacing w:before="23" w:line="215" w:lineRule="auto"/>
              <w:ind w:left="330"/>
            </w:pPr>
            <w:r>
              <w:rPr>
                <w:spacing w:val="-2"/>
              </w:rPr>
              <w:t>开户银行</w:t>
            </w:r>
          </w:p>
        </w:tc>
        <w:tc>
          <w:tcPr>
            <w:tcW w:w="2277" w:type="dxa"/>
            <w:gridSpan w:val="2"/>
            <w:vAlign w:val="top"/>
          </w:tcPr>
          <w:p w14:paraId="324F9309">
            <w:pPr>
              <w:rPr>
                <w:rFonts w:ascii="Arial"/>
                <w:sz w:val="21"/>
              </w:rPr>
            </w:pPr>
          </w:p>
        </w:tc>
        <w:tc>
          <w:tcPr>
            <w:tcW w:w="1111" w:type="dxa"/>
            <w:vMerge w:val="continue"/>
            <w:tcBorders>
              <w:top w:val="nil"/>
              <w:bottom w:val="nil"/>
            </w:tcBorders>
            <w:vAlign w:val="top"/>
          </w:tcPr>
          <w:p w14:paraId="660FCB83">
            <w:pPr>
              <w:rPr>
                <w:rFonts w:ascii="Arial"/>
                <w:sz w:val="21"/>
              </w:rPr>
            </w:pPr>
          </w:p>
        </w:tc>
        <w:tc>
          <w:tcPr>
            <w:tcW w:w="1619" w:type="dxa"/>
            <w:gridSpan w:val="2"/>
            <w:vAlign w:val="top"/>
          </w:tcPr>
          <w:p w14:paraId="12CFBCE6">
            <w:pPr>
              <w:pStyle w:val="11"/>
              <w:spacing w:before="181" w:line="222" w:lineRule="auto"/>
              <w:ind w:left="185"/>
            </w:pPr>
            <w:r>
              <w:rPr>
                <w:spacing w:val="-1"/>
              </w:rPr>
              <w:t>初级职称人员</w:t>
            </w:r>
          </w:p>
        </w:tc>
        <w:tc>
          <w:tcPr>
            <w:tcW w:w="2222" w:type="dxa"/>
            <w:gridSpan w:val="2"/>
            <w:vAlign w:val="top"/>
          </w:tcPr>
          <w:p w14:paraId="272BB87A">
            <w:pPr>
              <w:rPr>
                <w:rFonts w:ascii="Arial"/>
                <w:sz w:val="21"/>
              </w:rPr>
            </w:pPr>
          </w:p>
        </w:tc>
      </w:tr>
      <w:tr w14:paraId="55DA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321BC5BB">
            <w:pPr>
              <w:pStyle w:val="11"/>
              <w:spacing w:before="44" w:line="227" w:lineRule="auto"/>
              <w:ind w:left="543" w:right="320" w:hanging="214"/>
            </w:pPr>
            <w:r>
              <w:rPr>
                <w:spacing w:val="-2"/>
              </w:rPr>
              <w:t>基本帐户</w:t>
            </w:r>
            <w:r>
              <w:rPr>
                <w:spacing w:val="-3"/>
              </w:rPr>
              <w:t>账号</w:t>
            </w:r>
          </w:p>
        </w:tc>
        <w:tc>
          <w:tcPr>
            <w:tcW w:w="2277" w:type="dxa"/>
            <w:gridSpan w:val="2"/>
            <w:vAlign w:val="top"/>
          </w:tcPr>
          <w:p w14:paraId="34039DA2">
            <w:pPr>
              <w:rPr>
                <w:rFonts w:ascii="Arial"/>
                <w:sz w:val="21"/>
              </w:rPr>
            </w:pPr>
          </w:p>
        </w:tc>
        <w:tc>
          <w:tcPr>
            <w:tcW w:w="1111" w:type="dxa"/>
            <w:vMerge w:val="continue"/>
            <w:tcBorders>
              <w:top w:val="nil"/>
            </w:tcBorders>
            <w:vAlign w:val="top"/>
          </w:tcPr>
          <w:p w14:paraId="067949AB">
            <w:pPr>
              <w:rPr>
                <w:rFonts w:ascii="Arial"/>
                <w:sz w:val="21"/>
              </w:rPr>
            </w:pPr>
          </w:p>
        </w:tc>
        <w:tc>
          <w:tcPr>
            <w:tcW w:w="1619" w:type="dxa"/>
            <w:gridSpan w:val="2"/>
            <w:vAlign w:val="top"/>
          </w:tcPr>
          <w:p w14:paraId="77C989BE">
            <w:pPr>
              <w:pStyle w:val="11"/>
              <w:spacing w:before="179" w:line="222" w:lineRule="auto"/>
              <w:ind w:left="501"/>
            </w:pPr>
            <w:r>
              <w:rPr>
                <w:spacing w:val="-4"/>
              </w:rPr>
              <w:t>技</w:t>
            </w:r>
            <w:r>
              <w:rPr>
                <w:spacing w:val="5"/>
              </w:rPr>
              <w:t xml:space="preserve">  </w:t>
            </w:r>
            <w:r>
              <w:rPr>
                <w:spacing w:val="-4"/>
              </w:rPr>
              <w:t>工</w:t>
            </w:r>
          </w:p>
        </w:tc>
        <w:tc>
          <w:tcPr>
            <w:tcW w:w="2222" w:type="dxa"/>
            <w:gridSpan w:val="2"/>
            <w:vAlign w:val="top"/>
          </w:tcPr>
          <w:p w14:paraId="5FAD22C5">
            <w:pPr>
              <w:rPr>
                <w:rFonts w:ascii="Arial"/>
                <w:sz w:val="21"/>
              </w:rPr>
            </w:pPr>
          </w:p>
        </w:tc>
      </w:tr>
      <w:tr w14:paraId="2C1D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489" w:type="dxa"/>
            <w:vAlign w:val="top"/>
          </w:tcPr>
          <w:p w14:paraId="4A7AEFAE">
            <w:pPr>
              <w:spacing w:line="276" w:lineRule="auto"/>
              <w:rPr>
                <w:rFonts w:ascii="Arial"/>
                <w:sz w:val="21"/>
              </w:rPr>
            </w:pPr>
          </w:p>
          <w:p w14:paraId="69912D73">
            <w:pPr>
              <w:spacing w:line="277" w:lineRule="auto"/>
              <w:rPr>
                <w:rFonts w:ascii="Arial"/>
                <w:sz w:val="21"/>
              </w:rPr>
            </w:pPr>
          </w:p>
          <w:p w14:paraId="6AF0F3C7">
            <w:pPr>
              <w:pStyle w:val="11"/>
              <w:spacing w:before="68" w:line="221" w:lineRule="auto"/>
              <w:ind w:left="331"/>
            </w:pPr>
            <w:r>
              <w:rPr>
                <w:spacing w:val="-2"/>
              </w:rPr>
              <w:t>经营范围</w:t>
            </w:r>
          </w:p>
        </w:tc>
        <w:tc>
          <w:tcPr>
            <w:tcW w:w="7229" w:type="dxa"/>
            <w:gridSpan w:val="7"/>
            <w:vAlign w:val="top"/>
          </w:tcPr>
          <w:p w14:paraId="3FBD99B5">
            <w:pPr>
              <w:rPr>
                <w:rFonts w:ascii="Arial"/>
                <w:sz w:val="21"/>
              </w:rPr>
            </w:pPr>
          </w:p>
        </w:tc>
      </w:tr>
      <w:tr w14:paraId="1833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89" w:type="dxa"/>
            <w:vAlign w:val="top"/>
          </w:tcPr>
          <w:p w14:paraId="7C22646D">
            <w:pPr>
              <w:pStyle w:val="11"/>
              <w:spacing w:before="180" w:line="222" w:lineRule="auto"/>
              <w:ind w:left="543"/>
            </w:pPr>
            <w:r>
              <w:rPr>
                <w:spacing w:val="-3"/>
              </w:rPr>
              <w:t>备注</w:t>
            </w:r>
          </w:p>
        </w:tc>
        <w:tc>
          <w:tcPr>
            <w:tcW w:w="7229" w:type="dxa"/>
            <w:gridSpan w:val="7"/>
            <w:vAlign w:val="top"/>
          </w:tcPr>
          <w:p w14:paraId="530BA61D">
            <w:pPr>
              <w:rPr>
                <w:rFonts w:ascii="Arial"/>
                <w:sz w:val="21"/>
              </w:rPr>
            </w:pPr>
          </w:p>
        </w:tc>
      </w:tr>
    </w:tbl>
    <w:p w14:paraId="179C82D1">
      <w:pPr>
        <w:spacing w:before="159" w:line="220" w:lineRule="auto"/>
        <w:jc w:val="right"/>
        <w:rPr>
          <w:rFonts w:ascii="宋体" w:hAnsi="宋体" w:eastAsia="宋体" w:cs="宋体"/>
          <w:sz w:val="21"/>
          <w:szCs w:val="21"/>
        </w:rPr>
      </w:pPr>
      <w:r>
        <w:rPr>
          <w:rFonts w:ascii="宋体" w:hAnsi="宋体" w:eastAsia="宋体" w:cs="宋体"/>
          <w:spacing w:val="2"/>
          <w:sz w:val="21"/>
          <w:szCs w:val="21"/>
        </w:rPr>
        <w:t>备注：1.本表后应附企业法人营业执照、企业资质证书、安全生产许</w:t>
      </w:r>
      <w:r>
        <w:rPr>
          <w:rFonts w:ascii="宋体" w:hAnsi="宋体" w:eastAsia="宋体" w:cs="宋体"/>
          <w:spacing w:val="1"/>
          <w:sz w:val="21"/>
          <w:szCs w:val="21"/>
        </w:rPr>
        <w:t>可证、基本账户开户许可证</w:t>
      </w:r>
    </w:p>
    <w:p w14:paraId="452F4768">
      <w:pPr>
        <w:spacing w:before="148" w:line="220" w:lineRule="auto"/>
        <w:ind w:left="949"/>
        <w:rPr>
          <w:rFonts w:ascii="宋体" w:hAnsi="宋体" w:eastAsia="宋体" w:cs="宋体"/>
          <w:sz w:val="21"/>
          <w:szCs w:val="21"/>
        </w:rPr>
      </w:pPr>
      <w:r>
        <w:rPr>
          <w:rFonts w:ascii="宋体" w:hAnsi="宋体" w:eastAsia="宋体" w:cs="宋体"/>
          <w:spacing w:val="-3"/>
          <w:sz w:val="21"/>
          <w:szCs w:val="21"/>
        </w:rPr>
        <w:t>（基本存款账户信息）、质量、环境、职业健康安全管</w:t>
      </w:r>
      <w:r>
        <w:rPr>
          <w:rFonts w:ascii="宋体" w:hAnsi="宋体" w:eastAsia="宋体" w:cs="宋体"/>
          <w:spacing w:val="-4"/>
          <w:sz w:val="21"/>
          <w:szCs w:val="21"/>
        </w:rPr>
        <w:t>理体系认证证书等材料。</w:t>
      </w:r>
    </w:p>
    <w:p w14:paraId="0BBBB832">
      <w:pPr>
        <w:spacing w:before="151" w:line="235" w:lineRule="auto"/>
        <w:ind w:left="624"/>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联合体投标的，联合体各成员应分别填写。</w:t>
      </w:r>
    </w:p>
    <w:p w14:paraId="0DBD7A76">
      <w:pPr>
        <w:spacing w:line="235" w:lineRule="auto"/>
        <w:rPr>
          <w:rFonts w:ascii="宋体" w:hAnsi="宋体" w:eastAsia="宋体" w:cs="宋体"/>
          <w:sz w:val="21"/>
          <w:szCs w:val="21"/>
        </w:rPr>
        <w:sectPr>
          <w:footerReference r:id="rId204" w:type="default"/>
          <w:pgSz w:w="11905" w:h="16843"/>
          <w:pgMar w:top="969" w:right="1355" w:bottom="1026" w:left="1480" w:header="0" w:footer="754" w:gutter="0"/>
          <w:cols w:space="0" w:num="1"/>
          <w:rtlGutter w:val="0"/>
          <w:docGrid w:linePitch="0" w:charSpace="0"/>
        </w:sectPr>
      </w:pPr>
    </w:p>
    <w:p w14:paraId="2B482DCB">
      <w:pPr>
        <w:pStyle w:val="5"/>
        <w:spacing w:line="243" w:lineRule="auto"/>
      </w:pPr>
    </w:p>
    <w:p w14:paraId="409F588D">
      <w:pPr>
        <w:pStyle w:val="5"/>
        <w:spacing w:line="243" w:lineRule="auto"/>
      </w:pPr>
    </w:p>
    <w:p w14:paraId="7FE87470">
      <w:pPr>
        <w:pStyle w:val="5"/>
        <w:spacing w:line="243" w:lineRule="auto"/>
      </w:pPr>
    </w:p>
    <w:p w14:paraId="48E723BF">
      <w:pPr>
        <w:pStyle w:val="5"/>
        <w:spacing w:line="243" w:lineRule="auto"/>
      </w:pPr>
    </w:p>
    <w:p w14:paraId="17CCD10E">
      <w:pPr>
        <w:pStyle w:val="5"/>
        <w:spacing w:line="244" w:lineRule="auto"/>
      </w:pPr>
    </w:p>
    <w:p w14:paraId="28FFF8D7">
      <w:pPr>
        <w:pStyle w:val="5"/>
        <w:spacing w:line="244" w:lineRule="auto"/>
      </w:pPr>
    </w:p>
    <w:p w14:paraId="546D1E05">
      <w:pPr>
        <w:pStyle w:val="5"/>
        <w:spacing w:line="244" w:lineRule="auto"/>
      </w:pPr>
    </w:p>
    <w:p w14:paraId="6AEA5B44">
      <w:pPr>
        <w:pStyle w:val="5"/>
        <w:spacing w:line="244" w:lineRule="auto"/>
      </w:pPr>
    </w:p>
    <w:p w14:paraId="1099864D">
      <w:pPr>
        <w:spacing w:before="78" w:line="232" w:lineRule="auto"/>
        <w:ind w:left="3499"/>
        <w:outlineLvl w:val="2"/>
        <w:rPr>
          <w:rFonts w:ascii="黑体" w:hAnsi="黑体" w:eastAsia="黑体" w:cs="黑体"/>
          <w:sz w:val="24"/>
          <w:szCs w:val="24"/>
        </w:rPr>
      </w:pPr>
      <w:bookmarkStart w:id="1382" w:name="bookmark451"/>
      <w:bookmarkEnd w:id="1382"/>
      <w:r>
        <w:rPr>
          <w:rFonts w:ascii="Times New Roman" w:hAnsi="Times New Roman" w:eastAsia="Times New Roman" w:cs="Times New Roman"/>
          <w:spacing w:val="-5"/>
          <w:sz w:val="24"/>
          <w:szCs w:val="24"/>
        </w:rPr>
        <w:t>1-2</w:t>
      </w:r>
      <w:r>
        <w:rPr>
          <w:rFonts w:ascii="Times New Roman" w:hAnsi="Times New Roman" w:eastAsia="Times New Roman" w:cs="Times New Roman"/>
          <w:spacing w:val="27"/>
          <w:sz w:val="24"/>
          <w:szCs w:val="24"/>
        </w:rPr>
        <w:t xml:space="preserve"> </w:t>
      </w:r>
      <w:r>
        <w:rPr>
          <w:rFonts w:ascii="黑体" w:hAnsi="黑体" w:eastAsia="黑体" w:cs="黑体"/>
          <w:spacing w:val="-5"/>
          <w:sz w:val="24"/>
          <w:szCs w:val="24"/>
        </w:rPr>
        <w:t>关联单位情况说明</w:t>
      </w:r>
    </w:p>
    <w:p w14:paraId="1CE0AAC3">
      <w:pPr>
        <w:spacing w:before="23"/>
      </w:pPr>
    </w:p>
    <w:p w14:paraId="4744C12C">
      <w:pPr>
        <w:spacing w:before="22"/>
      </w:pPr>
    </w:p>
    <w:tbl>
      <w:tblPr>
        <w:tblStyle w:val="10"/>
        <w:tblW w:w="924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1"/>
      </w:tblGrid>
      <w:tr w14:paraId="4ABD4D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10" w:hRule="atLeast"/>
        </w:trPr>
        <w:tc>
          <w:tcPr>
            <w:tcW w:w="9241" w:type="dxa"/>
            <w:vAlign w:val="top"/>
          </w:tcPr>
          <w:p w14:paraId="27394FF0">
            <w:pPr>
              <w:spacing w:line="323" w:lineRule="auto"/>
              <w:rPr>
                <w:rFonts w:ascii="Arial"/>
                <w:sz w:val="21"/>
              </w:rPr>
            </w:pPr>
          </w:p>
          <w:p w14:paraId="21095013">
            <w:pPr>
              <w:pStyle w:val="11"/>
              <w:spacing w:before="69" w:line="220" w:lineRule="auto"/>
              <w:ind w:left="14"/>
            </w:pPr>
            <w:r>
              <w:rPr>
                <w:spacing w:val="-2"/>
              </w:rPr>
              <w:t>单位负责人与本单位负责人为同一人的单位：</w:t>
            </w:r>
          </w:p>
          <w:p w14:paraId="42AAB146">
            <w:pPr>
              <w:spacing w:line="262" w:lineRule="auto"/>
              <w:rPr>
                <w:rFonts w:ascii="Arial"/>
                <w:sz w:val="21"/>
              </w:rPr>
            </w:pPr>
          </w:p>
          <w:p w14:paraId="6F9FC160">
            <w:pPr>
              <w:spacing w:line="263" w:lineRule="auto"/>
              <w:rPr>
                <w:rFonts w:ascii="Arial"/>
                <w:sz w:val="21"/>
              </w:rPr>
            </w:pPr>
          </w:p>
          <w:p w14:paraId="44DB6771">
            <w:pPr>
              <w:spacing w:line="263" w:lineRule="auto"/>
              <w:rPr>
                <w:rFonts w:ascii="Arial"/>
                <w:sz w:val="21"/>
              </w:rPr>
            </w:pPr>
          </w:p>
          <w:p w14:paraId="0CC4305B">
            <w:pPr>
              <w:spacing w:line="263" w:lineRule="auto"/>
              <w:rPr>
                <w:rFonts w:ascii="Arial"/>
                <w:sz w:val="21"/>
              </w:rPr>
            </w:pPr>
          </w:p>
          <w:p w14:paraId="5E662B03">
            <w:pPr>
              <w:spacing w:line="263" w:lineRule="auto"/>
              <w:rPr>
                <w:rFonts w:ascii="Arial"/>
                <w:sz w:val="21"/>
              </w:rPr>
            </w:pPr>
          </w:p>
          <w:p w14:paraId="4DBD7628">
            <w:pPr>
              <w:spacing w:line="263" w:lineRule="auto"/>
              <w:rPr>
                <w:rFonts w:ascii="Arial"/>
                <w:sz w:val="21"/>
              </w:rPr>
            </w:pPr>
          </w:p>
          <w:p w14:paraId="41A5DD6D">
            <w:pPr>
              <w:pStyle w:val="11"/>
              <w:spacing w:before="69" w:line="220" w:lineRule="auto"/>
              <w:ind w:left="17"/>
            </w:pPr>
            <w:r>
              <w:rPr>
                <w:spacing w:val="-1"/>
              </w:rPr>
              <w:t>与本单位存在控股与被控股关系的单位：</w:t>
            </w:r>
          </w:p>
          <w:p w14:paraId="6EC06456">
            <w:pPr>
              <w:spacing w:line="265" w:lineRule="auto"/>
              <w:rPr>
                <w:rFonts w:ascii="Arial"/>
                <w:sz w:val="21"/>
              </w:rPr>
            </w:pPr>
          </w:p>
          <w:p w14:paraId="3875A9EE">
            <w:pPr>
              <w:spacing w:line="265" w:lineRule="auto"/>
              <w:rPr>
                <w:rFonts w:ascii="Arial"/>
                <w:sz w:val="21"/>
              </w:rPr>
            </w:pPr>
          </w:p>
          <w:p w14:paraId="3950F9E2">
            <w:pPr>
              <w:spacing w:line="265" w:lineRule="auto"/>
              <w:rPr>
                <w:rFonts w:ascii="Arial"/>
                <w:sz w:val="21"/>
              </w:rPr>
            </w:pPr>
          </w:p>
          <w:p w14:paraId="1A891290">
            <w:pPr>
              <w:spacing w:line="266" w:lineRule="auto"/>
              <w:rPr>
                <w:rFonts w:ascii="Arial"/>
                <w:sz w:val="21"/>
              </w:rPr>
            </w:pPr>
          </w:p>
          <w:p w14:paraId="22B4AD3D">
            <w:pPr>
              <w:spacing w:line="266" w:lineRule="auto"/>
              <w:rPr>
                <w:rFonts w:ascii="Arial"/>
                <w:sz w:val="21"/>
              </w:rPr>
            </w:pPr>
          </w:p>
          <w:p w14:paraId="1C1327A4">
            <w:pPr>
              <w:spacing w:line="266" w:lineRule="auto"/>
              <w:rPr>
                <w:rFonts w:ascii="Arial"/>
                <w:sz w:val="21"/>
              </w:rPr>
            </w:pPr>
          </w:p>
          <w:p w14:paraId="5308A2B4">
            <w:pPr>
              <w:spacing w:line="266" w:lineRule="auto"/>
              <w:rPr>
                <w:rFonts w:ascii="Arial"/>
                <w:sz w:val="21"/>
              </w:rPr>
            </w:pPr>
          </w:p>
          <w:p w14:paraId="4CC01ADE">
            <w:pPr>
              <w:spacing w:line="266" w:lineRule="auto"/>
              <w:rPr>
                <w:rFonts w:ascii="Arial"/>
                <w:sz w:val="21"/>
              </w:rPr>
            </w:pPr>
          </w:p>
          <w:p w14:paraId="7999B578">
            <w:pPr>
              <w:spacing w:line="266" w:lineRule="auto"/>
              <w:rPr>
                <w:rFonts w:ascii="Arial"/>
                <w:sz w:val="21"/>
              </w:rPr>
            </w:pPr>
          </w:p>
          <w:p w14:paraId="3DD7CE83">
            <w:pPr>
              <w:pStyle w:val="11"/>
              <w:spacing w:before="68" w:line="220" w:lineRule="auto"/>
              <w:ind w:left="17"/>
            </w:pPr>
            <w:r>
              <w:rPr>
                <w:spacing w:val="-1"/>
              </w:rPr>
              <w:t>与本单位存在管理与被管理关系的单位：</w:t>
            </w:r>
          </w:p>
        </w:tc>
      </w:tr>
    </w:tbl>
    <w:p w14:paraId="443863CB">
      <w:pPr>
        <w:spacing w:before="29" w:line="221" w:lineRule="auto"/>
        <w:ind w:left="181"/>
        <w:rPr>
          <w:rFonts w:ascii="宋体" w:hAnsi="宋体" w:eastAsia="宋体" w:cs="宋体"/>
          <w:sz w:val="21"/>
          <w:szCs w:val="21"/>
        </w:rPr>
      </w:pPr>
      <w:r>
        <w:rPr>
          <w:rFonts w:ascii="宋体" w:hAnsi="宋体" w:eastAsia="宋体" w:cs="宋体"/>
          <w:sz w:val="21"/>
          <w:szCs w:val="21"/>
        </w:rPr>
        <w:t>备注：1.投标人应当如实披露相关关联单位的情况。没有相关关联单位的明确填</w:t>
      </w:r>
      <w:r>
        <w:rPr>
          <w:rFonts w:ascii="宋体" w:hAnsi="宋体" w:eastAsia="宋体" w:cs="宋体"/>
          <w:spacing w:val="-1"/>
          <w:sz w:val="21"/>
          <w:szCs w:val="21"/>
        </w:rPr>
        <w:t>“无”。</w:t>
      </w:r>
    </w:p>
    <w:p w14:paraId="117B1D66">
      <w:pPr>
        <w:spacing w:before="23" w:line="221" w:lineRule="auto"/>
        <w:ind w:left="812"/>
        <w:rPr>
          <w:rFonts w:ascii="宋体" w:hAnsi="宋体" w:eastAsia="宋体" w:cs="宋体"/>
          <w:sz w:val="21"/>
          <w:szCs w:val="21"/>
        </w:rPr>
      </w:pPr>
      <w:r>
        <w:rPr>
          <w:rFonts w:ascii="宋体" w:hAnsi="宋体" w:eastAsia="宋体" w:cs="宋体"/>
          <w:spacing w:val="-1"/>
          <w:sz w:val="21"/>
          <w:szCs w:val="21"/>
        </w:rPr>
        <w:t>2.联合体投标的，联合体各成员应分别填</w:t>
      </w:r>
      <w:r>
        <w:rPr>
          <w:rFonts w:ascii="宋体" w:hAnsi="宋体" w:eastAsia="宋体" w:cs="宋体"/>
          <w:spacing w:val="-2"/>
          <w:sz w:val="21"/>
          <w:szCs w:val="21"/>
        </w:rPr>
        <w:t>写。</w:t>
      </w:r>
    </w:p>
    <w:p w14:paraId="566FD067">
      <w:pPr>
        <w:spacing w:line="221" w:lineRule="auto"/>
        <w:rPr>
          <w:rFonts w:ascii="宋体" w:hAnsi="宋体" w:eastAsia="宋体" w:cs="宋体"/>
          <w:sz w:val="21"/>
          <w:szCs w:val="21"/>
        </w:rPr>
        <w:sectPr>
          <w:footerReference r:id="rId205" w:type="default"/>
          <w:pgSz w:w="11905" w:h="16843"/>
          <w:pgMar w:top="969" w:right="1355" w:bottom="1026" w:left="1480" w:header="0" w:footer="754" w:gutter="0"/>
          <w:cols w:space="0" w:num="1"/>
          <w:rtlGutter w:val="0"/>
          <w:docGrid w:linePitch="0" w:charSpace="0"/>
        </w:sectPr>
      </w:pPr>
    </w:p>
    <w:p w14:paraId="38BEA200">
      <w:pPr>
        <w:pStyle w:val="5"/>
        <w:spacing w:line="268" w:lineRule="auto"/>
      </w:pPr>
    </w:p>
    <w:p w14:paraId="0ABC0AC2">
      <w:pPr>
        <w:pStyle w:val="5"/>
        <w:spacing w:line="268" w:lineRule="auto"/>
      </w:pPr>
    </w:p>
    <w:p w14:paraId="622B883D">
      <w:pPr>
        <w:pStyle w:val="5"/>
        <w:spacing w:line="268" w:lineRule="auto"/>
      </w:pPr>
    </w:p>
    <w:p w14:paraId="69B499BD">
      <w:pPr>
        <w:pStyle w:val="5"/>
        <w:spacing w:line="268" w:lineRule="auto"/>
      </w:pPr>
    </w:p>
    <w:p w14:paraId="66A4FEA2">
      <w:pPr>
        <w:pStyle w:val="5"/>
        <w:spacing w:line="269" w:lineRule="auto"/>
      </w:pPr>
    </w:p>
    <w:p w14:paraId="47F7E501">
      <w:pPr>
        <w:pStyle w:val="5"/>
        <w:spacing w:line="269" w:lineRule="auto"/>
      </w:pPr>
    </w:p>
    <w:p w14:paraId="33954958">
      <w:pPr>
        <w:pStyle w:val="5"/>
        <w:spacing w:line="269" w:lineRule="auto"/>
      </w:pPr>
    </w:p>
    <w:p w14:paraId="0116DFD5">
      <w:pPr>
        <w:spacing w:before="78" w:line="232" w:lineRule="auto"/>
        <w:ind w:left="2296"/>
        <w:outlineLvl w:val="2"/>
        <w:rPr>
          <w:rFonts w:ascii="黑体" w:hAnsi="黑体" w:eastAsia="黑体" w:cs="黑体"/>
          <w:sz w:val="24"/>
          <w:szCs w:val="24"/>
        </w:rPr>
      </w:pPr>
      <w:bookmarkStart w:id="1383" w:name="bookmark670"/>
      <w:bookmarkEnd w:id="1383"/>
      <w:bookmarkStart w:id="1384" w:name="bookmark452"/>
      <w:bookmarkEnd w:id="1384"/>
      <w:r>
        <w:rPr>
          <w:rFonts w:ascii="Times New Roman" w:hAnsi="Times New Roman" w:eastAsia="Times New Roman" w:cs="Times New Roman"/>
          <w:spacing w:val="-2"/>
          <w:sz w:val="24"/>
          <w:szCs w:val="24"/>
        </w:rPr>
        <w:t xml:space="preserve">1-3 </w:t>
      </w:r>
      <w:r>
        <w:rPr>
          <w:rFonts w:ascii="黑体" w:hAnsi="黑体" w:eastAsia="黑体" w:cs="黑体"/>
          <w:spacing w:val="-2"/>
          <w:sz w:val="24"/>
          <w:szCs w:val="24"/>
        </w:rPr>
        <w:t>项目管理机构主要人员及简历表</w:t>
      </w:r>
    </w:p>
    <w:p w14:paraId="651F3177">
      <w:pPr>
        <w:pStyle w:val="5"/>
        <w:spacing w:line="470" w:lineRule="auto"/>
      </w:pPr>
    </w:p>
    <w:p w14:paraId="7EC48B9E">
      <w:pPr>
        <w:spacing w:before="68" w:line="219" w:lineRule="auto"/>
        <w:ind w:left="330"/>
        <w:rPr>
          <w:rFonts w:ascii="宋体" w:hAnsi="宋体" w:eastAsia="宋体" w:cs="宋体"/>
          <w:sz w:val="21"/>
          <w:szCs w:val="21"/>
        </w:rPr>
      </w:pPr>
      <w:r>
        <w:rPr>
          <w:rFonts w:ascii="黑体" w:hAnsi="黑体" w:eastAsia="黑体" w:cs="黑体"/>
          <w:spacing w:val="-5"/>
          <w:sz w:val="21"/>
          <w:szCs w:val="21"/>
        </w:rPr>
        <w:t>说明：</w:t>
      </w:r>
      <w:r>
        <w:rPr>
          <w:rFonts w:ascii="宋体" w:hAnsi="宋体" w:eastAsia="宋体" w:cs="宋体"/>
          <w:spacing w:val="-5"/>
          <w:sz w:val="21"/>
          <w:szCs w:val="21"/>
        </w:rPr>
        <w:t>“项目管理机构主要人员及简历表”同本章</w:t>
      </w:r>
      <w:r>
        <w:rPr>
          <w:rFonts w:ascii="宋体" w:hAnsi="宋体" w:eastAsia="宋体" w:cs="宋体"/>
          <w:spacing w:val="-6"/>
          <w:sz w:val="21"/>
          <w:szCs w:val="21"/>
        </w:rPr>
        <w:t>第七节。</w:t>
      </w:r>
    </w:p>
    <w:p w14:paraId="6251C5CE">
      <w:pPr>
        <w:spacing w:line="219" w:lineRule="auto"/>
        <w:rPr>
          <w:rFonts w:ascii="宋体" w:hAnsi="宋体" w:eastAsia="宋体" w:cs="宋体"/>
          <w:sz w:val="21"/>
          <w:szCs w:val="21"/>
        </w:rPr>
        <w:sectPr>
          <w:footerReference r:id="rId206" w:type="default"/>
          <w:pgSz w:w="11905" w:h="16843"/>
          <w:pgMar w:top="969" w:right="1355" w:bottom="1026" w:left="1480" w:header="0" w:footer="754" w:gutter="0"/>
          <w:cols w:space="0" w:num="1"/>
          <w:rtlGutter w:val="0"/>
          <w:docGrid w:linePitch="0" w:charSpace="0"/>
        </w:sectPr>
      </w:pPr>
    </w:p>
    <w:p w14:paraId="09F2EB65">
      <w:pPr>
        <w:pStyle w:val="5"/>
        <w:spacing w:line="246" w:lineRule="auto"/>
      </w:pPr>
    </w:p>
    <w:p w14:paraId="0A2D381F">
      <w:pPr>
        <w:pStyle w:val="5"/>
        <w:spacing w:line="246" w:lineRule="auto"/>
      </w:pPr>
    </w:p>
    <w:p w14:paraId="41BE2D79">
      <w:pPr>
        <w:pStyle w:val="5"/>
        <w:spacing w:line="246" w:lineRule="auto"/>
      </w:pPr>
    </w:p>
    <w:p w14:paraId="6467E3D2">
      <w:pPr>
        <w:pStyle w:val="5"/>
        <w:spacing w:line="247" w:lineRule="auto"/>
      </w:pPr>
    </w:p>
    <w:p w14:paraId="331B5AFC">
      <w:pPr>
        <w:pStyle w:val="5"/>
        <w:spacing w:line="247" w:lineRule="auto"/>
      </w:pPr>
    </w:p>
    <w:p w14:paraId="01EB33CD">
      <w:pPr>
        <w:pStyle w:val="5"/>
        <w:spacing w:line="247" w:lineRule="auto"/>
      </w:pPr>
    </w:p>
    <w:p w14:paraId="5EFDCBC1">
      <w:pPr>
        <w:pStyle w:val="5"/>
        <w:spacing w:line="247" w:lineRule="auto"/>
      </w:pPr>
    </w:p>
    <w:p w14:paraId="33B75221">
      <w:pPr>
        <w:spacing w:before="78" w:line="233" w:lineRule="auto"/>
        <w:ind w:left="2608"/>
        <w:outlineLvl w:val="2"/>
        <w:rPr>
          <w:rFonts w:ascii="黑体" w:hAnsi="黑体" w:eastAsia="黑体" w:cs="黑体"/>
          <w:sz w:val="24"/>
          <w:szCs w:val="24"/>
        </w:rPr>
      </w:pPr>
      <w:bookmarkStart w:id="1385" w:name="bookmark453"/>
      <w:bookmarkEnd w:id="1385"/>
      <w:bookmarkStart w:id="1386" w:name="bookmark671"/>
      <w:bookmarkEnd w:id="1386"/>
      <w:r>
        <w:rPr>
          <w:rFonts w:ascii="Times New Roman" w:hAnsi="Times New Roman" w:eastAsia="Times New Roman" w:cs="Times New Roman"/>
          <w:spacing w:val="-2"/>
          <w:sz w:val="24"/>
          <w:szCs w:val="24"/>
        </w:rPr>
        <w:t xml:space="preserve">1-4 </w:t>
      </w:r>
      <w:r>
        <w:rPr>
          <w:rFonts w:ascii="黑体" w:hAnsi="黑体" w:eastAsia="黑体" w:cs="黑体"/>
          <w:spacing w:val="-2"/>
          <w:sz w:val="24"/>
          <w:szCs w:val="24"/>
        </w:rPr>
        <w:t>拟投入主要施工机械设备情况表</w:t>
      </w:r>
    </w:p>
    <w:p w14:paraId="1C78E48F">
      <w:pPr>
        <w:spacing w:before="142"/>
      </w:pPr>
    </w:p>
    <w:tbl>
      <w:tblPr>
        <w:tblStyle w:val="10"/>
        <w:tblW w:w="888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1266"/>
        <w:gridCol w:w="1267"/>
        <w:gridCol w:w="1268"/>
        <w:gridCol w:w="1267"/>
        <w:gridCol w:w="1266"/>
        <w:gridCol w:w="1277"/>
      </w:tblGrid>
      <w:tr w14:paraId="732F4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77" w:type="dxa"/>
            <w:tcBorders>
              <w:top w:val="single" w:color="000000" w:sz="6" w:space="0"/>
              <w:left w:val="single" w:color="000000" w:sz="6" w:space="0"/>
            </w:tcBorders>
            <w:vAlign w:val="top"/>
          </w:tcPr>
          <w:p w14:paraId="6FB405EA">
            <w:pPr>
              <w:pStyle w:val="11"/>
              <w:spacing w:before="100" w:line="244" w:lineRule="auto"/>
              <w:ind w:left="528" w:right="110" w:hanging="419"/>
            </w:pPr>
            <w:r>
              <w:rPr>
                <w:spacing w:val="-1"/>
              </w:rPr>
              <w:t>机械设备名</w:t>
            </w:r>
            <w:r>
              <w:t>称</w:t>
            </w:r>
          </w:p>
        </w:tc>
        <w:tc>
          <w:tcPr>
            <w:tcW w:w="1266" w:type="dxa"/>
            <w:tcBorders>
              <w:top w:val="single" w:color="000000" w:sz="6" w:space="0"/>
            </w:tcBorders>
            <w:vAlign w:val="top"/>
          </w:tcPr>
          <w:p w14:paraId="4075FAD7">
            <w:pPr>
              <w:pStyle w:val="11"/>
              <w:spacing w:before="237" w:line="221" w:lineRule="auto"/>
              <w:ind w:left="220"/>
            </w:pPr>
            <w:r>
              <w:rPr>
                <w:spacing w:val="-3"/>
              </w:rPr>
              <w:t>型号规格</w:t>
            </w:r>
          </w:p>
        </w:tc>
        <w:tc>
          <w:tcPr>
            <w:tcW w:w="1267" w:type="dxa"/>
            <w:tcBorders>
              <w:top w:val="single" w:color="000000" w:sz="6" w:space="0"/>
            </w:tcBorders>
            <w:vAlign w:val="top"/>
          </w:tcPr>
          <w:p w14:paraId="02130585">
            <w:pPr>
              <w:pStyle w:val="11"/>
              <w:spacing w:before="237" w:line="221" w:lineRule="auto"/>
              <w:ind w:left="323"/>
            </w:pPr>
            <w:r>
              <w:rPr>
                <w:spacing w:val="-5"/>
              </w:rPr>
              <w:t>数</w:t>
            </w:r>
            <w:r>
              <w:rPr>
                <w:spacing w:val="4"/>
              </w:rPr>
              <w:t xml:space="preserve">  </w:t>
            </w:r>
            <w:r>
              <w:rPr>
                <w:spacing w:val="-5"/>
              </w:rPr>
              <w:t>量</w:t>
            </w:r>
          </w:p>
        </w:tc>
        <w:tc>
          <w:tcPr>
            <w:tcW w:w="1268" w:type="dxa"/>
            <w:tcBorders>
              <w:top w:val="single" w:color="000000" w:sz="6" w:space="0"/>
            </w:tcBorders>
            <w:vAlign w:val="top"/>
          </w:tcPr>
          <w:p w14:paraId="200AC0E7">
            <w:pPr>
              <w:pStyle w:val="11"/>
              <w:spacing w:before="237" w:line="221" w:lineRule="auto"/>
              <w:ind w:left="258"/>
            </w:pPr>
            <w:r>
              <w:rPr>
                <w:spacing w:val="-12"/>
              </w:rPr>
              <w:t>目前状况</w:t>
            </w:r>
          </w:p>
        </w:tc>
        <w:tc>
          <w:tcPr>
            <w:tcW w:w="1267" w:type="dxa"/>
            <w:tcBorders>
              <w:top w:val="single" w:color="000000" w:sz="6" w:space="0"/>
            </w:tcBorders>
            <w:vAlign w:val="top"/>
          </w:tcPr>
          <w:p w14:paraId="12C3BFED">
            <w:pPr>
              <w:pStyle w:val="11"/>
              <w:spacing w:before="237" w:line="221" w:lineRule="auto"/>
              <w:ind w:left="326"/>
            </w:pPr>
            <w:r>
              <w:rPr>
                <w:spacing w:val="-4"/>
              </w:rPr>
              <w:t>来</w:t>
            </w:r>
            <w:r>
              <w:rPr>
                <w:spacing w:val="4"/>
              </w:rPr>
              <w:t xml:space="preserve">  </w:t>
            </w:r>
            <w:r>
              <w:rPr>
                <w:spacing w:val="-4"/>
              </w:rPr>
              <w:t>源</w:t>
            </w:r>
          </w:p>
        </w:tc>
        <w:tc>
          <w:tcPr>
            <w:tcW w:w="1266" w:type="dxa"/>
            <w:tcBorders>
              <w:top w:val="single" w:color="000000" w:sz="6" w:space="0"/>
            </w:tcBorders>
            <w:vAlign w:val="top"/>
          </w:tcPr>
          <w:p w14:paraId="4990D82A">
            <w:pPr>
              <w:pStyle w:val="11"/>
              <w:spacing w:before="238" w:line="221" w:lineRule="auto"/>
              <w:ind w:left="119"/>
            </w:pPr>
            <w:r>
              <w:rPr>
                <w:spacing w:val="-2"/>
              </w:rPr>
              <w:t>现停放地点</w:t>
            </w:r>
          </w:p>
        </w:tc>
        <w:tc>
          <w:tcPr>
            <w:tcW w:w="1277" w:type="dxa"/>
            <w:tcBorders>
              <w:top w:val="single" w:color="000000" w:sz="6" w:space="0"/>
              <w:right w:val="single" w:color="000000" w:sz="6" w:space="0"/>
            </w:tcBorders>
            <w:vAlign w:val="top"/>
          </w:tcPr>
          <w:p w14:paraId="22693F5E">
            <w:pPr>
              <w:pStyle w:val="11"/>
              <w:spacing w:before="237" w:line="222" w:lineRule="auto"/>
              <w:ind w:left="332"/>
            </w:pPr>
            <w:r>
              <w:rPr>
                <w:spacing w:val="-5"/>
              </w:rPr>
              <w:t>备</w:t>
            </w:r>
            <w:r>
              <w:rPr>
                <w:spacing w:val="4"/>
              </w:rPr>
              <w:t xml:space="preserve">  </w:t>
            </w:r>
            <w:r>
              <w:rPr>
                <w:spacing w:val="-5"/>
              </w:rPr>
              <w:t>注</w:t>
            </w:r>
          </w:p>
        </w:tc>
      </w:tr>
      <w:tr w14:paraId="1841F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77" w:type="dxa"/>
            <w:tcBorders>
              <w:left w:val="single" w:color="000000" w:sz="6" w:space="0"/>
            </w:tcBorders>
            <w:vAlign w:val="top"/>
          </w:tcPr>
          <w:p w14:paraId="63975992">
            <w:pPr>
              <w:rPr>
                <w:rFonts w:ascii="Arial"/>
                <w:sz w:val="21"/>
              </w:rPr>
            </w:pPr>
          </w:p>
        </w:tc>
        <w:tc>
          <w:tcPr>
            <w:tcW w:w="1266" w:type="dxa"/>
            <w:vAlign w:val="top"/>
          </w:tcPr>
          <w:p w14:paraId="1A39B68F">
            <w:pPr>
              <w:rPr>
                <w:rFonts w:ascii="Arial"/>
                <w:sz w:val="21"/>
              </w:rPr>
            </w:pPr>
          </w:p>
        </w:tc>
        <w:tc>
          <w:tcPr>
            <w:tcW w:w="1267" w:type="dxa"/>
            <w:vAlign w:val="top"/>
          </w:tcPr>
          <w:p w14:paraId="6833688B">
            <w:pPr>
              <w:rPr>
                <w:rFonts w:ascii="Arial"/>
                <w:sz w:val="21"/>
              </w:rPr>
            </w:pPr>
          </w:p>
        </w:tc>
        <w:tc>
          <w:tcPr>
            <w:tcW w:w="1268" w:type="dxa"/>
            <w:vAlign w:val="top"/>
          </w:tcPr>
          <w:p w14:paraId="1E06BA88">
            <w:pPr>
              <w:rPr>
                <w:rFonts w:ascii="Arial"/>
                <w:sz w:val="21"/>
              </w:rPr>
            </w:pPr>
          </w:p>
        </w:tc>
        <w:tc>
          <w:tcPr>
            <w:tcW w:w="1267" w:type="dxa"/>
            <w:vAlign w:val="top"/>
          </w:tcPr>
          <w:p w14:paraId="1DDBCAC5">
            <w:pPr>
              <w:rPr>
                <w:rFonts w:ascii="Arial"/>
                <w:sz w:val="21"/>
              </w:rPr>
            </w:pPr>
          </w:p>
        </w:tc>
        <w:tc>
          <w:tcPr>
            <w:tcW w:w="1266" w:type="dxa"/>
            <w:vAlign w:val="top"/>
          </w:tcPr>
          <w:p w14:paraId="25E7893E">
            <w:pPr>
              <w:rPr>
                <w:rFonts w:ascii="Arial"/>
                <w:sz w:val="21"/>
              </w:rPr>
            </w:pPr>
          </w:p>
        </w:tc>
        <w:tc>
          <w:tcPr>
            <w:tcW w:w="1277" w:type="dxa"/>
            <w:tcBorders>
              <w:right w:val="single" w:color="000000" w:sz="6" w:space="0"/>
            </w:tcBorders>
            <w:vAlign w:val="top"/>
          </w:tcPr>
          <w:p w14:paraId="77E61807">
            <w:pPr>
              <w:rPr>
                <w:rFonts w:ascii="Arial"/>
                <w:sz w:val="21"/>
              </w:rPr>
            </w:pPr>
          </w:p>
        </w:tc>
      </w:tr>
      <w:tr w14:paraId="79F3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77" w:type="dxa"/>
            <w:tcBorders>
              <w:left w:val="single" w:color="000000" w:sz="6" w:space="0"/>
            </w:tcBorders>
            <w:vAlign w:val="top"/>
          </w:tcPr>
          <w:p w14:paraId="7EEAD3D4">
            <w:pPr>
              <w:rPr>
                <w:rFonts w:ascii="Arial"/>
                <w:sz w:val="21"/>
              </w:rPr>
            </w:pPr>
          </w:p>
        </w:tc>
        <w:tc>
          <w:tcPr>
            <w:tcW w:w="1266" w:type="dxa"/>
            <w:vAlign w:val="top"/>
          </w:tcPr>
          <w:p w14:paraId="774155C1">
            <w:pPr>
              <w:rPr>
                <w:rFonts w:ascii="Arial"/>
                <w:sz w:val="21"/>
              </w:rPr>
            </w:pPr>
          </w:p>
        </w:tc>
        <w:tc>
          <w:tcPr>
            <w:tcW w:w="1267" w:type="dxa"/>
            <w:vAlign w:val="top"/>
          </w:tcPr>
          <w:p w14:paraId="666BB051">
            <w:pPr>
              <w:rPr>
                <w:rFonts w:ascii="Arial"/>
                <w:sz w:val="21"/>
              </w:rPr>
            </w:pPr>
          </w:p>
        </w:tc>
        <w:tc>
          <w:tcPr>
            <w:tcW w:w="1268" w:type="dxa"/>
            <w:vAlign w:val="top"/>
          </w:tcPr>
          <w:p w14:paraId="106E8CB1">
            <w:pPr>
              <w:rPr>
                <w:rFonts w:ascii="Arial"/>
                <w:sz w:val="21"/>
              </w:rPr>
            </w:pPr>
          </w:p>
        </w:tc>
        <w:tc>
          <w:tcPr>
            <w:tcW w:w="1267" w:type="dxa"/>
            <w:vAlign w:val="top"/>
          </w:tcPr>
          <w:p w14:paraId="49B4B29E">
            <w:pPr>
              <w:rPr>
                <w:rFonts w:ascii="Arial"/>
                <w:sz w:val="21"/>
              </w:rPr>
            </w:pPr>
          </w:p>
        </w:tc>
        <w:tc>
          <w:tcPr>
            <w:tcW w:w="1266" w:type="dxa"/>
            <w:vAlign w:val="top"/>
          </w:tcPr>
          <w:p w14:paraId="055CF9BA">
            <w:pPr>
              <w:rPr>
                <w:rFonts w:ascii="Arial"/>
                <w:sz w:val="21"/>
              </w:rPr>
            </w:pPr>
          </w:p>
        </w:tc>
        <w:tc>
          <w:tcPr>
            <w:tcW w:w="1277" w:type="dxa"/>
            <w:tcBorders>
              <w:right w:val="single" w:color="000000" w:sz="6" w:space="0"/>
            </w:tcBorders>
            <w:vAlign w:val="top"/>
          </w:tcPr>
          <w:p w14:paraId="24C1BA51">
            <w:pPr>
              <w:rPr>
                <w:rFonts w:ascii="Arial"/>
                <w:sz w:val="21"/>
              </w:rPr>
            </w:pPr>
          </w:p>
        </w:tc>
      </w:tr>
      <w:tr w14:paraId="5059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77" w:type="dxa"/>
            <w:tcBorders>
              <w:left w:val="single" w:color="000000" w:sz="6" w:space="0"/>
            </w:tcBorders>
            <w:vAlign w:val="top"/>
          </w:tcPr>
          <w:p w14:paraId="5F3C025A">
            <w:pPr>
              <w:rPr>
                <w:rFonts w:ascii="Arial"/>
                <w:sz w:val="21"/>
              </w:rPr>
            </w:pPr>
          </w:p>
        </w:tc>
        <w:tc>
          <w:tcPr>
            <w:tcW w:w="1266" w:type="dxa"/>
            <w:vAlign w:val="top"/>
          </w:tcPr>
          <w:p w14:paraId="049D3626">
            <w:pPr>
              <w:rPr>
                <w:rFonts w:ascii="Arial"/>
                <w:sz w:val="21"/>
              </w:rPr>
            </w:pPr>
          </w:p>
        </w:tc>
        <w:tc>
          <w:tcPr>
            <w:tcW w:w="1267" w:type="dxa"/>
            <w:vAlign w:val="top"/>
          </w:tcPr>
          <w:p w14:paraId="00AD3B2F">
            <w:pPr>
              <w:rPr>
                <w:rFonts w:ascii="Arial"/>
                <w:sz w:val="21"/>
              </w:rPr>
            </w:pPr>
          </w:p>
        </w:tc>
        <w:tc>
          <w:tcPr>
            <w:tcW w:w="1268" w:type="dxa"/>
            <w:vAlign w:val="top"/>
          </w:tcPr>
          <w:p w14:paraId="53AC3481">
            <w:pPr>
              <w:rPr>
                <w:rFonts w:ascii="Arial"/>
                <w:sz w:val="21"/>
              </w:rPr>
            </w:pPr>
          </w:p>
        </w:tc>
        <w:tc>
          <w:tcPr>
            <w:tcW w:w="1267" w:type="dxa"/>
            <w:vAlign w:val="top"/>
          </w:tcPr>
          <w:p w14:paraId="7C6AB42E">
            <w:pPr>
              <w:rPr>
                <w:rFonts w:ascii="Arial"/>
                <w:sz w:val="21"/>
              </w:rPr>
            </w:pPr>
          </w:p>
        </w:tc>
        <w:tc>
          <w:tcPr>
            <w:tcW w:w="1266" w:type="dxa"/>
            <w:vAlign w:val="top"/>
          </w:tcPr>
          <w:p w14:paraId="0A6BB460">
            <w:pPr>
              <w:rPr>
                <w:rFonts w:ascii="Arial"/>
                <w:sz w:val="21"/>
              </w:rPr>
            </w:pPr>
          </w:p>
        </w:tc>
        <w:tc>
          <w:tcPr>
            <w:tcW w:w="1277" w:type="dxa"/>
            <w:tcBorders>
              <w:right w:val="single" w:color="000000" w:sz="6" w:space="0"/>
            </w:tcBorders>
            <w:vAlign w:val="top"/>
          </w:tcPr>
          <w:p w14:paraId="77FDB45A">
            <w:pPr>
              <w:rPr>
                <w:rFonts w:ascii="Arial"/>
                <w:sz w:val="21"/>
              </w:rPr>
            </w:pPr>
          </w:p>
        </w:tc>
      </w:tr>
      <w:tr w14:paraId="6DC9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277" w:type="dxa"/>
            <w:tcBorders>
              <w:left w:val="single" w:color="000000" w:sz="6" w:space="0"/>
            </w:tcBorders>
            <w:vAlign w:val="top"/>
          </w:tcPr>
          <w:p w14:paraId="417DC598">
            <w:pPr>
              <w:rPr>
                <w:rFonts w:ascii="Arial"/>
                <w:sz w:val="21"/>
              </w:rPr>
            </w:pPr>
          </w:p>
        </w:tc>
        <w:tc>
          <w:tcPr>
            <w:tcW w:w="1266" w:type="dxa"/>
            <w:vAlign w:val="top"/>
          </w:tcPr>
          <w:p w14:paraId="752CB8C9">
            <w:pPr>
              <w:rPr>
                <w:rFonts w:ascii="Arial"/>
                <w:sz w:val="21"/>
              </w:rPr>
            </w:pPr>
          </w:p>
        </w:tc>
        <w:tc>
          <w:tcPr>
            <w:tcW w:w="1267" w:type="dxa"/>
            <w:vAlign w:val="top"/>
          </w:tcPr>
          <w:p w14:paraId="45FA3D09">
            <w:pPr>
              <w:rPr>
                <w:rFonts w:ascii="Arial"/>
                <w:sz w:val="21"/>
              </w:rPr>
            </w:pPr>
          </w:p>
        </w:tc>
        <w:tc>
          <w:tcPr>
            <w:tcW w:w="1268" w:type="dxa"/>
            <w:vAlign w:val="top"/>
          </w:tcPr>
          <w:p w14:paraId="01A4687F">
            <w:pPr>
              <w:rPr>
                <w:rFonts w:ascii="Arial"/>
                <w:sz w:val="21"/>
              </w:rPr>
            </w:pPr>
          </w:p>
        </w:tc>
        <w:tc>
          <w:tcPr>
            <w:tcW w:w="1267" w:type="dxa"/>
            <w:vAlign w:val="top"/>
          </w:tcPr>
          <w:p w14:paraId="0FCAC7A2">
            <w:pPr>
              <w:rPr>
                <w:rFonts w:ascii="Arial"/>
                <w:sz w:val="21"/>
              </w:rPr>
            </w:pPr>
          </w:p>
        </w:tc>
        <w:tc>
          <w:tcPr>
            <w:tcW w:w="1266" w:type="dxa"/>
            <w:vAlign w:val="top"/>
          </w:tcPr>
          <w:p w14:paraId="76801303">
            <w:pPr>
              <w:rPr>
                <w:rFonts w:ascii="Arial"/>
                <w:sz w:val="21"/>
              </w:rPr>
            </w:pPr>
          </w:p>
        </w:tc>
        <w:tc>
          <w:tcPr>
            <w:tcW w:w="1277" w:type="dxa"/>
            <w:tcBorders>
              <w:right w:val="single" w:color="000000" w:sz="6" w:space="0"/>
            </w:tcBorders>
            <w:vAlign w:val="top"/>
          </w:tcPr>
          <w:p w14:paraId="0C86D248">
            <w:pPr>
              <w:rPr>
                <w:rFonts w:ascii="Arial"/>
                <w:sz w:val="21"/>
              </w:rPr>
            </w:pPr>
          </w:p>
        </w:tc>
      </w:tr>
      <w:tr w14:paraId="1BD6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7" w:type="dxa"/>
            <w:tcBorders>
              <w:left w:val="single" w:color="000000" w:sz="6" w:space="0"/>
            </w:tcBorders>
            <w:vAlign w:val="top"/>
          </w:tcPr>
          <w:p w14:paraId="7E87449E">
            <w:pPr>
              <w:rPr>
                <w:rFonts w:ascii="Arial"/>
                <w:sz w:val="21"/>
              </w:rPr>
            </w:pPr>
          </w:p>
        </w:tc>
        <w:tc>
          <w:tcPr>
            <w:tcW w:w="1266" w:type="dxa"/>
            <w:vAlign w:val="top"/>
          </w:tcPr>
          <w:p w14:paraId="6D1F9386">
            <w:pPr>
              <w:rPr>
                <w:rFonts w:ascii="Arial"/>
                <w:sz w:val="21"/>
              </w:rPr>
            </w:pPr>
          </w:p>
        </w:tc>
        <w:tc>
          <w:tcPr>
            <w:tcW w:w="1267" w:type="dxa"/>
            <w:vAlign w:val="top"/>
          </w:tcPr>
          <w:p w14:paraId="2DE5D1B8">
            <w:pPr>
              <w:rPr>
                <w:rFonts w:ascii="Arial"/>
                <w:sz w:val="21"/>
              </w:rPr>
            </w:pPr>
          </w:p>
        </w:tc>
        <w:tc>
          <w:tcPr>
            <w:tcW w:w="1268" w:type="dxa"/>
            <w:vAlign w:val="top"/>
          </w:tcPr>
          <w:p w14:paraId="51E15D53">
            <w:pPr>
              <w:rPr>
                <w:rFonts w:ascii="Arial"/>
                <w:sz w:val="21"/>
              </w:rPr>
            </w:pPr>
          </w:p>
        </w:tc>
        <w:tc>
          <w:tcPr>
            <w:tcW w:w="1267" w:type="dxa"/>
            <w:vAlign w:val="top"/>
          </w:tcPr>
          <w:p w14:paraId="551EF2C8">
            <w:pPr>
              <w:rPr>
                <w:rFonts w:ascii="Arial"/>
                <w:sz w:val="21"/>
              </w:rPr>
            </w:pPr>
          </w:p>
        </w:tc>
        <w:tc>
          <w:tcPr>
            <w:tcW w:w="1266" w:type="dxa"/>
            <w:vAlign w:val="top"/>
          </w:tcPr>
          <w:p w14:paraId="36ADFE06">
            <w:pPr>
              <w:rPr>
                <w:rFonts w:ascii="Arial"/>
                <w:sz w:val="21"/>
              </w:rPr>
            </w:pPr>
          </w:p>
        </w:tc>
        <w:tc>
          <w:tcPr>
            <w:tcW w:w="1277" w:type="dxa"/>
            <w:tcBorders>
              <w:right w:val="single" w:color="000000" w:sz="6" w:space="0"/>
            </w:tcBorders>
            <w:vAlign w:val="top"/>
          </w:tcPr>
          <w:p w14:paraId="060C4195">
            <w:pPr>
              <w:rPr>
                <w:rFonts w:ascii="Arial"/>
                <w:sz w:val="21"/>
              </w:rPr>
            </w:pPr>
          </w:p>
        </w:tc>
      </w:tr>
      <w:tr w14:paraId="4A24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77" w:type="dxa"/>
            <w:tcBorders>
              <w:left w:val="single" w:color="000000" w:sz="6" w:space="0"/>
            </w:tcBorders>
            <w:vAlign w:val="top"/>
          </w:tcPr>
          <w:p w14:paraId="776AC3D9">
            <w:pPr>
              <w:rPr>
                <w:rFonts w:ascii="Arial"/>
                <w:sz w:val="21"/>
              </w:rPr>
            </w:pPr>
          </w:p>
        </w:tc>
        <w:tc>
          <w:tcPr>
            <w:tcW w:w="1266" w:type="dxa"/>
            <w:vAlign w:val="top"/>
          </w:tcPr>
          <w:p w14:paraId="3310FA06">
            <w:pPr>
              <w:rPr>
                <w:rFonts w:ascii="Arial"/>
                <w:sz w:val="21"/>
              </w:rPr>
            </w:pPr>
          </w:p>
        </w:tc>
        <w:tc>
          <w:tcPr>
            <w:tcW w:w="1267" w:type="dxa"/>
            <w:vAlign w:val="top"/>
          </w:tcPr>
          <w:p w14:paraId="10665798">
            <w:pPr>
              <w:rPr>
                <w:rFonts w:ascii="Arial"/>
                <w:sz w:val="21"/>
              </w:rPr>
            </w:pPr>
          </w:p>
        </w:tc>
        <w:tc>
          <w:tcPr>
            <w:tcW w:w="1268" w:type="dxa"/>
            <w:vAlign w:val="top"/>
          </w:tcPr>
          <w:p w14:paraId="480B8542">
            <w:pPr>
              <w:rPr>
                <w:rFonts w:ascii="Arial"/>
                <w:sz w:val="21"/>
              </w:rPr>
            </w:pPr>
          </w:p>
        </w:tc>
        <w:tc>
          <w:tcPr>
            <w:tcW w:w="1267" w:type="dxa"/>
            <w:vAlign w:val="top"/>
          </w:tcPr>
          <w:p w14:paraId="28F5B735">
            <w:pPr>
              <w:rPr>
                <w:rFonts w:ascii="Arial"/>
                <w:sz w:val="21"/>
              </w:rPr>
            </w:pPr>
          </w:p>
        </w:tc>
        <w:tc>
          <w:tcPr>
            <w:tcW w:w="1266" w:type="dxa"/>
            <w:vAlign w:val="top"/>
          </w:tcPr>
          <w:p w14:paraId="5F1D17E5">
            <w:pPr>
              <w:rPr>
                <w:rFonts w:ascii="Arial"/>
                <w:sz w:val="21"/>
              </w:rPr>
            </w:pPr>
          </w:p>
        </w:tc>
        <w:tc>
          <w:tcPr>
            <w:tcW w:w="1277" w:type="dxa"/>
            <w:tcBorders>
              <w:right w:val="single" w:color="000000" w:sz="6" w:space="0"/>
            </w:tcBorders>
            <w:vAlign w:val="top"/>
          </w:tcPr>
          <w:p w14:paraId="429A392A">
            <w:pPr>
              <w:rPr>
                <w:rFonts w:ascii="Arial"/>
                <w:sz w:val="21"/>
              </w:rPr>
            </w:pPr>
          </w:p>
        </w:tc>
      </w:tr>
      <w:tr w14:paraId="7C03C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7" w:type="dxa"/>
            <w:tcBorders>
              <w:left w:val="single" w:color="000000" w:sz="6" w:space="0"/>
            </w:tcBorders>
            <w:vAlign w:val="top"/>
          </w:tcPr>
          <w:p w14:paraId="79E83AD3">
            <w:pPr>
              <w:rPr>
                <w:rFonts w:ascii="Arial"/>
                <w:sz w:val="21"/>
              </w:rPr>
            </w:pPr>
          </w:p>
        </w:tc>
        <w:tc>
          <w:tcPr>
            <w:tcW w:w="1266" w:type="dxa"/>
            <w:vAlign w:val="top"/>
          </w:tcPr>
          <w:p w14:paraId="4A525DEF">
            <w:pPr>
              <w:rPr>
                <w:rFonts w:ascii="Arial"/>
                <w:sz w:val="21"/>
              </w:rPr>
            </w:pPr>
          </w:p>
        </w:tc>
        <w:tc>
          <w:tcPr>
            <w:tcW w:w="1267" w:type="dxa"/>
            <w:vAlign w:val="top"/>
          </w:tcPr>
          <w:p w14:paraId="36C615AF">
            <w:pPr>
              <w:rPr>
                <w:rFonts w:ascii="Arial"/>
                <w:sz w:val="21"/>
              </w:rPr>
            </w:pPr>
          </w:p>
        </w:tc>
        <w:tc>
          <w:tcPr>
            <w:tcW w:w="1268" w:type="dxa"/>
            <w:vAlign w:val="top"/>
          </w:tcPr>
          <w:p w14:paraId="3112FD60">
            <w:pPr>
              <w:rPr>
                <w:rFonts w:ascii="Arial"/>
                <w:sz w:val="21"/>
              </w:rPr>
            </w:pPr>
          </w:p>
        </w:tc>
        <w:tc>
          <w:tcPr>
            <w:tcW w:w="1267" w:type="dxa"/>
            <w:vAlign w:val="top"/>
          </w:tcPr>
          <w:p w14:paraId="380C4340">
            <w:pPr>
              <w:rPr>
                <w:rFonts w:ascii="Arial"/>
                <w:sz w:val="21"/>
              </w:rPr>
            </w:pPr>
          </w:p>
        </w:tc>
        <w:tc>
          <w:tcPr>
            <w:tcW w:w="1266" w:type="dxa"/>
            <w:vAlign w:val="top"/>
          </w:tcPr>
          <w:p w14:paraId="1759F96A">
            <w:pPr>
              <w:rPr>
                <w:rFonts w:ascii="Arial"/>
                <w:sz w:val="21"/>
              </w:rPr>
            </w:pPr>
          </w:p>
        </w:tc>
        <w:tc>
          <w:tcPr>
            <w:tcW w:w="1277" w:type="dxa"/>
            <w:tcBorders>
              <w:right w:val="single" w:color="000000" w:sz="6" w:space="0"/>
            </w:tcBorders>
            <w:vAlign w:val="top"/>
          </w:tcPr>
          <w:p w14:paraId="739971AB">
            <w:pPr>
              <w:rPr>
                <w:rFonts w:ascii="Arial"/>
                <w:sz w:val="21"/>
              </w:rPr>
            </w:pPr>
          </w:p>
        </w:tc>
      </w:tr>
      <w:tr w14:paraId="2124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77" w:type="dxa"/>
            <w:tcBorders>
              <w:left w:val="single" w:color="000000" w:sz="6" w:space="0"/>
              <w:bottom w:val="single" w:color="000000" w:sz="6" w:space="0"/>
            </w:tcBorders>
            <w:vAlign w:val="top"/>
          </w:tcPr>
          <w:p w14:paraId="007C3B14">
            <w:pPr>
              <w:rPr>
                <w:rFonts w:ascii="Arial"/>
                <w:sz w:val="21"/>
              </w:rPr>
            </w:pPr>
          </w:p>
        </w:tc>
        <w:tc>
          <w:tcPr>
            <w:tcW w:w="1266" w:type="dxa"/>
            <w:tcBorders>
              <w:bottom w:val="single" w:color="000000" w:sz="6" w:space="0"/>
            </w:tcBorders>
            <w:vAlign w:val="top"/>
          </w:tcPr>
          <w:p w14:paraId="2898BBD8">
            <w:pPr>
              <w:rPr>
                <w:rFonts w:ascii="Arial"/>
                <w:sz w:val="21"/>
              </w:rPr>
            </w:pPr>
          </w:p>
        </w:tc>
        <w:tc>
          <w:tcPr>
            <w:tcW w:w="1267" w:type="dxa"/>
            <w:tcBorders>
              <w:bottom w:val="single" w:color="000000" w:sz="6" w:space="0"/>
            </w:tcBorders>
            <w:vAlign w:val="top"/>
          </w:tcPr>
          <w:p w14:paraId="531AEBBA">
            <w:pPr>
              <w:rPr>
                <w:rFonts w:ascii="Arial"/>
                <w:sz w:val="21"/>
              </w:rPr>
            </w:pPr>
          </w:p>
        </w:tc>
        <w:tc>
          <w:tcPr>
            <w:tcW w:w="1268" w:type="dxa"/>
            <w:tcBorders>
              <w:bottom w:val="single" w:color="000000" w:sz="6" w:space="0"/>
            </w:tcBorders>
            <w:vAlign w:val="top"/>
          </w:tcPr>
          <w:p w14:paraId="270EF44F">
            <w:pPr>
              <w:rPr>
                <w:rFonts w:ascii="Arial"/>
                <w:sz w:val="21"/>
              </w:rPr>
            </w:pPr>
          </w:p>
        </w:tc>
        <w:tc>
          <w:tcPr>
            <w:tcW w:w="1267" w:type="dxa"/>
            <w:tcBorders>
              <w:bottom w:val="single" w:color="000000" w:sz="6" w:space="0"/>
            </w:tcBorders>
            <w:vAlign w:val="top"/>
          </w:tcPr>
          <w:p w14:paraId="14B5E042">
            <w:pPr>
              <w:rPr>
                <w:rFonts w:ascii="Arial"/>
                <w:sz w:val="21"/>
              </w:rPr>
            </w:pPr>
          </w:p>
        </w:tc>
        <w:tc>
          <w:tcPr>
            <w:tcW w:w="1266" w:type="dxa"/>
            <w:tcBorders>
              <w:bottom w:val="single" w:color="000000" w:sz="6" w:space="0"/>
            </w:tcBorders>
            <w:vAlign w:val="top"/>
          </w:tcPr>
          <w:p w14:paraId="558E094D">
            <w:pPr>
              <w:rPr>
                <w:rFonts w:ascii="Arial"/>
                <w:sz w:val="21"/>
              </w:rPr>
            </w:pPr>
          </w:p>
        </w:tc>
        <w:tc>
          <w:tcPr>
            <w:tcW w:w="1277" w:type="dxa"/>
            <w:tcBorders>
              <w:bottom w:val="single" w:color="000000" w:sz="6" w:space="0"/>
              <w:right w:val="single" w:color="000000" w:sz="6" w:space="0"/>
            </w:tcBorders>
            <w:vAlign w:val="top"/>
          </w:tcPr>
          <w:p w14:paraId="3A2D421E">
            <w:pPr>
              <w:rPr>
                <w:rFonts w:ascii="Arial"/>
                <w:sz w:val="21"/>
              </w:rPr>
            </w:pPr>
          </w:p>
        </w:tc>
      </w:tr>
    </w:tbl>
    <w:p w14:paraId="3A19B231">
      <w:pPr>
        <w:spacing w:before="137" w:line="221" w:lineRule="auto"/>
        <w:jc w:val="right"/>
        <w:rPr>
          <w:rFonts w:ascii="宋体" w:hAnsi="宋体" w:eastAsia="宋体" w:cs="宋体"/>
          <w:sz w:val="21"/>
          <w:szCs w:val="21"/>
        </w:rPr>
      </w:pPr>
      <w:r>
        <w:rPr>
          <w:rFonts w:ascii="宋体" w:hAnsi="宋体" w:eastAsia="宋体" w:cs="宋体"/>
          <w:spacing w:val="-1"/>
          <w:sz w:val="21"/>
          <w:szCs w:val="21"/>
        </w:rPr>
        <w:t>备注：“目前状况”应说明已使用年限、是否完好以及目前是否正在使用，“来源”分为“自有”</w:t>
      </w:r>
    </w:p>
    <w:p w14:paraId="7EF57788">
      <w:pPr>
        <w:spacing w:before="151" w:line="352" w:lineRule="auto"/>
        <w:ind w:left="640" w:right="107"/>
        <w:rPr>
          <w:rFonts w:ascii="宋体" w:hAnsi="宋体" w:eastAsia="宋体" w:cs="宋体"/>
          <w:sz w:val="21"/>
          <w:szCs w:val="21"/>
        </w:rPr>
      </w:pPr>
      <w:r>
        <w:rPr>
          <w:rFonts w:ascii="宋体" w:hAnsi="宋体" w:eastAsia="宋体" w:cs="宋体"/>
          <w:spacing w:val="1"/>
          <w:sz w:val="21"/>
          <w:szCs w:val="21"/>
        </w:rPr>
        <w:t>和“市场租赁”两种情况，正在使用中的设备应在“备注”中注明何时能够投入本项</w:t>
      </w:r>
      <w:r>
        <w:rPr>
          <w:rFonts w:ascii="宋体" w:hAnsi="宋体" w:eastAsia="宋体" w:cs="宋体"/>
          <w:sz w:val="21"/>
          <w:szCs w:val="21"/>
        </w:rPr>
        <w:t>目。</w:t>
      </w:r>
      <w:r>
        <w:rPr>
          <w:rFonts w:ascii="宋体" w:hAnsi="宋体" w:eastAsia="宋体" w:cs="宋体"/>
          <w:spacing w:val="2"/>
          <w:sz w:val="21"/>
          <w:szCs w:val="21"/>
        </w:rPr>
        <w:t>本招标项目（标段）投标人资质条件、能力和信誉中要求的主要施</w:t>
      </w:r>
      <w:r>
        <w:rPr>
          <w:rFonts w:ascii="宋体" w:hAnsi="宋体" w:eastAsia="宋体" w:cs="宋体"/>
          <w:spacing w:val="1"/>
          <w:sz w:val="21"/>
          <w:szCs w:val="21"/>
        </w:rPr>
        <w:t>工机械设备，投标人应</w:t>
      </w:r>
      <w:r>
        <w:rPr>
          <w:rFonts w:ascii="宋体" w:hAnsi="宋体" w:eastAsia="宋体" w:cs="宋体"/>
          <w:spacing w:val="-1"/>
          <w:sz w:val="21"/>
          <w:szCs w:val="21"/>
        </w:rPr>
        <w:t>提供相关证明材料。</w:t>
      </w:r>
    </w:p>
    <w:p w14:paraId="19EC2607">
      <w:pPr>
        <w:spacing w:line="352" w:lineRule="auto"/>
        <w:rPr>
          <w:rFonts w:ascii="宋体" w:hAnsi="宋体" w:eastAsia="宋体" w:cs="宋体"/>
          <w:sz w:val="21"/>
          <w:szCs w:val="21"/>
        </w:rPr>
        <w:sectPr>
          <w:footerReference r:id="rId207" w:type="default"/>
          <w:pgSz w:w="11905" w:h="16843"/>
          <w:pgMar w:top="969" w:right="1355" w:bottom="1026" w:left="1480" w:header="0" w:footer="754" w:gutter="0"/>
          <w:cols w:space="0" w:num="1"/>
          <w:rtlGutter w:val="0"/>
          <w:docGrid w:linePitch="0" w:charSpace="0"/>
        </w:sectPr>
      </w:pPr>
    </w:p>
    <w:p w14:paraId="6DCED304">
      <w:pPr>
        <w:pStyle w:val="5"/>
        <w:spacing w:line="265" w:lineRule="auto"/>
      </w:pPr>
    </w:p>
    <w:p w14:paraId="20C88BE5">
      <w:pPr>
        <w:pStyle w:val="5"/>
        <w:spacing w:line="265" w:lineRule="auto"/>
      </w:pPr>
    </w:p>
    <w:p w14:paraId="2A4C9AD8">
      <w:pPr>
        <w:pStyle w:val="5"/>
        <w:spacing w:line="266" w:lineRule="auto"/>
      </w:pPr>
    </w:p>
    <w:p w14:paraId="5EAE0A82">
      <w:pPr>
        <w:pStyle w:val="5"/>
        <w:spacing w:line="266" w:lineRule="auto"/>
      </w:pPr>
    </w:p>
    <w:p w14:paraId="7274B13C">
      <w:pPr>
        <w:pStyle w:val="5"/>
        <w:spacing w:line="266" w:lineRule="auto"/>
      </w:pPr>
    </w:p>
    <w:p w14:paraId="68B312FE">
      <w:pPr>
        <w:spacing w:before="78" w:line="218" w:lineRule="auto"/>
        <w:ind w:left="3384"/>
        <w:outlineLvl w:val="2"/>
        <w:rPr>
          <w:rFonts w:ascii="黑体" w:hAnsi="黑体" w:eastAsia="黑体" w:cs="黑体"/>
          <w:sz w:val="24"/>
          <w:szCs w:val="24"/>
        </w:rPr>
      </w:pPr>
      <w:bookmarkStart w:id="1387" w:name="bookmark672"/>
      <w:bookmarkEnd w:id="1387"/>
      <w:bookmarkStart w:id="1388" w:name="bookmark454"/>
      <w:bookmarkEnd w:id="1388"/>
      <w:r>
        <w:rPr>
          <w:rFonts w:ascii="黑体" w:hAnsi="黑体" w:eastAsia="黑体" w:cs="黑体"/>
          <w:spacing w:val="-4"/>
          <w:sz w:val="24"/>
          <w:szCs w:val="24"/>
        </w:rPr>
        <w:t>（二）近年财务状况</w:t>
      </w:r>
    </w:p>
    <w:p w14:paraId="69AC664F">
      <w:pPr>
        <w:spacing w:before="161"/>
      </w:pPr>
    </w:p>
    <w:tbl>
      <w:tblPr>
        <w:tblStyle w:val="10"/>
        <w:tblW w:w="8790"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7"/>
        <w:gridCol w:w="809"/>
        <w:gridCol w:w="1518"/>
        <w:gridCol w:w="1516"/>
        <w:gridCol w:w="1519"/>
        <w:gridCol w:w="1521"/>
      </w:tblGrid>
      <w:tr w14:paraId="2FE8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07" w:type="dxa"/>
            <w:vAlign w:val="top"/>
          </w:tcPr>
          <w:p w14:paraId="1306C780">
            <w:pPr>
              <w:pStyle w:val="11"/>
              <w:spacing w:before="154" w:line="223" w:lineRule="auto"/>
              <w:ind w:left="749"/>
            </w:pPr>
            <w:r>
              <w:rPr>
                <w:b/>
                <w:bCs/>
                <w:spacing w:val="-5"/>
              </w:rPr>
              <w:t>名称</w:t>
            </w:r>
          </w:p>
        </w:tc>
        <w:tc>
          <w:tcPr>
            <w:tcW w:w="809" w:type="dxa"/>
            <w:vAlign w:val="top"/>
          </w:tcPr>
          <w:p w14:paraId="42908257">
            <w:pPr>
              <w:pStyle w:val="11"/>
              <w:spacing w:before="154" w:line="221" w:lineRule="auto"/>
              <w:ind w:left="200"/>
            </w:pPr>
            <w:r>
              <w:rPr>
                <w:b/>
                <w:bCs/>
                <w:spacing w:val="-5"/>
              </w:rPr>
              <w:t>单位</w:t>
            </w:r>
          </w:p>
        </w:tc>
        <w:tc>
          <w:tcPr>
            <w:tcW w:w="1518" w:type="dxa"/>
            <w:vAlign w:val="top"/>
          </w:tcPr>
          <w:p w14:paraId="4A4489A2">
            <w:pPr>
              <w:pStyle w:val="11"/>
              <w:tabs>
                <w:tab w:val="left" w:pos="1073"/>
              </w:tabs>
              <w:spacing w:before="153" w:line="221" w:lineRule="auto"/>
              <w:ind w:left="440"/>
            </w:pPr>
            <w:r>
              <w:rPr>
                <w:u w:val="single" w:color="auto"/>
              </w:rPr>
              <w:tab/>
            </w:r>
            <w:r>
              <w:rPr>
                <w:spacing w:val="-95"/>
              </w:rPr>
              <w:t xml:space="preserve"> </w:t>
            </w:r>
            <w:r>
              <w:rPr>
                <w:b/>
                <w:bCs/>
                <w:spacing w:val="-3"/>
              </w:rPr>
              <w:t>年</w:t>
            </w:r>
          </w:p>
        </w:tc>
        <w:tc>
          <w:tcPr>
            <w:tcW w:w="1516" w:type="dxa"/>
            <w:vAlign w:val="top"/>
          </w:tcPr>
          <w:p w14:paraId="51CED769">
            <w:pPr>
              <w:pStyle w:val="11"/>
              <w:tabs>
                <w:tab w:val="left" w:pos="1075"/>
              </w:tabs>
              <w:spacing w:before="153" w:line="221" w:lineRule="auto"/>
              <w:ind w:left="441"/>
            </w:pPr>
            <w:r>
              <w:rPr>
                <w:u w:val="single" w:color="auto"/>
              </w:rPr>
              <w:tab/>
            </w:r>
            <w:r>
              <w:rPr>
                <w:spacing w:val="-96"/>
              </w:rPr>
              <w:t xml:space="preserve"> </w:t>
            </w:r>
            <w:r>
              <w:rPr>
                <w:b/>
                <w:bCs/>
                <w:spacing w:val="-3"/>
              </w:rPr>
              <w:t>年</w:t>
            </w:r>
          </w:p>
        </w:tc>
        <w:tc>
          <w:tcPr>
            <w:tcW w:w="1519" w:type="dxa"/>
            <w:vAlign w:val="top"/>
          </w:tcPr>
          <w:p w14:paraId="4E8018AC">
            <w:pPr>
              <w:pStyle w:val="11"/>
              <w:tabs>
                <w:tab w:val="left" w:pos="970"/>
              </w:tabs>
              <w:spacing w:before="153" w:line="221" w:lineRule="auto"/>
              <w:ind w:left="337"/>
            </w:pPr>
            <w:r>
              <w:rPr>
                <w:u w:val="single" w:color="auto"/>
              </w:rPr>
              <w:tab/>
            </w:r>
            <w:r>
              <w:rPr>
                <w:spacing w:val="-96"/>
              </w:rPr>
              <w:t xml:space="preserve"> </w:t>
            </w:r>
            <w:r>
              <w:rPr>
                <w:b/>
                <w:bCs/>
                <w:spacing w:val="-3"/>
              </w:rPr>
              <w:t>年</w:t>
            </w:r>
          </w:p>
        </w:tc>
        <w:tc>
          <w:tcPr>
            <w:tcW w:w="1521" w:type="dxa"/>
            <w:vAlign w:val="top"/>
          </w:tcPr>
          <w:p w14:paraId="08913113">
            <w:pPr>
              <w:pStyle w:val="11"/>
              <w:spacing w:before="153" w:line="221" w:lineRule="auto"/>
              <w:ind w:left="237"/>
            </w:pPr>
            <w:r>
              <w:rPr>
                <w:b/>
                <w:bCs/>
                <w:spacing w:val="-3"/>
              </w:rPr>
              <w:t>近年平均值</w:t>
            </w:r>
          </w:p>
        </w:tc>
      </w:tr>
      <w:tr w14:paraId="5432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227BA8F8">
            <w:pPr>
              <w:pStyle w:val="11"/>
              <w:spacing w:before="147" w:line="222" w:lineRule="auto"/>
              <w:ind w:left="119"/>
            </w:pPr>
            <w:r>
              <w:rPr>
                <w:spacing w:val="-2"/>
              </w:rPr>
              <w:t>一．注册资金</w:t>
            </w:r>
          </w:p>
        </w:tc>
        <w:tc>
          <w:tcPr>
            <w:tcW w:w="809" w:type="dxa"/>
            <w:vAlign w:val="top"/>
          </w:tcPr>
          <w:p w14:paraId="149D9637">
            <w:pPr>
              <w:pStyle w:val="11"/>
              <w:spacing w:before="148" w:line="221" w:lineRule="auto"/>
              <w:ind w:left="206"/>
            </w:pPr>
            <w:r>
              <w:rPr>
                <w:spacing w:val="-3"/>
              </w:rPr>
              <w:t>万元</w:t>
            </w:r>
          </w:p>
        </w:tc>
        <w:tc>
          <w:tcPr>
            <w:tcW w:w="1518" w:type="dxa"/>
            <w:vAlign w:val="top"/>
          </w:tcPr>
          <w:p w14:paraId="4B76AD97">
            <w:pPr>
              <w:rPr>
                <w:rFonts w:ascii="Arial"/>
                <w:sz w:val="21"/>
              </w:rPr>
            </w:pPr>
          </w:p>
        </w:tc>
        <w:tc>
          <w:tcPr>
            <w:tcW w:w="1516" w:type="dxa"/>
            <w:vAlign w:val="top"/>
          </w:tcPr>
          <w:p w14:paraId="27295DA3">
            <w:pPr>
              <w:rPr>
                <w:rFonts w:ascii="Arial"/>
                <w:sz w:val="21"/>
              </w:rPr>
            </w:pPr>
          </w:p>
        </w:tc>
        <w:tc>
          <w:tcPr>
            <w:tcW w:w="1519" w:type="dxa"/>
            <w:vAlign w:val="top"/>
          </w:tcPr>
          <w:p w14:paraId="399AA4BE">
            <w:pPr>
              <w:rPr>
                <w:rFonts w:ascii="Arial"/>
                <w:sz w:val="21"/>
              </w:rPr>
            </w:pPr>
          </w:p>
        </w:tc>
        <w:tc>
          <w:tcPr>
            <w:tcW w:w="1521" w:type="dxa"/>
            <w:vAlign w:val="top"/>
          </w:tcPr>
          <w:p w14:paraId="180EBF64">
            <w:pPr>
              <w:pStyle w:val="11"/>
              <w:spacing w:before="248" w:line="141" w:lineRule="exact"/>
              <w:ind w:left="711"/>
            </w:pPr>
            <w:r>
              <w:rPr>
                <w:position w:val="-3"/>
              </w:rPr>
              <w:t>-</w:t>
            </w:r>
          </w:p>
        </w:tc>
      </w:tr>
      <w:tr w14:paraId="000E9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907" w:type="dxa"/>
            <w:vAlign w:val="top"/>
          </w:tcPr>
          <w:p w14:paraId="068F5429">
            <w:pPr>
              <w:pStyle w:val="11"/>
              <w:spacing w:before="150" w:line="221" w:lineRule="auto"/>
              <w:ind w:left="119"/>
            </w:pPr>
            <w:r>
              <w:rPr>
                <w:spacing w:val="-2"/>
              </w:rPr>
              <w:t>二．净资产</w:t>
            </w:r>
          </w:p>
        </w:tc>
        <w:tc>
          <w:tcPr>
            <w:tcW w:w="809" w:type="dxa"/>
            <w:vAlign w:val="top"/>
          </w:tcPr>
          <w:p w14:paraId="1F1ADBF9">
            <w:pPr>
              <w:pStyle w:val="11"/>
              <w:spacing w:before="150" w:line="221" w:lineRule="auto"/>
              <w:ind w:left="206"/>
            </w:pPr>
            <w:r>
              <w:rPr>
                <w:spacing w:val="-3"/>
              </w:rPr>
              <w:t>万元</w:t>
            </w:r>
          </w:p>
        </w:tc>
        <w:tc>
          <w:tcPr>
            <w:tcW w:w="1518" w:type="dxa"/>
            <w:vAlign w:val="top"/>
          </w:tcPr>
          <w:p w14:paraId="2C92F804">
            <w:pPr>
              <w:rPr>
                <w:rFonts w:ascii="Arial"/>
                <w:sz w:val="21"/>
              </w:rPr>
            </w:pPr>
          </w:p>
        </w:tc>
        <w:tc>
          <w:tcPr>
            <w:tcW w:w="1516" w:type="dxa"/>
            <w:vAlign w:val="top"/>
          </w:tcPr>
          <w:p w14:paraId="24C411E1">
            <w:pPr>
              <w:rPr>
                <w:rFonts w:ascii="Arial"/>
                <w:sz w:val="21"/>
              </w:rPr>
            </w:pPr>
          </w:p>
        </w:tc>
        <w:tc>
          <w:tcPr>
            <w:tcW w:w="1519" w:type="dxa"/>
            <w:vAlign w:val="top"/>
          </w:tcPr>
          <w:p w14:paraId="4C4CD436">
            <w:pPr>
              <w:rPr>
                <w:rFonts w:ascii="Arial"/>
                <w:sz w:val="21"/>
              </w:rPr>
            </w:pPr>
          </w:p>
        </w:tc>
        <w:tc>
          <w:tcPr>
            <w:tcW w:w="1521" w:type="dxa"/>
            <w:vAlign w:val="top"/>
          </w:tcPr>
          <w:p w14:paraId="13166DDA">
            <w:pPr>
              <w:pStyle w:val="11"/>
              <w:spacing w:before="251" w:line="141" w:lineRule="exact"/>
              <w:ind w:left="711"/>
            </w:pPr>
            <w:r>
              <w:rPr>
                <w:position w:val="-3"/>
              </w:rPr>
              <w:t>-</w:t>
            </w:r>
          </w:p>
        </w:tc>
      </w:tr>
      <w:tr w14:paraId="7872B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3A37A801">
            <w:pPr>
              <w:pStyle w:val="11"/>
              <w:spacing w:before="150" w:line="221" w:lineRule="auto"/>
              <w:ind w:left="116"/>
            </w:pPr>
            <w:r>
              <w:rPr>
                <w:spacing w:val="-1"/>
              </w:rPr>
              <w:t>三．总资产</w:t>
            </w:r>
          </w:p>
        </w:tc>
        <w:tc>
          <w:tcPr>
            <w:tcW w:w="809" w:type="dxa"/>
            <w:vAlign w:val="top"/>
          </w:tcPr>
          <w:p w14:paraId="797F3C3C">
            <w:pPr>
              <w:pStyle w:val="11"/>
              <w:spacing w:before="151" w:line="221" w:lineRule="auto"/>
              <w:ind w:left="206"/>
            </w:pPr>
            <w:r>
              <w:rPr>
                <w:spacing w:val="-3"/>
              </w:rPr>
              <w:t>万元</w:t>
            </w:r>
          </w:p>
        </w:tc>
        <w:tc>
          <w:tcPr>
            <w:tcW w:w="1518" w:type="dxa"/>
            <w:vAlign w:val="top"/>
          </w:tcPr>
          <w:p w14:paraId="285A8ED5">
            <w:pPr>
              <w:rPr>
                <w:rFonts w:ascii="Arial"/>
                <w:sz w:val="21"/>
              </w:rPr>
            </w:pPr>
          </w:p>
        </w:tc>
        <w:tc>
          <w:tcPr>
            <w:tcW w:w="1516" w:type="dxa"/>
            <w:vAlign w:val="top"/>
          </w:tcPr>
          <w:p w14:paraId="20186DEC">
            <w:pPr>
              <w:rPr>
                <w:rFonts w:ascii="Arial"/>
                <w:sz w:val="21"/>
              </w:rPr>
            </w:pPr>
          </w:p>
        </w:tc>
        <w:tc>
          <w:tcPr>
            <w:tcW w:w="1519" w:type="dxa"/>
            <w:vAlign w:val="top"/>
          </w:tcPr>
          <w:p w14:paraId="02987971">
            <w:pPr>
              <w:rPr>
                <w:rFonts w:ascii="Arial"/>
                <w:sz w:val="21"/>
              </w:rPr>
            </w:pPr>
          </w:p>
        </w:tc>
        <w:tc>
          <w:tcPr>
            <w:tcW w:w="1521" w:type="dxa"/>
            <w:vAlign w:val="top"/>
          </w:tcPr>
          <w:p w14:paraId="1AE200F7">
            <w:pPr>
              <w:rPr>
                <w:rFonts w:ascii="Arial"/>
                <w:sz w:val="21"/>
              </w:rPr>
            </w:pPr>
          </w:p>
        </w:tc>
      </w:tr>
      <w:tr w14:paraId="6CB7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6D1CBDD2">
            <w:pPr>
              <w:pStyle w:val="11"/>
              <w:spacing w:before="148" w:line="221" w:lineRule="auto"/>
              <w:ind w:left="135"/>
            </w:pPr>
            <w:r>
              <w:rPr>
                <w:spacing w:val="-5"/>
              </w:rPr>
              <w:t>四．固定资产</w:t>
            </w:r>
          </w:p>
        </w:tc>
        <w:tc>
          <w:tcPr>
            <w:tcW w:w="809" w:type="dxa"/>
            <w:vAlign w:val="top"/>
          </w:tcPr>
          <w:p w14:paraId="5331F60D">
            <w:pPr>
              <w:pStyle w:val="11"/>
              <w:spacing w:before="149" w:line="221" w:lineRule="auto"/>
              <w:ind w:left="206"/>
            </w:pPr>
            <w:r>
              <w:rPr>
                <w:spacing w:val="-3"/>
              </w:rPr>
              <w:t>万元</w:t>
            </w:r>
          </w:p>
        </w:tc>
        <w:tc>
          <w:tcPr>
            <w:tcW w:w="1518" w:type="dxa"/>
            <w:vAlign w:val="top"/>
          </w:tcPr>
          <w:p w14:paraId="03F99666">
            <w:pPr>
              <w:rPr>
                <w:rFonts w:ascii="Arial"/>
                <w:sz w:val="21"/>
              </w:rPr>
            </w:pPr>
          </w:p>
        </w:tc>
        <w:tc>
          <w:tcPr>
            <w:tcW w:w="1516" w:type="dxa"/>
            <w:vAlign w:val="top"/>
          </w:tcPr>
          <w:p w14:paraId="339FAF30">
            <w:pPr>
              <w:rPr>
                <w:rFonts w:ascii="Arial"/>
                <w:sz w:val="21"/>
              </w:rPr>
            </w:pPr>
          </w:p>
        </w:tc>
        <w:tc>
          <w:tcPr>
            <w:tcW w:w="1519" w:type="dxa"/>
            <w:vAlign w:val="top"/>
          </w:tcPr>
          <w:p w14:paraId="520304E2">
            <w:pPr>
              <w:rPr>
                <w:rFonts w:ascii="Arial"/>
                <w:sz w:val="21"/>
              </w:rPr>
            </w:pPr>
          </w:p>
        </w:tc>
        <w:tc>
          <w:tcPr>
            <w:tcW w:w="1521" w:type="dxa"/>
            <w:vAlign w:val="top"/>
          </w:tcPr>
          <w:p w14:paraId="04709569">
            <w:pPr>
              <w:pStyle w:val="11"/>
              <w:spacing w:before="249" w:line="142" w:lineRule="exact"/>
              <w:ind w:left="711"/>
            </w:pPr>
            <w:r>
              <w:rPr>
                <w:position w:val="-3"/>
              </w:rPr>
              <w:t>-</w:t>
            </w:r>
          </w:p>
        </w:tc>
      </w:tr>
      <w:tr w14:paraId="3520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057C3EFF">
            <w:pPr>
              <w:pStyle w:val="11"/>
              <w:spacing w:before="151" w:line="221" w:lineRule="auto"/>
              <w:ind w:left="119"/>
            </w:pPr>
            <w:r>
              <w:rPr>
                <w:spacing w:val="-2"/>
              </w:rPr>
              <w:t>五．流动资产</w:t>
            </w:r>
          </w:p>
        </w:tc>
        <w:tc>
          <w:tcPr>
            <w:tcW w:w="809" w:type="dxa"/>
            <w:vAlign w:val="top"/>
          </w:tcPr>
          <w:p w14:paraId="40864396">
            <w:pPr>
              <w:pStyle w:val="11"/>
              <w:spacing w:before="152" w:line="221" w:lineRule="auto"/>
              <w:ind w:left="206"/>
            </w:pPr>
            <w:r>
              <w:rPr>
                <w:spacing w:val="-3"/>
              </w:rPr>
              <w:t>万元</w:t>
            </w:r>
          </w:p>
        </w:tc>
        <w:tc>
          <w:tcPr>
            <w:tcW w:w="1518" w:type="dxa"/>
            <w:vAlign w:val="top"/>
          </w:tcPr>
          <w:p w14:paraId="5A02CB72">
            <w:pPr>
              <w:rPr>
                <w:rFonts w:ascii="Arial"/>
                <w:sz w:val="21"/>
              </w:rPr>
            </w:pPr>
          </w:p>
        </w:tc>
        <w:tc>
          <w:tcPr>
            <w:tcW w:w="1516" w:type="dxa"/>
            <w:vAlign w:val="top"/>
          </w:tcPr>
          <w:p w14:paraId="784C515B">
            <w:pPr>
              <w:rPr>
                <w:rFonts w:ascii="Arial"/>
                <w:sz w:val="21"/>
              </w:rPr>
            </w:pPr>
          </w:p>
        </w:tc>
        <w:tc>
          <w:tcPr>
            <w:tcW w:w="1519" w:type="dxa"/>
            <w:vAlign w:val="top"/>
          </w:tcPr>
          <w:p w14:paraId="56832041">
            <w:pPr>
              <w:rPr>
                <w:rFonts w:ascii="Arial"/>
                <w:sz w:val="21"/>
              </w:rPr>
            </w:pPr>
          </w:p>
        </w:tc>
        <w:tc>
          <w:tcPr>
            <w:tcW w:w="1521" w:type="dxa"/>
            <w:vAlign w:val="top"/>
          </w:tcPr>
          <w:p w14:paraId="2067165D">
            <w:pPr>
              <w:rPr>
                <w:rFonts w:ascii="Arial"/>
                <w:sz w:val="21"/>
              </w:rPr>
            </w:pPr>
          </w:p>
        </w:tc>
      </w:tr>
      <w:tr w14:paraId="5969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0B3F465C">
            <w:pPr>
              <w:pStyle w:val="11"/>
              <w:spacing w:before="151" w:line="221" w:lineRule="auto"/>
              <w:ind w:left="117"/>
            </w:pPr>
            <w:r>
              <w:rPr>
                <w:spacing w:val="-2"/>
              </w:rPr>
              <w:t>六．流动负债</w:t>
            </w:r>
          </w:p>
        </w:tc>
        <w:tc>
          <w:tcPr>
            <w:tcW w:w="809" w:type="dxa"/>
            <w:vAlign w:val="top"/>
          </w:tcPr>
          <w:p w14:paraId="7A06DCE3">
            <w:pPr>
              <w:pStyle w:val="11"/>
              <w:spacing w:before="152" w:line="221" w:lineRule="auto"/>
              <w:ind w:left="206"/>
            </w:pPr>
            <w:r>
              <w:rPr>
                <w:spacing w:val="-3"/>
              </w:rPr>
              <w:t>万元</w:t>
            </w:r>
          </w:p>
        </w:tc>
        <w:tc>
          <w:tcPr>
            <w:tcW w:w="1518" w:type="dxa"/>
            <w:vAlign w:val="top"/>
          </w:tcPr>
          <w:p w14:paraId="0ABE652E">
            <w:pPr>
              <w:rPr>
                <w:rFonts w:ascii="Arial"/>
                <w:sz w:val="21"/>
              </w:rPr>
            </w:pPr>
          </w:p>
        </w:tc>
        <w:tc>
          <w:tcPr>
            <w:tcW w:w="1516" w:type="dxa"/>
            <w:vAlign w:val="top"/>
          </w:tcPr>
          <w:p w14:paraId="65B8F1D1">
            <w:pPr>
              <w:rPr>
                <w:rFonts w:ascii="Arial"/>
                <w:sz w:val="21"/>
              </w:rPr>
            </w:pPr>
          </w:p>
        </w:tc>
        <w:tc>
          <w:tcPr>
            <w:tcW w:w="1519" w:type="dxa"/>
            <w:vAlign w:val="top"/>
          </w:tcPr>
          <w:p w14:paraId="1F7678FE">
            <w:pPr>
              <w:rPr>
                <w:rFonts w:ascii="Arial"/>
                <w:sz w:val="21"/>
              </w:rPr>
            </w:pPr>
          </w:p>
        </w:tc>
        <w:tc>
          <w:tcPr>
            <w:tcW w:w="1521" w:type="dxa"/>
            <w:vAlign w:val="top"/>
          </w:tcPr>
          <w:p w14:paraId="5605E62B">
            <w:pPr>
              <w:rPr>
                <w:rFonts w:ascii="Arial"/>
                <w:sz w:val="21"/>
              </w:rPr>
            </w:pPr>
          </w:p>
        </w:tc>
      </w:tr>
      <w:tr w14:paraId="0146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305DF63C">
            <w:pPr>
              <w:pStyle w:val="11"/>
              <w:spacing w:before="148" w:line="221" w:lineRule="auto"/>
              <w:ind w:left="115"/>
            </w:pPr>
            <w:r>
              <w:rPr>
                <w:spacing w:val="-1"/>
              </w:rPr>
              <w:t>七．负债合计</w:t>
            </w:r>
          </w:p>
        </w:tc>
        <w:tc>
          <w:tcPr>
            <w:tcW w:w="809" w:type="dxa"/>
            <w:vAlign w:val="top"/>
          </w:tcPr>
          <w:p w14:paraId="78782FE3">
            <w:pPr>
              <w:pStyle w:val="11"/>
              <w:spacing w:before="149" w:line="221" w:lineRule="auto"/>
              <w:ind w:left="206"/>
            </w:pPr>
            <w:r>
              <w:rPr>
                <w:spacing w:val="-3"/>
              </w:rPr>
              <w:t>万元</w:t>
            </w:r>
          </w:p>
        </w:tc>
        <w:tc>
          <w:tcPr>
            <w:tcW w:w="1518" w:type="dxa"/>
            <w:vAlign w:val="top"/>
          </w:tcPr>
          <w:p w14:paraId="6C100AD8">
            <w:pPr>
              <w:rPr>
                <w:rFonts w:ascii="Arial"/>
                <w:sz w:val="21"/>
              </w:rPr>
            </w:pPr>
          </w:p>
        </w:tc>
        <w:tc>
          <w:tcPr>
            <w:tcW w:w="1516" w:type="dxa"/>
            <w:vAlign w:val="top"/>
          </w:tcPr>
          <w:p w14:paraId="7C5240C2">
            <w:pPr>
              <w:rPr>
                <w:rFonts w:ascii="Arial"/>
                <w:sz w:val="21"/>
              </w:rPr>
            </w:pPr>
          </w:p>
        </w:tc>
        <w:tc>
          <w:tcPr>
            <w:tcW w:w="1519" w:type="dxa"/>
            <w:vAlign w:val="top"/>
          </w:tcPr>
          <w:p w14:paraId="27E28BA1">
            <w:pPr>
              <w:rPr>
                <w:rFonts w:ascii="Arial"/>
                <w:sz w:val="21"/>
              </w:rPr>
            </w:pPr>
          </w:p>
        </w:tc>
        <w:tc>
          <w:tcPr>
            <w:tcW w:w="1521" w:type="dxa"/>
            <w:vAlign w:val="top"/>
          </w:tcPr>
          <w:p w14:paraId="002D8CE6">
            <w:pPr>
              <w:rPr>
                <w:rFonts w:ascii="Arial"/>
                <w:sz w:val="21"/>
              </w:rPr>
            </w:pPr>
          </w:p>
        </w:tc>
      </w:tr>
      <w:tr w14:paraId="488A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63886775">
            <w:pPr>
              <w:pStyle w:val="11"/>
              <w:spacing w:before="151" w:line="221" w:lineRule="auto"/>
              <w:ind w:left="119"/>
            </w:pPr>
            <w:r>
              <w:rPr>
                <w:spacing w:val="-2"/>
              </w:rPr>
              <w:t>八．营业收入</w:t>
            </w:r>
          </w:p>
        </w:tc>
        <w:tc>
          <w:tcPr>
            <w:tcW w:w="809" w:type="dxa"/>
            <w:vAlign w:val="top"/>
          </w:tcPr>
          <w:p w14:paraId="40CAAEC3">
            <w:pPr>
              <w:pStyle w:val="11"/>
              <w:spacing w:before="152" w:line="221" w:lineRule="auto"/>
              <w:ind w:left="206"/>
            </w:pPr>
            <w:r>
              <w:rPr>
                <w:spacing w:val="-3"/>
              </w:rPr>
              <w:t>万元</w:t>
            </w:r>
          </w:p>
        </w:tc>
        <w:tc>
          <w:tcPr>
            <w:tcW w:w="1518" w:type="dxa"/>
            <w:vAlign w:val="top"/>
          </w:tcPr>
          <w:p w14:paraId="333F4CD0">
            <w:pPr>
              <w:rPr>
                <w:rFonts w:ascii="Arial"/>
                <w:sz w:val="21"/>
              </w:rPr>
            </w:pPr>
          </w:p>
        </w:tc>
        <w:tc>
          <w:tcPr>
            <w:tcW w:w="1516" w:type="dxa"/>
            <w:vAlign w:val="top"/>
          </w:tcPr>
          <w:p w14:paraId="136FD2D2">
            <w:pPr>
              <w:rPr>
                <w:rFonts w:ascii="Arial"/>
                <w:sz w:val="21"/>
              </w:rPr>
            </w:pPr>
          </w:p>
        </w:tc>
        <w:tc>
          <w:tcPr>
            <w:tcW w:w="1519" w:type="dxa"/>
            <w:vAlign w:val="top"/>
          </w:tcPr>
          <w:p w14:paraId="3399FBE7">
            <w:pPr>
              <w:rPr>
                <w:rFonts w:ascii="Arial"/>
                <w:sz w:val="21"/>
              </w:rPr>
            </w:pPr>
          </w:p>
        </w:tc>
        <w:tc>
          <w:tcPr>
            <w:tcW w:w="1521" w:type="dxa"/>
            <w:vAlign w:val="top"/>
          </w:tcPr>
          <w:p w14:paraId="46EF356F">
            <w:pPr>
              <w:rPr>
                <w:rFonts w:ascii="Arial"/>
                <w:sz w:val="21"/>
              </w:rPr>
            </w:pPr>
          </w:p>
        </w:tc>
      </w:tr>
      <w:tr w14:paraId="0B0F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7277C7BB">
            <w:pPr>
              <w:pStyle w:val="11"/>
              <w:spacing w:before="152" w:line="221" w:lineRule="auto"/>
              <w:ind w:left="121"/>
            </w:pPr>
            <w:r>
              <w:rPr>
                <w:spacing w:val="-2"/>
              </w:rPr>
              <w:t>九．净利润</w:t>
            </w:r>
          </w:p>
        </w:tc>
        <w:tc>
          <w:tcPr>
            <w:tcW w:w="809" w:type="dxa"/>
            <w:vAlign w:val="top"/>
          </w:tcPr>
          <w:p w14:paraId="24EF7008">
            <w:pPr>
              <w:pStyle w:val="11"/>
              <w:spacing w:before="152" w:line="221" w:lineRule="auto"/>
              <w:ind w:left="206"/>
            </w:pPr>
            <w:r>
              <w:rPr>
                <w:spacing w:val="-3"/>
              </w:rPr>
              <w:t>万元</w:t>
            </w:r>
          </w:p>
        </w:tc>
        <w:tc>
          <w:tcPr>
            <w:tcW w:w="1518" w:type="dxa"/>
            <w:vAlign w:val="top"/>
          </w:tcPr>
          <w:p w14:paraId="338EDA5D">
            <w:pPr>
              <w:rPr>
                <w:rFonts w:ascii="Arial"/>
                <w:sz w:val="21"/>
              </w:rPr>
            </w:pPr>
          </w:p>
        </w:tc>
        <w:tc>
          <w:tcPr>
            <w:tcW w:w="1516" w:type="dxa"/>
            <w:vAlign w:val="top"/>
          </w:tcPr>
          <w:p w14:paraId="10BAA7B2">
            <w:pPr>
              <w:rPr>
                <w:rFonts w:ascii="Arial"/>
                <w:sz w:val="21"/>
              </w:rPr>
            </w:pPr>
          </w:p>
        </w:tc>
        <w:tc>
          <w:tcPr>
            <w:tcW w:w="1519" w:type="dxa"/>
            <w:vAlign w:val="top"/>
          </w:tcPr>
          <w:p w14:paraId="5F34BE6B">
            <w:pPr>
              <w:rPr>
                <w:rFonts w:ascii="Arial"/>
                <w:sz w:val="21"/>
              </w:rPr>
            </w:pPr>
          </w:p>
        </w:tc>
        <w:tc>
          <w:tcPr>
            <w:tcW w:w="1521" w:type="dxa"/>
            <w:vAlign w:val="top"/>
          </w:tcPr>
          <w:p w14:paraId="0299976D">
            <w:pPr>
              <w:pStyle w:val="11"/>
              <w:spacing w:before="252" w:line="141" w:lineRule="exact"/>
              <w:ind w:left="711"/>
            </w:pPr>
            <w:r>
              <w:rPr>
                <w:position w:val="-3"/>
              </w:rPr>
              <w:t>-</w:t>
            </w:r>
          </w:p>
        </w:tc>
      </w:tr>
      <w:tr w14:paraId="2FFF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7D8486C2">
            <w:pPr>
              <w:pStyle w:val="11"/>
              <w:spacing w:before="149" w:line="221" w:lineRule="auto"/>
              <w:ind w:left="116"/>
            </w:pPr>
            <w:r>
              <w:rPr>
                <w:spacing w:val="-1"/>
              </w:rPr>
              <w:t>十．现金流量净额</w:t>
            </w:r>
          </w:p>
        </w:tc>
        <w:tc>
          <w:tcPr>
            <w:tcW w:w="809" w:type="dxa"/>
            <w:vAlign w:val="top"/>
          </w:tcPr>
          <w:p w14:paraId="5D70D978">
            <w:pPr>
              <w:pStyle w:val="11"/>
              <w:spacing w:before="150" w:line="221" w:lineRule="auto"/>
              <w:ind w:left="206"/>
            </w:pPr>
            <w:r>
              <w:rPr>
                <w:spacing w:val="-3"/>
              </w:rPr>
              <w:t>万元</w:t>
            </w:r>
          </w:p>
        </w:tc>
        <w:tc>
          <w:tcPr>
            <w:tcW w:w="1518" w:type="dxa"/>
            <w:vAlign w:val="top"/>
          </w:tcPr>
          <w:p w14:paraId="3DCBD56D">
            <w:pPr>
              <w:rPr>
                <w:rFonts w:ascii="Arial"/>
                <w:sz w:val="21"/>
              </w:rPr>
            </w:pPr>
          </w:p>
        </w:tc>
        <w:tc>
          <w:tcPr>
            <w:tcW w:w="1516" w:type="dxa"/>
            <w:vAlign w:val="top"/>
          </w:tcPr>
          <w:p w14:paraId="2F36DFBB">
            <w:pPr>
              <w:rPr>
                <w:rFonts w:ascii="Arial"/>
                <w:sz w:val="21"/>
              </w:rPr>
            </w:pPr>
          </w:p>
        </w:tc>
        <w:tc>
          <w:tcPr>
            <w:tcW w:w="1519" w:type="dxa"/>
            <w:vAlign w:val="top"/>
          </w:tcPr>
          <w:p w14:paraId="23382FD5">
            <w:pPr>
              <w:rPr>
                <w:rFonts w:ascii="Arial"/>
                <w:sz w:val="21"/>
              </w:rPr>
            </w:pPr>
          </w:p>
        </w:tc>
        <w:tc>
          <w:tcPr>
            <w:tcW w:w="1521" w:type="dxa"/>
            <w:vAlign w:val="top"/>
          </w:tcPr>
          <w:p w14:paraId="1176FDAB">
            <w:pPr>
              <w:pStyle w:val="11"/>
              <w:spacing w:before="250" w:line="141" w:lineRule="exact"/>
              <w:ind w:left="711"/>
            </w:pPr>
            <w:r>
              <w:rPr>
                <w:position w:val="-3"/>
              </w:rPr>
              <w:t>-</w:t>
            </w:r>
          </w:p>
        </w:tc>
      </w:tr>
      <w:tr w14:paraId="2EB8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07" w:type="dxa"/>
            <w:vAlign w:val="top"/>
          </w:tcPr>
          <w:p w14:paraId="143D88F9">
            <w:pPr>
              <w:pStyle w:val="11"/>
              <w:spacing w:before="35" w:line="222" w:lineRule="auto"/>
              <w:ind w:left="116" w:right="104"/>
            </w:pPr>
            <w:r>
              <w:t>十一．主要财务指标</w:t>
            </w:r>
          </w:p>
        </w:tc>
        <w:tc>
          <w:tcPr>
            <w:tcW w:w="809" w:type="dxa"/>
            <w:vAlign w:val="top"/>
          </w:tcPr>
          <w:p w14:paraId="772F559B">
            <w:pPr>
              <w:rPr>
                <w:rFonts w:ascii="Arial"/>
                <w:sz w:val="21"/>
              </w:rPr>
            </w:pPr>
          </w:p>
        </w:tc>
        <w:tc>
          <w:tcPr>
            <w:tcW w:w="1518" w:type="dxa"/>
            <w:vAlign w:val="top"/>
          </w:tcPr>
          <w:p w14:paraId="0B775EC4">
            <w:pPr>
              <w:rPr>
                <w:rFonts w:ascii="Arial"/>
                <w:sz w:val="21"/>
              </w:rPr>
            </w:pPr>
          </w:p>
        </w:tc>
        <w:tc>
          <w:tcPr>
            <w:tcW w:w="1516" w:type="dxa"/>
            <w:vAlign w:val="top"/>
          </w:tcPr>
          <w:p w14:paraId="3A4C8815">
            <w:pPr>
              <w:rPr>
                <w:rFonts w:ascii="Arial"/>
                <w:sz w:val="21"/>
              </w:rPr>
            </w:pPr>
          </w:p>
        </w:tc>
        <w:tc>
          <w:tcPr>
            <w:tcW w:w="1519" w:type="dxa"/>
            <w:vAlign w:val="top"/>
          </w:tcPr>
          <w:p w14:paraId="1E3625AD">
            <w:pPr>
              <w:rPr>
                <w:rFonts w:ascii="Arial"/>
                <w:sz w:val="21"/>
              </w:rPr>
            </w:pPr>
          </w:p>
        </w:tc>
        <w:tc>
          <w:tcPr>
            <w:tcW w:w="1521" w:type="dxa"/>
            <w:vAlign w:val="top"/>
          </w:tcPr>
          <w:p w14:paraId="0C3CE933">
            <w:pPr>
              <w:pStyle w:val="11"/>
              <w:spacing w:before="269" w:line="142" w:lineRule="exact"/>
              <w:ind w:left="711"/>
            </w:pPr>
            <w:r>
              <w:rPr>
                <w:position w:val="-3"/>
              </w:rPr>
              <w:t>-</w:t>
            </w:r>
          </w:p>
        </w:tc>
      </w:tr>
      <w:tr w14:paraId="6957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1CDD4432">
            <w:pPr>
              <w:pStyle w:val="11"/>
              <w:spacing w:before="150" w:line="221" w:lineRule="auto"/>
              <w:ind w:left="131"/>
            </w:pPr>
            <w:r>
              <w:rPr>
                <w:spacing w:val="-3"/>
              </w:rPr>
              <w:t>1．净资产收益率</w:t>
            </w:r>
          </w:p>
        </w:tc>
        <w:tc>
          <w:tcPr>
            <w:tcW w:w="809" w:type="dxa"/>
            <w:vAlign w:val="top"/>
          </w:tcPr>
          <w:p w14:paraId="47DD8BC5">
            <w:pPr>
              <w:spacing w:before="207"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3E82D2C3">
            <w:pPr>
              <w:rPr>
                <w:rFonts w:ascii="Arial"/>
                <w:sz w:val="21"/>
              </w:rPr>
            </w:pPr>
          </w:p>
        </w:tc>
        <w:tc>
          <w:tcPr>
            <w:tcW w:w="1516" w:type="dxa"/>
            <w:vAlign w:val="top"/>
          </w:tcPr>
          <w:p w14:paraId="74B51939">
            <w:pPr>
              <w:rPr>
                <w:rFonts w:ascii="Arial"/>
                <w:sz w:val="21"/>
              </w:rPr>
            </w:pPr>
          </w:p>
        </w:tc>
        <w:tc>
          <w:tcPr>
            <w:tcW w:w="1519" w:type="dxa"/>
            <w:vAlign w:val="top"/>
          </w:tcPr>
          <w:p w14:paraId="103E929D">
            <w:pPr>
              <w:rPr>
                <w:rFonts w:ascii="Arial"/>
                <w:sz w:val="21"/>
              </w:rPr>
            </w:pPr>
          </w:p>
        </w:tc>
        <w:tc>
          <w:tcPr>
            <w:tcW w:w="1521" w:type="dxa"/>
            <w:vAlign w:val="top"/>
          </w:tcPr>
          <w:p w14:paraId="0E1A6E3A">
            <w:pPr>
              <w:rPr>
                <w:rFonts w:ascii="Arial"/>
                <w:sz w:val="21"/>
              </w:rPr>
            </w:pPr>
          </w:p>
        </w:tc>
      </w:tr>
      <w:tr w14:paraId="23AC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45576534">
            <w:pPr>
              <w:pStyle w:val="11"/>
              <w:spacing w:before="153" w:line="221" w:lineRule="auto"/>
              <w:ind w:left="118"/>
            </w:pPr>
            <w:r>
              <w:rPr>
                <w:spacing w:val="-1"/>
              </w:rPr>
              <w:t>2．总资产报酬率</w:t>
            </w:r>
          </w:p>
        </w:tc>
        <w:tc>
          <w:tcPr>
            <w:tcW w:w="809" w:type="dxa"/>
            <w:vAlign w:val="top"/>
          </w:tcPr>
          <w:p w14:paraId="7E1A4101">
            <w:pPr>
              <w:spacing w:before="210"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339562A4">
            <w:pPr>
              <w:rPr>
                <w:rFonts w:ascii="Arial"/>
                <w:sz w:val="21"/>
              </w:rPr>
            </w:pPr>
          </w:p>
        </w:tc>
        <w:tc>
          <w:tcPr>
            <w:tcW w:w="1516" w:type="dxa"/>
            <w:vAlign w:val="top"/>
          </w:tcPr>
          <w:p w14:paraId="45ECFDD2">
            <w:pPr>
              <w:rPr>
                <w:rFonts w:ascii="Arial"/>
                <w:sz w:val="21"/>
              </w:rPr>
            </w:pPr>
          </w:p>
        </w:tc>
        <w:tc>
          <w:tcPr>
            <w:tcW w:w="1519" w:type="dxa"/>
            <w:vAlign w:val="top"/>
          </w:tcPr>
          <w:p w14:paraId="657D5FE6">
            <w:pPr>
              <w:rPr>
                <w:rFonts w:ascii="Arial"/>
                <w:sz w:val="21"/>
              </w:rPr>
            </w:pPr>
          </w:p>
        </w:tc>
        <w:tc>
          <w:tcPr>
            <w:tcW w:w="1521" w:type="dxa"/>
            <w:vAlign w:val="top"/>
          </w:tcPr>
          <w:p w14:paraId="7D0F4766">
            <w:pPr>
              <w:rPr>
                <w:rFonts w:ascii="Arial"/>
                <w:sz w:val="21"/>
              </w:rPr>
            </w:pPr>
          </w:p>
        </w:tc>
      </w:tr>
      <w:tr w14:paraId="56CB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907" w:type="dxa"/>
            <w:vAlign w:val="top"/>
          </w:tcPr>
          <w:p w14:paraId="3BA0BCA8">
            <w:pPr>
              <w:pStyle w:val="11"/>
              <w:spacing w:before="33" w:line="222" w:lineRule="auto"/>
              <w:ind w:left="117" w:right="105" w:firstLine="2"/>
            </w:pPr>
            <w:r>
              <w:rPr>
                <w:spacing w:val="6"/>
              </w:rPr>
              <w:t>3</w:t>
            </w:r>
            <w:r>
              <w:rPr>
                <w:spacing w:val="-54"/>
              </w:rPr>
              <w:t xml:space="preserve"> </w:t>
            </w:r>
            <w:r>
              <w:rPr>
                <w:spacing w:val="6"/>
              </w:rPr>
              <w:t>．主营业务利润</w:t>
            </w:r>
            <w:r>
              <w:t>率</w:t>
            </w:r>
          </w:p>
        </w:tc>
        <w:tc>
          <w:tcPr>
            <w:tcW w:w="809" w:type="dxa"/>
            <w:vAlign w:val="top"/>
          </w:tcPr>
          <w:p w14:paraId="727F3F4B">
            <w:pPr>
              <w:spacing w:before="210"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67133E4A">
            <w:pPr>
              <w:rPr>
                <w:rFonts w:ascii="Arial"/>
                <w:sz w:val="21"/>
              </w:rPr>
            </w:pPr>
          </w:p>
        </w:tc>
        <w:tc>
          <w:tcPr>
            <w:tcW w:w="1516" w:type="dxa"/>
            <w:vAlign w:val="top"/>
          </w:tcPr>
          <w:p w14:paraId="661BE71A">
            <w:pPr>
              <w:rPr>
                <w:rFonts w:ascii="Arial"/>
                <w:sz w:val="21"/>
              </w:rPr>
            </w:pPr>
          </w:p>
        </w:tc>
        <w:tc>
          <w:tcPr>
            <w:tcW w:w="1519" w:type="dxa"/>
            <w:vAlign w:val="top"/>
          </w:tcPr>
          <w:p w14:paraId="4F917BE0">
            <w:pPr>
              <w:rPr>
                <w:rFonts w:ascii="Arial"/>
                <w:sz w:val="21"/>
              </w:rPr>
            </w:pPr>
          </w:p>
        </w:tc>
        <w:tc>
          <w:tcPr>
            <w:tcW w:w="1521" w:type="dxa"/>
            <w:vAlign w:val="top"/>
          </w:tcPr>
          <w:p w14:paraId="55140FE7">
            <w:pPr>
              <w:pStyle w:val="11"/>
              <w:spacing w:before="270" w:line="142" w:lineRule="exact"/>
              <w:ind w:left="711"/>
            </w:pPr>
            <w:r>
              <w:rPr>
                <w:position w:val="-3"/>
              </w:rPr>
              <w:t>-</w:t>
            </w:r>
          </w:p>
        </w:tc>
      </w:tr>
      <w:tr w14:paraId="47F3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907" w:type="dxa"/>
            <w:vAlign w:val="top"/>
          </w:tcPr>
          <w:p w14:paraId="5E1670F9">
            <w:pPr>
              <w:pStyle w:val="11"/>
              <w:spacing w:before="153" w:line="221" w:lineRule="auto"/>
              <w:ind w:left="115"/>
            </w:pPr>
            <w:r>
              <w:rPr>
                <w:spacing w:val="-1"/>
              </w:rPr>
              <w:t>4．资产负债率</w:t>
            </w:r>
          </w:p>
        </w:tc>
        <w:tc>
          <w:tcPr>
            <w:tcW w:w="809" w:type="dxa"/>
            <w:vAlign w:val="top"/>
          </w:tcPr>
          <w:p w14:paraId="1D5C80A9">
            <w:pPr>
              <w:spacing w:before="210"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74CE0CB4">
            <w:pPr>
              <w:rPr>
                <w:rFonts w:ascii="Arial"/>
                <w:sz w:val="21"/>
              </w:rPr>
            </w:pPr>
          </w:p>
        </w:tc>
        <w:tc>
          <w:tcPr>
            <w:tcW w:w="1516" w:type="dxa"/>
            <w:vAlign w:val="top"/>
          </w:tcPr>
          <w:p w14:paraId="57677242">
            <w:pPr>
              <w:rPr>
                <w:rFonts w:ascii="Arial"/>
                <w:sz w:val="21"/>
              </w:rPr>
            </w:pPr>
          </w:p>
        </w:tc>
        <w:tc>
          <w:tcPr>
            <w:tcW w:w="1519" w:type="dxa"/>
            <w:vAlign w:val="top"/>
          </w:tcPr>
          <w:p w14:paraId="5B873E4C">
            <w:pPr>
              <w:rPr>
                <w:rFonts w:ascii="Arial"/>
                <w:sz w:val="21"/>
              </w:rPr>
            </w:pPr>
          </w:p>
        </w:tc>
        <w:tc>
          <w:tcPr>
            <w:tcW w:w="1521" w:type="dxa"/>
            <w:vAlign w:val="top"/>
          </w:tcPr>
          <w:p w14:paraId="4D79D97E">
            <w:pPr>
              <w:rPr>
                <w:rFonts w:ascii="Arial"/>
                <w:sz w:val="21"/>
              </w:rPr>
            </w:pPr>
          </w:p>
        </w:tc>
      </w:tr>
      <w:tr w14:paraId="0499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907" w:type="dxa"/>
            <w:vAlign w:val="top"/>
          </w:tcPr>
          <w:p w14:paraId="105929B1">
            <w:pPr>
              <w:pStyle w:val="11"/>
              <w:spacing w:before="151" w:line="221" w:lineRule="auto"/>
              <w:ind w:left="120"/>
            </w:pPr>
            <w:r>
              <w:rPr>
                <w:spacing w:val="-2"/>
              </w:rPr>
              <w:t>5．流动比率</w:t>
            </w:r>
          </w:p>
        </w:tc>
        <w:tc>
          <w:tcPr>
            <w:tcW w:w="809" w:type="dxa"/>
            <w:vAlign w:val="top"/>
          </w:tcPr>
          <w:p w14:paraId="07884502">
            <w:pPr>
              <w:spacing w:before="208"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5CF66BFA">
            <w:pPr>
              <w:rPr>
                <w:rFonts w:ascii="Arial"/>
                <w:sz w:val="21"/>
              </w:rPr>
            </w:pPr>
          </w:p>
        </w:tc>
        <w:tc>
          <w:tcPr>
            <w:tcW w:w="1516" w:type="dxa"/>
            <w:vAlign w:val="top"/>
          </w:tcPr>
          <w:p w14:paraId="2DEF5343">
            <w:pPr>
              <w:rPr>
                <w:rFonts w:ascii="Arial"/>
                <w:sz w:val="21"/>
              </w:rPr>
            </w:pPr>
          </w:p>
        </w:tc>
        <w:tc>
          <w:tcPr>
            <w:tcW w:w="1519" w:type="dxa"/>
            <w:vAlign w:val="top"/>
          </w:tcPr>
          <w:p w14:paraId="5DC984D5">
            <w:pPr>
              <w:rPr>
                <w:rFonts w:ascii="Arial"/>
                <w:sz w:val="21"/>
              </w:rPr>
            </w:pPr>
          </w:p>
        </w:tc>
        <w:tc>
          <w:tcPr>
            <w:tcW w:w="1521" w:type="dxa"/>
            <w:vAlign w:val="top"/>
          </w:tcPr>
          <w:p w14:paraId="68E5C2BD">
            <w:pPr>
              <w:rPr>
                <w:rFonts w:ascii="Arial"/>
                <w:sz w:val="21"/>
              </w:rPr>
            </w:pPr>
          </w:p>
        </w:tc>
      </w:tr>
      <w:tr w14:paraId="5471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07" w:type="dxa"/>
            <w:vAlign w:val="top"/>
          </w:tcPr>
          <w:p w14:paraId="1C8BADC8">
            <w:pPr>
              <w:pStyle w:val="11"/>
              <w:spacing w:before="154" w:line="221" w:lineRule="auto"/>
              <w:ind w:left="117"/>
            </w:pPr>
            <w:r>
              <w:rPr>
                <w:spacing w:val="-2"/>
              </w:rPr>
              <w:t>6．速动比率</w:t>
            </w:r>
          </w:p>
        </w:tc>
        <w:tc>
          <w:tcPr>
            <w:tcW w:w="809" w:type="dxa"/>
            <w:vAlign w:val="top"/>
          </w:tcPr>
          <w:p w14:paraId="6CFEBB7A">
            <w:pPr>
              <w:spacing w:before="211" w:line="230" w:lineRule="auto"/>
              <w:ind w:left="32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18" w:type="dxa"/>
            <w:vAlign w:val="top"/>
          </w:tcPr>
          <w:p w14:paraId="29899806">
            <w:pPr>
              <w:rPr>
                <w:rFonts w:ascii="Arial"/>
                <w:sz w:val="21"/>
              </w:rPr>
            </w:pPr>
          </w:p>
        </w:tc>
        <w:tc>
          <w:tcPr>
            <w:tcW w:w="1516" w:type="dxa"/>
            <w:vAlign w:val="top"/>
          </w:tcPr>
          <w:p w14:paraId="1697CC2F">
            <w:pPr>
              <w:rPr>
                <w:rFonts w:ascii="Arial"/>
                <w:sz w:val="21"/>
              </w:rPr>
            </w:pPr>
          </w:p>
        </w:tc>
        <w:tc>
          <w:tcPr>
            <w:tcW w:w="1519" w:type="dxa"/>
            <w:vAlign w:val="top"/>
          </w:tcPr>
          <w:p w14:paraId="67B83D07">
            <w:pPr>
              <w:rPr>
                <w:rFonts w:ascii="Arial"/>
                <w:sz w:val="21"/>
              </w:rPr>
            </w:pPr>
          </w:p>
        </w:tc>
        <w:tc>
          <w:tcPr>
            <w:tcW w:w="1521" w:type="dxa"/>
            <w:vAlign w:val="top"/>
          </w:tcPr>
          <w:p w14:paraId="1534F836">
            <w:pPr>
              <w:rPr>
                <w:rFonts w:ascii="Arial"/>
                <w:sz w:val="21"/>
              </w:rPr>
            </w:pPr>
          </w:p>
        </w:tc>
      </w:tr>
    </w:tbl>
    <w:p w14:paraId="178E3706">
      <w:pPr>
        <w:spacing w:before="77" w:line="220" w:lineRule="auto"/>
        <w:rPr>
          <w:rFonts w:ascii="宋体" w:hAnsi="宋体" w:eastAsia="宋体" w:cs="宋体"/>
          <w:sz w:val="21"/>
          <w:szCs w:val="21"/>
        </w:rPr>
      </w:pPr>
      <w:r>
        <w:rPr>
          <w:rFonts w:ascii="宋体" w:hAnsi="宋体" w:eastAsia="宋体" w:cs="宋体"/>
          <w:spacing w:val="-1"/>
          <w:sz w:val="21"/>
          <w:szCs w:val="21"/>
        </w:rPr>
        <w:t>备注：1.本表后应附近年经会计师事务所或审计机构审计的财务会计报表。</w:t>
      </w:r>
    </w:p>
    <w:p w14:paraId="67749ED2">
      <w:pPr>
        <w:spacing w:before="75" w:line="253" w:lineRule="auto"/>
        <w:ind w:left="960" w:hanging="329"/>
        <w:rPr>
          <w:rFonts w:ascii="宋体" w:hAnsi="宋体" w:eastAsia="宋体" w:cs="宋体"/>
          <w:sz w:val="21"/>
          <w:szCs w:val="21"/>
        </w:rPr>
      </w:pPr>
      <w:r>
        <w:rPr>
          <w:rFonts w:ascii="宋体" w:hAnsi="宋体" w:eastAsia="宋体" w:cs="宋体"/>
          <w:spacing w:val="2"/>
          <w:sz w:val="21"/>
          <w:szCs w:val="21"/>
        </w:rPr>
        <w:t>2.本表所列数据必须与本表各附件中的数据相一致。如果有不一致</w:t>
      </w:r>
      <w:r>
        <w:rPr>
          <w:rFonts w:ascii="宋体" w:hAnsi="宋体" w:eastAsia="宋体" w:cs="宋体"/>
          <w:spacing w:val="1"/>
          <w:sz w:val="21"/>
          <w:szCs w:val="21"/>
        </w:rPr>
        <w:t>之处，以不利于投标人</w:t>
      </w:r>
      <w:r>
        <w:rPr>
          <w:rFonts w:ascii="宋体" w:hAnsi="宋体" w:eastAsia="宋体" w:cs="宋体"/>
          <w:spacing w:val="-4"/>
          <w:sz w:val="21"/>
          <w:szCs w:val="21"/>
        </w:rPr>
        <w:t>的数据为准。</w:t>
      </w:r>
    </w:p>
    <w:p w14:paraId="546804B7">
      <w:pPr>
        <w:spacing w:before="73" w:line="221" w:lineRule="auto"/>
        <w:ind w:left="632"/>
        <w:rPr>
          <w:rFonts w:ascii="宋体" w:hAnsi="宋体" w:eastAsia="宋体" w:cs="宋体"/>
          <w:sz w:val="21"/>
          <w:szCs w:val="21"/>
        </w:rPr>
      </w:pPr>
      <w:r>
        <w:rPr>
          <w:rFonts w:ascii="宋体" w:hAnsi="宋体" w:eastAsia="宋体" w:cs="宋体"/>
          <w:spacing w:val="-1"/>
          <w:sz w:val="21"/>
          <w:szCs w:val="21"/>
        </w:rPr>
        <w:t>3.联合体投标的，联合体各成员应分别填写。</w:t>
      </w:r>
    </w:p>
    <w:p w14:paraId="135B2F7A">
      <w:pPr>
        <w:spacing w:line="221" w:lineRule="auto"/>
        <w:rPr>
          <w:rFonts w:ascii="宋体" w:hAnsi="宋体" w:eastAsia="宋体" w:cs="宋体"/>
          <w:sz w:val="21"/>
          <w:szCs w:val="21"/>
        </w:rPr>
        <w:sectPr>
          <w:footerReference r:id="rId208" w:type="default"/>
          <w:pgSz w:w="11905" w:h="16843"/>
          <w:pgMar w:top="969" w:right="1355" w:bottom="1026" w:left="1480" w:header="0" w:footer="754" w:gutter="0"/>
          <w:cols w:space="0" w:num="1"/>
          <w:rtlGutter w:val="0"/>
          <w:docGrid w:linePitch="0" w:charSpace="0"/>
        </w:sectPr>
      </w:pPr>
    </w:p>
    <w:p w14:paraId="69C74F7F">
      <w:pPr>
        <w:pStyle w:val="5"/>
        <w:spacing w:line="265" w:lineRule="auto"/>
      </w:pPr>
    </w:p>
    <w:p w14:paraId="33B074C8">
      <w:pPr>
        <w:pStyle w:val="5"/>
        <w:spacing w:line="265" w:lineRule="auto"/>
      </w:pPr>
    </w:p>
    <w:p w14:paraId="70EB3E2E">
      <w:pPr>
        <w:pStyle w:val="5"/>
        <w:spacing w:line="266" w:lineRule="auto"/>
      </w:pPr>
    </w:p>
    <w:p w14:paraId="4DFC76D8">
      <w:pPr>
        <w:pStyle w:val="5"/>
        <w:spacing w:line="266" w:lineRule="auto"/>
      </w:pPr>
    </w:p>
    <w:p w14:paraId="0B2DE8FB">
      <w:pPr>
        <w:pStyle w:val="5"/>
        <w:spacing w:line="266" w:lineRule="auto"/>
      </w:pPr>
    </w:p>
    <w:p w14:paraId="440CA067">
      <w:pPr>
        <w:spacing w:before="78" w:line="218" w:lineRule="auto"/>
        <w:ind w:left="2644"/>
        <w:outlineLvl w:val="2"/>
        <w:rPr>
          <w:rFonts w:ascii="黑体" w:hAnsi="黑体" w:eastAsia="黑体" w:cs="黑体"/>
          <w:sz w:val="24"/>
          <w:szCs w:val="24"/>
        </w:rPr>
      </w:pPr>
      <w:bookmarkStart w:id="1389" w:name="bookmark673"/>
      <w:bookmarkEnd w:id="1389"/>
      <w:bookmarkStart w:id="1390" w:name="bookmark455"/>
      <w:bookmarkEnd w:id="1390"/>
      <w:r>
        <w:rPr>
          <w:rFonts w:ascii="黑体" w:hAnsi="黑体" w:eastAsia="黑体" w:cs="黑体"/>
          <w:spacing w:val="-3"/>
          <w:sz w:val="24"/>
          <w:szCs w:val="24"/>
        </w:rPr>
        <w:t>（三）近年完成的类似项目情况表</w:t>
      </w:r>
    </w:p>
    <w:p w14:paraId="6C65F97E">
      <w:pPr>
        <w:pStyle w:val="5"/>
        <w:spacing w:line="475" w:lineRule="auto"/>
      </w:pPr>
    </w:p>
    <w:p w14:paraId="16A39DA2">
      <w:pPr>
        <w:spacing w:before="78" w:line="232" w:lineRule="auto"/>
        <w:ind w:left="2770"/>
        <w:outlineLvl w:val="2"/>
        <w:rPr>
          <w:rFonts w:ascii="黑体" w:hAnsi="黑体" w:eastAsia="黑体" w:cs="黑体"/>
          <w:sz w:val="24"/>
          <w:szCs w:val="24"/>
        </w:rPr>
      </w:pPr>
      <w:bookmarkStart w:id="1391" w:name="bookmark456"/>
      <w:bookmarkEnd w:id="1391"/>
      <w:r>
        <w:rPr>
          <w:rFonts w:ascii="Times New Roman" w:hAnsi="Times New Roman" w:eastAsia="Times New Roman" w:cs="Times New Roman"/>
          <w:spacing w:val="-1"/>
          <w:sz w:val="24"/>
          <w:szCs w:val="24"/>
        </w:rPr>
        <w:t xml:space="preserve">3-1  </w:t>
      </w:r>
      <w:r>
        <w:rPr>
          <w:rFonts w:ascii="黑体" w:hAnsi="黑体" w:eastAsia="黑体" w:cs="黑体"/>
          <w:spacing w:val="-1"/>
          <w:sz w:val="24"/>
          <w:szCs w:val="24"/>
        </w:rPr>
        <w:t>近年完成的类似项目汇总表</w:t>
      </w:r>
    </w:p>
    <w:p w14:paraId="223C711D">
      <w:pPr>
        <w:spacing w:before="183"/>
      </w:pPr>
    </w:p>
    <w:tbl>
      <w:tblPr>
        <w:tblStyle w:val="10"/>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82"/>
        <w:gridCol w:w="1394"/>
        <w:gridCol w:w="1080"/>
        <w:gridCol w:w="1110"/>
        <w:gridCol w:w="1778"/>
        <w:gridCol w:w="1084"/>
      </w:tblGrid>
      <w:tr w14:paraId="726F0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07" w:type="dxa"/>
            <w:vAlign w:val="top"/>
          </w:tcPr>
          <w:p w14:paraId="127255F3">
            <w:pPr>
              <w:spacing w:line="293" w:lineRule="auto"/>
              <w:rPr>
                <w:rFonts w:ascii="Arial"/>
                <w:sz w:val="21"/>
              </w:rPr>
            </w:pPr>
          </w:p>
          <w:p w14:paraId="233353DB">
            <w:pPr>
              <w:pStyle w:val="11"/>
              <w:spacing w:before="68" w:line="222" w:lineRule="auto"/>
              <w:ind w:left="148"/>
            </w:pPr>
            <w:r>
              <w:rPr>
                <w:spacing w:val="-2"/>
              </w:rPr>
              <w:t>序号</w:t>
            </w:r>
          </w:p>
        </w:tc>
        <w:tc>
          <w:tcPr>
            <w:tcW w:w="1682" w:type="dxa"/>
            <w:vAlign w:val="top"/>
          </w:tcPr>
          <w:p w14:paraId="7A87AA0A">
            <w:pPr>
              <w:spacing w:line="293" w:lineRule="auto"/>
              <w:rPr>
                <w:rFonts w:ascii="Arial"/>
                <w:sz w:val="21"/>
              </w:rPr>
            </w:pPr>
          </w:p>
          <w:p w14:paraId="1714B52E">
            <w:pPr>
              <w:pStyle w:val="11"/>
              <w:spacing w:before="68" w:line="221" w:lineRule="auto"/>
              <w:ind w:left="427"/>
            </w:pPr>
            <w:r>
              <w:rPr>
                <w:spacing w:val="-3"/>
              </w:rPr>
              <w:t>项目名称</w:t>
            </w:r>
          </w:p>
        </w:tc>
        <w:tc>
          <w:tcPr>
            <w:tcW w:w="1394" w:type="dxa"/>
            <w:vAlign w:val="top"/>
          </w:tcPr>
          <w:p w14:paraId="4C807E58">
            <w:pPr>
              <w:spacing w:line="293" w:lineRule="auto"/>
              <w:rPr>
                <w:rFonts w:ascii="Arial"/>
                <w:sz w:val="21"/>
              </w:rPr>
            </w:pPr>
          </w:p>
          <w:p w14:paraId="2B54171B">
            <w:pPr>
              <w:pStyle w:val="11"/>
              <w:spacing w:before="68" w:line="221" w:lineRule="auto"/>
              <w:ind w:left="178"/>
            </w:pPr>
            <w:r>
              <w:rPr>
                <w:spacing w:val="-2"/>
              </w:rPr>
              <w:t>发包人名称</w:t>
            </w:r>
          </w:p>
        </w:tc>
        <w:tc>
          <w:tcPr>
            <w:tcW w:w="1080" w:type="dxa"/>
            <w:vAlign w:val="top"/>
          </w:tcPr>
          <w:p w14:paraId="163D569B">
            <w:pPr>
              <w:spacing w:line="292" w:lineRule="auto"/>
              <w:rPr>
                <w:rFonts w:ascii="Arial"/>
                <w:sz w:val="21"/>
              </w:rPr>
            </w:pPr>
          </w:p>
          <w:p w14:paraId="30904063">
            <w:pPr>
              <w:pStyle w:val="11"/>
              <w:spacing w:before="68" w:line="221" w:lineRule="auto"/>
              <w:ind w:left="128"/>
            </w:pPr>
            <w:r>
              <w:rPr>
                <w:spacing w:val="-2"/>
              </w:rPr>
              <w:t>工程规模</w:t>
            </w:r>
          </w:p>
        </w:tc>
        <w:tc>
          <w:tcPr>
            <w:tcW w:w="1110" w:type="dxa"/>
            <w:vAlign w:val="top"/>
          </w:tcPr>
          <w:p w14:paraId="365B2E2C">
            <w:pPr>
              <w:pStyle w:val="11"/>
              <w:spacing w:before="164" w:line="219" w:lineRule="auto"/>
              <w:ind w:left="141"/>
            </w:pPr>
            <w:r>
              <w:rPr>
                <w:spacing w:val="-2"/>
              </w:rPr>
              <w:t>合同价格</w:t>
            </w:r>
          </w:p>
          <w:p w14:paraId="460AA914">
            <w:pPr>
              <w:pStyle w:val="11"/>
              <w:spacing w:before="149" w:line="207" w:lineRule="auto"/>
              <w:ind w:left="93"/>
            </w:pPr>
            <w:r>
              <w:rPr>
                <w:spacing w:val="-6"/>
              </w:rPr>
              <w:t>（万元）</w:t>
            </w:r>
          </w:p>
        </w:tc>
        <w:tc>
          <w:tcPr>
            <w:tcW w:w="1778" w:type="dxa"/>
            <w:vAlign w:val="top"/>
          </w:tcPr>
          <w:p w14:paraId="49B1CB28">
            <w:pPr>
              <w:spacing w:line="292" w:lineRule="auto"/>
              <w:rPr>
                <w:rFonts w:ascii="Arial"/>
                <w:sz w:val="21"/>
              </w:rPr>
            </w:pPr>
          </w:p>
          <w:p w14:paraId="41652C5F">
            <w:pPr>
              <w:pStyle w:val="11"/>
              <w:spacing w:before="68" w:line="221" w:lineRule="auto"/>
              <w:ind w:left="269"/>
            </w:pPr>
            <w:r>
              <w:rPr>
                <w:spacing w:val="-1"/>
              </w:rPr>
              <w:t>开、竣工日期</w:t>
            </w:r>
          </w:p>
        </w:tc>
        <w:tc>
          <w:tcPr>
            <w:tcW w:w="1084" w:type="dxa"/>
            <w:vAlign w:val="top"/>
          </w:tcPr>
          <w:p w14:paraId="6DE57088">
            <w:pPr>
              <w:spacing w:line="293" w:lineRule="auto"/>
              <w:rPr>
                <w:rFonts w:ascii="Arial"/>
                <w:sz w:val="21"/>
              </w:rPr>
            </w:pPr>
          </w:p>
          <w:p w14:paraId="3EA1AA36">
            <w:pPr>
              <w:pStyle w:val="11"/>
              <w:spacing w:before="68" w:line="221" w:lineRule="auto"/>
              <w:ind w:left="131"/>
            </w:pPr>
            <w:r>
              <w:rPr>
                <w:spacing w:val="-3"/>
              </w:rPr>
              <w:t>项目经理</w:t>
            </w:r>
          </w:p>
        </w:tc>
      </w:tr>
      <w:tr w14:paraId="47A8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43D2F8AD">
            <w:pPr>
              <w:rPr>
                <w:rFonts w:ascii="Arial"/>
                <w:sz w:val="21"/>
              </w:rPr>
            </w:pPr>
          </w:p>
        </w:tc>
        <w:tc>
          <w:tcPr>
            <w:tcW w:w="1682" w:type="dxa"/>
            <w:vAlign w:val="top"/>
          </w:tcPr>
          <w:p w14:paraId="43DD47B0">
            <w:pPr>
              <w:rPr>
                <w:rFonts w:ascii="Arial"/>
                <w:sz w:val="21"/>
              </w:rPr>
            </w:pPr>
          </w:p>
        </w:tc>
        <w:tc>
          <w:tcPr>
            <w:tcW w:w="1394" w:type="dxa"/>
            <w:vAlign w:val="top"/>
          </w:tcPr>
          <w:p w14:paraId="390A9807">
            <w:pPr>
              <w:rPr>
                <w:rFonts w:ascii="Arial"/>
                <w:sz w:val="21"/>
              </w:rPr>
            </w:pPr>
          </w:p>
        </w:tc>
        <w:tc>
          <w:tcPr>
            <w:tcW w:w="1080" w:type="dxa"/>
            <w:vAlign w:val="top"/>
          </w:tcPr>
          <w:p w14:paraId="65D30668">
            <w:pPr>
              <w:rPr>
                <w:rFonts w:ascii="Arial"/>
                <w:sz w:val="21"/>
              </w:rPr>
            </w:pPr>
          </w:p>
        </w:tc>
        <w:tc>
          <w:tcPr>
            <w:tcW w:w="1110" w:type="dxa"/>
            <w:vAlign w:val="top"/>
          </w:tcPr>
          <w:p w14:paraId="26EDDB54">
            <w:pPr>
              <w:rPr>
                <w:rFonts w:ascii="Arial"/>
                <w:sz w:val="21"/>
              </w:rPr>
            </w:pPr>
          </w:p>
        </w:tc>
        <w:tc>
          <w:tcPr>
            <w:tcW w:w="1778" w:type="dxa"/>
            <w:vAlign w:val="top"/>
          </w:tcPr>
          <w:p w14:paraId="0DB2E941">
            <w:pPr>
              <w:rPr>
                <w:rFonts w:ascii="Arial"/>
                <w:sz w:val="21"/>
              </w:rPr>
            </w:pPr>
          </w:p>
        </w:tc>
        <w:tc>
          <w:tcPr>
            <w:tcW w:w="1084" w:type="dxa"/>
            <w:vAlign w:val="top"/>
          </w:tcPr>
          <w:p w14:paraId="1892DEF1">
            <w:pPr>
              <w:rPr>
                <w:rFonts w:ascii="Arial"/>
                <w:sz w:val="21"/>
              </w:rPr>
            </w:pPr>
          </w:p>
        </w:tc>
      </w:tr>
      <w:tr w14:paraId="32C9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6C462CB6">
            <w:pPr>
              <w:rPr>
                <w:rFonts w:ascii="Arial"/>
                <w:sz w:val="21"/>
              </w:rPr>
            </w:pPr>
          </w:p>
        </w:tc>
        <w:tc>
          <w:tcPr>
            <w:tcW w:w="1682" w:type="dxa"/>
            <w:vAlign w:val="top"/>
          </w:tcPr>
          <w:p w14:paraId="4F6F80F6">
            <w:pPr>
              <w:rPr>
                <w:rFonts w:ascii="Arial"/>
                <w:sz w:val="21"/>
              </w:rPr>
            </w:pPr>
          </w:p>
        </w:tc>
        <w:tc>
          <w:tcPr>
            <w:tcW w:w="1394" w:type="dxa"/>
            <w:vAlign w:val="top"/>
          </w:tcPr>
          <w:p w14:paraId="29E59904">
            <w:pPr>
              <w:rPr>
                <w:rFonts w:ascii="Arial"/>
                <w:sz w:val="21"/>
              </w:rPr>
            </w:pPr>
          </w:p>
        </w:tc>
        <w:tc>
          <w:tcPr>
            <w:tcW w:w="1080" w:type="dxa"/>
            <w:vAlign w:val="top"/>
          </w:tcPr>
          <w:p w14:paraId="0A0DBEB1">
            <w:pPr>
              <w:rPr>
                <w:rFonts w:ascii="Arial"/>
                <w:sz w:val="21"/>
              </w:rPr>
            </w:pPr>
          </w:p>
        </w:tc>
        <w:tc>
          <w:tcPr>
            <w:tcW w:w="1110" w:type="dxa"/>
            <w:vAlign w:val="top"/>
          </w:tcPr>
          <w:p w14:paraId="215BF89D">
            <w:pPr>
              <w:rPr>
                <w:rFonts w:ascii="Arial"/>
                <w:sz w:val="21"/>
              </w:rPr>
            </w:pPr>
          </w:p>
        </w:tc>
        <w:tc>
          <w:tcPr>
            <w:tcW w:w="1778" w:type="dxa"/>
            <w:vAlign w:val="top"/>
          </w:tcPr>
          <w:p w14:paraId="483EA596">
            <w:pPr>
              <w:rPr>
                <w:rFonts w:ascii="Arial"/>
                <w:sz w:val="21"/>
              </w:rPr>
            </w:pPr>
          </w:p>
        </w:tc>
        <w:tc>
          <w:tcPr>
            <w:tcW w:w="1084" w:type="dxa"/>
            <w:vAlign w:val="top"/>
          </w:tcPr>
          <w:p w14:paraId="70A63C80">
            <w:pPr>
              <w:rPr>
                <w:rFonts w:ascii="Arial"/>
                <w:sz w:val="21"/>
              </w:rPr>
            </w:pPr>
          </w:p>
        </w:tc>
      </w:tr>
      <w:tr w14:paraId="04C9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5A1722BD">
            <w:pPr>
              <w:rPr>
                <w:rFonts w:ascii="Arial"/>
                <w:sz w:val="21"/>
              </w:rPr>
            </w:pPr>
          </w:p>
        </w:tc>
        <w:tc>
          <w:tcPr>
            <w:tcW w:w="1682" w:type="dxa"/>
            <w:vAlign w:val="top"/>
          </w:tcPr>
          <w:p w14:paraId="6B10B2E0">
            <w:pPr>
              <w:rPr>
                <w:rFonts w:ascii="Arial"/>
                <w:sz w:val="21"/>
              </w:rPr>
            </w:pPr>
          </w:p>
        </w:tc>
        <w:tc>
          <w:tcPr>
            <w:tcW w:w="1394" w:type="dxa"/>
            <w:vAlign w:val="top"/>
          </w:tcPr>
          <w:p w14:paraId="792CCCED">
            <w:pPr>
              <w:rPr>
                <w:rFonts w:ascii="Arial"/>
                <w:sz w:val="21"/>
              </w:rPr>
            </w:pPr>
          </w:p>
        </w:tc>
        <w:tc>
          <w:tcPr>
            <w:tcW w:w="1080" w:type="dxa"/>
            <w:vAlign w:val="top"/>
          </w:tcPr>
          <w:p w14:paraId="57EA63D0">
            <w:pPr>
              <w:rPr>
                <w:rFonts w:ascii="Arial"/>
                <w:sz w:val="21"/>
              </w:rPr>
            </w:pPr>
          </w:p>
        </w:tc>
        <w:tc>
          <w:tcPr>
            <w:tcW w:w="1110" w:type="dxa"/>
            <w:vAlign w:val="top"/>
          </w:tcPr>
          <w:p w14:paraId="3434DC7C">
            <w:pPr>
              <w:rPr>
                <w:rFonts w:ascii="Arial"/>
                <w:sz w:val="21"/>
              </w:rPr>
            </w:pPr>
          </w:p>
        </w:tc>
        <w:tc>
          <w:tcPr>
            <w:tcW w:w="1778" w:type="dxa"/>
            <w:vAlign w:val="top"/>
          </w:tcPr>
          <w:p w14:paraId="4D266FD4">
            <w:pPr>
              <w:rPr>
                <w:rFonts w:ascii="Arial"/>
                <w:sz w:val="21"/>
              </w:rPr>
            </w:pPr>
          </w:p>
        </w:tc>
        <w:tc>
          <w:tcPr>
            <w:tcW w:w="1084" w:type="dxa"/>
            <w:vAlign w:val="top"/>
          </w:tcPr>
          <w:p w14:paraId="4EE33662">
            <w:pPr>
              <w:rPr>
                <w:rFonts w:ascii="Arial"/>
                <w:sz w:val="21"/>
              </w:rPr>
            </w:pPr>
          </w:p>
        </w:tc>
      </w:tr>
      <w:tr w14:paraId="1F07D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5D76E55E">
            <w:pPr>
              <w:rPr>
                <w:rFonts w:ascii="Arial"/>
                <w:sz w:val="21"/>
              </w:rPr>
            </w:pPr>
          </w:p>
        </w:tc>
        <w:tc>
          <w:tcPr>
            <w:tcW w:w="1682" w:type="dxa"/>
            <w:vAlign w:val="top"/>
          </w:tcPr>
          <w:p w14:paraId="1CD60944">
            <w:pPr>
              <w:rPr>
                <w:rFonts w:ascii="Arial"/>
                <w:sz w:val="21"/>
              </w:rPr>
            </w:pPr>
          </w:p>
        </w:tc>
        <w:tc>
          <w:tcPr>
            <w:tcW w:w="1394" w:type="dxa"/>
            <w:vAlign w:val="top"/>
          </w:tcPr>
          <w:p w14:paraId="3B971565">
            <w:pPr>
              <w:rPr>
                <w:rFonts w:ascii="Arial"/>
                <w:sz w:val="21"/>
              </w:rPr>
            </w:pPr>
          </w:p>
        </w:tc>
        <w:tc>
          <w:tcPr>
            <w:tcW w:w="1080" w:type="dxa"/>
            <w:vAlign w:val="top"/>
          </w:tcPr>
          <w:p w14:paraId="0E17952A">
            <w:pPr>
              <w:rPr>
                <w:rFonts w:ascii="Arial"/>
                <w:sz w:val="21"/>
              </w:rPr>
            </w:pPr>
          </w:p>
        </w:tc>
        <w:tc>
          <w:tcPr>
            <w:tcW w:w="1110" w:type="dxa"/>
            <w:vAlign w:val="top"/>
          </w:tcPr>
          <w:p w14:paraId="10D341B1">
            <w:pPr>
              <w:rPr>
                <w:rFonts w:ascii="Arial"/>
                <w:sz w:val="21"/>
              </w:rPr>
            </w:pPr>
          </w:p>
        </w:tc>
        <w:tc>
          <w:tcPr>
            <w:tcW w:w="1778" w:type="dxa"/>
            <w:vAlign w:val="top"/>
          </w:tcPr>
          <w:p w14:paraId="26107A75">
            <w:pPr>
              <w:rPr>
                <w:rFonts w:ascii="Arial"/>
                <w:sz w:val="21"/>
              </w:rPr>
            </w:pPr>
          </w:p>
        </w:tc>
        <w:tc>
          <w:tcPr>
            <w:tcW w:w="1084" w:type="dxa"/>
            <w:vAlign w:val="top"/>
          </w:tcPr>
          <w:p w14:paraId="656C87A7">
            <w:pPr>
              <w:rPr>
                <w:rFonts w:ascii="Arial"/>
                <w:sz w:val="21"/>
              </w:rPr>
            </w:pPr>
          </w:p>
        </w:tc>
      </w:tr>
      <w:tr w14:paraId="6277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0380425B">
            <w:pPr>
              <w:rPr>
                <w:rFonts w:ascii="Arial"/>
                <w:sz w:val="21"/>
              </w:rPr>
            </w:pPr>
          </w:p>
        </w:tc>
        <w:tc>
          <w:tcPr>
            <w:tcW w:w="1682" w:type="dxa"/>
            <w:vAlign w:val="top"/>
          </w:tcPr>
          <w:p w14:paraId="23D129B5">
            <w:pPr>
              <w:rPr>
                <w:rFonts w:ascii="Arial"/>
                <w:sz w:val="21"/>
              </w:rPr>
            </w:pPr>
          </w:p>
        </w:tc>
        <w:tc>
          <w:tcPr>
            <w:tcW w:w="1394" w:type="dxa"/>
            <w:vAlign w:val="top"/>
          </w:tcPr>
          <w:p w14:paraId="69C2A520">
            <w:pPr>
              <w:rPr>
                <w:rFonts w:ascii="Arial"/>
                <w:sz w:val="21"/>
              </w:rPr>
            </w:pPr>
          </w:p>
        </w:tc>
        <w:tc>
          <w:tcPr>
            <w:tcW w:w="1080" w:type="dxa"/>
            <w:vAlign w:val="top"/>
          </w:tcPr>
          <w:p w14:paraId="5E408541">
            <w:pPr>
              <w:rPr>
                <w:rFonts w:ascii="Arial"/>
                <w:sz w:val="21"/>
              </w:rPr>
            </w:pPr>
          </w:p>
        </w:tc>
        <w:tc>
          <w:tcPr>
            <w:tcW w:w="1110" w:type="dxa"/>
            <w:vAlign w:val="top"/>
          </w:tcPr>
          <w:p w14:paraId="791BF8E9">
            <w:pPr>
              <w:rPr>
                <w:rFonts w:ascii="Arial"/>
                <w:sz w:val="21"/>
              </w:rPr>
            </w:pPr>
          </w:p>
        </w:tc>
        <w:tc>
          <w:tcPr>
            <w:tcW w:w="1778" w:type="dxa"/>
            <w:vAlign w:val="top"/>
          </w:tcPr>
          <w:p w14:paraId="377DCFE9">
            <w:pPr>
              <w:rPr>
                <w:rFonts w:ascii="Arial"/>
                <w:sz w:val="21"/>
              </w:rPr>
            </w:pPr>
          </w:p>
        </w:tc>
        <w:tc>
          <w:tcPr>
            <w:tcW w:w="1084" w:type="dxa"/>
            <w:vAlign w:val="top"/>
          </w:tcPr>
          <w:p w14:paraId="7FA44E03">
            <w:pPr>
              <w:rPr>
                <w:rFonts w:ascii="Arial"/>
                <w:sz w:val="21"/>
              </w:rPr>
            </w:pPr>
          </w:p>
        </w:tc>
      </w:tr>
      <w:tr w14:paraId="7B5F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41BEED7E">
            <w:pPr>
              <w:rPr>
                <w:rFonts w:ascii="Arial"/>
                <w:sz w:val="21"/>
              </w:rPr>
            </w:pPr>
          </w:p>
        </w:tc>
        <w:tc>
          <w:tcPr>
            <w:tcW w:w="1682" w:type="dxa"/>
            <w:vAlign w:val="top"/>
          </w:tcPr>
          <w:p w14:paraId="50AD50E2">
            <w:pPr>
              <w:rPr>
                <w:rFonts w:ascii="Arial"/>
                <w:sz w:val="21"/>
              </w:rPr>
            </w:pPr>
          </w:p>
        </w:tc>
        <w:tc>
          <w:tcPr>
            <w:tcW w:w="1394" w:type="dxa"/>
            <w:vAlign w:val="top"/>
          </w:tcPr>
          <w:p w14:paraId="0CC563B3">
            <w:pPr>
              <w:rPr>
                <w:rFonts w:ascii="Arial"/>
                <w:sz w:val="21"/>
              </w:rPr>
            </w:pPr>
          </w:p>
        </w:tc>
        <w:tc>
          <w:tcPr>
            <w:tcW w:w="1080" w:type="dxa"/>
            <w:vAlign w:val="top"/>
          </w:tcPr>
          <w:p w14:paraId="101641B5">
            <w:pPr>
              <w:rPr>
                <w:rFonts w:ascii="Arial"/>
                <w:sz w:val="21"/>
              </w:rPr>
            </w:pPr>
          </w:p>
        </w:tc>
        <w:tc>
          <w:tcPr>
            <w:tcW w:w="1110" w:type="dxa"/>
            <w:vAlign w:val="top"/>
          </w:tcPr>
          <w:p w14:paraId="5FD4295D">
            <w:pPr>
              <w:rPr>
                <w:rFonts w:ascii="Arial"/>
                <w:sz w:val="21"/>
              </w:rPr>
            </w:pPr>
          </w:p>
        </w:tc>
        <w:tc>
          <w:tcPr>
            <w:tcW w:w="1778" w:type="dxa"/>
            <w:vAlign w:val="top"/>
          </w:tcPr>
          <w:p w14:paraId="71B3F9E7">
            <w:pPr>
              <w:rPr>
                <w:rFonts w:ascii="Arial"/>
                <w:sz w:val="21"/>
              </w:rPr>
            </w:pPr>
          </w:p>
        </w:tc>
        <w:tc>
          <w:tcPr>
            <w:tcW w:w="1084" w:type="dxa"/>
            <w:vAlign w:val="top"/>
          </w:tcPr>
          <w:p w14:paraId="2658A463">
            <w:pPr>
              <w:rPr>
                <w:rFonts w:ascii="Arial"/>
                <w:sz w:val="21"/>
              </w:rPr>
            </w:pPr>
          </w:p>
        </w:tc>
      </w:tr>
      <w:tr w14:paraId="5C31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2F8CD882">
            <w:pPr>
              <w:rPr>
                <w:rFonts w:ascii="Arial"/>
                <w:sz w:val="21"/>
              </w:rPr>
            </w:pPr>
          </w:p>
        </w:tc>
        <w:tc>
          <w:tcPr>
            <w:tcW w:w="1682" w:type="dxa"/>
            <w:vAlign w:val="top"/>
          </w:tcPr>
          <w:p w14:paraId="67B5E610">
            <w:pPr>
              <w:rPr>
                <w:rFonts w:ascii="Arial"/>
                <w:sz w:val="21"/>
              </w:rPr>
            </w:pPr>
          </w:p>
        </w:tc>
        <w:tc>
          <w:tcPr>
            <w:tcW w:w="1394" w:type="dxa"/>
            <w:vAlign w:val="top"/>
          </w:tcPr>
          <w:p w14:paraId="7FF73FDA">
            <w:pPr>
              <w:rPr>
                <w:rFonts w:ascii="Arial"/>
                <w:sz w:val="21"/>
              </w:rPr>
            </w:pPr>
          </w:p>
        </w:tc>
        <w:tc>
          <w:tcPr>
            <w:tcW w:w="1080" w:type="dxa"/>
            <w:vAlign w:val="top"/>
          </w:tcPr>
          <w:p w14:paraId="5EABA9AC">
            <w:pPr>
              <w:rPr>
                <w:rFonts w:ascii="Arial"/>
                <w:sz w:val="21"/>
              </w:rPr>
            </w:pPr>
          </w:p>
        </w:tc>
        <w:tc>
          <w:tcPr>
            <w:tcW w:w="1110" w:type="dxa"/>
            <w:vAlign w:val="top"/>
          </w:tcPr>
          <w:p w14:paraId="281E5E29">
            <w:pPr>
              <w:rPr>
                <w:rFonts w:ascii="Arial"/>
                <w:sz w:val="21"/>
              </w:rPr>
            </w:pPr>
          </w:p>
        </w:tc>
        <w:tc>
          <w:tcPr>
            <w:tcW w:w="1778" w:type="dxa"/>
            <w:vAlign w:val="top"/>
          </w:tcPr>
          <w:p w14:paraId="65AF11A8">
            <w:pPr>
              <w:rPr>
                <w:rFonts w:ascii="Arial"/>
                <w:sz w:val="21"/>
              </w:rPr>
            </w:pPr>
          </w:p>
        </w:tc>
        <w:tc>
          <w:tcPr>
            <w:tcW w:w="1084" w:type="dxa"/>
            <w:vAlign w:val="top"/>
          </w:tcPr>
          <w:p w14:paraId="389240B0">
            <w:pPr>
              <w:rPr>
                <w:rFonts w:ascii="Arial"/>
                <w:sz w:val="21"/>
              </w:rPr>
            </w:pPr>
          </w:p>
        </w:tc>
      </w:tr>
      <w:tr w14:paraId="7678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542E5567">
            <w:pPr>
              <w:rPr>
                <w:rFonts w:ascii="Arial"/>
                <w:sz w:val="21"/>
              </w:rPr>
            </w:pPr>
          </w:p>
        </w:tc>
        <w:tc>
          <w:tcPr>
            <w:tcW w:w="1682" w:type="dxa"/>
            <w:vAlign w:val="top"/>
          </w:tcPr>
          <w:p w14:paraId="09C8A843">
            <w:pPr>
              <w:rPr>
                <w:rFonts w:ascii="Arial"/>
                <w:sz w:val="21"/>
              </w:rPr>
            </w:pPr>
          </w:p>
        </w:tc>
        <w:tc>
          <w:tcPr>
            <w:tcW w:w="1394" w:type="dxa"/>
            <w:vAlign w:val="top"/>
          </w:tcPr>
          <w:p w14:paraId="7805C1B6">
            <w:pPr>
              <w:rPr>
                <w:rFonts w:ascii="Arial"/>
                <w:sz w:val="21"/>
              </w:rPr>
            </w:pPr>
          </w:p>
        </w:tc>
        <w:tc>
          <w:tcPr>
            <w:tcW w:w="1080" w:type="dxa"/>
            <w:vAlign w:val="top"/>
          </w:tcPr>
          <w:p w14:paraId="21CD7180">
            <w:pPr>
              <w:rPr>
                <w:rFonts w:ascii="Arial"/>
                <w:sz w:val="21"/>
              </w:rPr>
            </w:pPr>
          </w:p>
        </w:tc>
        <w:tc>
          <w:tcPr>
            <w:tcW w:w="1110" w:type="dxa"/>
            <w:vAlign w:val="top"/>
          </w:tcPr>
          <w:p w14:paraId="2060D561">
            <w:pPr>
              <w:rPr>
                <w:rFonts w:ascii="Arial"/>
                <w:sz w:val="21"/>
              </w:rPr>
            </w:pPr>
          </w:p>
        </w:tc>
        <w:tc>
          <w:tcPr>
            <w:tcW w:w="1778" w:type="dxa"/>
            <w:vAlign w:val="top"/>
          </w:tcPr>
          <w:p w14:paraId="56C1DEF5">
            <w:pPr>
              <w:rPr>
                <w:rFonts w:ascii="Arial"/>
                <w:sz w:val="21"/>
              </w:rPr>
            </w:pPr>
          </w:p>
        </w:tc>
        <w:tc>
          <w:tcPr>
            <w:tcW w:w="1084" w:type="dxa"/>
            <w:vAlign w:val="top"/>
          </w:tcPr>
          <w:p w14:paraId="1BFFBC49">
            <w:pPr>
              <w:rPr>
                <w:rFonts w:ascii="Arial"/>
                <w:sz w:val="21"/>
              </w:rPr>
            </w:pPr>
          </w:p>
        </w:tc>
      </w:tr>
      <w:tr w14:paraId="10D2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6EC08DCA">
            <w:pPr>
              <w:rPr>
                <w:rFonts w:ascii="Arial"/>
                <w:sz w:val="21"/>
              </w:rPr>
            </w:pPr>
          </w:p>
        </w:tc>
        <w:tc>
          <w:tcPr>
            <w:tcW w:w="1682" w:type="dxa"/>
            <w:vAlign w:val="top"/>
          </w:tcPr>
          <w:p w14:paraId="1D9432D5">
            <w:pPr>
              <w:rPr>
                <w:rFonts w:ascii="Arial"/>
                <w:sz w:val="21"/>
              </w:rPr>
            </w:pPr>
          </w:p>
        </w:tc>
        <w:tc>
          <w:tcPr>
            <w:tcW w:w="1394" w:type="dxa"/>
            <w:vAlign w:val="top"/>
          </w:tcPr>
          <w:p w14:paraId="7878287B">
            <w:pPr>
              <w:rPr>
                <w:rFonts w:ascii="Arial"/>
                <w:sz w:val="21"/>
              </w:rPr>
            </w:pPr>
          </w:p>
        </w:tc>
        <w:tc>
          <w:tcPr>
            <w:tcW w:w="1080" w:type="dxa"/>
            <w:vAlign w:val="top"/>
          </w:tcPr>
          <w:p w14:paraId="5A1F368C">
            <w:pPr>
              <w:rPr>
                <w:rFonts w:ascii="Arial"/>
                <w:sz w:val="21"/>
              </w:rPr>
            </w:pPr>
          </w:p>
        </w:tc>
        <w:tc>
          <w:tcPr>
            <w:tcW w:w="1110" w:type="dxa"/>
            <w:vAlign w:val="top"/>
          </w:tcPr>
          <w:p w14:paraId="33D6A3A9">
            <w:pPr>
              <w:rPr>
                <w:rFonts w:ascii="Arial"/>
                <w:sz w:val="21"/>
              </w:rPr>
            </w:pPr>
          </w:p>
        </w:tc>
        <w:tc>
          <w:tcPr>
            <w:tcW w:w="1778" w:type="dxa"/>
            <w:vAlign w:val="top"/>
          </w:tcPr>
          <w:p w14:paraId="552755EE">
            <w:pPr>
              <w:rPr>
                <w:rFonts w:ascii="Arial"/>
                <w:sz w:val="21"/>
              </w:rPr>
            </w:pPr>
          </w:p>
        </w:tc>
        <w:tc>
          <w:tcPr>
            <w:tcW w:w="1084" w:type="dxa"/>
            <w:vAlign w:val="top"/>
          </w:tcPr>
          <w:p w14:paraId="352E6964">
            <w:pPr>
              <w:rPr>
                <w:rFonts w:ascii="Arial"/>
                <w:sz w:val="21"/>
              </w:rPr>
            </w:pPr>
          </w:p>
        </w:tc>
      </w:tr>
      <w:tr w14:paraId="4D15C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71D4C22B">
            <w:pPr>
              <w:rPr>
                <w:rFonts w:ascii="Arial"/>
                <w:sz w:val="21"/>
              </w:rPr>
            </w:pPr>
          </w:p>
        </w:tc>
        <w:tc>
          <w:tcPr>
            <w:tcW w:w="1682" w:type="dxa"/>
            <w:vAlign w:val="top"/>
          </w:tcPr>
          <w:p w14:paraId="0F176C9F">
            <w:pPr>
              <w:rPr>
                <w:rFonts w:ascii="Arial"/>
                <w:sz w:val="21"/>
              </w:rPr>
            </w:pPr>
          </w:p>
        </w:tc>
        <w:tc>
          <w:tcPr>
            <w:tcW w:w="1394" w:type="dxa"/>
            <w:vAlign w:val="top"/>
          </w:tcPr>
          <w:p w14:paraId="6BC5D1BC">
            <w:pPr>
              <w:rPr>
                <w:rFonts w:ascii="Arial"/>
                <w:sz w:val="21"/>
              </w:rPr>
            </w:pPr>
          </w:p>
        </w:tc>
        <w:tc>
          <w:tcPr>
            <w:tcW w:w="1080" w:type="dxa"/>
            <w:vAlign w:val="top"/>
          </w:tcPr>
          <w:p w14:paraId="74DC3C97">
            <w:pPr>
              <w:rPr>
                <w:rFonts w:ascii="Arial"/>
                <w:sz w:val="21"/>
              </w:rPr>
            </w:pPr>
          </w:p>
        </w:tc>
        <w:tc>
          <w:tcPr>
            <w:tcW w:w="1110" w:type="dxa"/>
            <w:vAlign w:val="top"/>
          </w:tcPr>
          <w:p w14:paraId="2B6A4BCA">
            <w:pPr>
              <w:rPr>
                <w:rFonts w:ascii="Arial"/>
                <w:sz w:val="21"/>
              </w:rPr>
            </w:pPr>
          </w:p>
        </w:tc>
        <w:tc>
          <w:tcPr>
            <w:tcW w:w="1778" w:type="dxa"/>
            <w:vAlign w:val="top"/>
          </w:tcPr>
          <w:p w14:paraId="1D734E7E">
            <w:pPr>
              <w:rPr>
                <w:rFonts w:ascii="Arial"/>
                <w:sz w:val="21"/>
              </w:rPr>
            </w:pPr>
          </w:p>
        </w:tc>
        <w:tc>
          <w:tcPr>
            <w:tcW w:w="1084" w:type="dxa"/>
            <w:vAlign w:val="top"/>
          </w:tcPr>
          <w:p w14:paraId="70112E84">
            <w:pPr>
              <w:rPr>
                <w:rFonts w:ascii="Arial"/>
                <w:sz w:val="21"/>
              </w:rPr>
            </w:pPr>
          </w:p>
        </w:tc>
      </w:tr>
      <w:tr w14:paraId="0FB3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64D11607">
            <w:pPr>
              <w:rPr>
                <w:rFonts w:ascii="Arial"/>
                <w:sz w:val="21"/>
              </w:rPr>
            </w:pPr>
          </w:p>
        </w:tc>
        <w:tc>
          <w:tcPr>
            <w:tcW w:w="1682" w:type="dxa"/>
            <w:vAlign w:val="top"/>
          </w:tcPr>
          <w:p w14:paraId="2FA32A42">
            <w:pPr>
              <w:rPr>
                <w:rFonts w:ascii="Arial"/>
                <w:sz w:val="21"/>
              </w:rPr>
            </w:pPr>
          </w:p>
        </w:tc>
        <w:tc>
          <w:tcPr>
            <w:tcW w:w="1394" w:type="dxa"/>
            <w:vAlign w:val="top"/>
          </w:tcPr>
          <w:p w14:paraId="51D0F963">
            <w:pPr>
              <w:rPr>
                <w:rFonts w:ascii="Arial"/>
                <w:sz w:val="21"/>
              </w:rPr>
            </w:pPr>
          </w:p>
        </w:tc>
        <w:tc>
          <w:tcPr>
            <w:tcW w:w="1080" w:type="dxa"/>
            <w:vAlign w:val="top"/>
          </w:tcPr>
          <w:p w14:paraId="7EBDD1BF">
            <w:pPr>
              <w:rPr>
                <w:rFonts w:ascii="Arial"/>
                <w:sz w:val="21"/>
              </w:rPr>
            </w:pPr>
          </w:p>
        </w:tc>
        <w:tc>
          <w:tcPr>
            <w:tcW w:w="1110" w:type="dxa"/>
            <w:vAlign w:val="top"/>
          </w:tcPr>
          <w:p w14:paraId="15799DFD">
            <w:pPr>
              <w:rPr>
                <w:rFonts w:ascii="Arial"/>
                <w:sz w:val="21"/>
              </w:rPr>
            </w:pPr>
          </w:p>
        </w:tc>
        <w:tc>
          <w:tcPr>
            <w:tcW w:w="1778" w:type="dxa"/>
            <w:vAlign w:val="top"/>
          </w:tcPr>
          <w:p w14:paraId="43BF4D66">
            <w:pPr>
              <w:rPr>
                <w:rFonts w:ascii="Arial"/>
                <w:sz w:val="21"/>
              </w:rPr>
            </w:pPr>
          </w:p>
        </w:tc>
        <w:tc>
          <w:tcPr>
            <w:tcW w:w="1084" w:type="dxa"/>
            <w:vAlign w:val="top"/>
          </w:tcPr>
          <w:p w14:paraId="200B43FE">
            <w:pPr>
              <w:rPr>
                <w:rFonts w:ascii="Arial"/>
                <w:sz w:val="21"/>
              </w:rPr>
            </w:pPr>
          </w:p>
        </w:tc>
      </w:tr>
      <w:tr w14:paraId="5C6A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5F2199FB">
            <w:pPr>
              <w:rPr>
                <w:rFonts w:ascii="Arial"/>
                <w:sz w:val="21"/>
              </w:rPr>
            </w:pPr>
          </w:p>
        </w:tc>
        <w:tc>
          <w:tcPr>
            <w:tcW w:w="1682" w:type="dxa"/>
            <w:vAlign w:val="top"/>
          </w:tcPr>
          <w:p w14:paraId="0422126D">
            <w:pPr>
              <w:rPr>
                <w:rFonts w:ascii="Arial"/>
                <w:sz w:val="21"/>
              </w:rPr>
            </w:pPr>
          </w:p>
        </w:tc>
        <w:tc>
          <w:tcPr>
            <w:tcW w:w="1394" w:type="dxa"/>
            <w:vAlign w:val="top"/>
          </w:tcPr>
          <w:p w14:paraId="56EDE826">
            <w:pPr>
              <w:rPr>
                <w:rFonts w:ascii="Arial"/>
                <w:sz w:val="21"/>
              </w:rPr>
            </w:pPr>
          </w:p>
        </w:tc>
        <w:tc>
          <w:tcPr>
            <w:tcW w:w="1080" w:type="dxa"/>
            <w:vAlign w:val="top"/>
          </w:tcPr>
          <w:p w14:paraId="510C2B14">
            <w:pPr>
              <w:rPr>
                <w:rFonts w:ascii="Arial"/>
                <w:sz w:val="21"/>
              </w:rPr>
            </w:pPr>
          </w:p>
        </w:tc>
        <w:tc>
          <w:tcPr>
            <w:tcW w:w="1110" w:type="dxa"/>
            <w:vAlign w:val="top"/>
          </w:tcPr>
          <w:p w14:paraId="0B944027">
            <w:pPr>
              <w:rPr>
                <w:rFonts w:ascii="Arial"/>
                <w:sz w:val="21"/>
              </w:rPr>
            </w:pPr>
          </w:p>
        </w:tc>
        <w:tc>
          <w:tcPr>
            <w:tcW w:w="1778" w:type="dxa"/>
            <w:vAlign w:val="top"/>
          </w:tcPr>
          <w:p w14:paraId="765DB4ED">
            <w:pPr>
              <w:rPr>
                <w:rFonts w:ascii="Arial"/>
                <w:sz w:val="21"/>
              </w:rPr>
            </w:pPr>
          </w:p>
        </w:tc>
        <w:tc>
          <w:tcPr>
            <w:tcW w:w="1084" w:type="dxa"/>
            <w:vAlign w:val="top"/>
          </w:tcPr>
          <w:p w14:paraId="44417556">
            <w:pPr>
              <w:rPr>
                <w:rFonts w:ascii="Arial"/>
                <w:sz w:val="21"/>
              </w:rPr>
            </w:pPr>
          </w:p>
        </w:tc>
      </w:tr>
      <w:tr w14:paraId="422B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68E6E7BD">
            <w:pPr>
              <w:rPr>
                <w:rFonts w:ascii="Arial"/>
                <w:sz w:val="21"/>
              </w:rPr>
            </w:pPr>
          </w:p>
        </w:tc>
        <w:tc>
          <w:tcPr>
            <w:tcW w:w="1682" w:type="dxa"/>
            <w:vAlign w:val="top"/>
          </w:tcPr>
          <w:p w14:paraId="5634AA8C">
            <w:pPr>
              <w:rPr>
                <w:rFonts w:ascii="Arial"/>
                <w:sz w:val="21"/>
              </w:rPr>
            </w:pPr>
          </w:p>
        </w:tc>
        <w:tc>
          <w:tcPr>
            <w:tcW w:w="1394" w:type="dxa"/>
            <w:vAlign w:val="top"/>
          </w:tcPr>
          <w:p w14:paraId="04106B31">
            <w:pPr>
              <w:rPr>
                <w:rFonts w:ascii="Arial"/>
                <w:sz w:val="21"/>
              </w:rPr>
            </w:pPr>
          </w:p>
        </w:tc>
        <w:tc>
          <w:tcPr>
            <w:tcW w:w="1080" w:type="dxa"/>
            <w:vAlign w:val="top"/>
          </w:tcPr>
          <w:p w14:paraId="2A2332E7">
            <w:pPr>
              <w:rPr>
                <w:rFonts w:ascii="Arial"/>
                <w:sz w:val="21"/>
              </w:rPr>
            </w:pPr>
          </w:p>
        </w:tc>
        <w:tc>
          <w:tcPr>
            <w:tcW w:w="1110" w:type="dxa"/>
            <w:vAlign w:val="top"/>
          </w:tcPr>
          <w:p w14:paraId="01F79419">
            <w:pPr>
              <w:rPr>
                <w:rFonts w:ascii="Arial"/>
                <w:sz w:val="21"/>
              </w:rPr>
            </w:pPr>
          </w:p>
        </w:tc>
        <w:tc>
          <w:tcPr>
            <w:tcW w:w="1778" w:type="dxa"/>
            <w:vAlign w:val="top"/>
          </w:tcPr>
          <w:p w14:paraId="34E91BAA">
            <w:pPr>
              <w:rPr>
                <w:rFonts w:ascii="Arial"/>
                <w:sz w:val="21"/>
              </w:rPr>
            </w:pPr>
          </w:p>
        </w:tc>
        <w:tc>
          <w:tcPr>
            <w:tcW w:w="1084" w:type="dxa"/>
            <w:vAlign w:val="top"/>
          </w:tcPr>
          <w:p w14:paraId="233985CA">
            <w:pPr>
              <w:rPr>
                <w:rFonts w:ascii="Arial"/>
                <w:sz w:val="21"/>
              </w:rPr>
            </w:pPr>
          </w:p>
        </w:tc>
      </w:tr>
      <w:tr w14:paraId="184F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3A061E83">
            <w:pPr>
              <w:rPr>
                <w:rFonts w:ascii="Arial"/>
                <w:sz w:val="21"/>
              </w:rPr>
            </w:pPr>
          </w:p>
        </w:tc>
        <w:tc>
          <w:tcPr>
            <w:tcW w:w="1682" w:type="dxa"/>
            <w:vAlign w:val="top"/>
          </w:tcPr>
          <w:p w14:paraId="3CE5DA71">
            <w:pPr>
              <w:rPr>
                <w:rFonts w:ascii="Arial"/>
                <w:sz w:val="21"/>
              </w:rPr>
            </w:pPr>
          </w:p>
        </w:tc>
        <w:tc>
          <w:tcPr>
            <w:tcW w:w="1394" w:type="dxa"/>
            <w:vAlign w:val="top"/>
          </w:tcPr>
          <w:p w14:paraId="1722F3FA">
            <w:pPr>
              <w:rPr>
                <w:rFonts w:ascii="Arial"/>
                <w:sz w:val="21"/>
              </w:rPr>
            </w:pPr>
          </w:p>
        </w:tc>
        <w:tc>
          <w:tcPr>
            <w:tcW w:w="1080" w:type="dxa"/>
            <w:vAlign w:val="top"/>
          </w:tcPr>
          <w:p w14:paraId="62705B3A">
            <w:pPr>
              <w:rPr>
                <w:rFonts w:ascii="Arial"/>
                <w:sz w:val="21"/>
              </w:rPr>
            </w:pPr>
          </w:p>
        </w:tc>
        <w:tc>
          <w:tcPr>
            <w:tcW w:w="1110" w:type="dxa"/>
            <w:vAlign w:val="top"/>
          </w:tcPr>
          <w:p w14:paraId="6EB0ED61">
            <w:pPr>
              <w:rPr>
                <w:rFonts w:ascii="Arial"/>
                <w:sz w:val="21"/>
              </w:rPr>
            </w:pPr>
          </w:p>
        </w:tc>
        <w:tc>
          <w:tcPr>
            <w:tcW w:w="1778" w:type="dxa"/>
            <w:vAlign w:val="top"/>
          </w:tcPr>
          <w:p w14:paraId="46290DA6">
            <w:pPr>
              <w:rPr>
                <w:rFonts w:ascii="Arial"/>
                <w:sz w:val="21"/>
              </w:rPr>
            </w:pPr>
          </w:p>
        </w:tc>
        <w:tc>
          <w:tcPr>
            <w:tcW w:w="1084" w:type="dxa"/>
            <w:vAlign w:val="top"/>
          </w:tcPr>
          <w:p w14:paraId="0CD46930">
            <w:pPr>
              <w:rPr>
                <w:rFonts w:ascii="Arial"/>
                <w:sz w:val="21"/>
              </w:rPr>
            </w:pPr>
          </w:p>
        </w:tc>
      </w:tr>
      <w:tr w14:paraId="08C5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23FB2CC8">
            <w:pPr>
              <w:rPr>
                <w:rFonts w:ascii="Arial"/>
                <w:sz w:val="21"/>
              </w:rPr>
            </w:pPr>
          </w:p>
        </w:tc>
        <w:tc>
          <w:tcPr>
            <w:tcW w:w="1682" w:type="dxa"/>
            <w:vAlign w:val="top"/>
          </w:tcPr>
          <w:p w14:paraId="2BC1D14B">
            <w:pPr>
              <w:rPr>
                <w:rFonts w:ascii="Arial"/>
                <w:sz w:val="21"/>
              </w:rPr>
            </w:pPr>
          </w:p>
        </w:tc>
        <w:tc>
          <w:tcPr>
            <w:tcW w:w="1394" w:type="dxa"/>
            <w:vAlign w:val="top"/>
          </w:tcPr>
          <w:p w14:paraId="73C62890">
            <w:pPr>
              <w:rPr>
                <w:rFonts w:ascii="Arial"/>
                <w:sz w:val="21"/>
              </w:rPr>
            </w:pPr>
          </w:p>
        </w:tc>
        <w:tc>
          <w:tcPr>
            <w:tcW w:w="1080" w:type="dxa"/>
            <w:vAlign w:val="top"/>
          </w:tcPr>
          <w:p w14:paraId="75876A35">
            <w:pPr>
              <w:rPr>
                <w:rFonts w:ascii="Arial"/>
                <w:sz w:val="21"/>
              </w:rPr>
            </w:pPr>
          </w:p>
        </w:tc>
        <w:tc>
          <w:tcPr>
            <w:tcW w:w="1110" w:type="dxa"/>
            <w:vAlign w:val="top"/>
          </w:tcPr>
          <w:p w14:paraId="3F97A054">
            <w:pPr>
              <w:rPr>
                <w:rFonts w:ascii="Arial"/>
                <w:sz w:val="21"/>
              </w:rPr>
            </w:pPr>
          </w:p>
        </w:tc>
        <w:tc>
          <w:tcPr>
            <w:tcW w:w="1778" w:type="dxa"/>
            <w:vAlign w:val="top"/>
          </w:tcPr>
          <w:p w14:paraId="7ED40203">
            <w:pPr>
              <w:rPr>
                <w:rFonts w:ascii="Arial"/>
                <w:sz w:val="21"/>
              </w:rPr>
            </w:pPr>
          </w:p>
        </w:tc>
        <w:tc>
          <w:tcPr>
            <w:tcW w:w="1084" w:type="dxa"/>
            <w:vAlign w:val="top"/>
          </w:tcPr>
          <w:p w14:paraId="6D6C14FA">
            <w:pPr>
              <w:rPr>
                <w:rFonts w:ascii="Arial"/>
                <w:sz w:val="21"/>
              </w:rPr>
            </w:pPr>
          </w:p>
        </w:tc>
      </w:tr>
      <w:tr w14:paraId="6DD0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07" w:type="dxa"/>
            <w:vAlign w:val="top"/>
          </w:tcPr>
          <w:p w14:paraId="425DDCFB">
            <w:pPr>
              <w:rPr>
                <w:rFonts w:ascii="Arial"/>
                <w:sz w:val="21"/>
              </w:rPr>
            </w:pPr>
          </w:p>
        </w:tc>
        <w:tc>
          <w:tcPr>
            <w:tcW w:w="1682" w:type="dxa"/>
            <w:vAlign w:val="top"/>
          </w:tcPr>
          <w:p w14:paraId="3DF2DC0F">
            <w:pPr>
              <w:rPr>
                <w:rFonts w:ascii="Arial"/>
                <w:sz w:val="21"/>
              </w:rPr>
            </w:pPr>
          </w:p>
        </w:tc>
        <w:tc>
          <w:tcPr>
            <w:tcW w:w="1394" w:type="dxa"/>
            <w:vAlign w:val="top"/>
          </w:tcPr>
          <w:p w14:paraId="75919668">
            <w:pPr>
              <w:rPr>
                <w:rFonts w:ascii="Arial"/>
                <w:sz w:val="21"/>
              </w:rPr>
            </w:pPr>
          </w:p>
        </w:tc>
        <w:tc>
          <w:tcPr>
            <w:tcW w:w="1080" w:type="dxa"/>
            <w:vAlign w:val="top"/>
          </w:tcPr>
          <w:p w14:paraId="2EA57D16">
            <w:pPr>
              <w:rPr>
                <w:rFonts w:ascii="Arial"/>
                <w:sz w:val="21"/>
              </w:rPr>
            </w:pPr>
          </w:p>
        </w:tc>
        <w:tc>
          <w:tcPr>
            <w:tcW w:w="1110" w:type="dxa"/>
            <w:vAlign w:val="top"/>
          </w:tcPr>
          <w:p w14:paraId="7BB93438">
            <w:pPr>
              <w:rPr>
                <w:rFonts w:ascii="Arial"/>
                <w:sz w:val="21"/>
              </w:rPr>
            </w:pPr>
          </w:p>
        </w:tc>
        <w:tc>
          <w:tcPr>
            <w:tcW w:w="1778" w:type="dxa"/>
            <w:vAlign w:val="top"/>
          </w:tcPr>
          <w:p w14:paraId="755101DF">
            <w:pPr>
              <w:rPr>
                <w:rFonts w:ascii="Arial"/>
                <w:sz w:val="21"/>
              </w:rPr>
            </w:pPr>
          </w:p>
        </w:tc>
        <w:tc>
          <w:tcPr>
            <w:tcW w:w="1084" w:type="dxa"/>
            <w:vAlign w:val="top"/>
          </w:tcPr>
          <w:p w14:paraId="0A04ED5B">
            <w:pPr>
              <w:rPr>
                <w:rFonts w:ascii="Arial"/>
                <w:sz w:val="21"/>
              </w:rPr>
            </w:pPr>
          </w:p>
        </w:tc>
      </w:tr>
    </w:tbl>
    <w:p w14:paraId="396F6C3D">
      <w:pPr>
        <w:pStyle w:val="5"/>
      </w:pPr>
    </w:p>
    <w:p w14:paraId="5FA5370C">
      <w:pPr>
        <w:sectPr>
          <w:footerReference r:id="rId209" w:type="default"/>
          <w:pgSz w:w="11905" w:h="16843"/>
          <w:pgMar w:top="969" w:right="1355" w:bottom="1026" w:left="1480" w:header="0" w:footer="754" w:gutter="0"/>
          <w:cols w:space="0" w:num="1"/>
          <w:rtlGutter w:val="0"/>
          <w:docGrid w:linePitch="0" w:charSpace="0"/>
        </w:sectPr>
      </w:pPr>
    </w:p>
    <w:p w14:paraId="1DAD7DD8">
      <w:pPr>
        <w:spacing w:before="171"/>
      </w:pPr>
    </w:p>
    <w:tbl>
      <w:tblPr>
        <w:tblStyle w:val="10"/>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6"/>
        <w:gridCol w:w="6095"/>
      </w:tblGrid>
      <w:tr w14:paraId="4FD6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6" w:type="dxa"/>
            <w:vAlign w:val="top"/>
          </w:tcPr>
          <w:p w14:paraId="6B731DA2">
            <w:pPr>
              <w:pStyle w:val="11"/>
              <w:spacing w:before="209" w:line="221" w:lineRule="auto"/>
              <w:ind w:left="796"/>
            </w:pPr>
            <w:bookmarkStart w:id="1392" w:name="bookmark674"/>
            <w:bookmarkEnd w:id="1392"/>
            <w:r>
              <w:rPr>
                <w:spacing w:val="-3"/>
              </w:rPr>
              <w:t>项目名称</w:t>
            </w:r>
          </w:p>
        </w:tc>
        <w:tc>
          <w:tcPr>
            <w:tcW w:w="6095" w:type="dxa"/>
            <w:vAlign w:val="top"/>
          </w:tcPr>
          <w:p w14:paraId="11B989B0">
            <w:pPr>
              <w:rPr>
                <w:rFonts w:ascii="Arial"/>
                <w:sz w:val="21"/>
              </w:rPr>
            </w:pPr>
          </w:p>
        </w:tc>
      </w:tr>
      <w:tr w14:paraId="6856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7CA07B14">
            <w:pPr>
              <w:pStyle w:val="11"/>
              <w:spacing w:before="205" w:line="221" w:lineRule="auto"/>
              <w:ind w:left="690"/>
            </w:pPr>
            <w:r>
              <w:rPr>
                <w:spacing w:val="-2"/>
              </w:rPr>
              <w:t>项目所在地</w:t>
            </w:r>
          </w:p>
        </w:tc>
        <w:tc>
          <w:tcPr>
            <w:tcW w:w="6095" w:type="dxa"/>
            <w:vAlign w:val="top"/>
          </w:tcPr>
          <w:p w14:paraId="6B9BAACA">
            <w:pPr>
              <w:rPr>
                <w:rFonts w:ascii="Arial"/>
                <w:sz w:val="21"/>
              </w:rPr>
            </w:pPr>
          </w:p>
        </w:tc>
      </w:tr>
      <w:tr w14:paraId="05E5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29728F0D">
            <w:pPr>
              <w:pStyle w:val="11"/>
              <w:spacing w:before="208" w:line="221" w:lineRule="auto"/>
              <w:ind w:left="690"/>
            </w:pPr>
            <w:r>
              <w:rPr>
                <w:spacing w:val="-2"/>
              </w:rPr>
              <w:t>发包人名称</w:t>
            </w:r>
          </w:p>
        </w:tc>
        <w:tc>
          <w:tcPr>
            <w:tcW w:w="6095" w:type="dxa"/>
            <w:vAlign w:val="top"/>
          </w:tcPr>
          <w:p w14:paraId="71FBD5FA">
            <w:pPr>
              <w:rPr>
                <w:rFonts w:ascii="Arial"/>
                <w:sz w:val="21"/>
              </w:rPr>
            </w:pPr>
          </w:p>
        </w:tc>
      </w:tr>
      <w:tr w14:paraId="0A4CD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5B414C80">
            <w:pPr>
              <w:pStyle w:val="11"/>
              <w:spacing w:before="209" w:line="221" w:lineRule="auto"/>
              <w:ind w:left="690"/>
            </w:pPr>
            <w:r>
              <w:rPr>
                <w:spacing w:val="-2"/>
              </w:rPr>
              <w:t>发包人地址</w:t>
            </w:r>
          </w:p>
        </w:tc>
        <w:tc>
          <w:tcPr>
            <w:tcW w:w="6095" w:type="dxa"/>
            <w:vAlign w:val="top"/>
          </w:tcPr>
          <w:p w14:paraId="18FDBA0D">
            <w:pPr>
              <w:rPr>
                <w:rFonts w:ascii="Arial"/>
                <w:sz w:val="21"/>
              </w:rPr>
            </w:pPr>
          </w:p>
        </w:tc>
      </w:tr>
      <w:tr w14:paraId="1386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6" w:type="dxa"/>
            <w:vAlign w:val="top"/>
          </w:tcPr>
          <w:p w14:paraId="3AA00361">
            <w:pPr>
              <w:pStyle w:val="11"/>
              <w:spacing w:before="209" w:line="221" w:lineRule="auto"/>
              <w:ind w:left="270"/>
            </w:pPr>
            <w:r>
              <w:rPr>
                <w:spacing w:val="-1"/>
              </w:rPr>
              <w:t>发包人联系人及电话</w:t>
            </w:r>
          </w:p>
        </w:tc>
        <w:tc>
          <w:tcPr>
            <w:tcW w:w="6095" w:type="dxa"/>
            <w:vAlign w:val="top"/>
          </w:tcPr>
          <w:p w14:paraId="337E11A9">
            <w:pPr>
              <w:rPr>
                <w:rFonts w:ascii="Arial"/>
                <w:sz w:val="21"/>
              </w:rPr>
            </w:pPr>
          </w:p>
        </w:tc>
      </w:tr>
      <w:tr w14:paraId="6D4F4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050D5AB2">
            <w:pPr>
              <w:pStyle w:val="11"/>
              <w:spacing w:before="206" w:line="219" w:lineRule="auto"/>
              <w:ind w:left="793"/>
            </w:pPr>
            <w:r>
              <w:rPr>
                <w:spacing w:val="-2"/>
              </w:rPr>
              <w:t>合同价格</w:t>
            </w:r>
          </w:p>
        </w:tc>
        <w:tc>
          <w:tcPr>
            <w:tcW w:w="6095" w:type="dxa"/>
            <w:vAlign w:val="top"/>
          </w:tcPr>
          <w:p w14:paraId="5A86EE60">
            <w:pPr>
              <w:rPr>
                <w:rFonts w:ascii="Arial"/>
                <w:sz w:val="21"/>
              </w:rPr>
            </w:pPr>
          </w:p>
        </w:tc>
      </w:tr>
      <w:tr w14:paraId="6460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39097943">
            <w:pPr>
              <w:pStyle w:val="11"/>
              <w:spacing w:before="207" w:line="221" w:lineRule="auto"/>
              <w:ind w:left="793"/>
            </w:pPr>
            <w:r>
              <w:rPr>
                <w:spacing w:val="-2"/>
              </w:rPr>
              <w:t>开工日期</w:t>
            </w:r>
          </w:p>
        </w:tc>
        <w:tc>
          <w:tcPr>
            <w:tcW w:w="6095" w:type="dxa"/>
            <w:vAlign w:val="top"/>
          </w:tcPr>
          <w:p w14:paraId="1D9246E0">
            <w:pPr>
              <w:rPr>
                <w:rFonts w:ascii="Arial"/>
                <w:sz w:val="21"/>
              </w:rPr>
            </w:pPr>
          </w:p>
        </w:tc>
      </w:tr>
      <w:tr w14:paraId="69D7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64CC7320">
            <w:pPr>
              <w:pStyle w:val="11"/>
              <w:spacing w:before="207" w:line="221" w:lineRule="auto"/>
              <w:ind w:left="793"/>
            </w:pPr>
            <w:r>
              <w:rPr>
                <w:spacing w:val="-2"/>
              </w:rPr>
              <w:t>竣工日期</w:t>
            </w:r>
          </w:p>
        </w:tc>
        <w:tc>
          <w:tcPr>
            <w:tcW w:w="6095" w:type="dxa"/>
            <w:vAlign w:val="top"/>
          </w:tcPr>
          <w:p w14:paraId="5E88FAEA">
            <w:pPr>
              <w:rPr>
                <w:rFonts w:ascii="Arial"/>
                <w:sz w:val="21"/>
              </w:rPr>
            </w:pPr>
          </w:p>
        </w:tc>
      </w:tr>
      <w:tr w14:paraId="1409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45EED644">
            <w:pPr>
              <w:pStyle w:val="11"/>
              <w:spacing w:before="210" w:line="221" w:lineRule="auto"/>
              <w:ind w:left="687"/>
            </w:pPr>
            <w:r>
              <w:rPr>
                <w:spacing w:val="-1"/>
              </w:rPr>
              <w:t>承担的工作</w:t>
            </w:r>
          </w:p>
        </w:tc>
        <w:tc>
          <w:tcPr>
            <w:tcW w:w="6095" w:type="dxa"/>
            <w:vAlign w:val="top"/>
          </w:tcPr>
          <w:p w14:paraId="4D345986">
            <w:pPr>
              <w:rPr>
                <w:rFonts w:ascii="Arial"/>
                <w:sz w:val="21"/>
              </w:rPr>
            </w:pPr>
          </w:p>
        </w:tc>
      </w:tr>
      <w:tr w14:paraId="30EAC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62B87050">
            <w:pPr>
              <w:pStyle w:val="11"/>
              <w:spacing w:before="211" w:line="221" w:lineRule="auto"/>
              <w:ind w:left="795"/>
            </w:pPr>
            <w:r>
              <w:rPr>
                <w:spacing w:val="-2"/>
              </w:rPr>
              <w:t>工程质量</w:t>
            </w:r>
          </w:p>
        </w:tc>
        <w:tc>
          <w:tcPr>
            <w:tcW w:w="6095" w:type="dxa"/>
            <w:vAlign w:val="top"/>
          </w:tcPr>
          <w:p w14:paraId="7199C7CC">
            <w:pPr>
              <w:rPr>
                <w:rFonts w:ascii="Arial"/>
                <w:sz w:val="21"/>
              </w:rPr>
            </w:pPr>
          </w:p>
        </w:tc>
      </w:tr>
      <w:tr w14:paraId="5A66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6" w:type="dxa"/>
            <w:vAlign w:val="top"/>
          </w:tcPr>
          <w:p w14:paraId="18BD5D09">
            <w:pPr>
              <w:pStyle w:val="11"/>
              <w:spacing w:before="210" w:line="221" w:lineRule="auto"/>
              <w:ind w:left="796"/>
            </w:pPr>
            <w:r>
              <w:rPr>
                <w:spacing w:val="-3"/>
              </w:rPr>
              <w:t>项目经理</w:t>
            </w:r>
          </w:p>
        </w:tc>
        <w:tc>
          <w:tcPr>
            <w:tcW w:w="6095" w:type="dxa"/>
            <w:vAlign w:val="top"/>
          </w:tcPr>
          <w:p w14:paraId="785ED0B6">
            <w:pPr>
              <w:rPr>
                <w:rFonts w:ascii="Arial"/>
                <w:sz w:val="21"/>
              </w:rPr>
            </w:pPr>
          </w:p>
        </w:tc>
      </w:tr>
      <w:tr w14:paraId="5503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6" w:type="dxa"/>
            <w:vAlign w:val="top"/>
          </w:tcPr>
          <w:p w14:paraId="148FE80A">
            <w:pPr>
              <w:pStyle w:val="11"/>
              <w:spacing w:before="207" w:line="221" w:lineRule="auto"/>
              <w:ind w:left="688"/>
            </w:pPr>
            <w:r>
              <w:rPr>
                <w:spacing w:val="-2"/>
              </w:rPr>
              <w:t>技术负责人</w:t>
            </w:r>
          </w:p>
        </w:tc>
        <w:tc>
          <w:tcPr>
            <w:tcW w:w="6095" w:type="dxa"/>
            <w:vAlign w:val="top"/>
          </w:tcPr>
          <w:p w14:paraId="5C48C5B9">
            <w:pPr>
              <w:rPr>
                <w:rFonts w:ascii="Arial"/>
                <w:sz w:val="21"/>
              </w:rPr>
            </w:pPr>
          </w:p>
        </w:tc>
      </w:tr>
      <w:tr w14:paraId="2F2C4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6" w:type="dxa"/>
            <w:vAlign w:val="top"/>
          </w:tcPr>
          <w:p w14:paraId="7A55E64C">
            <w:pPr>
              <w:pStyle w:val="11"/>
              <w:spacing w:before="208" w:line="221" w:lineRule="auto"/>
              <w:ind w:left="272"/>
            </w:pPr>
            <w:r>
              <w:rPr>
                <w:spacing w:val="-2"/>
              </w:rPr>
              <w:t>总监理工程师及电话</w:t>
            </w:r>
          </w:p>
        </w:tc>
        <w:tc>
          <w:tcPr>
            <w:tcW w:w="6095" w:type="dxa"/>
            <w:vAlign w:val="top"/>
          </w:tcPr>
          <w:p w14:paraId="101C4206">
            <w:pPr>
              <w:rPr>
                <w:rFonts w:ascii="Arial"/>
                <w:sz w:val="21"/>
              </w:rPr>
            </w:pPr>
          </w:p>
        </w:tc>
      </w:tr>
      <w:tr w14:paraId="0AB0D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416" w:type="dxa"/>
            <w:vAlign w:val="top"/>
          </w:tcPr>
          <w:p w14:paraId="73C38737">
            <w:pPr>
              <w:pStyle w:val="11"/>
              <w:spacing w:before="300" w:line="221" w:lineRule="auto"/>
              <w:ind w:left="796"/>
            </w:pPr>
            <w:r>
              <w:rPr>
                <w:spacing w:val="-3"/>
              </w:rPr>
              <w:t>项目描述</w:t>
            </w:r>
          </w:p>
        </w:tc>
        <w:tc>
          <w:tcPr>
            <w:tcW w:w="6095" w:type="dxa"/>
            <w:vAlign w:val="top"/>
          </w:tcPr>
          <w:p w14:paraId="5676E04D">
            <w:pPr>
              <w:rPr>
                <w:rFonts w:ascii="Arial"/>
                <w:sz w:val="21"/>
              </w:rPr>
            </w:pPr>
          </w:p>
        </w:tc>
      </w:tr>
      <w:tr w14:paraId="766C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6" w:type="dxa"/>
            <w:vAlign w:val="top"/>
          </w:tcPr>
          <w:p w14:paraId="5B53FC8B">
            <w:pPr>
              <w:pStyle w:val="11"/>
              <w:spacing w:before="211" w:line="222" w:lineRule="auto"/>
              <w:ind w:left="1006"/>
            </w:pPr>
            <w:r>
              <w:rPr>
                <w:spacing w:val="-3"/>
              </w:rPr>
              <w:t>备注</w:t>
            </w:r>
          </w:p>
        </w:tc>
        <w:tc>
          <w:tcPr>
            <w:tcW w:w="6095" w:type="dxa"/>
            <w:vAlign w:val="top"/>
          </w:tcPr>
          <w:p w14:paraId="2CB0926B">
            <w:pPr>
              <w:rPr>
                <w:rFonts w:ascii="Arial"/>
                <w:sz w:val="21"/>
              </w:rPr>
            </w:pPr>
          </w:p>
        </w:tc>
      </w:tr>
    </w:tbl>
    <w:p w14:paraId="1E89529B">
      <w:pPr>
        <w:spacing w:before="29" w:line="220" w:lineRule="auto"/>
        <w:ind w:left="130"/>
        <w:rPr>
          <w:rFonts w:ascii="宋体" w:hAnsi="宋体" w:eastAsia="宋体" w:cs="宋体"/>
          <w:sz w:val="21"/>
          <w:szCs w:val="21"/>
        </w:rPr>
      </w:pPr>
      <w:r>
        <w:rPr>
          <w:rFonts w:ascii="宋体" w:hAnsi="宋体" w:eastAsia="宋体" w:cs="宋体"/>
          <w:spacing w:val="-1"/>
          <w:sz w:val="21"/>
          <w:szCs w:val="21"/>
        </w:rPr>
        <w:t>备注：1.类似项目含义和近年具体要求见投标人须知前附表，</w:t>
      </w:r>
    </w:p>
    <w:p w14:paraId="59F4C22A">
      <w:pPr>
        <w:spacing w:before="23" w:line="220" w:lineRule="auto"/>
        <w:ind w:left="761"/>
        <w:rPr>
          <w:rFonts w:ascii="宋体" w:hAnsi="宋体" w:eastAsia="宋体" w:cs="宋体"/>
          <w:sz w:val="21"/>
          <w:szCs w:val="21"/>
        </w:rPr>
      </w:pPr>
      <w:r>
        <w:rPr>
          <w:rFonts w:ascii="宋体" w:hAnsi="宋体" w:eastAsia="宋体" w:cs="宋体"/>
          <w:sz w:val="21"/>
          <w:szCs w:val="21"/>
        </w:rPr>
        <w:t>2.本表后附业绩证明材料。每张表格只填写一个项目，并</w:t>
      </w:r>
      <w:r>
        <w:rPr>
          <w:rFonts w:ascii="宋体" w:hAnsi="宋体" w:eastAsia="宋体" w:cs="宋体"/>
          <w:spacing w:val="-1"/>
          <w:sz w:val="21"/>
          <w:szCs w:val="21"/>
        </w:rPr>
        <w:t>标明序号。</w:t>
      </w:r>
    </w:p>
    <w:p w14:paraId="6F4FCDBC">
      <w:pPr>
        <w:spacing w:line="220" w:lineRule="auto"/>
        <w:rPr>
          <w:rFonts w:ascii="宋体" w:hAnsi="宋体" w:eastAsia="宋体" w:cs="宋体"/>
          <w:sz w:val="21"/>
          <w:szCs w:val="21"/>
        </w:rPr>
        <w:sectPr>
          <w:headerReference r:id="rId210" w:type="default"/>
          <w:footerReference r:id="rId211" w:type="default"/>
          <w:pgSz w:w="11905" w:h="16843"/>
          <w:pgMar w:top="969" w:right="1355" w:bottom="1026" w:left="1480" w:header="0" w:footer="754" w:gutter="0"/>
          <w:cols w:space="0" w:num="1"/>
          <w:rtlGutter w:val="0"/>
          <w:docGrid w:linePitch="0" w:charSpace="0"/>
        </w:sectPr>
      </w:pPr>
    </w:p>
    <w:p w14:paraId="497D6F78">
      <w:pPr>
        <w:pStyle w:val="5"/>
        <w:spacing w:line="265" w:lineRule="auto"/>
      </w:pPr>
    </w:p>
    <w:p w14:paraId="44408EB4">
      <w:pPr>
        <w:pStyle w:val="5"/>
        <w:spacing w:line="265" w:lineRule="auto"/>
      </w:pPr>
    </w:p>
    <w:p w14:paraId="1CDBF275">
      <w:pPr>
        <w:pStyle w:val="5"/>
        <w:spacing w:line="266" w:lineRule="auto"/>
      </w:pPr>
    </w:p>
    <w:p w14:paraId="6E748159">
      <w:pPr>
        <w:pStyle w:val="5"/>
        <w:spacing w:line="266" w:lineRule="auto"/>
      </w:pPr>
    </w:p>
    <w:p w14:paraId="43333722">
      <w:pPr>
        <w:pStyle w:val="5"/>
        <w:spacing w:line="266" w:lineRule="auto"/>
      </w:pPr>
    </w:p>
    <w:p w14:paraId="2E5386A8">
      <w:pPr>
        <w:spacing w:before="78" w:line="218" w:lineRule="auto"/>
        <w:ind w:left="2404"/>
        <w:outlineLvl w:val="2"/>
        <w:rPr>
          <w:rFonts w:ascii="黑体" w:hAnsi="黑体" w:eastAsia="黑体" w:cs="黑体"/>
          <w:sz w:val="24"/>
          <w:szCs w:val="24"/>
        </w:rPr>
      </w:pPr>
      <w:bookmarkStart w:id="1393" w:name="bookmark458"/>
      <w:bookmarkEnd w:id="1393"/>
      <w:bookmarkStart w:id="1394" w:name="bookmark675"/>
      <w:bookmarkEnd w:id="1394"/>
      <w:r>
        <w:rPr>
          <w:rFonts w:ascii="黑体" w:hAnsi="黑体" w:eastAsia="黑体" w:cs="黑体"/>
          <w:spacing w:val="-2"/>
          <w:sz w:val="24"/>
          <w:szCs w:val="24"/>
        </w:rPr>
        <w:t>（四）正在实施的和新承接的项目情况</w:t>
      </w:r>
    </w:p>
    <w:p w14:paraId="51816968">
      <w:pPr>
        <w:spacing w:before="116" w:line="220" w:lineRule="auto"/>
        <w:ind w:left="2404"/>
        <w:outlineLvl w:val="2"/>
        <w:rPr>
          <w:rFonts w:ascii="黑体" w:hAnsi="黑体" w:eastAsia="黑体" w:cs="黑体"/>
          <w:sz w:val="24"/>
          <w:szCs w:val="24"/>
        </w:rPr>
      </w:pPr>
      <w:bookmarkStart w:id="1395" w:name="bookmark459"/>
      <w:bookmarkEnd w:id="1395"/>
      <w:r>
        <w:rPr>
          <w:rFonts w:ascii="Times New Roman" w:hAnsi="Times New Roman" w:eastAsia="Times New Roman" w:cs="Times New Roman"/>
          <w:spacing w:val="-1"/>
          <w:sz w:val="24"/>
          <w:szCs w:val="24"/>
        </w:rPr>
        <w:t xml:space="preserve">4-1  </w:t>
      </w:r>
      <w:r>
        <w:rPr>
          <w:rFonts w:ascii="黑体" w:hAnsi="黑体" w:eastAsia="黑体" w:cs="黑体"/>
          <w:spacing w:val="-1"/>
          <w:sz w:val="24"/>
          <w:szCs w:val="24"/>
        </w:rPr>
        <w:t>正在实施的和新承接的项目汇总表</w:t>
      </w:r>
    </w:p>
    <w:tbl>
      <w:tblPr>
        <w:tblStyle w:val="10"/>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682"/>
        <w:gridCol w:w="1394"/>
        <w:gridCol w:w="1080"/>
        <w:gridCol w:w="1110"/>
        <w:gridCol w:w="1778"/>
        <w:gridCol w:w="1084"/>
      </w:tblGrid>
      <w:tr w14:paraId="37E8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07" w:type="dxa"/>
            <w:vAlign w:val="top"/>
          </w:tcPr>
          <w:p w14:paraId="5E5456DE">
            <w:pPr>
              <w:spacing w:line="293" w:lineRule="auto"/>
              <w:rPr>
                <w:rFonts w:ascii="Arial"/>
                <w:sz w:val="21"/>
              </w:rPr>
            </w:pPr>
          </w:p>
          <w:p w14:paraId="687A7BAC">
            <w:pPr>
              <w:pStyle w:val="11"/>
              <w:spacing w:before="68" w:line="222" w:lineRule="auto"/>
              <w:ind w:left="148"/>
            </w:pPr>
            <w:r>
              <w:rPr>
                <w:spacing w:val="-2"/>
              </w:rPr>
              <w:t>序号</w:t>
            </w:r>
          </w:p>
        </w:tc>
        <w:tc>
          <w:tcPr>
            <w:tcW w:w="1682" w:type="dxa"/>
            <w:vAlign w:val="top"/>
          </w:tcPr>
          <w:p w14:paraId="58AC870F">
            <w:pPr>
              <w:spacing w:line="293" w:lineRule="auto"/>
              <w:rPr>
                <w:rFonts w:ascii="Arial"/>
                <w:sz w:val="21"/>
              </w:rPr>
            </w:pPr>
          </w:p>
          <w:p w14:paraId="4060A12C">
            <w:pPr>
              <w:pStyle w:val="11"/>
              <w:spacing w:before="68" w:line="221" w:lineRule="auto"/>
              <w:ind w:left="427"/>
            </w:pPr>
            <w:r>
              <w:rPr>
                <w:spacing w:val="-3"/>
              </w:rPr>
              <w:t>项目名称</w:t>
            </w:r>
          </w:p>
        </w:tc>
        <w:tc>
          <w:tcPr>
            <w:tcW w:w="1394" w:type="dxa"/>
            <w:vAlign w:val="top"/>
          </w:tcPr>
          <w:p w14:paraId="21B6C845">
            <w:pPr>
              <w:spacing w:line="293" w:lineRule="auto"/>
              <w:rPr>
                <w:rFonts w:ascii="Arial"/>
                <w:sz w:val="21"/>
              </w:rPr>
            </w:pPr>
          </w:p>
          <w:p w14:paraId="281E65C5">
            <w:pPr>
              <w:pStyle w:val="11"/>
              <w:spacing w:before="68" w:line="221" w:lineRule="auto"/>
              <w:ind w:left="178"/>
            </w:pPr>
            <w:r>
              <w:rPr>
                <w:spacing w:val="-2"/>
              </w:rPr>
              <w:t>发包人名称</w:t>
            </w:r>
          </w:p>
        </w:tc>
        <w:tc>
          <w:tcPr>
            <w:tcW w:w="1080" w:type="dxa"/>
            <w:vAlign w:val="top"/>
          </w:tcPr>
          <w:p w14:paraId="655F9CA9">
            <w:pPr>
              <w:spacing w:line="292" w:lineRule="auto"/>
              <w:rPr>
                <w:rFonts w:ascii="Arial"/>
                <w:sz w:val="21"/>
              </w:rPr>
            </w:pPr>
          </w:p>
          <w:p w14:paraId="0636DF14">
            <w:pPr>
              <w:pStyle w:val="11"/>
              <w:spacing w:before="68" w:line="221" w:lineRule="auto"/>
              <w:ind w:left="128"/>
            </w:pPr>
            <w:r>
              <w:rPr>
                <w:spacing w:val="-2"/>
              </w:rPr>
              <w:t>工程规模</w:t>
            </w:r>
          </w:p>
        </w:tc>
        <w:tc>
          <w:tcPr>
            <w:tcW w:w="1110" w:type="dxa"/>
            <w:vAlign w:val="top"/>
          </w:tcPr>
          <w:p w14:paraId="32904C36">
            <w:pPr>
              <w:pStyle w:val="11"/>
              <w:spacing w:before="164" w:line="219" w:lineRule="auto"/>
              <w:ind w:left="141"/>
            </w:pPr>
            <w:r>
              <w:rPr>
                <w:spacing w:val="-2"/>
              </w:rPr>
              <w:t>合同价格</w:t>
            </w:r>
          </w:p>
          <w:p w14:paraId="770597A0">
            <w:pPr>
              <w:pStyle w:val="11"/>
              <w:spacing w:before="151" w:line="208" w:lineRule="auto"/>
              <w:ind w:left="93"/>
            </w:pPr>
            <w:r>
              <w:rPr>
                <w:spacing w:val="-6"/>
              </w:rPr>
              <w:t>（万元）</w:t>
            </w:r>
          </w:p>
        </w:tc>
        <w:tc>
          <w:tcPr>
            <w:tcW w:w="1778" w:type="dxa"/>
            <w:vAlign w:val="top"/>
          </w:tcPr>
          <w:p w14:paraId="7C9B7E4A">
            <w:pPr>
              <w:pStyle w:val="11"/>
              <w:spacing w:before="163" w:line="280" w:lineRule="auto"/>
              <w:ind w:left="584" w:right="367" w:hanging="213"/>
            </w:pPr>
            <w:r>
              <w:rPr>
                <w:spacing w:val="-4"/>
              </w:rPr>
              <w:t>计划开、竣</w:t>
            </w:r>
            <w:r>
              <w:rPr>
                <w:spacing w:val="-2"/>
              </w:rPr>
              <w:t>工日期</w:t>
            </w:r>
          </w:p>
        </w:tc>
        <w:tc>
          <w:tcPr>
            <w:tcW w:w="1084" w:type="dxa"/>
            <w:vAlign w:val="top"/>
          </w:tcPr>
          <w:p w14:paraId="057D2F7F">
            <w:pPr>
              <w:spacing w:line="293" w:lineRule="auto"/>
              <w:rPr>
                <w:rFonts w:ascii="Arial"/>
                <w:sz w:val="21"/>
              </w:rPr>
            </w:pPr>
          </w:p>
          <w:p w14:paraId="7742B0BC">
            <w:pPr>
              <w:pStyle w:val="11"/>
              <w:spacing w:before="68" w:line="221" w:lineRule="auto"/>
              <w:ind w:left="131"/>
            </w:pPr>
            <w:r>
              <w:rPr>
                <w:spacing w:val="-3"/>
              </w:rPr>
              <w:t>项目经理</w:t>
            </w:r>
          </w:p>
        </w:tc>
      </w:tr>
      <w:tr w14:paraId="087C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2BFB85B0">
            <w:pPr>
              <w:rPr>
                <w:rFonts w:ascii="Arial"/>
                <w:sz w:val="21"/>
              </w:rPr>
            </w:pPr>
          </w:p>
        </w:tc>
        <w:tc>
          <w:tcPr>
            <w:tcW w:w="1682" w:type="dxa"/>
            <w:vAlign w:val="top"/>
          </w:tcPr>
          <w:p w14:paraId="3105EC38">
            <w:pPr>
              <w:rPr>
                <w:rFonts w:ascii="Arial"/>
                <w:sz w:val="21"/>
              </w:rPr>
            </w:pPr>
          </w:p>
        </w:tc>
        <w:tc>
          <w:tcPr>
            <w:tcW w:w="1394" w:type="dxa"/>
            <w:vAlign w:val="top"/>
          </w:tcPr>
          <w:p w14:paraId="006EFB62">
            <w:pPr>
              <w:rPr>
                <w:rFonts w:ascii="Arial"/>
                <w:sz w:val="21"/>
              </w:rPr>
            </w:pPr>
          </w:p>
        </w:tc>
        <w:tc>
          <w:tcPr>
            <w:tcW w:w="1080" w:type="dxa"/>
            <w:vAlign w:val="top"/>
          </w:tcPr>
          <w:p w14:paraId="2CE32B82">
            <w:pPr>
              <w:rPr>
                <w:rFonts w:ascii="Arial"/>
                <w:sz w:val="21"/>
              </w:rPr>
            </w:pPr>
          </w:p>
        </w:tc>
        <w:tc>
          <w:tcPr>
            <w:tcW w:w="1110" w:type="dxa"/>
            <w:vAlign w:val="top"/>
          </w:tcPr>
          <w:p w14:paraId="42EC3D72">
            <w:pPr>
              <w:rPr>
                <w:rFonts w:ascii="Arial"/>
                <w:sz w:val="21"/>
              </w:rPr>
            </w:pPr>
          </w:p>
        </w:tc>
        <w:tc>
          <w:tcPr>
            <w:tcW w:w="1778" w:type="dxa"/>
            <w:vAlign w:val="top"/>
          </w:tcPr>
          <w:p w14:paraId="61A6364F">
            <w:pPr>
              <w:rPr>
                <w:rFonts w:ascii="Arial"/>
                <w:sz w:val="21"/>
              </w:rPr>
            </w:pPr>
          </w:p>
        </w:tc>
        <w:tc>
          <w:tcPr>
            <w:tcW w:w="1084" w:type="dxa"/>
            <w:vAlign w:val="top"/>
          </w:tcPr>
          <w:p w14:paraId="2D96B16A">
            <w:pPr>
              <w:rPr>
                <w:rFonts w:ascii="Arial"/>
                <w:sz w:val="21"/>
              </w:rPr>
            </w:pPr>
          </w:p>
        </w:tc>
      </w:tr>
      <w:tr w14:paraId="17C9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3C5FD9C6">
            <w:pPr>
              <w:rPr>
                <w:rFonts w:ascii="Arial"/>
                <w:sz w:val="21"/>
              </w:rPr>
            </w:pPr>
          </w:p>
        </w:tc>
        <w:tc>
          <w:tcPr>
            <w:tcW w:w="1682" w:type="dxa"/>
            <w:vAlign w:val="top"/>
          </w:tcPr>
          <w:p w14:paraId="60E9E4BE">
            <w:pPr>
              <w:rPr>
                <w:rFonts w:ascii="Arial"/>
                <w:sz w:val="21"/>
              </w:rPr>
            </w:pPr>
          </w:p>
        </w:tc>
        <w:tc>
          <w:tcPr>
            <w:tcW w:w="1394" w:type="dxa"/>
            <w:vAlign w:val="top"/>
          </w:tcPr>
          <w:p w14:paraId="04C8493D">
            <w:pPr>
              <w:rPr>
                <w:rFonts w:ascii="Arial"/>
                <w:sz w:val="21"/>
              </w:rPr>
            </w:pPr>
          </w:p>
        </w:tc>
        <w:tc>
          <w:tcPr>
            <w:tcW w:w="1080" w:type="dxa"/>
            <w:vAlign w:val="top"/>
          </w:tcPr>
          <w:p w14:paraId="4D7F0450">
            <w:pPr>
              <w:rPr>
                <w:rFonts w:ascii="Arial"/>
                <w:sz w:val="21"/>
              </w:rPr>
            </w:pPr>
          </w:p>
        </w:tc>
        <w:tc>
          <w:tcPr>
            <w:tcW w:w="1110" w:type="dxa"/>
            <w:vAlign w:val="top"/>
          </w:tcPr>
          <w:p w14:paraId="43152151">
            <w:pPr>
              <w:rPr>
                <w:rFonts w:ascii="Arial"/>
                <w:sz w:val="21"/>
              </w:rPr>
            </w:pPr>
          </w:p>
        </w:tc>
        <w:tc>
          <w:tcPr>
            <w:tcW w:w="1778" w:type="dxa"/>
            <w:vAlign w:val="top"/>
          </w:tcPr>
          <w:p w14:paraId="120F99BF">
            <w:pPr>
              <w:rPr>
                <w:rFonts w:ascii="Arial"/>
                <w:sz w:val="21"/>
              </w:rPr>
            </w:pPr>
          </w:p>
        </w:tc>
        <w:tc>
          <w:tcPr>
            <w:tcW w:w="1084" w:type="dxa"/>
            <w:vAlign w:val="top"/>
          </w:tcPr>
          <w:p w14:paraId="1D877652">
            <w:pPr>
              <w:rPr>
                <w:rFonts w:ascii="Arial"/>
                <w:sz w:val="21"/>
              </w:rPr>
            </w:pPr>
          </w:p>
        </w:tc>
      </w:tr>
      <w:tr w14:paraId="35AF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1BF2AAD2">
            <w:pPr>
              <w:rPr>
                <w:rFonts w:ascii="Arial"/>
                <w:sz w:val="21"/>
              </w:rPr>
            </w:pPr>
          </w:p>
        </w:tc>
        <w:tc>
          <w:tcPr>
            <w:tcW w:w="1682" w:type="dxa"/>
            <w:vAlign w:val="top"/>
          </w:tcPr>
          <w:p w14:paraId="4964E6CF">
            <w:pPr>
              <w:rPr>
                <w:rFonts w:ascii="Arial"/>
                <w:sz w:val="21"/>
              </w:rPr>
            </w:pPr>
          </w:p>
        </w:tc>
        <w:tc>
          <w:tcPr>
            <w:tcW w:w="1394" w:type="dxa"/>
            <w:vAlign w:val="top"/>
          </w:tcPr>
          <w:p w14:paraId="13C12A85">
            <w:pPr>
              <w:rPr>
                <w:rFonts w:ascii="Arial"/>
                <w:sz w:val="21"/>
              </w:rPr>
            </w:pPr>
          </w:p>
        </w:tc>
        <w:tc>
          <w:tcPr>
            <w:tcW w:w="1080" w:type="dxa"/>
            <w:vAlign w:val="top"/>
          </w:tcPr>
          <w:p w14:paraId="5F45ACD2">
            <w:pPr>
              <w:rPr>
                <w:rFonts w:ascii="Arial"/>
                <w:sz w:val="21"/>
              </w:rPr>
            </w:pPr>
          </w:p>
        </w:tc>
        <w:tc>
          <w:tcPr>
            <w:tcW w:w="1110" w:type="dxa"/>
            <w:vAlign w:val="top"/>
          </w:tcPr>
          <w:p w14:paraId="58B5764C">
            <w:pPr>
              <w:rPr>
                <w:rFonts w:ascii="Arial"/>
                <w:sz w:val="21"/>
              </w:rPr>
            </w:pPr>
          </w:p>
        </w:tc>
        <w:tc>
          <w:tcPr>
            <w:tcW w:w="1778" w:type="dxa"/>
            <w:vAlign w:val="top"/>
          </w:tcPr>
          <w:p w14:paraId="2B8E13E5">
            <w:pPr>
              <w:rPr>
                <w:rFonts w:ascii="Arial"/>
                <w:sz w:val="21"/>
              </w:rPr>
            </w:pPr>
          </w:p>
        </w:tc>
        <w:tc>
          <w:tcPr>
            <w:tcW w:w="1084" w:type="dxa"/>
            <w:vAlign w:val="top"/>
          </w:tcPr>
          <w:p w14:paraId="6B3DF860">
            <w:pPr>
              <w:rPr>
                <w:rFonts w:ascii="Arial"/>
                <w:sz w:val="21"/>
              </w:rPr>
            </w:pPr>
          </w:p>
        </w:tc>
      </w:tr>
      <w:tr w14:paraId="5EC2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14DCA0C3">
            <w:pPr>
              <w:rPr>
                <w:rFonts w:ascii="Arial"/>
                <w:sz w:val="21"/>
              </w:rPr>
            </w:pPr>
          </w:p>
        </w:tc>
        <w:tc>
          <w:tcPr>
            <w:tcW w:w="1682" w:type="dxa"/>
            <w:vAlign w:val="top"/>
          </w:tcPr>
          <w:p w14:paraId="0D4B512A">
            <w:pPr>
              <w:rPr>
                <w:rFonts w:ascii="Arial"/>
                <w:sz w:val="21"/>
              </w:rPr>
            </w:pPr>
          </w:p>
        </w:tc>
        <w:tc>
          <w:tcPr>
            <w:tcW w:w="1394" w:type="dxa"/>
            <w:vAlign w:val="top"/>
          </w:tcPr>
          <w:p w14:paraId="778F5B17">
            <w:pPr>
              <w:rPr>
                <w:rFonts w:ascii="Arial"/>
                <w:sz w:val="21"/>
              </w:rPr>
            </w:pPr>
          </w:p>
        </w:tc>
        <w:tc>
          <w:tcPr>
            <w:tcW w:w="1080" w:type="dxa"/>
            <w:vAlign w:val="top"/>
          </w:tcPr>
          <w:p w14:paraId="319DBA30">
            <w:pPr>
              <w:rPr>
                <w:rFonts w:ascii="Arial"/>
                <w:sz w:val="21"/>
              </w:rPr>
            </w:pPr>
          </w:p>
        </w:tc>
        <w:tc>
          <w:tcPr>
            <w:tcW w:w="1110" w:type="dxa"/>
            <w:vAlign w:val="top"/>
          </w:tcPr>
          <w:p w14:paraId="740BAF58">
            <w:pPr>
              <w:rPr>
                <w:rFonts w:ascii="Arial"/>
                <w:sz w:val="21"/>
              </w:rPr>
            </w:pPr>
          </w:p>
        </w:tc>
        <w:tc>
          <w:tcPr>
            <w:tcW w:w="1778" w:type="dxa"/>
            <w:vAlign w:val="top"/>
          </w:tcPr>
          <w:p w14:paraId="69101586">
            <w:pPr>
              <w:rPr>
                <w:rFonts w:ascii="Arial"/>
                <w:sz w:val="21"/>
              </w:rPr>
            </w:pPr>
          </w:p>
        </w:tc>
        <w:tc>
          <w:tcPr>
            <w:tcW w:w="1084" w:type="dxa"/>
            <w:vAlign w:val="top"/>
          </w:tcPr>
          <w:p w14:paraId="0BB55586">
            <w:pPr>
              <w:rPr>
                <w:rFonts w:ascii="Arial"/>
                <w:sz w:val="21"/>
              </w:rPr>
            </w:pPr>
          </w:p>
        </w:tc>
      </w:tr>
      <w:tr w14:paraId="336D2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47B5641E">
            <w:pPr>
              <w:rPr>
                <w:rFonts w:ascii="Arial"/>
                <w:sz w:val="21"/>
              </w:rPr>
            </w:pPr>
          </w:p>
        </w:tc>
        <w:tc>
          <w:tcPr>
            <w:tcW w:w="1682" w:type="dxa"/>
            <w:vAlign w:val="top"/>
          </w:tcPr>
          <w:p w14:paraId="5E9BFED8">
            <w:pPr>
              <w:rPr>
                <w:rFonts w:ascii="Arial"/>
                <w:sz w:val="21"/>
              </w:rPr>
            </w:pPr>
          </w:p>
        </w:tc>
        <w:tc>
          <w:tcPr>
            <w:tcW w:w="1394" w:type="dxa"/>
            <w:vAlign w:val="top"/>
          </w:tcPr>
          <w:p w14:paraId="25E356E5">
            <w:pPr>
              <w:rPr>
                <w:rFonts w:ascii="Arial"/>
                <w:sz w:val="21"/>
              </w:rPr>
            </w:pPr>
          </w:p>
        </w:tc>
        <w:tc>
          <w:tcPr>
            <w:tcW w:w="1080" w:type="dxa"/>
            <w:vAlign w:val="top"/>
          </w:tcPr>
          <w:p w14:paraId="4DFB1306">
            <w:pPr>
              <w:rPr>
                <w:rFonts w:ascii="Arial"/>
                <w:sz w:val="21"/>
              </w:rPr>
            </w:pPr>
          </w:p>
        </w:tc>
        <w:tc>
          <w:tcPr>
            <w:tcW w:w="1110" w:type="dxa"/>
            <w:vAlign w:val="top"/>
          </w:tcPr>
          <w:p w14:paraId="4707C996">
            <w:pPr>
              <w:rPr>
                <w:rFonts w:ascii="Arial"/>
                <w:sz w:val="21"/>
              </w:rPr>
            </w:pPr>
          </w:p>
        </w:tc>
        <w:tc>
          <w:tcPr>
            <w:tcW w:w="1778" w:type="dxa"/>
            <w:vAlign w:val="top"/>
          </w:tcPr>
          <w:p w14:paraId="3EA89D4D">
            <w:pPr>
              <w:rPr>
                <w:rFonts w:ascii="Arial"/>
                <w:sz w:val="21"/>
              </w:rPr>
            </w:pPr>
          </w:p>
        </w:tc>
        <w:tc>
          <w:tcPr>
            <w:tcW w:w="1084" w:type="dxa"/>
            <w:vAlign w:val="top"/>
          </w:tcPr>
          <w:p w14:paraId="1301C41C">
            <w:pPr>
              <w:rPr>
                <w:rFonts w:ascii="Arial"/>
                <w:sz w:val="21"/>
              </w:rPr>
            </w:pPr>
          </w:p>
        </w:tc>
      </w:tr>
      <w:tr w14:paraId="420C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50E97BF6">
            <w:pPr>
              <w:rPr>
                <w:rFonts w:ascii="Arial"/>
                <w:sz w:val="21"/>
              </w:rPr>
            </w:pPr>
          </w:p>
        </w:tc>
        <w:tc>
          <w:tcPr>
            <w:tcW w:w="1682" w:type="dxa"/>
            <w:vAlign w:val="top"/>
          </w:tcPr>
          <w:p w14:paraId="16269BE6">
            <w:pPr>
              <w:rPr>
                <w:rFonts w:ascii="Arial"/>
                <w:sz w:val="21"/>
              </w:rPr>
            </w:pPr>
          </w:p>
        </w:tc>
        <w:tc>
          <w:tcPr>
            <w:tcW w:w="1394" w:type="dxa"/>
            <w:vAlign w:val="top"/>
          </w:tcPr>
          <w:p w14:paraId="74A353B5">
            <w:pPr>
              <w:rPr>
                <w:rFonts w:ascii="Arial"/>
                <w:sz w:val="21"/>
              </w:rPr>
            </w:pPr>
          </w:p>
        </w:tc>
        <w:tc>
          <w:tcPr>
            <w:tcW w:w="1080" w:type="dxa"/>
            <w:vAlign w:val="top"/>
          </w:tcPr>
          <w:p w14:paraId="5F398B95">
            <w:pPr>
              <w:rPr>
                <w:rFonts w:ascii="Arial"/>
                <w:sz w:val="21"/>
              </w:rPr>
            </w:pPr>
          </w:p>
        </w:tc>
        <w:tc>
          <w:tcPr>
            <w:tcW w:w="1110" w:type="dxa"/>
            <w:vAlign w:val="top"/>
          </w:tcPr>
          <w:p w14:paraId="35E72514">
            <w:pPr>
              <w:rPr>
                <w:rFonts w:ascii="Arial"/>
                <w:sz w:val="21"/>
              </w:rPr>
            </w:pPr>
          </w:p>
        </w:tc>
        <w:tc>
          <w:tcPr>
            <w:tcW w:w="1778" w:type="dxa"/>
            <w:vAlign w:val="top"/>
          </w:tcPr>
          <w:p w14:paraId="131D7D2F">
            <w:pPr>
              <w:rPr>
                <w:rFonts w:ascii="Arial"/>
                <w:sz w:val="21"/>
              </w:rPr>
            </w:pPr>
          </w:p>
        </w:tc>
        <w:tc>
          <w:tcPr>
            <w:tcW w:w="1084" w:type="dxa"/>
            <w:vAlign w:val="top"/>
          </w:tcPr>
          <w:p w14:paraId="26854B4F">
            <w:pPr>
              <w:rPr>
                <w:rFonts w:ascii="Arial"/>
                <w:sz w:val="21"/>
              </w:rPr>
            </w:pPr>
          </w:p>
        </w:tc>
      </w:tr>
      <w:tr w14:paraId="6236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0C82880E">
            <w:pPr>
              <w:rPr>
                <w:rFonts w:ascii="Arial"/>
                <w:sz w:val="21"/>
              </w:rPr>
            </w:pPr>
          </w:p>
        </w:tc>
        <w:tc>
          <w:tcPr>
            <w:tcW w:w="1682" w:type="dxa"/>
            <w:vAlign w:val="top"/>
          </w:tcPr>
          <w:p w14:paraId="1464E391">
            <w:pPr>
              <w:rPr>
                <w:rFonts w:ascii="Arial"/>
                <w:sz w:val="21"/>
              </w:rPr>
            </w:pPr>
          </w:p>
        </w:tc>
        <w:tc>
          <w:tcPr>
            <w:tcW w:w="1394" w:type="dxa"/>
            <w:vAlign w:val="top"/>
          </w:tcPr>
          <w:p w14:paraId="5F4DFC90">
            <w:pPr>
              <w:rPr>
                <w:rFonts w:ascii="Arial"/>
                <w:sz w:val="21"/>
              </w:rPr>
            </w:pPr>
          </w:p>
        </w:tc>
        <w:tc>
          <w:tcPr>
            <w:tcW w:w="1080" w:type="dxa"/>
            <w:vAlign w:val="top"/>
          </w:tcPr>
          <w:p w14:paraId="6F4A3C24">
            <w:pPr>
              <w:rPr>
                <w:rFonts w:ascii="Arial"/>
                <w:sz w:val="21"/>
              </w:rPr>
            </w:pPr>
          </w:p>
        </w:tc>
        <w:tc>
          <w:tcPr>
            <w:tcW w:w="1110" w:type="dxa"/>
            <w:vAlign w:val="top"/>
          </w:tcPr>
          <w:p w14:paraId="03903A7B">
            <w:pPr>
              <w:rPr>
                <w:rFonts w:ascii="Arial"/>
                <w:sz w:val="21"/>
              </w:rPr>
            </w:pPr>
          </w:p>
        </w:tc>
        <w:tc>
          <w:tcPr>
            <w:tcW w:w="1778" w:type="dxa"/>
            <w:vAlign w:val="top"/>
          </w:tcPr>
          <w:p w14:paraId="44023C02">
            <w:pPr>
              <w:rPr>
                <w:rFonts w:ascii="Arial"/>
                <w:sz w:val="21"/>
              </w:rPr>
            </w:pPr>
          </w:p>
        </w:tc>
        <w:tc>
          <w:tcPr>
            <w:tcW w:w="1084" w:type="dxa"/>
            <w:vAlign w:val="top"/>
          </w:tcPr>
          <w:p w14:paraId="7F459D9E">
            <w:pPr>
              <w:rPr>
                <w:rFonts w:ascii="Arial"/>
                <w:sz w:val="21"/>
              </w:rPr>
            </w:pPr>
          </w:p>
        </w:tc>
      </w:tr>
      <w:tr w14:paraId="360B7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0A617EEF">
            <w:pPr>
              <w:rPr>
                <w:rFonts w:ascii="Arial"/>
                <w:sz w:val="21"/>
              </w:rPr>
            </w:pPr>
          </w:p>
        </w:tc>
        <w:tc>
          <w:tcPr>
            <w:tcW w:w="1682" w:type="dxa"/>
            <w:vAlign w:val="top"/>
          </w:tcPr>
          <w:p w14:paraId="23975D97">
            <w:pPr>
              <w:rPr>
                <w:rFonts w:ascii="Arial"/>
                <w:sz w:val="21"/>
              </w:rPr>
            </w:pPr>
          </w:p>
        </w:tc>
        <w:tc>
          <w:tcPr>
            <w:tcW w:w="1394" w:type="dxa"/>
            <w:vAlign w:val="top"/>
          </w:tcPr>
          <w:p w14:paraId="469A36B8">
            <w:pPr>
              <w:rPr>
                <w:rFonts w:ascii="Arial"/>
                <w:sz w:val="21"/>
              </w:rPr>
            </w:pPr>
          </w:p>
        </w:tc>
        <w:tc>
          <w:tcPr>
            <w:tcW w:w="1080" w:type="dxa"/>
            <w:vAlign w:val="top"/>
          </w:tcPr>
          <w:p w14:paraId="17104F8B">
            <w:pPr>
              <w:rPr>
                <w:rFonts w:ascii="Arial"/>
                <w:sz w:val="21"/>
              </w:rPr>
            </w:pPr>
          </w:p>
        </w:tc>
        <w:tc>
          <w:tcPr>
            <w:tcW w:w="1110" w:type="dxa"/>
            <w:vAlign w:val="top"/>
          </w:tcPr>
          <w:p w14:paraId="71E2BCC4">
            <w:pPr>
              <w:rPr>
                <w:rFonts w:ascii="Arial"/>
                <w:sz w:val="21"/>
              </w:rPr>
            </w:pPr>
          </w:p>
        </w:tc>
        <w:tc>
          <w:tcPr>
            <w:tcW w:w="1778" w:type="dxa"/>
            <w:vAlign w:val="top"/>
          </w:tcPr>
          <w:p w14:paraId="515601F8">
            <w:pPr>
              <w:rPr>
                <w:rFonts w:ascii="Arial"/>
                <w:sz w:val="21"/>
              </w:rPr>
            </w:pPr>
          </w:p>
        </w:tc>
        <w:tc>
          <w:tcPr>
            <w:tcW w:w="1084" w:type="dxa"/>
            <w:vAlign w:val="top"/>
          </w:tcPr>
          <w:p w14:paraId="0CD0C098">
            <w:pPr>
              <w:rPr>
                <w:rFonts w:ascii="Arial"/>
                <w:sz w:val="21"/>
              </w:rPr>
            </w:pPr>
          </w:p>
        </w:tc>
      </w:tr>
      <w:tr w14:paraId="3322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4C7FE60C">
            <w:pPr>
              <w:rPr>
                <w:rFonts w:ascii="Arial"/>
                <w:sz w:val="21"/>
              </w:rPr>
            </w:pPr>
          </w:p>
        </w:tc>
        <w:tc>
          <w:tcPr>
            <w:tcW w:w="1682" w:type="dxa"/>
            <w:vAlign w:val="top"/>
          </w:tcPr>
          <w:p w14:paraId="7B0460A1">
            <w:pPr>
              <w:rPr>
                <w:rFonts w:ascii="Arial"/>
                <w:sz w:val="21"/>
              </w:rPr>
            </w:pPr>
          </w:p>
        </w:tc>
        <w:tc>
          <w:tcPr>
            <w:tcW w:w="1394" w:type="dxa"/>
            <w:vAlign w:val="top"/>
          </w:tcPr>
          <w:p w14:paraId="3603BD78">
            <w:pPr>
              <w:rPr>
                <w:rFonts w:ascii="Arial"/>
                <w:sz w:val="21"/>
              </w:rPr>
            </w:pPr>
          </w:p>
        </w:tc>
        <w:tc>
          <w:tcPr>
            <w:tcW w:w="1080" w:type="dxa"/>
            <w:vAlign w:val="top"/>
          </w:tcPr>
          <w:p w14:paraId="44A63DB0">
            <w:pPr>
              <w:rPr>
                <w:rFonts w:ascii="Arial"/>
                <w:sz w:val="21"/>
              </w:rPr>
            </w:pPr>
          </w:p>
        </w:tc>
        <w:tc>
          <w:tcPr>
            <w:tcW w:w="1110" w:type="dxa"/>
            <w:vAlign w:val="top"/>
          </w:tcPr>
          <w:p w14:paraId="53EDE5DC">
            <w:pPr>
              <w:rPr>
                <w:rFonts w:ascii="Arial"/>
                <w:sz w:val="21"/>
              </w:rPr>
            </w:pPr>
          </w:p>
        </w:tc>
        <w:tc>
          <w:tcPr>
            <w:tcW w:w="1778" w:type="dxa"/>
            <w:vAlign w:val="top"/>
          </w:tcPr>
          <w:p w14:paraId="25642905">
            <w:pPr>
              <w:rPr>
                <w:rFonts w:ascii="Arial"/>
                <w:sz w:val="21"/>
              </w:rPr>
            </w:pPr>
          </w:p>
        </w:tc>
        <w:tc>
          <w:tcPr>
            <w:tcW w:w="1084" w:type="dxa"/>
            <w:vAlign w:val="top"/>
          </w:tcPr>
          <w:p w14:paraId="0FFEFCA8">
            <w:pPr>
              <w:rPr>
                <w:rFonts w:ascii="Arial"/>
                <w:sz w:val="21"/>
              </w:rPr>
            </w:pPr>
          </w:p>
        </w:tc>
      </w:tr>
      <w:tr w14:paraId="3E8D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7C607CA3">
            <w:pPr>
              <w:rPr>
                <w:rFonts w:ascii="Arial"/>
                <w:sz w:val="21"/>
              </w:rPr>
            </w:pPr>
          </w:p>
        </w:tc>
        <w:tc>
          <w:tcPr>
            <w:tcW w:w="1682" w:type="dxa"/>
            <w:vAlign w:val="top"/>
          </w:tcPr>
          <w:p w14:paraId="315D5A75">
            <w:pPr>
              <w:rPr>
                <w:rFonts w:ascii="Arial"/>
                <w:sz w:val="21"/>
              </w:rPr>
            </w:pPr>
          </w:p>
        </w:tc>
        <w:tc>
          <w:tcPr>
            <w:tcW w:w="1394" w:type="dxa"/>
            <w:vAlign w:val="top"/>
          </w:tcPr>
          <w:p w14:paraId="207DFF16">
            <w:pPr>
              <w:rPr>
                <w:rFonts w:ascii="Arial"/>
                <w:sz w:val="21"/>
              </w:rPr>
            </w:pPr>
          </w:p>
        </w:tc>
        <w:tc>
          <w:tcPr>
            <w:tcW w:w="1080" w:type="dxa"/>
            <w:vAlign w:val="top"/>
          </w:tcPr>
          <w:p w14:paraId="05DBE771">
            <w:pPr>
              <w:rPr>
                <w:rFonts w:ascii="Arial"/>
                <w:sz w:val="21"/>
              </w:rPr>
            </w:pPr>
          </w:p>
        </w:tc>
        <w:tc>
          <w:tcPr>
            <w:tcW w:w="1110" w:type="dxa"/>
            <w:vAlign w:val="top"/>
          </w:tcPr>
          <w:p w14:paraId="2BB98CF8">
            <w:pPr>
              <w:rPr>
                <w:rFonts w:ascii="Arial"/>
                <w:sz w:val="21"/>
              </w:rPr>
            </w:pPr>
          </w:p>
        </w:tc>
        <w:tc>
          <w:tcPr>
            <w:tcW w:w="1778" w:type="dxa"/>
            <w:vAlign w:val="top"/>
          </w:tcPr>
          <w:p w14:paraId="36022CE0">
            <w:pPr>
              <w:rPr>
                <w:rFonts w:ascii="Arial"/>
                <w:sz w:val="21"/>
              </w:rPr>
            </w:pPr>
          </w:p>
        </w:tc>
        <w:tc>
          <w:tcPr>
            <w:tcW w:w="1084" w:type="dxa"/>
            <w:vAlign w:val="top"/>
          </w:tcPr>
          <w:p w14:paraId="23C62B3A">
            <w:pPr>
              <w:rPr>
                <w:rFonts w:ascii="Arial"/>
                <w:sz w:val="21"/>
              </w:rPr>
            </w:pPr>
          </w:p>
        </w:tc>
      </w:tr>
      <w:tr w14:paraId="7F358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3A95205D">
            <w:pPr>
              <w:rPr>
                <w:rFonts w:ascii="Arial"/>
                <w:sz w:val="21"/>
              </w:rPr>
            </w:pPr>
          </w:p>
        </w:tc>
        <w:tc>
          <w:tcPr>
            <w:tcW w:w="1682" w:type="dxa"/>
            <w:vAlign w:val="top"/>
          </w:tcPr>
          <w:p w14:paraId="41C98453">
            <w:pPr>
              <w:rPr>
                <w:rFonts w:ascii="Arial"/>
                <w:sz w:val="21"/>
              </w:rPr>
            </w:pPr>
          </w:p>
        </w:tc>
        <w:tc>
          <w:tcPr>
            <w:tcW w:w="1394" w:type="dxa"/>
            <w:vAlign w:val="top"/>
          </w:tcPr>
          <w:p w14:paraId="0E63B27F">
            <w:pPr>
              <w:rPr>
                <w:rFonts w:ascii="Arial"/>
                <w:sz w:val="21"/>
              </w:rPr>
            </w:pPr>
          </w:p>
        </w:tc>
        <w:tc>
          <w:tcPr>
            <w:tcW w:w="1080" w:type="dxa"/>
            <w:vAlign w:val="top"/>
          </w:tcPr>
          <w:p w14:paraId="71257848">
            <w:pPr>
              <w:rPr>
                <w:rFonts w:ascii="Arial"/>
                <w:sz w:val="21"/>
              </w:rPr>
            </w:pPr>
          </w:p>
        </w:tc>
        <w:tc>
          <w:tcPr>
            <w:tcW w:w="1110" w:type="dxa"/>
            <w:vAlign w:val="top"/>
          </w:tcPr>
          <w:p w14:paraId="595E85E6">
            <w:pPr>
              <w:rPr>
                <w:rFonts w:ascii="Arial"/>
                <w:sz w:val="21"/>
              </w:rPr>
            </w:pPr>
          </w:p>
        </w:tc>
        <w:tc>
          <w:tcPr>
            <w:tcW w:w="1778" w:type="dxa"/>
            <w:vAlign w:val="top"/>
          </w:tcPr>
          <w:p w14:paraId="0B7DFF80">
            <w:pPr>
              <w:rPr>
                <w:rFonts w:ascii="Arial"/>
                <w:sz w:val="21"/>
              </w:rPr>
            </w:pPr>
          </w:p>
        </w:tc>
        <w:tc>
          <w:tcPr>
            <w:tcW w:w="1084" w:type="dxa"/>
            <w:vAlign w:val="top"/>
          </w:tcPr>
          <w:p w14:paraId="66EA1794">
            <w:pPr>
              <w:rPr>
                <w:rFonts w:ascii="Arial"/>
                <w:sz w:val="21"/>
              </w:rPr>
            </w:pPr>
          </w:p>
        </w:tc>
      </w:tr>
      <w:tr w14:paraId="0F44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7" w:type="dxa"/>
            <w:vAlign w:val="top"/>
          </w:tcPr>
          <w:p w14:paraId="7AAFEAF0">
            <w:pPr>
              <w:rPr>
                <w:rFonts w:ascii="Arial"/>
                <w:sz w:val="21"/>
              </w:rPr>
            </w:pPr>
          </w:p>
        </w:tc>
        <w:tc>
          <w:tcPr>
            <w:tcW w:w="1682" w:type="dxa"/>
            <w:vAlign w:val="top"/>
          </w:tcPr>
          <w:p w14:paraId="24C54D4C">
            <w:pPr>
              <w:rPr>
                <w:rFonts w:ascii="Arial"/>
                <w:sz w:val="21"/>
              </w:rPr>
            </w:pPr>
          </w:p>
        </w:tc>
        <w:tc>
          <w:tcPr>
            <w:tcW w:w="1394" w:type="dxa"/>
            <w:vAlign w:val="top"/>
          </w:tcPr>
          <w:p w14:paraId="394BC1CB">
            <w:pPr>
              <w:rPr>
                <w:rFonts w:ascii="Arial"/>
                <w:sz w:val="21"/>
              </w:rPr>
            </w:pPr>
          </w:p>
        </w:tc>
        <w:tc>
          <w:tcPr>
            <w:tcW w:w="1080" w:type="dxa"/>
            <w:vAlign w:val="top"/>
          </w:tcPr>
          <w:p w14:paraId="3006D408">
            <w:pPr>
              <w:rPr>
                <w:rFonts w:ascii="Arial"/>
                <w:sz w:val="21"/>
              </w:rPr>
            </w:pPr>
          </w:p>
        </w:tc>
        <w:tc>
          <w:tcPr>
            <w:tcW w:w="1110" w:type="dxa"/>
            <w:vAlign w:val="top"/>
          </w:tcPr>
          <w:p w14:paraId="24DAB84C">
            <w:pPr>
              <w:rPr>
                <w:rFonts w:ascii="Arial"/>
                <w:sz w:val="21"/>
              </w:rPr>
            </w:pPr>
          </w:p>
        </w:tc>
        <w:tc>
          <w:tcPr>
            <w:tcW w:w="1778" w:type="dxa"/>
            <w:vAlign w:val="top"/>
          </w:tcPr>
          <w:p w14:paraId="5C338AAE">
            <w:pPr>
              <w:rPr>
                <w:rFonts w:ascii="Arial"/>
                <w:sz w:val="21"/>
              </w:rPr>
            </w:pPr>
          </w:p>
        </w:tc>
        <w:tc>
          <w:tcPr>
            <w:tcW w:w="1084" w:type="dxa"/>
            <w:vAlign w:val="top"/>
          </w:tcPr>
          <w:p w14:paraId="3DD05021">
            <w:pPr>
              <w:rPr>
                <w:rFonts w:ascii="Arial"/>
                <w:sz w:val="21"/>
              </w:rPr>
            </w:pPr>
          </w:p>
        </w:tc>
      </w:tr>
      <w:tr w14:paraId="372E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07" w:type="dxa"/>
            <w:vAlign w:val="top"/>
          </w:tcPr>
          <w:p w14:paraId="0AFB5A69">
            <w:pPr>
              <w:rPr>
                <w:rFonts w:ascii="Arial"/>
                <w:sz w:val="21"/>
              </w:rPr>
            </w:pPr>
          </w:p>
        </w:tc>
        <w:tc>
          <w:tcPr>
            <w:tcW w:w="1682" w:type="dxa"/>
            <w:vAlign w:val="top"/>
          </w:tcPr>
          <w:p w14:paraId="29EEF24F">
            <w:pPr>
              <w:rPr>
                <w:rFonts w:ascii="Arial"/>
                <w:sz w:val="21"/>
              </w:rPr>
            </w:pPr>
          </w:p>
        </w:tc>
        <w:tc>
          <w:tcPr>
            <w:tcW w:w="1394" w:type="dxa"/>
            <w:vAlign w:val="top"/>
          </w:tcPr>
          <w:p w14:paraId="74338A05">
            <w:pPr>
              <w:rPr>
                <w:rFonts w:ascii="Arial"/>
                <w:sz w:val="21"/>
              </w:rPr>
            </w:pPr>
          </w:p>
        </w:tc>
        <w:tc>
          <w:tcPr>
            <w:tcW w:w="1080" w:type="dxa"/>
            <w:vAlign w:val="top"/>
          </w:tcPr>
          <w:p w14:paraId="2A4E0528">
            <w:pPr>
              <w:rPr>
                <w:rFonts w:ascii="Arial"/>
                <w:sz w:val="21"/>
              </w:rPr>
            </w:pPr>
          </w:p>
        </w:tc>
        <w:tc>
          <w:tcPr>
            <w:tcW w:w="1110" w:type="dxa"/>
            <w:vAlign w:val="top"/>
          </w:tcPr>
          <w:p w14:paraId="20036014">
            <w:pPr>
              <w:rPr>
                <w:rFonts w:ascii="Arial"/>
                <w:sz w:val="21"/>
              </w:rPr>
            </w:pPr>
          </w:p>
        </w:tc>
        <w:tc>
          <w:tcPr>
            <w:tcW w:w="1778" w:type="dxa"/>
            <w:vAlign w:val="top"/>
          </w:tcPr>
          <w:p w14:paraId="15219575">
            <w:pPr>
              <w:rPr>
                <w:rFonts w:ascii="Arial"/>
                <w:sz w:val="21"/>
              </w:rPr>
            </w:pPr>
          </w:p>
        </w:tc>
        <w:tc>
          <w:tcPr>
            <w:tcW w:w="1084" w:type="dxa"/>
            <w:vAlign w:val="top"/>
          </w:tcPr>
          <w:p w14:paraId="31205FC0">
            <w:pPr>
              <w:rPr>
                <w:rFonts w:ascii="Arial"/>
                <w:sz w:val="21"/>
              </w:rPr>
            </w:pPr>
          </w:p>
        </w:tc>
      </w:tr>
      <w:tr w14:paraId="457F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1AE9F67C">
            <w:pPr>
              <w:rPr>
                <w:rFonts w:ascii="Arial"/>
                <w:sz w:val="21"/>
              </w:rPr>
            </w:pPr>
          </w:p>
        </w:tc>
        <w:tc>
          <w:tcPr>
            <w:tcW w:w="1682" w:type="dxa"/>
            <w:vAlign w:val="top"/>
          </w:tcPr>
          <w:p w14:paraId="78F76571">
            <w:pPr>
              <w:rPr>
                <w:rFonts w:ascii="Arial"/>
                <w:sz w:val="21"/>
              </w:rPr>
            </w:pPr>
          </w:p>
        </w:tc>
        <w:tc>
          <w:tcPr>
            <w:tcW w:w="1394" w:type="dxa"/>
            <w:vAlign w:val="top"/>
          </w:tcPr>
          <w:p w14:paraId="02130A6D">
            <w:pPr>
              <w:rPr>
                <w:rFonts w:ascii="Arial"/>
                <w:sz w:val="21"/>
              </w:rPr>
            </w:pPr>
          </w:p>
        </w:tc>
        <w:tc>
          <w:tcPr>
            <w:tcW w:w="1080" w:type="dxa"/>
            <w:vAlign w:val="top"/>
          </w:tcPr>
          <w:p w14:paraId="5EA375CA">
            <w:pPr>
              <w:rPr>
                <w:rFonts w:ascii="Arial"/>
                <w:sz w:val="21"/>
              </w:rPr>
            </w:pPr>
          </w:p>
        </w:tc>
        <w:tc>
          <w:tcPr>
            <w:tcW w:w="1110" w:type="dxa"/>
            <w:vAlign w:val="top"/>
          </w:tcPr>
          <w:p w14:paraId="37CD7FD6">
            <w:pPr>
              <w:rPr>
                <w:rFonts w:ascii="Arial"/>
                <w:sz w:val="21"/>
              </w:rPr>
            </w:pPr>
          </w:p>
        </w:tc>
        <w:tc>
          <w:tcPr>
            <w:tcW w:w="1778" w:type="dxa"/>
            <w:vAlign w:val="top"/>
          </w:tcPr>
          <w:p w14:paraId="0154E438">
            <w:pPr>
              <w:rPr>
                <w:rFonts w:ascii="Arial"/>
                <w:sz w:val="21"/>
              </w:rPr>
            </w:pPr>
          </w:p>
        </w:tc>
        <w:tc>
          <w:tcPr>
            <w:tcW w:w="1084" w:type="dxa"/>
            <w:vAlign w:val="top"/>
          </w:tcPr>
          <w:p w14:paraId="517D178B">
            <w:pPr>
              <w:rPr>
                <w:rFonts w:ascii="Arial"/>
                <w:sz w:val="21"/>
              </w:rPr>
            </w:pPr>
          </w:p>
        </w:tc>
      </w:tr>
      <w:tr w14:paraId="1AFE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7" w:type="dxa"/>
            <w:vAlign w:val="top"/>
          </w:tcPr>
          <w:p w14:paraId="3EEC82B9">
            <w:pPr>
              <w:rPr>
                <w:rFonts w:ascii="Arial"/>
                <w:sz w:val="21"/>
              </w:rPr>
            </w:pPr>
          </w:p>
        </w:tc>
        <w:tc>
          <w:tcPr>
            <w:tcW w:w="1682" w:type="dxa"/>
            <w:vAlign w:val="top"/>
          </w:tcPr>
          <w:p w14:paraId="4E21F6F0">
            <w:pPr>
              <w:rPr>
                <w:rFonts w:ascii="Arial"/>
                <w:sz w:val="21"/>
              </w:rPr>
            </w:pPr>
          </w:p>
        </w:tc>
        <w:tc>
          <w:tcPr>
            <w:tcW w:w="1394" w:type="dxa"/>
            <w:vAlign w:val="top"/>
          </w:tcPr>
          <w:p w14:paraId="27EAE181">
            <w:pPr>
              <w:rPr>
                <w:rFonts w:ascii="Arial"/>
                <w:sz w:val="21"/>
              </w:rPr>
            </w:pPr>
          </w:p>
        </w:tc>
        <w:tc>
          <w:tcPr>
            <w:tcW w:w="1080" w:type="dxa"/>
            <w:vAlign w:val="top"/>
          </w:tcPr>
          <w:p w14:paraId="7378806F">
            <w:pPr>
              <w:rPr>
                <w:rFonts w:ascii="Arial"/>
                <w:sz w:val="21"/>
              </w:rPr>
            </w:pPr>
          </w:p>
        </w:tc>
        <w:tc>
          <w:tcPr>
            <w:tcW w:w="1110" w:type="dxa"/>
            <w:vAlign w:val="top"/>
          </w:tcPr>
          <w:p w14:paraId="1AF9B59A">
            <w:pPr>
              <w:rPr>
                <w:rFonts w:ascii="Arial"/>
                <w:sz w:val="21"/>
              </w:rPr>
            </w:pPr>
          </w:p>
        </w:tc>
        <w:tc>
          <w:tcPr>
            <w:tcW w:w="1778" w:type="dxa"/>
            <w:vAlign w:val="top"/>
          </w:tcPr>
          <w:p w14:paraId="1D9C9FB6">
            <w:pPr>
              <w:rPr>
                <w:rFonts w:ascii="Arial"/>
                <w:sz w:val="21"/>
              </w:rPr>
            </w:pPr>
          </w:p>
        </w:tc>
        <w:tc>
          <w:tcPr>
            <w:tcW w:w="1084" w:type="dxa"/>
            <w:vAlign w:val="top"/>
          </w:tcPr>
          <w:p w14:paraId="47A25F9C">
            <w:pPr>
              <w:rPr>
                <w:rFonts w:ascii="Arial"/>
                <w:sz w:val="21"/>
              </w:rPr>
            </w:pPr>
          </w:p>
        </w:tc>
      </w:tr>
      <w:tr w14:paraId="761D9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7" w:type="dxa"/>
            <w:vAlign w:val="top"/>
          </w:tcPr>
          <w:p w14:paraId="7166BA8F">
            <w:pPr>
              <w:rPr>
                <w:rFonts w:ascii="Arial"/>
                <w:sz w:val="21"/>
              </w:rPr>
            </w:pPr>
          </w:p>
        </w:tc>
        <w:tc>
          <w:tcPr>
            <w:tcW w:w="1682" w:type="dxa"/>
            <w:vAlign w:val="top"/>
          </w:tcPr>
          <w:p w14:paraId="2F089A15">
            <w:pPr>
              <w:rPr>
                <w:rFonts w:ascii="Arial"/>
                <w:sz w:val="21"/>
              </w:rPr>
            </w:pPr>
          </w:p>
        </w:tc>
        <w:tc>
          <w:tcPr>
            <w:tcW w:w="1394" w:type="dxa"/>
            <w:vAlign w:val="top"/>
          </w:tcPr>
          <w:p w14:paraId="6715E080">
            <w:pPr>
              <w:rPr>
                <w:rFonts w:ascii="Arial"/>
                <w:sz w:val="21"/>
              </w:rPr>
            </w:pPr>
          </w:p>
        </w:tc>
        <w:tc>
          <w:tcPr>
            <w:tcW w:w="1080" w:type="dxa"/>
            <w:vAlign w:val="top"/>
          </w:tcPr>
          <w:p w14:paraId="4C29D165">
            <w:pPr>
              <w:rPr>
                <w:rFonts w:ascii="Arial"/>
                <w:sz w:val="21"/>
              </w:rPr>
            </w:pPr>
          </w:p>
        </w:tc>
        <w:tc>
          <w:tcPr>
            <w:tcW w:w="1110" w:type="dxa"/>
            <w:vAlign w:val="top"/>
          </w:tcPr>
          <w:p w14:paraId="0B097321">
            <w:pPr>
              <w:rPr>
                <w:rFonts w:ascii="Arial"/>
                <w:sz w:val="21"/>
              </w:rPr>
            </w:pPr>
          </w:p>
        </w:tc>
        <w:tc>
          <w:tcPr>
            <w:tcW w:w="1778" w:type="dxa"/>
            <w:vAlign w:val="top"/>
          </w:tcPr>
          <w:p w14:paraId="520DD2DC">
            <w:pPr>
              <w:rPr>
                <w:rFonts w:ascii="Arial"/>
                <w:sz w:val="21"/>
              </w:rPr>
            </w:pPr>
          </w:p>
        </w:tc>
        <w:tc>
          <w:tcPr>
            <w:tcW w:w="1084" w:type="dxa"/>
            <w:vAlign w:val="top"/>
          </w:tcPr>
          <w:p w14:paraId="09D6246F">
            <w:pPr>
              <w:rPr>
                <w:rFonts w:ascii="Arial"/>
                <w:sz w:val="21"/>
              </w:rPr>
            </w:pPr>
          </w:p>
        </w:tc>
      </w:tr>
    </w:tbl>
    <w:p w14:paraId="76549EC8">
      <w:pPr>
        <w:pStyle w:val="5"/>
      </w:pPr>
    </w:p>
    <w:p w14:paraId="51959D5E">
      <w:pPr>
        <w:sectPr>
          <w:headerReference r:id="rId212" w:type="default"/>
          <w:footerReference r:id="rId213" w:type="default"/>
          <w:pgSz w:w="11905" w:h="16843"/>
          <w:pgMar w:top="969" w:right="1355" w:bottom="1026" w:left="1480" w:header="0" w:footer="754" w:gutter="0"/>
          <w:cols w:space="0" w:num="1"/>
          <w:rtlGutter w:val="0"/>
          <w:docGrid w:linePitch="0" w:charSpace="0"/>
        </w:sectPr>
      </w:pPr>
    </w:p>
    <w:tbl>
      <w:tblPr>
        <w:tblStyle w:val="10"/>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8"/>
      </w:tblGrid>
      <w:tr w14:paraId="493C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13" w:type="dxa"/>
            <w:vAlign w:val="top"/>
          </w:tcPr>
          <w:p w14:paraId="03A74FC4">
            <w:pPr>
              <w:pStyle w:val="11"/>
              <w:spacing w:before="212" w:line="221" w:lineRule="auto"/>
              <w:ind w:left="796"/>
            </w:pPr>
            <w:bookmarkStart w:id="1396" w:name="bookmark676"/>
            <w:bookmarkEnd w:id="1396"/>
            <w:r>
              <w:rPr>
                <w:spacing w:val="-3"/>
              </w:rPr>
              <w:t>项目名称</w:t>
            </w:r>
          </w:p>
        </w:tc>
        <w:tc>
          <w:tcPr>
            <w:tcW w:w="6098" w:type="dxa"/>
            <w:vAlign w:val="top"/>
          </w:tcPr>
          <w:p w14:paraId="63101712">
            <w:pPr>
              <w:rPr>
                <w:rFonts w:ascii="Arial"/>
                <w:sz w:val="21"/>
              </w:rPr>
            </w:pPr>
          </w:p>
        </w:tc>
      </w:tr>
      <w:tr w14:paraId="144E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36A0BBA1">
            <w:pPr>
              <w:pStyle w:val="11"/>
              <w:spacing w:before="204" w:line="221" w:lineRule="auto"/>
              <w:ind w:left="690"/>
            </w:pPr>
            <w:r>
              <w:rPr>
                <w:spacing w:val="-2"/>
              </w:rPr>
              <w:t>项目所在地</w:t>
            </w:r>
          </w:p>
        </w:tc>
        <w:tc>
          <w:tcPr>
            <w:tcW w:w="6098" w:type="dxa"/>
            <w:vAlign w:val="top"/>
          </w:tcPr>
          <w:p w14:paraId="53169194">
            <w:pPr>
              <w:rPr>
                <w:rFonts w:ascii="Arial"/>
                <w:sz w:val="21"/>
              </w:rPr>
            </w:pPr>
          </w:p>
        </w:tc>
      </w:tr>
      <w:tr w14:paraId="27E5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69B7A53E">
            <w:pPr>
              <w:pStyle w:val="11"/>
              <w:spacing w:before="205" w:line="221" w:lineRule="auto"/>
              <w:ind w:left="690"/>
            </w:pPr>
            <w:r>
              <w:rPr>
                <w:spacing w:val="-2"/>
              </w:rPr>
              <w:t>发包人名称</w:t>
            </w:r>
          </w:p>
        </w:tc>
        <w:tc>
          <w:tcPr>
            <w:tcW w:w="6098" w:type="dxa"/>
            <w:vAlign w:val="top"/>
          </w:tcPr>
          <w:p w14:paraId="096973EB">
            <w:pPr>
              <w:rPr>
                <w:rFonts w:ascii="Arial"/>
                <w:sz w:val="21"/>
              </w:rPr>
            </w:pPr>
          </w:p>
        </w:tc>
      </w:tr>
      <w:tr w14:paraId="60997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9C844E0">
            <w:pPr>
              <w:pStyle w:val="11"/>
              <w:spacing w:before="206" w:line="221" w:lineRule="auto"/>
              <w:ind w:left="690"/>
            </w:pPr>
            <w:r>
              <w:rPr>
                <w:spacing w:val="-2"/>
              </w:rPr>
              <w:t>发包人地址</w:t>
            </w:r>
          </w:p>
        </w:tc>
        <w:tc>
          <w:tcPr>
            <w:tcW w:w="6098" w:type="dxa"/>
            <w:vAlign w:val="top"/>
          </w:tcPr>
          <w:p w14:paraId="572D0586">
            <w:pPr>
              <w:rPr>
                <w:rFonts w:ascii="Arial"/>
                <w:sz w:val="21"/>
              </w:rPr>
            </w:pPr>
          </w:p>
        </w:tc>
      </w:tr>
      <w:tr w14:paraId="72A70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713978BB">
            <w:pPr>
              <w:pStyle w:val="11"/>
              <w:spacing w:before="208" w:line="221" w:lineRule="auto"/>
              <w:ind w:left="690"/>
            </w:pPr>
            <w:r>
              <w:rPr>
                <w:spacing w:val="-2"/>
              </w:rPr>
              <w:t>发包人电话</w:t>
            </w:r>
          </w:p>
        </w:tc>
        <w:tc>
          <w:tcPr>
            <w:tcW w:w="6098" w:type="dxa"/>
            <w:vAlign w:val="top"/>
          </w:tcPr>
          <w:p w14:paraId="3FCCC6D0">
            <w:pPr>
              <w:rPr>
                <w:rFonts w:ascii="Arial"/>
                <w:sz w:val="21"/>
              </w:rPr>
            </w:pPr>
          </w:p>
        </w:tc>
      </w:tr>
      <w:tr w14:paraId="7F67A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5E14E0A">
            <w:pPr>
              <w:pStyle w:val="11"/>
              <w:spacing w:before="209" w:line="219" w:lineRule="auto"/>
              <w:ind w:left="687"/>
            </w:pPr>
            <w:r>
              <w:rPr>
                <w:spacing w:val="-1"/>
              </w:rPr>
              <w:t>签约合同价</w:t>
            </w:r>
          </w:p>
        </w:tc>
        <w:tc>
          <w:tcPr>
            <w:tcW w:w="6098" w:type="dxa"/>
            <w:vAlign w:val="top"/>
          </w:tcPr>
          <w:p w14:paraId="723EA136">
            <w:pPr>
              <w:rPr>
                <w:rFonts w:ascii="Arial"/>
                <w:sz w:val="21"/>
              </w:rPr>
            </w:pPr>
          </w:p>
        </w:tc>
      </w:tr>
      <w:tr w14:paraId="7026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3" w:type="dxa"/>
            <w:vAlign w:val="top"/>
          </w:tcPr>
          <w:p w14:paraId="0D6C5066">
            <w:pPr>
              <w:pStyle w:val="11"/>
              <w:spacing w:before="208" w:line="221" w:lineRule="auto"/>
              <w:ind w:left="793"/>
            </w:pPr>
            <w:r>
              <w:rPr>
                <w:spacing w:val="-2"/>
              </w:rPr>
              <w:t>开工日期</w:t>
            </w:r>
          </w:p>
        </w:tc>
        <w:tc>
          <w:tcPr>
            <w:tcW w:w="6098" w:type="dxa"/>
            <w:vAlign w:val="top"/>
          </w:tcPr>
          <w:p w14:paraId="19EA7055">
            <w:pPr>
              <w:rPr>
                <w:rFonts w:ascii="Arial"/>
                <w:sz w:val="21"/>
              </w:rPr>
            </w:pPr>
          </w:p>
        </w:tc>
      </w:tr>
      <w:tr w14:paraId="1E243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0F6AC8F3">
            <w:pPr>
              <w:pStyle w:val="11"/>
              <w:spacing w:before="205" w:line="221" w:lineRule="auto"/>
              <w:ind w:left="581"/>
            </w:pPr>
            <w:r>
              <w:rPr>
                <w:spacing w:val="-1"/>
              </w:rPr>
              <w:t>计划竣工日期</w:t>
            </w:r>
          </w:p>
        </w:tc>
        <w:tc>
          <w:tcPr>
            <w:tcW w:w="6098" w:type="dxa"/>
            <w:vAlign w:val="top"/>
          </w:tcPr>
          <w:p w14:paraId="636A5666">
            <w:pPr>
              <w:rPr>
                <w:rFonts w:ascii="Arial"/>
                <w:sz w:val="21"/>
              </w:rPr>
            </w:pPr>
          </w:p>
        </w:tc>
      </w:tr>
      <w:tr w14:paraId="05FD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5518F55">
            <w:pPr>
              <w:pStyle w:val="11"/>
              <w:spacing w:before="206" w:line="221" w:lineRule="auto"/>
              <w:ind w:left="687"/>
            </w:pPr>
            <w:r>
              <w:rPr>
                <w:spacing w:val="-1"/>
              </w:rPr>
              <w:t>承担的工作</w:t>
            </w:r>
          </w:p>
        </w:tc>
        <w:tc>
          <w:tcPr>
            <w:tcW w:w="6098" w:type="dxa"/>
            <w:vAlign w:val="top"/>
          </w:tcPr>
          <w:p w14:paraId="1BEB3C11">
            <w:pPr>
              <w:rPr>
                <w:rFonts w:ascii="Arial"/>
                <w:sz w:val="21"/>
              </w:rPr>
            </w:pPr>
          </w:p>
        </w:tc>
      </w:tr>
      <w:tr w14:paraId="464D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6F50F469">
            <w:pPr>
              <w:pStyle w:val="11"/>
              <w:spacing w:before="207" w:line="221" w:lineRule="auto"/>
              <w:ind w:left="795"/>
            </w:pPr>
            <w:r>
              <w:rPr>
                <w:spacing w:val="-2"/>
              </w:rPr>
              <w:t>工程质量</w:t>
            </w:r>
          </w:p>
        </w:tc>
        <w:tc>
          <w:tcPr>
            <w:tcW w:w="6098" w:type="dxa"/>
            <w:vAlign w:val="top"/>
          </w:tcPr>
          <w:p w14:paraId="12258659">
            <w:pPr>
              <w:rPr>
                <w:rFonts w:ascii="Arial"/>
                <w:sz w:val="21"/>
              </w:rPr>
            </w:pPr>
          </w:p>
        </w:tc>
      </w:tr>
      <w:tr w14:paraId="44D1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0DCCD3EB">
            <w:pPr>
              <w:pStyle w:val="11"/>
              <w:spacing w:before="210" w:line="221" w:lineRule="auto"/>
              <w:ind w:left="796"/>
            </w:pPr>
            <w:r>
              <w:rPr>
                <w:spacing w:val="-3"/>
              </w:rPr>
              <w:t>项目经理</w:t>
            </w:r>
          </w:p>
        </w:tc>
        <w:tc>
          <w:tcPr>
            <w:tcW w:w="6098" w:type="dxa"/>
            <w:vAlign w:val="top"/>
          </w:tcPr>
          <w:p w14:paraId="5F90484D">
            <w:pPr>
              <w:rPr>
                <w:rFonts w:ascii="Arial"/>
                <w:sz w:val="21"/>
              </w:rPr>
            </w:pPr>
          </w:p>
        </w:tc>
      </w:tr>
      <w:tr w14:paraId="41CC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3251FFCD">
            <w:pPr>
              <w:pStyle w:val="11"/>
              <w:spacing w:before="209" w:line="221" w:lineRule="auto"/>
              <w:ind w:left="688"/>
            </w:pPr>
            <w:r>
              <w:rPr>
                <w:spacing w:val="-2"/>
              </w:rPr>
              <w:t>技术负责人</w:t>
            </w:r>
          </w:p>
        </w:tc>
        <w:tc>
          <w:tcPr>
            <w:tcW w:w="6098" w:type="dxa"/>
            <w:vAlign w:val="top"/>
          </w:tcPr>
          <w:p w14:paraId="362E1299">
            <w:pPr>
              <w:rPr>
                <w:rFonts w:ascii="Arial"/>
                <w:sz w:val="21"/>
              </w:rPr>
            </w:pPr>
          </w:p>
        </w:tc>
      </w:tr>
      <w:tr w14:paraId="331F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13" w:type="dxa"/>
            <w:vAlign w:val="top"/>
          </w:tcPr>
          <w:p w14:paraId="30AEBE0E">
            <w:pPr>
              <w:pStyle w:val="11"/>
              <w:spacing w:before="210" w:line="221" w:lineRule="auto"/>
              <w:ind w:left="272"/>
            </w:pPr>
            <w:r>
              <w:rPr>
                <w:spacing w:val="-2"/>
              </w:rPr>
              <w:t>总监理工程师及电话</w:t>
            </w:r>
          </w:p>
        </w:tc>
        <w:tc>
          <w:tcPr>
            <w:tcW w:w="6098" w:type="dxa"/>
            <w:vAlign w:val="top"/>
          </w:tcPr>
          <w:p w14:paraId="7CE5A06E">
            <w:pPr>
              <w:rPr>
                <w:rFonts w:ascii="Arial"/>
                <w:sz w:val="21"/>
              </w:rPr>
            </w:pPr>
          </w:p>
        </w:tc>
      </w:tr>
      <w:tr w14:paraId="4E0B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2413" w:type="dxa"/>
            <w:vAlign w:val="top"/>
          </w:tcPr>
          <w:p w14:paraId="1C1B672A">
            <w:pPr>
              <w:spacing w:line="274" w:lineRule="auto"/>
              <w:rPr>
                <w:rFonts w:ascii="Arial"/>
                <w:sz w:val="21"/>
              </w:rPr>
            </w:pPr>
          </w:p>
          <w:p w14:paraId="1092E35F">
            <w:pPr>
              <w:spacing w:line="275" w:lineRule="auto"/>
              <w:rPr>
                <w:rFonts w:ascii="Arial"/>
                <w:sz w:val="21"/>
              </w:rPr>
            </w:pPr>
          </w:p>
          <w:p w14:paraId="2A205B85">
            <w:pPr>
              <w:spacing w:line="275" w:lineRule="auto"/>
              <w:rPr>
                <w:rFonts w:ascii="Arial"/>
                <w:sz w:val="21"/>
              </w:rPr>
            </w:pPr>
          </w:p>
          <w:p w14:paraId="57148BB6">
            <w:pPr>
              <w:spacing w:line="275" w:lineRule="auto"/>
              <w:rPr>
                <w:rFonts w:ascii="Arial"/>
                <w:sz w:val="21"/>
              </w:rPr>
            </w:pPr>
          </w:p>
          <w:p w14:paraId="4FC9F0BD">
            <w:pPr>
              <w:pStyle w:val="11"/>
              <w:spacing w:before="68" w:line="221" w:lineRule="auto"/>
              <w:ind w:left="796"/>
            </w:pPr>
            <w:r>
              <w:rPr>
                <w:spacing w:val="-3"/>
              </w:rPr>
              <w:t>项目描述</w:t>
            </w:r>
          </w:p>
        </w:tc>
        <w:tc>
          <w:tcPr>
            <w:tcW w:w="6098" w:type="dxa"/>
            <w:vAlign w:val="top"/>
          </w:tcPr>
          <w:p w14:paraId="44B24EA3">
            <w:pPr>
              <w:rPr>
                <w:rFonts w:ascii="Arial"/>
                <w:sz w:val="21"/>
              </w:rPr>
            </w:pPr>
          </w:p>
        </w:tc>
      </w:tr>
      <w:tr w14:paraId="2073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4A99E7A6">
            <w:pPr>
              <w:pStyle w:val="11"/>
              <w:spacing w:before="212" w:line="222" w:lineRule="auto"/>
              <w:ind w:left="1004"/>
            </w:pPr>
            <w:r>
              <w:rPr>
                <w:spacing w:val="-3"/>
              </w:rPr>
              <w:t>备注</w:t>
            </w:r>
          </w:p>
        </w:tc>
        <w:tc>
          <w:tcPr>
            <w:tcW w:w="6098" w:type="dxa"/>
            <w:vAlign w:val="top"/>
          </w:tcPr>
          <w:p w14:paraId="56327FF2">
            <w:pPr>
              <w:rPr>
                <w:rFonts w:ascii="Arial"/>
                <w:sz w:val="21"/>
              </w:rPr>
            </w:pPr>
          </w:p>
        </w:tc>
      </w:tr>
    </w:tbl>
    <w:p w14:paraId="6AC226D3">
      <w:pPr>
        <w:spacing w:before="29" w:line="220" w:lineRule="auto"/>
        <w:ind w:left="130"/>
        <w:rPr>
          <w:rFonts w:ascii="宋体" w:hAnsi="宋体" w:eastAsia="宋体" w:cs="宋体"/>
          <w:sz w:val="21"/>
          <w:szCs w:val="21"/>
        </w:rPr>
      </w:pPr>
      <w:r>
        <w:rPr>
          <w:rFonts w:ascii="宋体" w:hAnsi="宋体" w:eastAsia="宋体" w:cs="宋体"/>
          <w:sz w:val="21"/>
          <w:szCs w:val="21"/>
        </w:rPr>
        <w:t>备注：类似项目含义和近年具体要求见投标人</w:t>
      </w:r>
      <w:r>
        <w:rPr>
          <w:rFonts w:ascii="宋体" w:hAnsi="宋体" w:eastAsia="宋体" w:cs="宋体"/>
          <w:spacing w:val="-1"/>
          <w:sz w:val="21"/>
          <w:szCs w:val="21"/>
        </w:rPr>
        <w:t>须知前附表。</w:t>
      </w:r>
    </w:p>
    <w:p w14:paraId="071F180B">
      <w:pPr>
        <w:spacing w:line="220" w:lineRule="auto"/>
        <w:rPr>
          <w:rFonts w:ascii="宋体" w:hAnsi="宋体" w:eastAsia="宋体" w:cs="宋体"/>
          <w:sz w:val="21"/>
          <w:szCs w:val="21"/>
        </w:rPr>
        <w:sectPr>
          <w:headerReference r:id="rId214" w:type="default"/>
          <w:footerReference r:id="rId215" w:type="default"/>
          <w:pgSz w:w="11905" w:h="16843"/>
          <w:pgMar w:top="969" w:right="1355" w:bottom="1026" w:left="1480" w:header="0" w:footer="754" w:gutter="0"/>
          <w:cols w:space="0" w:num="1"/>
          <w:rtlGutter w:val="0"/>
          <w:docGrid w:linePitch="0" w:charSpace="0"/>
        </w:sectPr>
      </w:pPr>
    </w:p>
    <w:p w14:paraId="789856C8">
      <w:pPr>
        <w:pStyle w:val="5"/>
        <w:spacing w:line="265" w:lineRule="auto"/>
      </w:pPr>
    </w:p>
    <w:p w14:paraId="4151D740">
      <w:pPr>
        <w:pStyle w:val="5"/>
        <w:spacing w:line="265" w:lineRule="auto"/>
      </w:pPr>
    </w:p>
    <w:p w14:paraId="144A0E99">
      <w:pPr>
        <w:pStyle w:val="5"/>
        <w:spacing w:line="266" w:lineRule="auto"/>
      </w:pPr>
    </w:p>
    <w:p w14:paraId="238ACA6D">
      <w:pPr>
        <w:pStyle w:val="5"/>
        <w:spacing w:line="266" w:lineRule="auto"/>
      </w:pPr>
    </w:p>
    <w:p w14:paraId="27679E83">
      <w:pPr>
        <w:pStyle w:val="5"/>
        <w:spacing w:line="266" w:lineRule="auto"/>
      </w:pPr>
    </w:p>
    <w:p w14:paraId="6F32326E">
      <w:pPr>
        <w:spacing w:before="78" w:line="220" w:lineRule="auto"/>
        <w:ind w:left="3395"/>
        <w:outlineLvl w:val="2"/>
        <w:rPr>
          <w:rFonts w:ascii="黑体" w:hAnsi="黑体" w:eastAsia="黑体" w:cs="黑体"/>
          <w:sz w:val="24"/>
          <w:szCs w:val="24"/>
        </w:rPr>
      </w:pPr>
      <w:bookmarkStart w:id="1397" w:name="bookmark461"/>
      <w:bookmarkEnd w:id="1397"/>
      <w:r>
        <w:rPr>
          <w:rFonts w:ascii="黑体" w:hAnsi="黑体" w:eastAsia="黑体" w:cs="黑体"/>
          <w:spacing w:val="-4"/>
          <w:sz w:val="24"/>
          <w:szCs w:val="24"/>
        </w:rPr>
        <w:t>（五）企业信誉情况</w:t>
      </w:r>
    </w:p>
    <w:p w14:paraId="374B18AA">
      <w:pPr>
        <w:pStyle w:val="5"/>
        <w:spacing w:line="347" w:lineRule="auto"/>
      </w:pPr>
    </w:p>
    <w:p w14:paraId="63534FCB">
      <w:pPr>
        <w:spacing w:before="78" w:line="232" w:lineRule="auto"/>
        <w:ind w:left="3552"/>
        <w:outlineLvl w:val="2"/>
        <w:rPr>
          <w:rFonts w:ascii="黑体" w:hAnsi="黑体" w:eastAsia="黑体" w:cs="黑体"/>
          <w:sz w:val="24"/>
          <w:szCs w:val="24"/>
        </w:rPr>
      </w:pPr>
      <w:bookmarkStart w:id="1398" w:name="bookmark462"/>
      <w:bookmarkEnd w:id="1398"/>
      <w:r>
        <w:rPr>
          <w:rFonts w:ascii="Times New Roman" w:hAnsi="Times New Roman" w:eastAsia="Times New Roman" w:cs="Times New Roman"/>
          <w:spacing w:val="-2"/>
          <w:sz w:val="24"/>
          <w:szCs w:val="24"/>
        </w:rPr>
        <w:t xml:space="preserve">5-1 </w:t>
      </w:r>
      <w:r>
        <w:rPr>
          <w:rFonts w:ascii="黑体" w:hAnsi="黑体" w:eastAsia="黑体" w:cs="黑体"/>
          <w:spacing w:val="-2"/>
          <w:sz w:val="24"/>
          <w:szCs w:val="24"/>
        </w:rPr>
        <w:t>企业信誉声明</w:t>
      </w:r>
    </w:p>
    <w:p w14:paraId="002A1929">
      <w:pPr>
        <w:tabs>
          <w:tab w:val="left" w:pos="2205"/>
        </w:tabs>
        <w:spacing w:before="285" w:line="221" w:lineRule="auto"/>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rPr>
        <w:t>（招标人名称</w:t>
      </w:r>
      <w:r>
        <w:rPr>
          <w:rFonts w:ascii="宋体" w:hAnsi="宋体" w:eastAsia="宋体" w:cs="宋体"/>
          <w:spacing w:val="-54"/>
          <w:w w:val="97"/>
          <w:sz w:val="21"/>
          <w:szCs w:val="21"/>
        </w:rPr>
        <w:t>）：</w:t>
      </w:r>
    </w:p>
    <w:p w14:paraId="04F1004F">
      <w:pPr>
        <w:pStyle w:val="5"/>
        <w:spacing w:line="363" w:lineRule="auto"/>
      </w:pPr>
    </w:p>
    <w:p w14:paraId="686FC7D7">
      <w:pPr>
        <w:spacing w:before="68" w:line="374" w:lineRule="auto"/>
        <w:ind w:left="11" w:right="106" w:firstLine="418"/>
        <w:rPr>
          <w:rFonts w:ascii="宋体" w:hAnsi="宋体" w:eastAsia="宋体" w:cs="宋体"/>
          <w:sz w:val="21"/>
          <w:szCs w:val="21"/>
        </w:rPr>
      </w:pPr>
      <w:r>
        <w:rPr>
          <w:rFonts w:ascii="宋体" w:hAnsi="宋体" w:eastAsia="宋体" w:cs="宋体"/>
          <w:spacing w:val="2"/>
          <w:sz w:val="21"/>
          <w:szCs w:val="21"/>
        </w:rPr>
        <w:t>我方在此声明，截止本招标项目投标截止时间，我方处于正常的经营状态</w:t>
      </w:r>
      <w:r>
        <w:rPr>
          <w:rFonts w:ascii="宋体" w:hAnsi="宋体" w:eastAsia="宋体" w:cs="宋体"/>
          <w:spacing w:val="1"/>
          <w:sz w:val="21"/>
          <w:szCs w:val="21"/>
        </w:rPr>
        <w:t>，不存在下列任何</w:t>
      </w:r>
      <w:r>
        <w:rPr>
          <w:rFonts w:ascii="宋体" w:hAnsi="宋体" w:eastAsia="宋体" w:cs="宋体"/>
          <w:spacing w:val="-5"/>
          <w:sz w:val="21"/>
          <w:szCs w:val="21"/>
        </w:rPr>
        <w:t>一种情形。</w:t>
      </w:r>
    </w:p>
    <w:p w14:paraId="49B52234">
      <w:pPr>
        <w:spacing w:line="233" w:lineRule="auto"/>
        <w:ind w:left="444"/>
        <w:rPr>
          <w:rFonts w:ascii="宋体" w:hAnsi="宋体" w:eastAsia="宋体" w:cs="宋体"/>
          <w:sz w:val="21"/>
          <w:szCs w:val="21"/>
        </w:rPr>
      </w:pPr>
      <w:r>
        <w:rPr>
          <w:rFonts w:ascii="Times New Roman" w:hAnsi="Times New Roman" w:eastAsia="Times New Roman" w:cs="Times New Roman"/>
          <w:spacing w:val="-4"/>
          <w:sz w:val="21"/>
          <w:szCs w:val="21"/>
        </w:rPr>
        <w:t>1.</w:t>
      </w:r>
      <w:r>
        <w:rPr>
          <w:rFonts w:ascii="宋体" w:hAnsi="宋体" w:eastAsia="宋体" w:cs="宋体"/>
          <w:spacing w:val="-4"/>
          <w:sz w:val="21"/>
          <w:szCs w:val="21"/>
        </w:rPr>
        <w:t>被依法暂停或取消投标资格；</w:t>
      </w:r>
    </w:p>
    <w:p w14:paraId="68888782">
      <w:pPr>
        <w:spacing w:before="132" w:line="234" w:lineRule="auto"/>
        <w:ind w:left="424"/>
        <w:rPr>
          <w:rFonts w:ascii="宋体" w:hAnsi="宋体" w:eastAsia="宋体" w:cs="宋体"/>
          <w:sz w:val="21"/>
          <w:szCs w:val="21"/>
        </w:rPr>
      </w:pPr>
      <w:r>
        <w:rPr>
          <w:rFonts w:ascii="Times New Roman" w:hAnsi="Times New Roman" w:eastAsia="Times New Roman" w:cs="Times New Roman"/>
          <w:sz w:val="21"/>
          <w:szCs w:val="21"/>
        </w:rPr>
        <w:t>2.</w:t>
      </w:r>
      <w:r>
        <w:rPr>
          <w:rFonts w:ascii="宋体" w:hAnsi="宋体" w:eastAsia="宋体" w:cs="宋体"/>
          <w:sz w:val="21"/>
          <w:szCs w:val="21"/>
        </w:rPr>
        <w:t>被责令停产停业、暂扣或者吊销许可证、暂扣或者吊销执照；</w:t>
      </w:r>
    </w:p>
    <w:p w14:paraId="641A2CF8">
      <w:pPr>
        <w:spacing w:before="135" w:line="233" w:lineRule="auto"/>
        <w:ind w:left="428"/>
        <w:rPr>
          <w:rFonts w:ascii="宋体" w:hAnsi="宋体" w:eastAsia="宋体" w:cs="宋体"/>
          <w:sz w:val="21"/>
          <w:szCs w:val="21"/>
        </w:rPr>
      </w:pPr>
      <w:r>
        <w:rPr>
          <w:rFonts w:ascii="Times New Roman" w:hAnsi="Times New Roman" w:eastAsia="Times New Roman" w:cs="Times New Roman"/>
          <w:sz w:val="21"/>
          <w:szCs w:val="21"/>
        </w:rPr>
        <w:t>3.</w:t>
      </w:r>
      <w:r>
        <w:rPr>
          <w:rFonts w:ascii="宋体" w:hAnsi="宋体" w:eastAsia="宋体" w:cs="宋体"/>
          <w:sz w:val="21"/>
          <w:szCs w:val="21"/>
        </w:rPr>
        <w:t>进入清算程序，或被宣告破产，或其他丧失履约能力</w:t>
      </w:r>
      <w:r>
        <w:rPr>
          <w:rFonts w:ascii="宋体" w:hAnsi="宋体" w:eastAsia="宋体" w:cs="宋体"/>
          <w:spacing w:val="-1"/>
          <w:sz w:val="21"/>
          <w:szCs w:val="21"/>
        </w:rPr>
        <w:t>的情形；</w:t>
      </w:r>
    </w:p>
    <w:p w14:paraId="7826A882">
      <w:pPr>
        <w:spacing w:before="136" w:line="234" w:lineRule="auto"/>
        <w:ind w:left="423"/>
        <w:rPr>
          <w:rFonts w:ascii="宋体" w:hAnsi="宋体" w:eastAsia="宋体" w:cs="宋体"/>
          <w:sz w:val="21"/>
          <w:szCs w:val="21"/>
        </w:rPr>
      </w:pPr>
      <w:r>
        <w:rPr>
          <w:rFonts w:ascii="Times New Roman" w:hAnsi="Times New Roman" w:eastAsia="Times New Roman" w:cs="Times New Roman"/>
          <w:sz w:val="21"/>
          <w:szCs w:val="21"/>
        </w:rPr>
        <w:t>4.</w:t>
      </w:r>
      <w:r>
        <w:rPr>
          <w:rFonts w:ascii="宋体" w:hAnsi="宋体" w:eastAsia="宋体" w:cs="宋体"/>
          <w:sz w:val="21"/>
          <w:szCs w:val="21"/>
        </w:rPr>
        <w:t>在最近三年内有骗取中标或严重违约或重大工程质量问题的；</w:t>
      </w:r>
    </w:p>
    <w:p w14:paraId="00685F1C">
      <w:pPr>
        <w:spacing w:before="132" w:line="213" w:lineRule="auto"/>
        <w:ind w:left="430"/>
        <w:rPr>
          <w:rFonts w:ascii="宋体" w:hAnsi="宋体" w:eastAsia="宋体" w:cs="宋体"/>
          <w:sz w:val="21"/>
          <w:szCs w:val="21"/>
        </w:rPr>
      </w:pPr>
      <w:r>
        <w:rPr>
          <w:rFonts w:ascii="Times New Roman" w:hAnsi="Times New Roman" w:eastAsia="Times New Roman" w:cs="Times New Roman"/>
          <w:spacing w:val="-3"/>
          <w:sz w:val="21"/>
          <w:szCs w:val="21"/>
        </w:rPr>
        <w:t>5.</w:t>
      </w:r>
      <w:r>
        <w:rPr>
          <w:rFonts w:ascii="宋体" w:hAnsi="宋体" w:eastAsia="宋体" w:cs="宋体"/>
          <w:spacing w:val="-3"/>
          <w:sz w:val="21"/>
          <w:szCs w:val="21"/>
        </w:rPr>
        <w:t xml:space="preserve">在“国家企业信用信息公示系统”（ </w:t>
      </w:r>
      <w:r>
        <w:fldChar w:fldCharType="begin"/>
      </w:r>
      <w:r>
        <w:instrText xml:space="preserve"> HYPERLINK "https://www.gsxt.gov.cn" </w:instrText>
      </w:r>
      <w:r>
        <w:fldChar w:fldCharType="separate"/>
      </w:r>
      <w:r>
        <w:rPr>
          <w:rFonts w:ascii="Times New Roman" w:hAnsi="Times New Roman" w:eastAsia="Times New Roman" w:cs="Times New Roman"/>
          <w:spacing w:val="-3"/>
          <w:sz w:val="21"/>
          <w:szCs w:val="21"/>
        </w:rPr>
        <w:t>www.gsxt.gov.cn</w:t>
      </w:r>
      <w:r>
        <w:rPr>
          <w:rFonts w:ascii="Times New Roman" w:hAnsi="Times New Roman" w:eastAsia="Times New Roman" w:cs="Times New Roman"/>
          <w:spacing w:val="-3"/>
          <w:sz w:val="21"/>
          <w:szCs w:val="21"/>
        </w:rPr>
        <w:fldChar w:fldCharType="end"/>
      </w:r>
      <w:r>
        <w:rPr>
          <w:rFonts w:ascii="宋体" w:hAnsi="宋体" w:eastAsia="宋体" w:cs="宋体"/>
          <w:spacing w:val="-4"/>
          <w:sz w:val="21"/>
          <w:szCs w:val="21"/>
        </w:rPr>
        <w:t>）被列入严重违法失信企业名单；</w:t>
      </w:r>
    </w:p>
    <w:p w14:paraId="7ED0E92B">
      <w:pPr>
        <w:spacing w:before="17" w:line="345" w:lineRule="auto"/>
        <w:ind w:left="14" w:firstLine="414"/>
        <w:rPr>
          <w:rFonts w:ascii="宋体" w:hAnsi="宋体" w:eastAsia="宋体" w:cs="宋体"/>
          <w:sz w:val="21"/>
          <w:szCs w:val="21"/>
        </w:rPr>
      </w:pPr>
      <w:r>
        <w:rPr>
          <w:rFonts w:ascii="Times New Roman" w:hAnsi="Times New Roman" w:eastAsia="Times New Roman" w:cs="Times New Roman"/>
          <w:spacing w:val="-5"/>
          <w:sz w:val="21"/>
          <w:szCs w:val="21"/>
        </w:rPr>
        <w:t>6.</w:t>
      </w:r>
      <w:r>
        <w:rPr>
          <w:rFonts w:ascii="Times New Roman" w:hAnsi="Times New Roman" w:eastAsia="Times New Roman" w:cs="Times New Roman"/>
          <w:spacing w:val="15"/>
          <w:sz w:val="21"/>
          <w:szCs w:val="21"/>
        </w:rPr>
        <w:t xml:space="preserve"> </w:t>
      </w:r>
      <w:r>
        <w:rPr>
          <w:rFonts w:ascii="宋体" w:hAnsi="宋体" w:eastAsia="宋体" w:cs="宋体"/>
          <w:spacing w:val="-5"/>
          <w:sz w:val="21"/>
          <w:szCs w:val="21"/>
        </w:rPr>
        <w:t>在</w:t>
      </w:r>
      <w:r>
        <w:rPr>
          <w:rFonts w:ascii="宋体" w:hAnsi="宋体" w:eastAsia="宋体" w:cs="宋体"/>
          <w:spacing w:val="-44"/>
          <w:sz w:val="21"/>
          <w:szCs w:val="21"/>
        </w:rPr>
        <w:t xml:space="preserve"> </w:t>
      </w:r>
      <w:r>
        <w:rPr>
          <w:rFonts w:ascii="宋体" w:hAnsi="宋体" w:eastAsia="宋体" w:cs="宋体"/>
          <w:spacing w:val="-5"/>
          <w:sz w:val="21"/>
          <w:szCs w:val="21"/>
        </w:rPr>
        <w:t>“</w:t>
      </w:r>
      <w:r>
        <w:rPr>
          <w:rFonts w:ascii="宋体" w:hAnsi="宋体" w:eastAsia="宋体" w:cs="宋体"/>
          <w:spacing w:val="-37"/>
          <w:sz w:val="21"/>
          <w:szCs w:val="21"/>
        </w:rPr>
        <w:t xml:space="preserve"> </w:t>
      </w:r>
      <w:r>
        <w:rPr>
          <w:rFonts w:ascii="宋体" w:hAnsi="宋体" w:eastAsia="宋体" w:cs="宋体"/>
          <w:spacing w:val="-5"/>
          <w:sz w:val="21"/>
          <w:szCs w:val="21"/>
        </w:rPr>
        <w:t>信</w:t>
      </w:r>
      <w:r>
        <w:rPr>
          <w:rFonts w:ascii="宋体" w:hAnsi="宋体" w:eastAsia="宋体" w:cs="宋体"/>
          <w:spacing w:val="-35"/>
          <w:sz w:val="21"/>
          <w:szCs w:val="21"/>
        </w:rPr>
        <w:t xml:space="preserve"> </w:t>
      </w:r>
      <w:r>
        <w:rPr>
          <w:rFonts w:ascii="宋体" w:hAnsi="宋体" w:eastAsia="宋体" w:cs="宋体"/>
          <w:spacing w:val="-5"/>
          <w:sz w:val="21"/>
          <w:szCs w:val="21"/>
        </w:rPr>
        <w:t>用 中 国 ”</w:t>
      </w:r>
      <w:r>
        <w:rPr>
          <w:rFonts w:ascii="宋体" w:hAnsi="宋体" w:eastAsia="宋体" w:cs="宋体"/>
          <w:spacing w:val="-47"/>
          <w:sz w:val="21"/>
          <w:szCs w:val="21"/>
        </w:rPr>
        <w:t xml:space="preserve"> </w:t>
      </w:r>
      <w:r>
        <w:rPr>
          <w:rFonts w:ascii="宋体" w:hAnsi="宋体" w:eastAsia="宋体" w:cs="宋体"/>
          <w:spacing w:val="-5"/>
          <w:sz w:val="21"/>
          <w:szCs w:val="21"/>
        </w:rPr>
        <w:t>网</w:t>
      </w:r>
      <w:r>
        <w:rPr>
          <w:rFonts w:ascii="宋体" w:hAnsi="宋体" w:eastAsia="宋体" w:cs="宋体"/>
          <w:spacing w:val="-38"/>
          <w:sz w:val="21"/>
          <w:szCs w:val="21"/>
        </w:rPr>
        <w:t xml:space="preserve"> </w:t>
      </w:r>
      <w:r>
        <w:rPr>
          <w:rFonts w:ascii="宋体" w:hAnsi="宋体" w:eastAsia="宋体" w:cs="宋体"/>
          <w:spacing w:val="-5"/>
          <w:sz w:val="21"/>
          <w:szCs w:val="21"/>
        </w:rPr>
        <w:t>站</w:t>
      </w:r>
      <w:r>
        <w:rPr>
          <w:rFonts w:ascii="宋体" w:hAnsi="宋体" w:eastAsia="宋体" w:cs="宋体"/>
          <w:spacing w:val="-45"/>
          <w:sz w:val="21"/>
          <w:szCs w:val="21"/>
        </w:rPr>
        <w:t xml:space="preserve"> </w:t>
      </w:r>
      <w:r>
        <w:rPr>
          <w:rFonts w:ascii="宋体" w:hAnsi="宋体" w:eastAsia="宋体" w:cs="宋体"/>
          <w:spacing w:val="-5"/>
          <w:sz w:val="21"/>
          <w:szCs w:val="21"/>
        </w:rPr>
        <w:t>（</w:t>
      </w:r>
      <w:r>
        <w:rPr>
          <w:rFonts w:ascii="宋体" w:hAnsi="宋体" w:eastAsia="宋体" w:cs="宋体"/>
          <w:spacing w:val="-59"/>
          <w:sz w:val="21"/>
          <w:szCs w:val="21"/>
        </w:rPr>
        <w:t xml:space="preserve"> </w:t>
      </w:r>
      <w:r>
        <w:fldChar w:fldCharType="begin"/>
      </w:r>
      <w:r>
        <w:instrText xml:space="preserve"> HYPERLINK "http://www.creditchina.gov.cn/" </w:instrText>
      </w:r>
      <w:r>
        <w:fldChar w:fldCharType="separate"/>
      </w:r>
      <w:r>
        <w:rPr>
          <w:rFonts w:ascii="Times New Roman" w:hAnsi="Times New Roman" w:eastAsia="Times New Roman" w:cs="Times New Roman"/>
          <w:spacing w:val="-5"/>
          <w:sz w:val="21"/>
          <w:szCs w:val="21"/>
        </w:rPr>
        <w:t>www.creditchina.gov.cn</w:t>
      </w:r>
      <w:r>
        <w:rPr>
          <w:rFonts w:ascii="Times New Roman" w:hAnsi="Times New Roman" w:eastAsia="Times New Roman" w:cs="Times New Roman"/>
          <w:spacing w:val="-5"/>
          <w:sz w:val="21"/>
          <w:szCs w:val="21"/>
        </w:rPr>
        <w:fldChar w:fldCharType="end"/>
      </w:r>
      <w:r>
        <w:rPr>
          <w:rFonts w:ascii="宋体" w:hAnsi="宋体" w:eastAsia="宋体" w:cs="宋体"/>
          <w:spacing w:val="-5"/>
          <w:sz w:val="21"/>
          <w:szCs w:val="21"/>
        </w:rPr>
        <w:t>）</w:t>
      </w:r>
      <w:r>
        <w:rPr>
          <w:rFonts w:ascii="宋体" w:hAnsi="宋体" w:eastAsia="宋体" w:cs="宋体"/>
          <w:spacing w:val="27"/>
          <w:sz w:val="21"/>
          <w:szCs w:val="21"/>
        </w:rPr>
        <w:t xml:space="preserve"> </w:t>
      </w:r>
      <w:r>
        <w:rPr>
          <w:rFonts w:ascii="宋体" w:hAnsi="宋体" w:eastAsia="宋体" w:cs="宋体"/>
          <w:spacing w:val="-5"/>
          <w:sz w:val="21"/>
          <w:szCs w:val="21"/>
        </w:rPr>
        <w:t>或</w:t>
      </w:r>
      <w:r>
        <w:rPr>
          <w:rFonts w:ascii="宋体" w:hAnsi="宋体" w:eastAsia="宋体" w:cs="宋体"/>
          <w:spacing w:val="-44"/>
          <w:sz w:val="21"/>
          <w:szCs w:val="21"/>
        </w:rPr>
        <w:t xml:space="preserve"> </w:t>
      </w:r>
      <w:r>
        <w:rPr>
          <w:rFonts w:ascii="宋体" w:hAnsi="宋体" w:eastAsia="宋体" w:cs="宋体"/>
          <w:spacing w:val="-5"/>
          <w:sz w:val="21"/>
          <w:szCs w:val="21"/>
        </w:rPr>
        <w:t>“</w:t>
      </w:r>
      <w:r>
        <w:rPr>
          <w:rFonts w:ascii="宋体" w:hAnsi="宋体" w:eastAsia="宋体" w:cs="宋体"/>
          <w:spacing w:val="-6"/>
          <w:sz w:val="21"/>
          <w:szCs w:val="21"/>
        </w:rPr>
        <w:t xml:space="preserve"> 中</w:t>
      </w:r>
      <w:r>
        <w:rPr>
          <w:rFonts w:ascii="宋体" w:hAnsi="宋体" w:eastAsia="宋体" w:cs="宋体"/>
          <w:spacing w:val="-16"/>
          <w:sz w:val="21"/>
          <w:szCs w:val="21"/>
        </w:rPr>
        <w:t xml:space="preserve"> </w:t>
      </w:r>
      <w:r>
        <w:rPr>
          <w:rFonts w:ascii="宋体" w:hAnsi="宋体" w:eastAsia="宋体" w:cs="宋体"/>
          <w:spacing w:val="-6"/>
          <w:sz w:val="21"/>
          <w:szCs w:val="21"/>
        </w:rPr>
        <w:t>国</w:t>
      </w:r>
      <w:r>
        <w:rPr>
          <w:rFonts w:ascii="宋体" w:hAnsi="宋体" w:eastAsia="宋体" w:cs="宋体"/>
          <w:spacing w:val="-37"/>
          <w:sz w:val="21"/>
          <w:szCs w:val="21"/>
        </w:rPr>
        <w:t xml:space="preserve"> </w:t>
      </w:r>
      <w:r>
        <w:rPr>
          <w:rFonts w:ascii="宋体" w:hAnsi="宋体" w:eastAsia="宋体" w:cs="宋体"/>
          <w:spacing w:val="-6"/>
          <w:sz w:val="21"/>
          <w:szCs w:val="21"/>
        </w:rPr>
        <w:t>执</w:t>
      </w:r>
      <w:r>
        <w:rPr>
          <w:rFonts w:ascii="宋体" w:hAnsi="宋体" w:eastAsia="宋体" w:cs="宋体"/>
          <w:spacing w:val="-33"/>
          <w:sz w:val="21"/>
          <w:szCs w:val="21"/>
        </w:rPr>
        <w:t xml:space="preserve"> </w:t>
      </w:r>
      <w:r>
        <w:rPr>
          <w:rFonts w:ascii="宋体" w:hAnsi="宋体" w:eastAsia="宋体" w:cs="宋体"/>
          <w:spacing w:val="-6"/>
          <w:sz w:val="21"/>
          <w:szCs w:val="21"/>
        </w:rPr>
        <w:t>行</w:t>
      </w:r>
      <w:r>
        <w:rPr>
          <w:rFonts w:ascii="宋体" w:hAnsi="宋体" w:eastAsia="宋体" w:cs="宋体"/>
          <w:spacing w:val="-37"/>
          <w:sz w:val="21"/>
          <w:szCs w:val="21"/>
        </w:rPr>
        <w:t xml:space="preserve"> </w:t>
      </w:r>
      <w:r>
        <w:rPr>
          <w:rFonts w:ascii="宋体" w:hAnsi="宋体" w:eastAsia="宋体" w:cs="宋体"/>
          <w:spacing w:val="-6"/>
          <w:sz w:val="21"/>
          <w:szCs w:val="21"/>
        </w:rPr>
        <w:t>信</w:t>
      </w:r>
      <w:r>
        <w:rPr>
          <w:rFonts w:ascii="宋体" w:hAnsi="宋体" w:eastAsia="宋体" w:cs="宋体"/>
          <w:spacing w:val="-30"/>
          <w:sz w:val="21"/>
          <w:szCs w:val="21"/>
        </w:rPr>
        <w:t xml:space="preserve"> </w:t>
      </w:r>
      <w:r>
        <w:rPr>
          <w:rFonts w:ascii="宋体" w:hAnsi="宋体" w:eastAsia="宋体" w:cs="宋体"/>
          <w:spacing w:val="-6"/>
          <w:sz w:val="21"/>
          <w:szCs w:val="21"/>
        </w:rPr>
        <w:t>息</w:t>
      </w:r>
      <w:r>
        <w:rPr>
          <w:rFonts w:ascii="宋体" w:hAnsi="宋体" w:eastAsia="宋体" w:cs="宋体"/>
          <w:spacing w:val="-30"/>
          <w:sz w:val="21"/>
          <w:szCs w:val="21"/>
        </w:rPr>
        <w:t xml:space="preserve"> </w:t>
      </w:r>
      <w:r>
        <w:rPr>
          <w:rFonts w:ascii="宋体" w:hAnsi="宋体" w:eastAsia="宋体" w:cs="宋体"/>
          <w:spacing w:val="-6"/>
          <w:sz w:val="21"/>
          <w:szCs w:val="21"/>
        </w:rPr>
        <w:t>公</w:t>
      </w:r>
      <w:r>
        <w:rPr>
          <w:rFonts w:ascii="宋体" w:hAnsi="宋体" w:eastAsia="宋体" w:cs="宋体"/>
          <w:spacing w:val="-36"/>
          <w:sz w:val="21"/>
          <w:szCs w:val="21"/>
        </w:rPr>
        <w:t xml:space="preserve"> </w:t>
      </w:r>
      <w:r>
        <w:rPr>
          <w:rFonts w:ascii="宋体" w:hAnsi="宋体" w:eastAsia="宋体" w:cs="宋体"/>
          <w:spacing w:val="-6"/>
          <w:sz w:val="21"/>
          <w:szCs w:val="21"/>
        </w:rPr>
        <w:t>开</w:t>
      </w:r>
      <w:r>
        <w:rPr>
          <w:rFonts w:ascii="宋体" w:hAnsi="宋体" w:eastAsia="宋体" w:cs="宋体"/>
          <w:spacing w:val="-20"/>
          <w:sz w:val="21"/>
          <w:szCs w:val="21"/>
        </w:rPr>
        <w:t xml:space="preserve"> </w:t>
      </w:r>
      <w:r>
        <w:rPr>
          <w:rFonts w:ascii="宋体" w:hAnsi="宋体" w:eastAsia="宋体" w:cs="宋体"/>
          <w:spacing w:val="-6"/>
          <w:sz w:val="21"/>
          <w:szCs w:val="21"/>
        </w:rPr>
        <w:t>网</w:t>
      </w:r>
      <w:r>
        <w:rPr>
          <w:rFonts w:ascii="宋体" w:hAnsi="宋体" w:eastAsia="宋体" w:cs="宋体"/>
          <w:spacing w:val="-17"/>
          <w:sz w:val="21"/>
          <w:szCs w:val="21"/>
        </w:rPr>
        <w:t xml:space="preserve"> </w:t>
      </w:r>
      <w:r>
        <w:rPr>
          <w:rFonts w:ascii="宋体" w:hAnsi="宋体" w:eastAsia="宋体" w:cs="宋体"/>
          <w:spacing w:val="-6"/>
          <w:sz w:val="21"/>
          <w:szCs w:val="21"/>
        </w:rPr>
        <w:t>”</w:t>
      </w:r>
      <w:r>
        <w:rPr>
          <w:rFonts w:ascii="宋体" w:hAnsi="宋体" w:eastAsia="宋体" w:cs="宋体"/>
          <w:sz w:val="21"/>
          <w:szCs w:val="21"/>
        </w:rPr>
        <w:t xml:space="preserve"> （</w:t>
      </w:r>
      <w:r>
        <w:fldChar w:fldCharType="begin"/>
      </w:r>
      <w:r>
        <w:instrText xml:space="preserve"> HYPERLINK "http://zxgk.court.gov.cn/shixin/" </w:instrText>
      </w:r>
      <w:r>
        <w:fldChar w:fldCharType="separate"/>
      </w:r>
      <w:r>
        <w:rPr>
          <w:rFonts w:ascii="Times New Roman" w:hAnsi="Times New Roman" w:eastAsia="Times New Roman" w:cs="Times New Roman"/>
          <w:sz w:val="21"/>
          <w:szCs w:val="21"/>
        </w:rPr>
        <w:t>http://zxgk.court.g</w:t>
      </w:r>
      <w:r>
        <w:rPr>
          <w:rFonts w:ascii="Times New Roman" w:hAnsi="Times New Roman" w:eastAsia="Times New Roman" w:cs="Times New Roman"/>
          <w:spacing w:val="-1"/>
          <w:sz w:val="21"/>
          <w:szCs w:val="21"/>
        </w:rPr>
        <w:t>ov.cn/shixin/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）被列入失信被执行人名单；</w:t>
      </w:r>
    </w:p>
    <w:p w14:paraId="4936085F">
      <w:pPr>
        <w:spacing w:before="155" w:line="234" w:lineRule="auto"/>
        <w:ind w:left="427"/>
        <w:rPr>
          <w:rFonts w:ascii="宋体" w:hAnsi="宋体" w:eastAsia="宋体" w:cs="宋体"/>
          <w:sz w:val="21"/>
          <w:szCs w:val="21"/>
        </w:rPr>
      </w:pPr>
      <w:r>
        <w:rPr>
          <w:rFonts w:ascii="Times New Roman" w:hAnsi="Times New Roman" w:eastAsia="Times New Roman" w:cs="Times New Roman"/>
          <w:spacing w:val="-1"/>
          <w:sz w:val="21"/>
          <w:szCs w:val="21"/>
        </w:rPr>
        <w:t>7.</w:t>
      </w:r>
      <w:r>
        <w:rPr>
          <w:rFonts w:ascii="宋体" w:hAnsi="宋体" w:eastAsia="宋体" w:cs="宋体"/>
          <w:spacing w:val="-1"/>
          <w:sz w:val="21"/>
          <w:szCs w:val="21"/>
        </w:rPr>
        <w:t>在辽宁省农业农村工程招标投标监管平台被列入不良行为记录且在公布期内的；</w:t>
      </w:r>
    </w:p>
    <w:p w14:paraId="2AC46958">
      <w:pPr>
        <w:spacing w:before="135" w:line="234" w:lineRule="auto"/>
        <w:ind w:left="432"/>
        <w:rPr>
          <w:rFonts w:ascii="宋体" w:hAnsi="宋体" w:eastAsia="宋体" w:cs="宋体"/>
          <w:sz w:val="21"/>
          <w:szCs w:val="21"/>
        </w:rPr>
      </w:pPr>
      <w:r>
        <w:rPr>
          <w:rFonts w:ascii="Times New Roman" w:hAnsi="Times New Roman" w:eastAsia="Times New Roman" w:cs="Times New Roman"/>
          <w:spacing w:val="-1"/>
          <w:sz w:val="21"/>
          <w:szCs w:val="21"/>
        </w:rPr>
        <w:t>8.</w:t>
      </w:r>
      <w:r>
        <w:rPr>
          <w:rFonts w:ascii="宋体" w:hAnsi="宋体" w:eastAsia="宋体" w:cs="宋体"/>
          <w:spacing w:val="-1"/>
          <w:sz w:val="21"/>
          <w:szCs w:val="21"/>
        </w:rPr>
        <w:t>投标人须知前附表第</w:t>
      </w:r>
      <w:r>
        <w:rPr>
          <w:rFonts w:ascii="宋体" w:hAnsi="宋体" w:eastAsia="宋体" w:cs="宋体"/>
          <w:spacing w:val="-27"/>
          <w:sz w:val="21"/>
          <w:szCs w:val="21"/>
        </w:rPr>
        <w:t xml:space="preserve"> </w:t>
      </w:r>
      <w:r>
        <w:rPr>
          <w:rFonts w:ascii="Times New Roman" w:hAnsi="Times New Roman" w:eastAsia="Times New Roman" w:cs="Times New Roman"/>
          <w:spacing w:val="-1"/>
          <w:sz w:val="21"/>
          <w:szCs w:val="21"/>
        </w:rPr>
        <w:t>1.4.3</w:t>
      </w:r>
      <w:r>
        <w:rPr>
          <w:rFonts w:ascii="宋体" w:hAnsi="宋体" w:eastAsia="宋体" w:cs="宋体"/>
          <w:spacing w:val="-1"/>
          <w:sz w:val="21"/>
          <w:szCs w:val="21"/>
        </w:rPr>
        <w:t>（</w:t>
      </w:r>
      <w:r>
        <w:rPr>
          <w:rFonts w:ascii="Times New Roman" w:hAnsi="Times New Roman" w:eastAsia="Times New Roman" w:cs="Times New Roman"/>
          <w:spacing w:val="-1"/>
          <w:sz w:val="21"/>
          <w:szCs w:val="21"/>
        </w:rPr>
        <w:t>16</w:t>
      </w:r>
      <w:r>
        <w:rPr>
          <w:rFonts w:ascii="宋体" w:hAnsi="宋体" w:eastAsia="宋体" w:cs="宋体"/>
          <w:spacing w:val="-1"/>
          <w:sz w:val="21"/>
          <w:szCs w:val="21"/>
        </w:rPr>
        <w:t>）</w:t>
      </w:r>
      <w:r>
        <w:rPr>
          <w:rFonts w:ascii="宋体" w:hAnsi="宋体" w:eastAsia="宋体" w:cs="宋体"/>
          <w:spacing w:val="-2"/>
          <w:sz w:val="21"/>
          <w:szCs w:val="21"/>
        </w:rPr>
        <w:t>目规定的其他情形。</w:t>
      </w:r>
    </w:p>
    <w:p w14:paraId="3611FFA5">
      <w:pPr>
        <w:spacing w:before="166" w:line="221" w:lineRule="auto"/>
        <w:ind w:left="429"/>
        <w:rPr>
          <w:rFonts w:ascii="宋体" w:hAnsi="宋体" w:eastAsia="宋体" w:cs="宋体"/>
          <w:sz w:val="21"/>
          <w:szCs w:val="21"/>
        </w:rPr>
      </w:pPr>
      <w:r>
        <w:rPr>
          <w:rFonts w:ascii="宋体" w:hAnsi="宋体" w:eastAsia="宋体" w:cs="宋体"/>
          <w:spacing w:val="-1"/>
          <w:sz w:val="21"/>
          <w:szCs w:val="21"/>
        </w:rPr>
        <w:t>我方对上述声明的真实性和准确性负责，并承担相应的法律责任。</w:t>
      </w:r>
    </w:p>
    <w:p w14:paraId="74C9CC92">
      <w:pPr>
        <w:spacing w:before="188" w:line="220" w:lineRule="auto"/>
        <w:ind w:left="429"/>
        <w:rPr>
          <w:rFonts w:ascii="宋体" w:hAnsi="宋体" w:eastAsia="宋体" w:cs="宋体"/>
          <w:sz w:val="21"/>
          <w:szCs w:val="21"/>
        </w:rPr>
      </w:pPr>
      <w:r>
        <w:rPr>
          <w:rFonts w:ascii="宋体" w:hAnsi="宋体" w:eastAsia="宋体" w:cs="宋体"/>
          <w:spacing w:val="-3"/>
          <w:sz w:val="21"/>
          <w:szCs w:val="21"/>
        </w:rPr>
        <w:t>后附：上述条款</w:t>
      </w:r>
      <w:r>
        <w:rPr>
          <w:rFonts w:ascii="宋体" w:hAnsi="宋体" w:eastAsia="宋体" w:cs="宋体"/>
          <w:spacing w:val="-34"/>
          <w:sz w:val="21"/>
          <w:szCs w:val="21"/>
        </w:rPr>
        <w:t xml:space="preserve"> </w:t>
      </w:r>
      <w:r>
        <w:rPr>
          <w:rFonts w:ascii="宋体" w:hAnsi="宋体" w:eastAsia="宋体" w:cs="宋体"/>
          <w:spacing w:val="-3"/>
          <w:sz w:val="21"/>
          <w:szCs w:val="21"/>
        </w:rPr>
        <w:t>5、6、7</w:t>
      </w:r>
      <w:r>
        <w:rPr>
          <w:rFonts w:ascii="宋体" w:hAnsi="宋体" w:eastAsia="宋体" w:cs="宋体"/>
          <w:spacing w:val="-30"/>
          <w:sz w:val="21"/>
          <w:szCs w:val="21"/>
        </w:rPr>
        <w:t xml:space="preserve"> </w:t>
      </w:r>
      <w:r>
        <w:rPr>
          <w:rFonts w:ascii="宋体" w:hAnsi="宋体" w:eastAsia="宋体" w:cs="宋体"/>
          <w:spacing w:val="-3"/>
          <w:sz w:val="21"/>
          <w:szCs w:val="21"/>
        </w:rPr>
        <w:t>网站查询结果截图。</w:t>
      </w:r>
    </w:p>
    <w:p w14:paraId="390AB6C5">
      <w:pPr>
        <w:pStyle w:val="5"/>
        <w:spacing w:line="279" w:lineRule="auto"/>
      </w:pPr>
    </w:p>
    <w:p w14:paraId="34E394C1">
      <w:pPr>
        <w:pStyle w:val="5"/>
        <w:spacing w:line="279" w:lineRule="auto"/>
      </w:pPr>
    </w:p>
    <w:p w14:paraId="71D22951">
      <w:pPr>
        <w:spacing w:before="69" w:line="220" w:lineRule="auto"/>
        <w:ind w:left="4002"/>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2"/>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12"/>
          <w:sz w:val="21"/>
          <w:szCs w:val="21"/>
        </w:rPr>
        <w:t>（</w:t>
      </w:r>
      <w:r>
        <w:rPr>
          <w:rFonts w:ascii="宋体" w:hAnsi="宋体" w:eastAsia="宋体" w:cs="宋体"/>
          <w:spacing w:val="2"/>
          <w:sz w:val="21"/>
          <w:szCs w:val="21"/>
        </w:rPr>
        <w:t>盖单位章）</w:t>
      </w:r>
    </w:p>
    <w:p w14:paraId="0F8DD3D9">
      <w:pPr>
        <w:spacing w:before="189" w:line="220" w:lineRule="auto"/>
        <w:ind w:left="2740"/>
        <w:rPr>
          <w:rFonts w:ascii="宋体" w:hAnsi="宋体" w:eastAsia="宋体" w:cs="宋体"/>
          <w:sz w:val="21"/>
          <w:szCs w:val="21"/>
        </w:rPr>
      </w:pPr>
      <w:r>
        <w:rPr>
          <w:rFonts w:ascii="宋体" w:hAnsi="宋体" w:eastAsia="宋体" w:cs="宋体"/>
          <w:spacing w:val="-1"/>
          <w:sz w:val="21"/>
          <w:szCs w:val="21"/>
        </w:rPr>
        <w:t>法定代表人或授权委托人</w:t>
      </w:r>
      <w:r>
        <w:rPr>
          <w:rFonts w:ascii="宋体" w:hAnsi="宋体" w:eastAsia="宋体" w:cs="宋体"/>
          <w:spacing w:val="-2"/>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1"/>
          <w:sz w:val="21"/>
          <w:szCs w:val="21"/>
        </w:rPr>
        <w:t>签章）</w:t>
      </w:r>
    </w:p>
    <w:p w14:paraId="4371F317">
      <w:pPr>
        <w:pStyle w:val="5"/>
        <w:spacing w:line="279" w:lineRule="auto"/>
      </w:pPr>
    </w:p>
    <w:p w14:paraId="29C6D7DE">
      <w:pPr>
        <w:pStyle w:val="5"/>
        <w:spacing w:line="280" w:lineRule="auto"/>
      </w:pPr>
    </w:p>
    <w:p w14:paraId="334674DD">
      <w:pPr>
        <w:tabs>
          <w:tab w:val="left" w:pos="6092"/>
        </w:tabs>
        <w:spacing w:before="69" w:line="221" w:lineRule="auto"/>
        <w:ind w:left="5249"/>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7"/>
          <w:sz w:val="21"/>
          <w:szCs w:val="21"/>
        </w:rPr>
        <w:t xml:space="preserve"> </w:t>
      </w:r>
      <w:r>
        <w:rPr>
          <w:rFonts w:ascii="宋体" w:hAnsi="宋体" w:eastAsia="宋体" w:cs="宋体"/>
          <w:spacing w:val="-5"/>
          <w:sz w:val="21"/>
          <w:szCs w:val="21"/>
        </w:rPr>
        <w:t xml:space="preserve">年 </w:t>
      </w:r>
      <w:r>
        <w:rPr>
          <w:rFonts w:ascii="宋体" w:hAnsi="宋体" w:eastAsia="宋体" w:cs="宋体"/>
          <w:sz w:val="21"/>
          <w:szCs w:val="21"/>
          <w:u w:val="single" w:color="auto"/>
        </w:rPr>
        <w:t xml:space="preserve">     </w:t>
      </w:r>
      <w:r>
        <w:rPr>
          <w:rFonts w:ascii="宋体" w:hAnsi="宋体" w:eastAsia="宋体" w:cs="宋体"/>
          <w:spacing w:val="12"/>
          <w:sz w:val="21"/>
          <w:szCs w:val="21"/>
        </w:rPr>
        <w:t xml:space="preserve"> </w:t>
      </w:r>
      <w:r>
        <w:rPr>
          <w:rFonts w:ascii="宋体" w:hAnsi="宋体" w:eastAsia="宋体" w:cs="宋体"/>
          <w:spacing w:val="-5"/>
          <w:sz w:val="21"/>
          <w:szCs w:val="21"/>
        </w:rPr>
        <w:t>月</w:t>
      </w:r>
      <w:r>
        <w:rPr>
          <w:rFonts w:ascii="宋体" w:hAnsi="宋体" w:eastAsia="宋体" w:cs="宋体"/>
          <w:spacing w:val="1"/>
          <w:sz w:val="21"/>
          <w:szCs w:val="21"/>
        </w:rPr>
        <w:t xml:space="preserve"> </w:t>
      </w:r>
      <w:r>
        <w:rPr>
          <w:rFonts w:ascii="宋体" w:hAnsi="宋体" w:eastAsia="宋体" w:cs="宋体"/>
          <w:spacing w:val="25"/>
          <w:sz w:val="21"/>
          <w:szCs w:val="21"/>
          <w:u w:val="single" w:color="auto"/>
        </w:rPr>
        <w:t xml:space="preserve">    </w:t>
      </w:r>
      <w:r>
        <w:rPr>
          <w:rFonts w:ascii="宋体" w:hAnsi="宋体" w:eastAsia="宋体" w:cs="宋体"/>
          <w:spacing w:val="48"/>
          <w:sz w:val="21"/>
          <w:szCs w:val="21"/>
        </w:rPr>
        <w:t xml:space="preserve"> </w:t>
      </w:r>
      <w:r>
        <w:rPr>
          <w:rFonts w:ascii="宋体" w:hAnsi="宋体" w:eastAsia="宋体" w:cs="宋体"/>
          <w:spacing w:val="-5"/>
          <w:sz w:val="21"/>
          <w:szCs w:val="21"/>
        </w:rPr>
        <w:t>日</w:t>
      </w:r>
    </w:p>
    <w:p w14:paraId="3A5C5316">
      <w:pPr>
        <w:pStyle w:val="5"/>
        <w:spacing w:line="285" w:lineRule="auto"/>
      </w:pPr>
    </w:p>
    <w:p w14:paraId="232737B8">
      <w:pPr>
        <w:pStyle w:val="5"/>
        <w:spacing w:line="285" w:lineRule="auto"/>
      </w:pPr>
    </w:p>
    <w:p w14:paraId="73EC244E">
      <w:pPr>
        <w:pStyle w:val="5"/>
        <w:spacing w:line="285" w:lineRule="auto"/>
      </w:pPr>
    </w:p>
    <w:p w14:paraId="18214A64">
      <w:pPr>
        <w:spacing w:before="68" w:line="239" w:lineRule="auto"/>
        <w:ind w:left="849" w:right="102" w:hanging="839"/>
        <w:rPr>
          <w:rFonts w:ascii="宋体" w:hAnsi="宋体" w:eastAsia="宋体" w:cs="宋体"/>
          <w:sz w:val="21"/>
          <w:szCs w:val="21"/>
        </w:rPr>
      </w:pPr>
      <w:r>
        <w:rPr>
          <w:rFonts w:ascii="宋体" w:hAnsi="宋体" w:eastAsia="宋体" w:cs="宋体"/>
          <w:spacing w:val="-2"/>
          <w:sz w:val="21"/>
          <w:szCs w:val="21"/>
        </w:rPr>
        <w:t>备注：1.投标人应针对第二章“投标人须知”第 1.4.1</w:t>
      </w:r>
      <w:r>
        <w:rPr>
          <w:rFonts w:ascii="宋体" w:hAnsi="宋体" w:eastAsia="宋体" w:cs="宋体"/>
          <w:spacing w:val="-13"/>
          <w:sz w:val="21"/>
          <w:szCs w:val="21"/>
        </w:rPr>
        <w:t xml:space="preserve"> </w:t>
      </w:r>
      <w:r>
        <w:rPr>
          <w:rFonts w:ascii="宋体" w:hAnsi="宋体" w:eastAsia="宋体" w:cs="宋体"/>
          <w:spacing w:val="-2"/>
          <w:sz w:val="21"/>
          <w:szCs w:val="21"/>
        </w:rPr>
        <w:t>项和第 1.4.3</w:t>
      </w:r>
      <w:r>
        <w:rPr>
          <w:rFonts w:ascii="宋体" w:hAnsi="宋体" w:eastAsia="宋体" w:cs="宋体"/>
          <w:spacing w:val="-24"/>
          <w:sz w:val="21"/>
          <w:szCs w:val="21"/>
        </w:rPr>
        <w:t xml:space="preserve"> </w:t>
      </w:r>
      <w:r>
        <w:rPr>
          <w:rFonts w:ascii="宋体" w:hAnsi="宋体" w:eastAsia="宋体" w:cs="宋体"/>
          <w:spacing w:val="-2"/>
          <w:sz w:val="21"/>
          <w:szCs w:val="21"/>
        </w:rPr>
        <w:t>项的要求，在此对其信誉情</w:t>
      </w:r>
      <w:r>
        <w:rPr>
          <w:rFonts w:ascii="宋体" w:hAnsi="宋体" w:eastAsia="宋体" w:cs="宋体"/>
          <w:spacing w:val="-1"/>
          <w:sz w:val="21"/>
          <w:szCs w:val="21"/>
        </w:rPr>
        <w:t>况做出说明。如上格式文件所示。</w:t>
      </w:r>
    </w:p>
    <w:p w14:paraId="6637401E">
      <w:pPr>
        <w:spacing w:before="1" w:line="220" w:lineRule="auto"/>
        <w:ind w:left="641"/>
        <w:rPr>
          <w:rFonts w:ascii="宋体" w:hAnsi="宋体" w:eastAsia="宋体" w:cs="宋体"/>
          <w:sz w:val="21"/>
          <w:szCs w:val="21"/>
        </w:rPr>
      </w:pPr>
      <w:r>
        <w:rPr>
          <w:rFonts w:ascii="宋体" w:hAnsi="宋体" w:eastAsia="宋体" w:cs="宋体"/>
          <w:spacing w:val="-1"/>
          <w:sz w:val="21"/>
          <w:szCs w:val="21"/>
        </w:rPr>
        <w:t>2.联合体投标的，联合体各成员单位均应按要求做出说明。</w:t>
      </w:r>
    </w:p>
    <w:p w14:paraId="29EAF736">
      <w:pPr>
        <w:spacing w:line="220" w:lineRule="auto"/>
        <w:rPr>
          <w:rFonts w:ascii="宋体" w:hAnsi="宋体" w:eastAsia="宋体" w:cs="宋体"/>
          <w:sz w:val="21"/>
          <w:szCs w:val="21"/>
        </w:rPr>
        <w:sectPr>
          <w:headerReference r:id="rId216" w:type="default"/>
          <w:footerReference r:id="rId217" w:type="default"/>
          <w:pgSz w:w="11905" w:h="16843"/>
          <w:pgMar w:top="969" w:right="1355" w:bottom="1026" w:left="1480" w:header="0" w:footer="754" w:gutter="0"/>
          <w:cols w:space="0" w:num="1"/>
          <w:rtlGutter w:val="0"/>
          <w:docGrid w:linePitch="0" w:charSpace="0"/>
        </w:sectPr>
      </w:pPr>
    </w:p>
    <w:p w14:paraId="30F79573">
      <w:pPr>
        <w:pStyle w:val="5"/>
        <w:spacing w:line="265" w:lineRule="auto"/>
      </w:pPr>
    </w:p>
    <w:p w14:paraId="056C3FD4">
      <w:pPr>
        <w:pStyle w:val="5"/>
        <w:spacing w:line="266" w:lineRule="auto"/>
      </w:pPr>
    </w:p>
    <w:p w14:paraId="4C9A35ED">
      <w:pPr>
        <w:pStyle w:val="5"/>
        <w:spacing w:line="266" w:lineRule="auto"/>
      </w:pPr>
    </w:p>
    <w:p w14:paraId="4B8634EF">
      <w:pPr>
        <w:pStyle w:val="5"/>
        <w:spacing w:line="266" w:lineRule="auto"/>
      </w:pPr>
    </w:p>
    <w:p w14:paraId="27EBBBBF">
      <w:pPr>
        <w:pStyle w:val="5"/>
        <w:spacing w:line="266" w:lineRule="auto"/>
      </w:pPr>
    </w:p>
    <w:p w14:paraId="52474F02">
      <w:pPr>
        <w:spacing w:before="78" w:line="231" w:lineRule="auto"/>
        <w:ind w:left="2803"/>
        <w:outlineLvl w:val="2"/>
        <w:rPr>
          <w:rFonts w:ascii="黑体" w:hAnsi="黑体" w:eastAsia="黑体" w:cs="黑体"/>
          <w:sz w:val="24"/>
          <w:szCs w:val="24"/>
        </w:rPr>
      </w:pPr>
      <w:bookmarkStart w:id="1399" w:name="bookmark463"/>
      <w:bookmarkEnd w:id="1399"/>
      <w:r>
        <w:rPr>
          <w:rFonts w:ascii="Times New Roman" w:hAnsi="Times New Roman" w:eastAsia="Times New Roman" w:cs="Times New Roman"/>
          <w:spacing w:val="-1"/>
          <w:sz w:val="24"/>
          <w:szCs w:val="24"/>
        </w:rPr>
        <w:t xml:space="preserve">5-2  </w:t>
      </w:r>
      <w:r>
        <w:rPr>
          <w:rFonts w:ascii="黑体" w:hAnsi="黑体" w:eastAsia="黑体" w:cs="黑体"/>
          <w:spacing w:val="-1"/>
          <w:sz w:val="24"/>
          <w:szCs w:val="24"/>
        </w:rPr>
        <w:t>近年发生的诉讼和仲裁情况</w:t>
      </w:r>
    </w:p>
    <w:p w14:paraId="594A7468">
      <w:pPr>
        <w:spacing w:before="21"/>
      </w:pPr>
    </w:p>
    <w:p w14:paraId="45A42F05">
      <w:pPr>
        <w:spacing w:before="20"/>
      </w:pPr>
    </w:p>
    <w:p w14:paraId="6DC8BFBA">
      <w:pPr>
        <w:spacing w:before="20"/>
      </w:pPr>
    </w:p>
    <w:tbl>
      <w:tblPr>
        <w:tblStyle w:val="10"/>
        <w:tblW w:w="872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951"/>
        <w:gridCol w:w="1259"/>
        <w:gridCol w:w="3594"/>
        <w:gridCol w:w="1960"/>
      </w:tblGrid>
      <w:tr w14:paraId="5635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3" w:type="dxa"/>
            <w:tcBorders>
              <w:top w:val="single" w:color="000000" w:sz="6" w:space="0"/>
              <w:left w:val="single" w:color="000000" w:sz="6" w:space="0"/>
            </w:tcBorders>
            <w:vAlign w:val="top"/>
          </w:tcPr>
          <w:p w14:paraId="02DBFC80">
            <w:pPr>
              <w:pStyle w:val="11"/>
              <w:spacing w:before="237" w:line="221" w:lineRule="auto"/>
              <w:ind w:left="269"/>
            </w:pPr>
            <w:r>
              <w:rPr>
                <w:spacing w:val="-2"/>
              </w:rPr>
              <w:t>类别</w:t>
            </w:r>
          </w:p>
        </w:tc>
        <w:tc>
          <w:tcPr>
            <w:tcW w:w="951" w:type="dxa"/>
            <w:tcBorders>
              <w:top w:val="single" w:color="000000" w:sz="6" w:space="0"/>
            </w:tcBorders>
            <w:vAlign w:val="top"/>
          </w:tcPr>
          <w:p w14:paraId="52DB7034">
            <w:pPr>
              <w:pStyle w:val="11"/>
              <w:spacing w:before="237" w:line="222" w:lineRule="auto"/>
              <w:ind w:left="265"/>
            </w:pPr>
            <w:r>
              <w:rPr>
                <w:spacing w:val="-2"/>
              </w:rPr>
              <w:t>序号</w:t>
            </w:r>
          </w:p>
        </w:tc>
        <w:tc>
          <w:tcPr>
            <w:tcW w:w="1259" w:type="dxa"/>
            <w:tcBorders>
              <w:top w:val="single" w:color="000000" w:sz="6" w:space="0"/>
            </w:tcBorders>
            <w:vAlign w:val="top"/>
          </w:tcPr>
          <w:p w14:paraId="4AE809FB">
            <w:pPr>
              <w:pStyle w:val="11"/>
              <w:spacing w:before="238" w:line="221" w:lineRule="auto"/>
              <w:ind w:left="213"/>
            </w:pPr>
            <w:r>
              <w:rPr>
                <w:spacing w:val="-3"/>
              </w:rPr>
              <w:t>发生时间</w:t>
            </w:r>
          </w:p>
        </w:tc>
        <w:tc>
          <w:tcPr>
            <w:tcW w:w="3594" w:type="dxa"/>
            <w:tcBorders>
              <w:top w:val="single" w:color="000000" w:sz="6" w:space="0"/>
            </w:tcBorders>
            <w:vAlign w:val="top"/>
          </w:tcPr>
          <w:p w14:paraId="6C65E1A8">
            <w:pPr>
              <w:pStyle w:val="11"/>
              <w:spacing w:before="237" w:line="220" w:lineRule="auto"/>
              <w:ind w:left="1384"/>
            </w:pPr>
            <w:r>
              <w:rPr>
                <w:spacing w:val="-2"/>
              </w:rPr>
              <w:t>情况简介</w:t>
            </w:r>
          </w:p>
        </w:tc>
        <w:tc>
          <w:tcPr>
            <w:tcW w:w="1960" w:type="dxa"/>
            <w:tcBorders>
              <w:top w:val="single" w:color="000000" w:sz="6" w:space="0"/>
              <w:right w:val="single" w:color="000000" w:sz="6" w:space="0"/>
            </w:tcBorders>
            <w:vAlign w:val="top"/>
          </w:tcPr>
          <w:p w14:paraId="7CC5DA9E">
            <w:pPr>
              <w:pStyle w:val="11"/>
              <w:spacing w:before="237" w:line="220" w:lineRule="auto"/>
              <w:ind w:left="355"/>
            </w:pPr>
            <w:r>
              <w:rPr>
                <w:spacing w:val="-1"/>
              </w:rPr>
              <w:t>证明材料索引</w:t>
            </w:r>
          </w:p>
        </w:tc>
      </w:tr>
      <w:tr w14:paraId="3937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63" w:type="dxa"/>
            <w:vMerge w:val="restart"/>
            <w:tcBorders>
              <w:left w:val="single" w:color="000000" w:sz="6" w:space="0"/>
              <w:bottom w:val="nil"/>
            </w:tcBorders>
            <w:textDirection w:val="tbRlV"/>
            <w:vAlign w:val="top"/>
          </w:tcPr>
          <w:p w14:paraId="12029E0B">
            <w:pPr>
              <w:spacing w:line="298" w:lineRule="auto"/>
              <w:rPr>
                <w:rFonts w:ascii="Arial"/>
                <w:sz w:val="21"/>
              </w:rPr>
            </w:pPr>
          </w:p>
          <w:p w14:paraId="6211A06C">
            <w:pPr>
              <w:pStyle w:val="11"/>
              <w:spacing w:before="70" w:line="210" w:lineRule="auto"/>
              <w:ind w:left="1584"/>
            </w:pPr>
            <w:r>
              <w:rPr>
                <w:spacing w:val="22"/>
              </w:rPr>
              <w:t>诉讼情况</w:t>
            </w:r>
          </w:p>
        </w:tc>
        <w:tc>
          <w:tcPr>
            <w:tcW w:w="951" w:type="dxa"/>
            <w:vAlign w:val="top"/>
          </w:tcPr>
          <w:p w14:paraId="67B59A65">
            <w:pPr>
              <w:rPr>
                <w:rFonts w:ascii="Arial"/>
                <w:sz w:val="21"/>
              </w:rPr>
            </w:pPr>
          </w:p>
        </w:tc>
        <w:tc>
          <w:tcPr>
            <w:tcW w:w="1259" w:type="dxa"/>
            <w:vAlign w:val="top"/>
          </w:tcPr>
          <w:p w14:paraId="59510B94">
            <w:pPr>
              <w:rPr>
                <w:rFonts w:ascii="Arial"/>
                <w:sz w:val="21"/>
              </w:rPr>
            </w:pPr>
          </w:p>
        </w:tc>
        <w:tc>
          <w:tcPr>
            <w:tcW w:w="3594" w:type="dxa"/>
            <w:vAlign w:val="top"/>
          </w:tcPr>
          <w:p w14:paraId="1260CB6D">
            <w:pPr>
              <w:rPr>
                <w:rFonts w:ascii="Arial"/>
                <w:sz w:val="21"/>
              </w:rPr>
            </w:pPr>
          </w:p>
        </w:tc>
        <w:tc>
          <w:tcPr>
            <w:tcW w:w="1960" w:type="dxa"/>
            <w:tcBorders>
              <w:right w:val="single" w:color="000000" w:sz="6" w:space="0"/>
            </w:tcBorders>
            <w:vAlign w:val="top"/>
          </w:tcPr>
          <w:p w14:paraId="4A9BB02E">
            <w:pPr>
              <w:rPr>
                <w:rFonts w:ascii="Arial"/>
                <w:sz w:val="21"/>
              </w:rPr>
            </w:pPr>
          </w:p>
        </w:tc>
      </w:tr>
      <w:tr w14:paraId="6CE4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3" w:type="dxa"/>
            <w:vMerge w:val="continue"/>
            <w:tcBorders>
              <w:top w:val="nil"/>
              <w:left w:val="single" w:color="000000" w:sz="6" w:space="0"/>
              <w:bottom w:val="nil"/>
            </w:tcBorders>
            <w:textDirection w:val="tbRlV"/>
            <w:vAlign w:val="top"/>
          </w:tcPr>
          <w:p w14:paraId="48F7935F">
            <w:pPr>
              <w:rPr>
                <w:rFonts w:ascii="Arial"/>
                <w:sz w:val="21"/>
              </w:rPr>
            </w:pPr>
          </w:p>
        </w:tc>
        <w:tc>
          <w:tcPr>
            <w:tcW w:w="951" w:type="dxa"/>
            <w:vAlign w:val="top"/>
          </w:tcPr>
          <w:p w14:paraId="4318DEBD">
            <w:pPr>
              <w:rPr>
                <w:rFonts w:ascii="Arial"/>
                <w:sz w:val="21"/>
              </w:rPr>
            </w:pPr>
          </w:p>
        </w:tc>
        <w:tc>
          <w:tcPr>
            <w:tcW w:w="1259" w:type="dxa"/>
            <w:vAlign w:val="top"/>
          </w:tcPr>
          <w:p w14:paraId="2B545713">
            <w:pPr>
              <w:rPr>
                <w:rFonts w:ascii="Arial"/>
                <w:sz w:val="21"/>
              </w:rPr>
            </w:pPr>
          </w:p>
        </w:tc>
        <w:tc>
          <w:tcPr>
            <w:tcW w:w="3594" w:type="dxa"/>
            <w:vAlign w:val="top"/>
          </w:tcPr>
          <w:p w14:paraId="7BB6EA2A">
            <w:pPr>
              <w:rPr>
                <w:rFonts w:ascii="Arial"/>
                <w:sz w:val="21"/>
              </w:rPr>
            </w:pPr>
          </w:p>
        </w:tc>
        <w:tc>
          <w:tcPr>
            <w:tcW w:w="1960" w:type="dxa"/>
            <w:tcBorders>
              <w:right w:val="single" w:color="000000" w:sz="6" w:space="0"/>
            </w:tcBorders>
            <w:vAlign w:val="top"/>
          </w:tcPr>
          <w:p w14:paraId="1179742C">
            <w:pPr>
              <w:rPr>
                <w:rFonts w:ascii="Arial"/>
                <w:sz w:val="21"/>
              </w:rPr>
            </w:pPr>
          </w:p>
        </w:tc>
      </w:tr>
      <w:tr w14:paraId="0388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3" w:type="dxa"/>
            <w:vMerge w:val="continue"/>
            <w:tcBorders>
              <w:top w:val="nil"/>
              <w:left w:val="single" w:color="000000" w:sz="6" w:space="0"/>
            </w:tcBorders>
            <w:textDirection w:val="tbRlV"/>
            <w:vAlign w:val="top"/>
          </w:tcPr>
          <w:p w14:paraId="714B5DAF">
            <w:pPr>
              <w:rPr>
                <w:rFonts w:ascii="Arial"/>
                <w:sz w:val="21"/>
              </w:rPr>
            </w:pPr>
          </w:p>
        </w:tc>
        <w:tc>
          <w:tcPr>
            <w:tcW w:w="951" w:type="dxa"/>
            <w:vAlign w:val="top"/>
          </w:tcPr>
          <w:p w14:paraId="7E653EE5">
            <w:pPr>
              <w:rPr>
                <w:rFonts w:ascii="Arial"/>
                <w:sz w:val="21"/>
              </w:rPr>
            </w:pPr>
          </w:p>
        </w:tc>
        <w:tc>
          <w:tcPr>
            <w:tcW w:w="1259" w:type="dxa"/>
            <w:vAlign w:val="top"/>
          </w:tcPr>
          <w:p w14:paraId="502F1E4F">
            <w:pPr>
              <w:rPr>
                <w:rFonts w:ascii="Arial"/>
                <w:sz w:val="21"/>
              </w:rPr>
            </w:pPr>
          </w:p>
        </w:tc>
        <w:tc>
          <w:tcPr>
            <w:tcW w:w="3594" w:type="dxa"/>
            <w:vAlign w:val="top"/>
          </w:tcPr>
          <w:p w14:paraId="430D6B45">
            <w:pPr>
              <w:rPr>
                <w:rFonts w:ascii="Arial"/>
                <w:sz w:val="21"/>
              </w:rPr>
            </w:pPr>
          </w:p>
        </w:tc>
        <w:tc>
          <w:tcPr>
            <w:tcW w:w="1960" w:type="dxa"/>
            <w:tcBorders>
              <w:right w:val="single" w:color="000000" w:sz="6" w:space="0"/>
            </w:tcBorders>
            <w:vAlign w:val="top"/>
          </w:tcPr>
          <w:p w14:paraId="33EEC7E5">
            <w:pPr>
              <w:rPr>
                <w:rFonts w:ascii="Arial"/>
                <w:sz w:val="21"/>
              </w:rPr>
            </w:pPr>
          </w:p>
        </w:tc>
      </w:tr>
      <w:tr w14:paraId="3517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3" w:type="dxa"/>
            <w:vMerge w:val="restart"/>
            <w:tcBorders>
              <w:left w:val="single" w:color="000000" w:sz="6" w:space="0"/>
              <w:bottom w:val="nil"/>
            </w:tcBorders>
            <w:textDirection w:val="tbRlV"/>
            <w:vAlign w:val="top"/>
          </w:tcPr>
          <w:p w14:paraId="790AB1FF">
            <w:pPr>
              <w:spacing w:line="297" w:lineRule="auto"/>
              <w:rPr>
                <w:rFonts w:ascii="Arial"/>
                <w:sz w:val="21"/>
              </w:rPr>
            </w:pPr>
          </w:p>
          <w:p w14:paraId="04D25C2E">
            <w:pPr>
              <w:pStyle w:val="11"/>
              <w:spacing w:before="70" w:line="210" w:lineRule="auto"/>
              <w:ind w:left="1588"/>
            </w:pPr>
            <w:r>
              <w:rPr>
                <w:spacing w:val="22"/>
              </w:rPr>
              <w:t>仲裁情况</w:t>
            </w:r>
          </w:p>
        </w:tc>
        <w:tc>
          <w:tcPr>
            <w:tcW w:w="951" w:type="dxa"/>
            <w:vAlign w:val="top"/>
          </w:tcPr>
          <w:p w14:paraId="30AB1F6A">
            <w:pPr>
              <w:rPr>
                <w:rFonts w:ascii="Arial"/>
                <w:sz w:val="21"/>
              </w:rPr>
            </w:pPr>
          </w:p>
        </w:tc>
        <w:tc>
          <w:tcPr>
            <w:tcW w:w="1259" w:type="dxa"/>
            <w:vAlign w:val="top"/>
          </w:tcPr>
          <w:p w14:paraId="731A21B4">
            <w:pPr>
              <w:rPr>
                <w:rFonts w:ascii="Arial"/>
                <w:sz w:val="21"/>
              </w:rPr>
            </w:pPr>
          </w:p>
        </w:tc>
        <w:tc>
          <w:tcPr>
            <w:tcW w:w="3594" w:type="dxa"/>
            <w:vAlign w:val="top"/>
          </w:tcPr>
          <w:p w14:paraId="4787538E">
            <w:pPr>
              <w:rPr>
                <w:rFonts w:ascii="Arial"/>
                <w:sz w:val="21"/>
              </w:rPr>
            </w:pPr>
          </w:p>
        </w:tc>
        <w:tc>
          <w:tcPr>
            <w:tcW w:w="1960" w:type="dxa"/>
            <w:tcBorders>
              <w:right w:val="single" w:color="000000" w:sz="6" w:space="0"/>
            </w:tcBorders>
            <w:vAlign w:val="top"/>
          </w:tcPr>
          <w:p w14:paraId="711C5396">
            <w:pPr>
              <w:rPr>
                <w:rFonts w:ascii="Arial"/>
                <w:sz w:val="21"/>
              </w:rPr>
            </w:pPr>
          </w:p>
        </w:tc>
      </w:tr>
      <w:tr w14:paraId="5C08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63" w:type="dxa"/>
            <w:vMerge w:val="continue"/>
            <w:tcBorders>
              <w:top w:val="nil"/>
              <w:left w:val="single" w:color="000000" w:sz="6" w:space="0"/>
              <w:bottom w:val="nil"/>
            </w:tcBorders>
            <w:textDirection w:val="tbRlV"/>
            <w:vAlign w:val="top"/>
          </w:tcPr>
          <w:p w14:paraId="70D2D08A">
            <w:pPr>
              <w:rPr>
                <w:rFonts w:ascii="Arial"/>
                <w:sz w:val="21"/>
              </w:rPr>
            </w:pPr>
          </w:p>
        </w:tc>
        <w:tc>
          <w:tcPr>
            <w:tcW w:w="951" w:type="dxa"/>
            <w:vAlign w:val="top"/>
          </w:tcPr>
          <w:p w14:paraId="6787428F">
            <w:pPr>
              <w:rPr>
                <w:rFonts w:ascii="Arial"/>
                <w:sz w:val="21"/>
              </w:rPr>
            </w:pPr>
          </w:p>
        </w:tc>
        <w:tc>
          <w:tcPr>
            <w:tcW w:w="1259" w:type="dxa"/>
            <w:vAlign w:val="top"/>
          </w:tcPr>
          <w:p w14:paraId="6D8CAC91">
            <w:pPr>
              <w:rPr>
                <w:rFonts w:ascii="Arial"/>
                <w:sz w:val="21"/>
              </w:rPr>
            </w:pPr>
          </w:p>
        </w:tc>
        <w:tc>
          <w:tcPr>
            <w:tcW w:w="3594" w:type="dxa"/>
            <w:vAlign w:val="top"/>
          </w:tcPr>
          <w:p w14:paraId="01F830AA">
            <w:pPr>
              <w:rPr>
                <w:rFonts w:ascii="Arial"/>
                <w:sz w:val="21"/>
              </w:rPr>
            </w:pPr>
          </w:p>
        </w:tc>
        <w:tc>
          <w:tcPr>
            <w:tcW w:w="1960" w:type="dxa"/>
            <w:tcBorders>
              <w:right w:val="single" w:color="000000" w:sz="6" w:space="0"/>
            </w:tcBorders>
            <w:vAlign w:val="top"/>
          </w:tcPr>
          <w:p w14:paraId="024B6779">
            <w:pPr>
              <w:rPr>
                <w:rFonts w:ascii="Arial"/>
                <w:sz w:val="21"/>
              </w:rPr>
            </w:pPr>
          </w:p>
        </w:tc>
      </w:tr>
      <w:tr w14:paraId="6A07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963" w:type="dxa"/>
            <w:vMerge w:val="continue"/>
            <w:tcBorders>
              <w:top w:val="nil"/>
              <w:left w:val="single" w:color="000000" w:sz="6" w:space="0"/>
              <w:bottom w:val="single" w:color="000000" w:sz="6" w:space="0"/>
            </w:tcBorders>
            <w:textDirection w:val="tbRlV"/>
            <w:vAlign w:val="top"/>
          </w:tcPr>
          <w:p w14:paraId="44022210">
            <w:pPr>
              <w:rPr>
                <w:rFonts w:ascii="Arial"/>
                <w:sz w:val="21"/>
              </w:rPr>
            </w:pPr>
          </w:p>
        </w:tc>
        <w:tc>
          <w:tcPr>
            <w:tcW w:w="951" w:type="dxa"/>
            <w:tcBorders>
              <w:bottom w:val="single" w:color="000000" w:sz="6" w:space="0"/>
            </w:tcBorders>
            <w:vAlign w:val="top"/>
          </w:tcPr>
          <w:p w14:paraId="02455044">
            <w:pPr>
              <w:rPr>
                <w:rFonts w:ascii="Arial"/>
                <w:sz w:val="21"/>
              </w:rPr>
            </w:pPr>
          </w:p>
        </w:tc>
        <w:tc>
          <w:tcPr>
            <w:tcW w:w="1259" w:type="dxa"/>
            <w:tcBorders>
              <w:bottom w:val="single" w:color="000000" w:sz="6" w:space="0"/>
            </w:tcBorders>
            <w:vAlign w:val="top"/>
          </w:tcPr>
          <w:p w14:paraId="3A93AFBF">
            <w:pPr>
              <w:rPr>
                <w:rFonts w:ascii="Arial"/>
                <w:sz w:val="21"/>
              </w:rPr>
            </w:pPr>
          </w:p>
        </w:tc>
        <w:tc>
          <w:tcPr>
            <w:tcW w:w="3594" w:type="dxa"/>
            <w:tcBorders>
              <w:bottom w:val="single" w:color="000000" w:sz="6" w:space="0"/>
            </w:tcBorders>
            <w:vAlign w:val="top"/>
          </w:tcPr>
          <w:p w14:paraId="0ED29201">
            <w:pPr>
              <w:rPr>
                <w:rFonts w:ascii="Arial"/>
                <w:sz w:val="21"/>
              </w:rPr>
            </w:pPr>
          </w:p>
        </w:tc>
        <w:tc>
          <w:tcPr>
            <w:tcW w:w="1960" w:type="dxa"/>
            <w:tcBorders>
              <w:bottom w:val="single" w:color="000000" w:sz="6" w:space="0"/>
              <w:right w:val="single" w:color="000000" w:sz="6" w:space="0"/>
            </w:tcBorders>
            <w:vAlign w:val="top"/>
          </w:tcPr>
          <w:p w14:paraId="5A046BDA">
            <w:pPr>
              <w:rPr>
                <w:rFonts w:ascii="Arial"/>
                <w:sz w:val="21"/>
              </w:rPr>
            </w:pPr>
          </w:p>
        </w:tc>
      </w:tr>
    </w:tbl>
    <w:p w14:paraId="55F53758">
      <w:pPr>
        <w:spacing w:before="136" w:line="345" w:lineRule="auto"/>
        <w:ind w:left="847" w:hanging="837"/>
        <w:rPr>
          <w:rFonts w:ascii="宋体" w:hAnsi="宋体" w:eastAsia="宋体" w:cs="宋体"/>
          <w:sz w:val="21"/>
          <w:szCs w:val="21"/>
        </w:rPr>
      </w:pPr>
      <w:r>
        <w:rPr>
          <w:rFonts w:ascii="宋体" w:hAnsi="宋体" w:eastAsia="宋体" w:cs="宋体"/>
          <w:spacing w:val="2"/>
          <w:sz w:val="21"/>
          <w:szCs w:val="21"/>
        </w:rPr>
        <w:t>备注：</w:t>
      </w:r>
      <w:r>
        <w:rPr>
          <w:rFonts w:ascii="Times New Roman" w:hAnsi="Times New Roman" w:eastAsia="Times New Roman" w:cs="Times New Roman"/>
          <w:spacing w:val="2"/>
          <w:sz w:val="21"/>
          <w:szCs w:val="21"/>
        </w:rPr>
        <w:t>1.</w:t>
      </w:r>
      <w:r>
        <w:rPr>
          <w:rFonts w:ascii="宋体" w:hAnsi="宋体" w:eastAsia="宋体" w:cs="宋体"/>
          <w:spacing w:val="2"/>
          <w:sz w:val="21"/>
          <w:szCs w:val="21"/>
        </w:rPr>
        <w:t>招标文件将近年发生的诉讼和仲裁情况作为资格条件或评分项的，</w:t>
      </w:r>
      <w:r>
        <w:rPr>
          <w:rFonts w:ascii="宋体" w:hAnsi="宋体" w:eastAsia="宋体" w:cs="宋体"/>
          <w:spacing w:val="-57"/>
          <w:sz w:val="21"/>
          <w:szCs w:val="21"/>
        </w:rPr>
        <w:t xml:space="preserve"> </w:t>
      </w:r>
      <w:r>
        <w:rPr>
          <w:rFonts w:ascii="宋体" w:hAnsi="宋体" w:eastAsia="宋体" w:cs="宋体"/>
          <w:spacing w:val="2"/>
          <w:sz w:val="21"/>
          <w:szCs w:val="21"/>
        </w:rPr>
        <w:t>投标</w:t>
      </w:r>
      <w:r>
        <w:rPr>
          <w:rFonts w:ascii="宋体" w:hAnsi="宋体" w:eastAsia="宋体" w:cs="宋体"/>
          <w:spacing w:val="1"/>
          <w:sz w:val="21"/>
          <w:szCs w:val="21"/>
        </w:rPr>
        <w:t>人应当如实填报</w:t>
      </w:r>
      <w:r>
        <w:rPr>
          <w:rFonts w:ascii="宋体" w:hAnsi="宋体" w:eastAsia="宋体" w:cs="宋体"/>
          <w:spacing w:val="-2"/>
          <w:sz w:val="21"/>
          <w:szCs w:val="21"/>
        </w:rPr>
        <w:t>相关情况。没有可不填。</w:t>
      </w:r>
    </w:p>
    <w:p w14:paraId="531FD97B">
      <w:pPr>
        <w:spacing w:before="19" w:line="349" w:lineRule="auto"/>
        <w:ind w:left="849" w:hanging="214"/>
        <w:rPr>
          <w:rFonts w:ascii="宋体" w:hAnsi="宋体" w:eastAsia="宋体" w:cs="宋体"/>
          <w:sz w:val="21"/>
          <w:szCs w:val="21"/>
        </w:rPr>
      </w:pPr>
      <w:r>
        <w:rPr>
          <w:rFonts w:ascii="Times New Roman" w:hAnsi="Times New Roman" w:eastAsia="Times New Roman" w:cs="Times New Roman"/>
          <w:spacing w:val="3"/>
          <w:sz w:val="21"/>
          <w:szCs w:val="21"/>
        </w:rPr>
        <w:t>2.</w:t>
      </w:r>
      <w:r>
        <w:rPr>
          <w:rFonts w:ascii="宋体" w:hAnsi="宋体" w:eastAsia="宋体" w:cs="宋体"/>
          <w:spacing w:val="3"/>
          <w:sz w:val="21"/>
          <w:szCs w:val="21"/>
        </w:rPr>
        <w:t>近年发生的诉讼和仲裁情况仅限于申请人败诉的，且与签订或履行施工承包合同有关的</w:t>
      </w:r>
      <w:r>
        <w:rPr>
          <w:rFonts w:ascii="宋体" w:hAnsi="宋体" w:eastAsia="宋体" w:cs="宋体"/>
          <w:spacing w:val="2"/>
          <w:sz w:val="21"/>
          <w:szCs w:val="21"/>
        </w:rPr>
        <w:t>案件，不包括调解结案以及未终审判决的诉讼或未裁决的仲裁。附法院或</w:t>
      </w:r>
      <w:r>
        <w:rPr>
          <w:rFonts w:ascii="宋体" w:hAnsi="宋体" w:eastAsia="宋体" w:cs="宋体"/>
          <w:spacing w:val="1"/>
          <w:sz w:val="21"/>
          <w:szCs w:val="21"/>
        </w:rPr>
        <w:t>仲裁机构作出</w:t>
      </w:r>
      <w:r>
        <w:rPr>
          <w:rFonts w:ascii="宋体" w:hAnsi="宋体" w:eastAsia="宋体" w:cs="宋体"/>
          <w:sz w:val="21"/>
          <w:szCs w:val="21"/>
        </w:rPr>
        <w:t>的判决或裁决等有关法律文书。以仲裁裁决或判决书的制</w:t>
      </w:r>
      <w:r>
        <w:rPr>
          <w:rFonts w:ascii="宋体" w:hAnsi="宋体" w:eastAsia="宋体" w:cs="宋体"/>
          <w:spacing w:val="-1"/>
          <w:sz w:val="21"/>
          <w:szCs w:val="21"/>
        </w:rPr>
        <w:t>发时间为准。</w:t>
      </w:r>
    </w:p>
    <w:p w14:paraId="229100D3">
      <w:pPr>
        <w:spacing w:line="349" w:lineRule="auto"/>
        <w:rPr>
          <w:rFonts w:ascii="宋体" w:hAnsi="宋体" w:eastAsia="宋体" w:cs="宋体"/>
          <w:sz w:val="21"/>
          <w:szCs w:val="21"/>
        </w:rPr>
        <w:sectPr>
          <w:footerReference r:id="rId218" w:type="default"/>
          <w:pgSz w:w="11905" w:h="16843"/>
          <w:pgMar w:top="969" w:right="1355" w:bottom="1026" w:left="1480" w:header="0" w:footer="754" w:gutter="0"/>
          <w:cols w:space="0" w:num="1"/>
          <w:rtlGutter w:val="0"/>
          <w:docGrid w:linePitch="0" w:charSpace="0"/>
        </w:sectPr>
      </w:pPr>
    </w:p>
    <w:p w14:paraId="421B4DD9">
      <w:pPr>
        <w:pStyle w:val="5"/>
        <w:spacing w:line="265" w:lineRule="auto"/>
      </w:pPr>
    </w:p>
    <w:p w14:paraId="36B9C974">
      <w:pPr>
        <w:pStyle w:val="5"/>
        <w:spacing w:line="265" w:lineRule="auto"/>
      </w:pPr>
    </w:p>
    <w:p w14:paraId="29E5E7AA">
      <w:pPr>
        <w:pStyle w:val="5"/>
        <w:spacing w:line="266" w:lineRule="auto"/>
      </w:pPr>
    </w:p>
    <w:p w14:paraId="7F960182">
      <w:pPr>
        <w:pStyle w:val="5"/>
        <w:spacing w:line="266" w:lineRule="auto"/>
      </w:pPr>
    </w:p>
    <w:p w14:paraId="5F21B5AF">
      <w:pPr>
        <w:pStyle w:val="5"/>
        <w:spacing w:line="266" w:lineRule="auto"/>
      </w:pPr>
    </w:p>
    <w:p w14:paraId="6F6AE530">
      <w:pPr>
        <w:spacing w:before="78" w:line="233" w:lineRule="auto"/>
        <w:ind w:left="2803"/>
        <w:outlineLvl w:val="2"/>
        <w:rPr>
          <w:rFonts w:ascii="黑体" w:hAnsi="黑体" w:eastAsia="黑体" w:cs="黑体"/>
          <w:sz w:val="24"/>
          <w:szCs w:val="24"/>
        </w:rPr>
      </w:pPr>
      <w:bookmarkStart w:id="1400" w:name="bookmark464"/>
      <w:bookmarkEnd w:id="1400"/>
      <w:r>
        <w:rPr>
          <w:rFonts w:ascii="Times New Roman" w:hAnsi="Times New Roman" w:eastAsia="Times New Roman" w:cs="Times New Roman"/>
          <w:spacing w:val="-1"/>
          <w:sz w:val="24"/>
          <w:szCs w:val="24"/>
        </w:rPr>
        <w:t xml:space="preserve">5-3  </w:t>
      </w:r>
      <w:r>
        <w:rPr>
          <w:rFonts w:ascii="黑体" w:hAnsi="黑体" w:eastAsia="黑体" w:cs="黑体"/>
          <w:spacing w:val="-1"/>
          <w:sz w:val="24"/>
          <w:szCs w:val="24"/>
        </w:rPr>
        <w:t>近年投标人工程获奖情况表</w:t>
      </w:r>
    </w:p>
    <w:p w14:paraId="7B3EFE47">
      <w:pPr>
        <w:spacing w:before="142"/>
      </w:pP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02"/>
        <w:gridCol w:w="1799"/>
        <w:gridCol w:w="1439"/>
        <w:gridCol w:w="2164"/>
      </w:tblGrid>
      <w:tr w14:paraId="5BA9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0" w:type="dxa"/>
            <w:vAlign w:val="top"/>
          </w:tcPr>
          <w:p w14:paraId="77F68F95">
            <w:pPr>
              <w:pStyle w:val="11"/>
              <w:spacing w:before="163" w:line="222" w:lineRule="auto"/>
              <w:ind w:left="179"/>
            </w:pPr>
            <w:r>
              <w:rPr>
                <w:spacing w:val="-2"/>
              </w:rPr>
              <w:t>序号</w:t>
            </w:r>
          </w:p>
        </w:tc>
        <w:tc>
          <w:tcPr>
            <w:tcW w:w="2402" w:type="dxa"/>
            <w:vAlign w:val="top"/>
          </w:tcPr>
          <w:p w14:paraId="3AD9C874">
            <w:pPr>
              <w:pStyle w:val="11"/>
              <w:spacing w:before="164" w:line="221" w:lineRule="auto"/>
              <w:ind w:left="786"/>
            </w:pPr>
            <w:r>
              <w:rPr>
                <w:spacing w:val="-3"/>
              </w:rPr>
              <w:t>项目名称</w:t>
            </w:r>
          </w:p>
        </w:tc>
        <w:tc>
          <w:tcPr>
            <w:tcW w:w="1799" w:type="dxa"/>
            <w:vAlign w:val="top"/>
          </w:tcPr>
          <w:p w14:paraId="3F3BAF0B">
            <w:pPr>
              <w:pStyle w:val="11"/>
              <w:spacing w:before="163" w:line="221" w:lineRule="auto"/>
              <w:ind w:left="487"/>
            </w:pPr>
            <w:r>
              <w:rPr>
                <w:spacing w:val="-3"/>
              </w:rPr>
              <w:t>获奖名称</w:t>
            </w:r>
          </w:p>
        </w:tc>
        <w:tc>
          <w:tcPr>
            <w:tcW w:w="1439" w:type="dxa"/>
            <w:vAlign w:val="top"/>
          </w:tcPr>
          <w:p w14:paraId="7DDA24E5">
            <w:pPr>
              <w:pStyle w:val="11"/>
              <w:spacing w:before="163" w:line="221" w:lineRule="auto"/>
              <w:ind w:left="309"/>
            </w:pPr>
            <w:r>
              <w:rPr>
                <w:spacing w:val="-3"/>
              </w:rPr>
              <w:t>获奖日期</w:t>
            </w:r>
          </w:p>
        </w:tc>
        <w:tc>
          <w:tcPr>
            <w:tcW w:w="2164" w:type="dxa"/>
            <w:vAlign w:val="top"/>
          </w:tcPr>
          <w:p w14:paraId="4F004205">
            <w:pPr>
              <w:pStyle w:val="11"/>
              <w:spacing w:before="164" w:line="221" w:lineRule="auto"/>
              <w:ind w:left="666"/>
            </w:pPr>
            <w:r>
              <w:rPr>
                <w:spacing w:val="-2"/>
              </w:rPr>
              <w:t>颁奖单位</w:t>
            </w:r>
          </w:p>
        </w:tc>
      </w:tr>
      <w:tr w14:paraId="586F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2F8882DB">
            <w:pPr>
              <w:rPr>
                <w:rFonts w:ascii="Arial"/>
                <w:sz w:val="21"/>
              </w:rPr>
            </w:pPr>
          </w:p>
        </w:tc>
        <w:tc>
          <w:tcPr>
            <w:tcW w:w="2402" w:type="dxa"/>
            <w:vAlign w:val="top"/>
          </w:tcPr>
          <w:p w14:paraId="1307DB51">
            <w:pPr>
              <w:rPr>
                <w:rFonts w:ascii="Arial"/>
                <w:sz w:val="21"/>
              </w:rPr>
            </w:pPr>
          </w:p>
        </w:tc>
        <w:tc>
          <w:tcPr>
            <w:tcW w:w="1799" w:type="dxa"/>
            <w:vAlign w:val="top"/>
          </w:tcPr>
          <w:p w14:paraId="19394903">
            <w:pPr>
              <w:rPr>
                <w:rFonts w:ascii="Arial"/>
                <w:sz w:val="21"/>
              </w:rPr>
            </w:pPr>
          </w:p>
        </w:tc>
        <w:tc>
          <w:tcPr>
            <w:tcW w:w="1439" w:type="dxa"/>
            <w:vAlign w:val="top"/>
          </w:tcPr>
          <w:p w14:paraId="17365ECC">
            <w:pPr>
              <w:rPr>
                <w:rFonts w:ascii="Arial"/>
                <w:sz w:val="21"/>
              </w:rPr>
            </w:pPr>
          </w:p>
        </w:tc>
        <w:tc>
          <w:tcPr>
            <w:tcW w:w="2164" w:type="dxa"/>
            <w:vAlign w:val="top"/>
          </w:tcPr>
          <w:p w14:paraId="7EB55E8E">
            <w:pPr>
              <w:rPr>
                <w:rFonts w:ascii="Arial"/>
                <w:sz w:val="21"/>
              </w:rPr>
            </w:pPr>
          </w:p>
        </w:tc>
      </w:tr>
      <w:tr w14:paraId="12ECE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14:paraId="7E03B18E">
            <w:pPr>
              <w:rPr>
                <w:rFonts w:ascii="Arial"/>
                <w:sz w:val="21"/>
              </w:rPr>
            </w:pPr>
          </w:p>
        </w:tc>
        <w:tc>
          <w:tcPr>
            <w:tcW w:w="2402" w:type="dxa"/>
            <w:vAlign w:val="top"/>
          </w:tcPr>
          <w:p w14:paraId="561AC081">
            <w:pPr>
              <w:rPr>
                <w:rFonts w:ascii="Arial"/>
                <w:sz w:val="21"/>
              </w:rPr>
            </w:pPr>
          </w:p>
        </w:tc>
        <w:tc>
          <w:tcPr>
            <w:tcW w:w="1799" w:type="dxa"/>
            <w:vAlign w:val="top"/>
          </w:tcPr>
          <w:p w14:paraId="187A39C9">
            <w:pPr>
              <w:rPr>
                <w:rFonts w:ascii="Arial"/>
                <w:sz w:val="21"/>
              </w:rPr>
            </w:pPr>
          </w:p>
        </w:tc>
        <w:tc>
          <w:tcPr>
            <w:tcW w:w="1439" w:type="dxa"/>
            <w:vAlign w:val="top"/>
          </w:tcPr>
          <w:p w14:paraId="64BF2B94">
            <w:pPr>
              <w:rPr>
                <w:rFonts w:ascii="Arial"/>
                <w:sz w:val="21"/>
              </w:rPr>
            </w:pPr>
          </w:p>
        </w:tc>
        <w:tc>
          <w:tcPr>
            <w:tcW w:w="2164" w:type="dxa"/>
            <w:vAlign w:val="top"/>
          </w:tcPr>
          <w:p w14:paraId="6301FAE5">
            <w:pPr>
              <w:rPr>
                <w:rFonts w:ascii="Arial"/>
                <w:sz w:val="21"/>
              </w:rPr>
            </w:pPr>
          </w:p>
        </w:tc>
      </w:tr>
      <w:tr w14:paraId="5A96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4C30E611">
            <w:pPr>
              <w:rPr>
                <w:rFonts w:ascii="Arial"/>
                <w:sz w:val="21"/>
              </w:rPr>
            </w:pPr>
          </w:p>
        </w:tc>
        <w:tc>
          <w:tcPr>
            <w:tcW w:w="2402" w:type="dxa"/>
            <w:vAlign w:val="top"/>
          </w:tcPr>
          <w:p w14:paraId="7C785C81">
            <w:pPr>
              <w:rPr>
                <w:rFonts w:ascii="Arial"/>
                <w:sz w:val="21"/>
              </w:rPr>
            </w:pPr>
          </w:p>
        </w:tc>
        <w:tc>
          <w:tcPr>
            <w:tcW w:w="1799" w:type="dxa"/>
            <w:vAlign w:val="top"/>
          </w:tcPr>
          <w:p w14:paraId="035901D9">
            <w:pPr>
              <w:rPr>
                <w:rFonts w:ascii="Arial"/>
                <w:sz w:val="21"/>
              </w:rPr>
            </w:pPr>
          </w:p>
        </w:tc>
        <w:tc>
          <w:tcPr>
            <w:tcW w:w="1439" w:type="dxa"/>
            <w:vAlign w:val="top"/>
          </w:tcPr>
          <w:p w14:paraId="7C4B2D09">
            <w:pPr>
              <w:rPr>
                <w:rFonts w:ascii="Arial"/>
                <w:sz w:val="21"/>
              </w:rPr>
            </w:pPr>
          </w:p>
        </w:tc>
        <w:tc>
          <w:tcPr>
            <w:tcW w:w="2164" w:type="dxa"/>
            <w:vAlign w:val="top"/>
          </w:tcPr>
          <w:p w14:paraId="7F1CE5D0">
            <w:pPr>
              <w:rPr>
                <w:rFonts w:ascii="Arial"/>
                <w:sz w:val="21"/>
              </w:rPr>
            </w:pPr>
          </w:p>
        </w:tc>
      </w:tr>
      <w:tr w14:paraId="1465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1AE3E36A">
            <w:pPr>
              <w:rPr>
                <w:rFonts w:ascii="Arial"/>
                <w:sz w:val="21"/>
              </w:rPr>
            </w:pPr>
          </w:p>
        </w:tc>
        <w:tc>
          <w:tcPr>
            <w:tcW w:w="2402" w:type="dxa"/>
            <w:vAlign w:val="top"/>
          </w:tcPr>
          <w:p w14:paraId="031ACF1E">
            <w:pPr>
              <w:rPr>
                <w:rFonts w:ascii="Arial"/>
                <w:sz w:val="21"/>
              </w:rPr>
            </w:pPr>
          </w:p>
        </w:tc>
        <w:tc>
          <w:tcPr>
            <w:tcW w:w="1799" w:type="dxa"/>
            <w:vAlign w:val="top"/>
          </w:tcPr>
          <w:p w14:paraId="33BD00E6">
            <w:pPr>
              <w:rPr>
                <w:rFonts w:ascii="Arial"/>
                <w:sz w:val="21"/>
              </w:rPr>
            </w:pPr>
          </w:p>
        </w:tc>
        <w:tc>
          <w:tcPr>
            <w:tcW w:w="1439" w:type="dxa"/>
            <w:vAlign w:val="top"/>
          </w:tcPr>
          <w:p w14:paraId="46AA8F53">
            <w:pPr>
              <w:rPr>
                <w:rFonts w:ascii="Arial"/>
                <w:sz w:val="21"/>
              </w:rPr>
            </w:pPr>
          </w:p>
        </w:tc>
        <w:tc>
          <w:tcPr>
            <w:tcW w:w="2164" w:type="dxa"/>
            <w:vAlign w:val="top"/>
          </w:tcPr>
          <w:p w14:paraId="22363C06">
            <w:pPr>
              <w:rPr>
                <w:rFonts w:ascii="Arial"/>
                <w:sz w:val="21"/>
              </w:rPr>
            </w:pPr>
          </w:p>
        </w:tc>
      </w:tr>
      <w:tr w14:paraId="1F56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28161F11">
            <w:pPr>
              <w:rPr>
                <w:rFonts w:ascii="Arial"/>
                <w:sz w:val="21"/>
              </w:rPr>
            </w:pPr>
          </w:p>
        </w:tc>
        <w:tc>
          <w:tcPr>
            <w:tcW w:w="2402" w:type="dxa"/>
            <w:vAlign w:val="top"/>
          </w:tcPr>
          <w:p w14:paraId="0CC0ECF2">
            <w:pPr>
              <w:rPr>
                <w:rFonts w:ascii="Arial"/>
                <w:sz w:val="21"/>
              </w:rPr>
            </w:pPr>
          </w:p>
        </w:tc>
        <w:tc>
          <w:tcPr>
            <w:tcW w:w="1799" w:type="dxa"/>
            <w:vAlign w:val="top"/>
          </w:tcPr>
          <w:p w14:paraId="5A8C29C6">
            <w:pPr>
              <w:rPr>
                <w:rFonts w:ascii="Arial"/>
                <w:sz w:val="21"/>
              </w:rPr>
            </w:pPr>
          </w:p>
        </w:tc>
        <w:tc>
          <w:tcPr>
            <w:tcW w:w="1439" w:type="dxa"/>
            <w:vAlign w:val="top"/>
          </w:tcPr>
          <w:p w14:paraId="6FBECFE0">
            <w:pPr>
              <w:rPr>
                <w:rFonts w:ascii="Arial"/>
                <w:sz w:val="21"/>
              </w:rPr>
            </w:pPr>
          </w:p>
        </w:tc>
        <w:tc>
          <w:tcPr>
            <w:tcW w:w="2164" w:type="dxa"/>
            <w:vAlign w:val="top"/>
          </w:tcPr>
          <w:p w14:paraId="11B3DCEC">
            <w:pPr>
              <w:rPr>
                <w:rFonts w:ascii="Arial"/>
                <w:sz w:val="21"/>
              </w:rPr>
            </w:pPr>
          </w:p>
        </w:tc>
      </w:tr>
      <w:tr w14:paraId="297D3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3D4AB2DA">
            <w:pPr>
              <w:rPr>
                <w:rFonts w:ascii="Arial"/>
                <w:sz w:val="21"/>
              </w:rPr>
            </w:pPr>
          </w:p>
        </w:tc>
        <w:tc>
          <w:tcPr>
            <w:tcW w:w="2402" w:type="dxa"/>
            <w:vAlign w:val="top"/>
          </w:tcPr>
          <w:p w14:paraId="46EB75F0">
            <w:pPr>
              <w:rPr>
                <w:rFonts w:ascii="Arial"/>
                <w:sz w:val="21"/>
              </w:rPr>
            </w:pPr>
          </w:p>
        </w:tc>
        <w:tc>
          <w:tcPr>
            <w:tcW w:w="1799" w:type="dxa"/>
            <w:vAlign w:val="top"/>
          </w:tcPr>
          <w:p w14:paraId="0520F35A">
            <w:pPr>
              <w:rPr>
                <w:rFonts w:ascii="Arial"/>
                <w:sz w:val="21"/>
              </w:rPr>
            </w:pPr>
          </w:p>
        </w:tc>
        <w:tc>
          <w:tcPr>
            <w:tcW w:w="1439" w:type="dxa"/>
            <w:vAlign w:val="top"/>
          </w:tcPr>
          <w:p w14:paraId="2C581C5B">
            <w:pPr>
              <w:rPr>
                <w:rFonts w:ascii="Arial"/>
                <w:sz w:val="21"/>
              </w:rPr>
            </w:pPr>
          </w:p>
        </w:tc>
        <w:tc>
          <w:tcPr>
            <w:tcW w:w="2164" w:type="dxa"/>
            <w:vAlign w:val="top"/>
          </w:tcPr>
          <w:p w14:paraId="040780B1">
            <w:pPr>
              <w:rPr>
                <w:rFonts w:ascii="Arial"/>
                <w:sz w:val="21"/>
              </w:rPr>
            </w:pPr>
          </w:p>
        </w:tc>
      </w:tr>
      <w:tr w14:paraId="39BFC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3A06E5DF">
            <w:pPr>
              <w:rPr>
                <w:rFonts w:ascii="Arial"/>
                <w:sz w:val="21"/>
              </w:rPr>
            </w:pPr>
          </w:p>
        </w:tc>
        <w:tc>
          <w:tcPr>
            <w:tcW w:w="2402" w:type="dxa"/>
            <w:vAlign w:val="top"/>
          </w:tcPr>
          <w:p w14:paraId="2FEE5A44">
            <w:pPr>
              <w:rPr>
                <w:rFonts w:ascii="Arial"/>
                <w:sz w:val="21"/>
              </w:rPr>
            </w:pPr>
          </w:p>
        </w:tc>
        <w:tc>
          <w:tcPr>
            <w:tcW w:w="1799" w:type="dxa"/>
            <w:vAlign w:val="top"/>
          </w:tcPr>
          <w:p w14:paraId="200E0268">
            <w:pPr>
              <w:rPr>
                <w:rFonts w:ascii="Arial"/>
                <w:sz w:val="21"/>
              </w:rPr>
            </w:pPr>
          </w:p>
        </w:tc>
        <w:tc>
          <w:tcPr>
            <w:tcW w:w="1439" w:type="dxa"/>
            <w:vAlign w:val="top"/>
          </w:tcPr>
          <w:p w14:paraId="7BD57E14">
            <w:pPr>
              <w:rPr>
                <w:rFonts w:ascii="Arial"/>
                <w:sz w:val="21"/>
              </w:rPr>
            </w:pPr>
          </w:p>
        </w:tc>
        <w:tc>
          <w:tcPr>
            <w:tcW w:w="2164" w:type="dxa"/>
            <w:vAlign w:val="top"/>
          </w:tcPr>
          <w:p w14:paraId="64101286">
            <w:pPr>
              <w:rPr>
                <w:rFonts w:ascii="Arial"/>
                <w:sz w:val="21"/>
              </w:rPr>
            </w:pPr>
          </w:p>
        </w:tc>
      </w:tr>
      <w:tr w14:paraId="0D6C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15B4CF16">
            <w:pPr>
              <w:rPr>
                <w:rFonts w:ascii="Arial"/>
                <w:sz w:val="21"/>
              </w:rPr>
            </w:pPr>
          </w:p>
        </w:tc>
        <w:tc>
          <w:tcPr>
            <w:tcW w:w="2402" w:type="dxa"/>
            <w:vAlign w:val="top"/>
          </w:tcPr>
          <w:p w14:paraId="2547666A">
            <w:pPr>
              <w:rPr>
                <w:rFonts w:ascii="Arial"/>
                <w:sz w:val="21"/>
              </w:rPr>
            </w:pPr>
          </w:p>
        </w:tc>
        <w:tc>
          <w:tcPr>
            <w:tcW w:w="1799" w:type="dxa"/>
            <w:vAlign w:val="top"/>
          </w:tcPr>
          <w:p w14:paraId="042C5005">
            <w:pPr>
              <w:rPr>
                <w:rFonts w:ascii="Arial"/>
                <w:sz w:val="21"/>
              </w:rPr>
            </w:pPr>
          </w:p>
        </w:tc>
        <w:tc>
          <w:tcPr>
            <w:tcW w:w="1439" w:type="dxa"/>
            <w:vAlign w:val="top"/>
          </w:tcPr>
          <w:p w14:paraId="65ED23FF">
            <w:pPr>
              <w:rPr>
                <w:rFonts w:ascii="Arial"/>
                <w:sz w:val="21"/>
              </w:rPr>
            </w:pPr>
          </w:p>
        </w:tc>
        <w:tc>
          <w:tcPr>
            <w:tcW w:w="2164" w:type="dxa"/>
            <w:vAlign w:val="top"/>
          </w:tcPr>
          <w:p w14:paraId="132F0D6E">
            <w:pPr>
              <w:rPr>
                <w:rFonts w:ascii="Arial"/>
                <w:sz w:val="21"/>
              </w:rPr>
            </w:pPr>
          </w:p>
        </w:tc>
      </w:tr>
      <w:tr w14:paraId="6CCA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276E64FE">
            <w:pPr>
              <w:rPr>
                <w:rFonts w:ascii="Arial"/>
                <w:sz w:val="21"/>
              </w:rPr>
            </w:pPr>
          </w:p>
        </w:tc>
        <w:tc>
          <w:tcPr>
            <w:tcW w:w="2402" w:type="dxa"/>
            <w:vAlign w:val="top"/>
          </w:tcPr>
          <w:p w14:paraId="11C8DEDE">
            <w:pPr>
              <w:rPr>
                <w:rFonts w:ascii="Arial"/>
                <w:sz w:val="21"/>
              </w:rPr>
            </w:pPr>
          </w:p>
        </w:tc>
        <w:tc>
          <w:tcPr>
            <w:tcW w:w="1799" w:type="dxa"/>
            <w:vAlign w:val="top"/>
          </w:tcPr>
          <w:p w14:paraId="53F4A444">
            <w:pPr>
              <w:rPr>
                <w:rFonts w:ascii="Arial"/>
                <w:sz w:val="21"/>
              </w:rPr>
            </w:pPr>
          </w:p>
        </w:tc>
        <w:tc>
          <w:tcPr>
            <w:tcW w:w="1439" w:type="dxa"/>
            <w:vAlign w:val="top"/>
          </w:tcPr>
          <w:p w14:paraId="13E6EEF2">
            <w:pPr>
              <w:rPr>
                <w:rFonts w:ascii="Arial"/>
                <w:sz w:val="21"/>
              </w:rPr>
            </w:pPr>
          </w:p>
        </w:tc>
        <w:tc>
          <w:tcPr>
            <w:tcW w:w="2164" w:type="dxa"/>
            <w:vAlign w:val="top"/>
          </w:tcPr>
          <w:p w14:paraId="3353D0E0">
            <w:pPr>
              <w:rPr>
                <w:rFonts w:ascii="Arial"/>
                <w:sz w:val="21"/>
              </w:rPr>
            </w:pPr>
          </w:p>
        </w:tc>
      </w:tr>
      <w:tr w14:paraId="1ADD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5F7841EA">
            <w:pPr>
              <w:rPr>
                <w:rFonts w:ascii="Arial"/>
                <w:sz w:val="21"/>
              </w:rPr>
            </w:pPr>
          </w:p>
        </w:tc>
        <w:tc>
          <w:tcPr>
            <w:tcW w:w="2402" w:type="dxa"/>
            <w:vAlign w:val="top"/>
          </w:tcPr>
          <w:p w14:paraId="6F46482E">
            <w:pPr>
              <w:rPr>
                <w:rFonts w:ascii="Arial"/>
                <w:sz w:val="21"/>
              </w:rPr>
            </w:pPr>
          </w:p>
        </w:tc>
        <w:tc>
          <w:tcPr>
            <w:tcW w:w="1799" w:type="dxa"/>
            <w:vAlign w:val="top"/>
          </w:tcPr>
          <w:p w14:paraId="245A6446">
            <w:pPr>
              <w:rPr>
                <w:rFonts w:ascii="Arial"/>
                <w:sz w:val="21"/>
              </w:rPr>
            </w:pPr>
          </w:p>
        </w:tc>
        <w:tc>
          <w:tcPr>
            <w:tcW w:w="1439" w:type="dxa"/>
            <w:vAlign w:val="top"/>
          </w:tcPr>
          <w:p w14:paraId="4443CF5D">
            <w:pPr>
              <w:rPr>
                <w:rFonts w:ascii="Arial"/>
                <w:sz w:val="21"/>
              </w:rPr>
            </w:pPr>
          </w:p>
        </w:tc>
        <w:tc>
          <w:tcPr>
            <w:tcW w:w="2164" w:type="dxa"/>
            <w:vAlign w:val="top"/>
          </w:tcPr>
          <w:p w14:paraId="280046FF">
            <w:pPr>
              <w:rPr>
                <w:rFonts w:ascii="Arial"/>
                <w:sz w:val="21"/>
              </w:rPr>
            </w:pPr>
          </w:p>
        </w:tc>
      </w:tr>
      <w:tr w14:paraId="751F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7F836653">
            <w:pPr>
              <w:rPr>
                <w:rFonts w:ascii="Arial"/>
                <w:sz w:val="21"/>
              </w:rPr>
            </w:pPr>
          </w:p>
        </w:tc>
        <w:tc>
          <w:tcPr>
            <w:tcW w:w="2402" w:type="dxa"/>
            <w:vAlign w:val="top"/>
          </w:tcPr>
          <w:p w14:paraId="5356DB82">
            <w:pPr>
              <w:rPr>
                <w:rFonts w:ascii="Arial"/>
                <w:sz w:val="21"/>
              </w:rPr>
            </w:pPr>
          </w:p>
        </w:tc>
        <w:tc>
          <w:tcPr>
            <w:tcW w:w="1799" w:type="dxa"/>
            <w:vAlign w:val="top"/>
          </w:tcPr>
          <w:p w14:paraId="7810ABCA">
            <w:pPr>
              <w:rPr>
                <w:rFonts w:ascii="Arial"/>
                <w:sz w:val="21"/>
              </w:rPr>
            </w:pPr>
          </w:p>
        </w:tc>
        <w:tc>
          <w:tcPr>
            <w:tcW w:w="1439" w:type="dxa"/>
            <w:vAlign w:val="top"/>
          </w:tcPr>
          <w:p w14:paraId="320440F5">
            <w:pPr>
              <w:rPr>
                <w:rFonts w:ascii="Arial"/>
                <w:sz w:val="21"/>
              </w:rPr>
            </w:pPr>
          </w:p>
        </w:tc>
        <w:tc>
          <w:tcPr>
            <w:tcW w:w="2164" w:type="dxa"/>
            <w:vAlign w:val="top"/>
          </w:tcPr>
          <w:p w14:paraId="69D9A763">
            <w:pPr>
              <w:rPr>
                <w:rFonts w:ascii="Arial"/>
                <w:sz w:val="21"/>
              </w:rPr>
            </w:pPr>
          </w:p>
        </w:tc>
      </w:tr>
      <w:tr w14:paraId="2B8F9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5C7C0BCB">
            <w:pPr>
              <w:rPr>
                <w:rFonts w:ascii="Arial"/>
                <w:sz w:val="21"/>
              </w:rPr>
            </w:pPr>
          </w:p>
        </w:tc>
        <w:tc>
          <w:tcPr>
            <w:tcW w:w="2402" w:type="dxa"/>
            <w:vAlign w:val="top"/>
          </w:tcPr>
          <w:p w14:paraId="317729D2">
            <w:pPr>
              <w:rPr>
                <w:rFonts w:ascii="Arial"/>
                <w:sz w:val="21"/>
              </w:rPr>
            </w:pPr>
          </w:p>
        </w:tc>
        <w:tc>
          <w:tcPr>
            <w:tcW w:w="1799" w:type="dxa"/>
            <w:vAlign w:val="top"/>
          </w:tcPr>
          <w:p w14:paraId="6D12853D">
            <w:pPr>
              <w:rPr>
                <w:rFonts w:ascii="Arial"/>
                <w:sz w:val="21"/>
              </w:rPr>
            </w:pPr>
          </w:p>
        </w:tc>
        <w:tc>
          <w:tcPr>
            <w:tcW w:w="1439" w:type="dxa"/>
            <w:vAlign w:val="top"/>
          </w:tcPr>
          <w:p w14:paraId="2D1D63DF">
            <w:pPr>
              <w:rPr>
                <w:rFonts w:ascii="Arial"/>
                <w:sz w:val="21"/>
              </w:rPr>
            </w:pPr>
          </w:p>
        </w:tc>
        <w:tc>
          <w:tcPr>
            <w:tcW w:w="2164" w:type="dxa"/>
            <w:vAlign w:val="top"/>
          </w:tcPr>
          <w:p w14:paraId="4D5B92C5">
            <w:pPr>
              <w:rPr>
                <w:rFonts w:ascii="Arial"/>
                <w:sz w:val="21"/>
              </w:rPr>
            </w:pPr>
          </w:p>
        </w:tc>
      </w:tr>
      <w:tr w14:paraId="31C9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0" w:type="dxa"/>
            <w:vAlign w:val="top"/>
          </w:tcPr>
          <w:p w14:paraId="77EC0311">
            <w:pPr>
              <w:rPr>
                <w:rFonts w:ascii="Arial"/>
                <w:sz w:val="21"/>
              </w:rPr>
            </w:pPr>
          </w:p>
        </w:tc>
        <w:tc>
          <w:tcPr>
            <w:tcW w:w="2402" w:type="dxa"/>
            <w:vAlign w:val="top"/>
          </w:tcPr>
          <w:p w14:paraId="2552FE7A">
            <w:pPr>
              <w:rPr>
                <w:rFonts w:ascii="Arial"/>
                <w:sz w:val="21"/>
              </w:rPr>
            </w:pPr>
          </w:p>
        </w:tc>
        <w:tc>
          <w:tcPr>
            <w:tcW w:w="1799" w:type="dxa"/>
            <w:vAlign w:val="top"/>
          </w:tcPr>
          <w:p w14:paraId="3C21D02B">
            <w:pPr>
              <w:rPr>
                <w:rFonts w:ascii="Arial"/>
                <w:sz w:val="21"/>
              </w:rPr>
            </w:pPr>
          </w:p>
        </w:tc>
        <w:tc>
          <w:tcPr>
            <w:tcW w:w="1439" w:type="dxa"/>
            <w:vAlign w:val="top"/>
          </w:tcPr>
          <w:p w14:paraId="0EBB26BA">
            <w:pPr>
              <w:rPr>
                <w:rFonts w:ascii="Arial"/>
                <w:sz w:val="21"/>
              </w:rPr>
            </w:pPr>
          </w:p>
        </w:tc>
        <w:tc>
          <w:tcPr>
            <w:tcW w:w="2164" w:type="dxa"/>
            <w:vAlign w:val="top"/>
          </w:tcPr>
          <w:p w14:paraId="73E21D98">
            <w:pPr>
              <w:rPr>
                <w:rFonts w:ascii="Arial"/>
                <w:sz w:val="21"/>
              </w:rPr>
            </w:pPr>
          </w:p>
        </w:tc>
      </w:tr>
    </w:tbl>
    <w:p w14:paraId="50E8B0B4">
      <w:pPr>
        <w:spacing w:before="156" w:line="345" w:lineRule="auto"/>
        <w:ind w:left="849" w:hanging="839"/>
        <w:rPr>
          <w:rFonts w:ascii="宋体" w:hAnsi="宋体" w:eastAsia="宋体" w:cs="宋体"/>
          <w:sz w:val="21"/>
          <w:szCs w:val="21"/>
        </w:rPr>
      </w:pPr>
      <w:r>
        <w:rPr>
          <w:rFonts w:ascii="宋体" w:hAnsi="宋体" w:eastAsia="宋体" w:cs="宋体"/>
          <w:spacing w:val="3"/>
          <w:sz w:val="21"/>
          <w:szCs w:val="21"/>
        </w:rPr>
        <w:t>备注：</w:t>
      </w:r>
      <w:r>
        <w:rPr>
          <w:rFonts w:ascii="Times New Roman" w:hAnsi="Times New Roman" w:eastAsia="Times New Roman" w:cs="Times New Roman"/>
          <w:spacing w:val="3"/>
          <w:sz w:val="21"/>
          <w:szCs w:val="21"/>
        </w:rPr>
        <w:t>1.</w:t>
      </w:r>
      <w:r>
        <w:rPr>
          <w:rFonts w:ascii="宋体" w:hAnsi="宋体" w:eastAsia="宋体" w:cs="宋体"/>
          <w:spacing w:val="3"/>
          <w:sz w:val="21"/>
          <w:szCs w:val="21"/>
        </w:rPr>
        <w:t>本表后应附表彰文件、获奖证书及其他证明材料等。以表彰</w:t>
      </w:r>
      <w:r>
        <w:rPr>
          <w:rFonts w:ascii="宋体" w:hAnsi="宋体" w:eastAsia="宋体" w:cs="宋体"/>
          <w:spacing w:val="2"/>
          <w:sz w:val="21"/>
          <w:szCs w:val="21"/>
        </w:rPr>
        <w:t>文件、获奖证书的颁发时间</w:t>
      </w:r>
      <w:r>
        <w:rPr>
          <w:rFonts w:ascii="宋体" w:hAnsi="宋体" w:eastAsia="宋体" w:cs="宋体"/>
          <w:spacing w:val="-9"/>
          <w:sz w:val="21"/>
          <w:szCs w:val="21"/>
        </w:rPr>
        <w:t>为准。</w:t>
      </w:r>
    </w:p>
    <w:p w14:paraId="6228F854">
      <w:pPr>
        <w:spacing w:before="16" w:line="234" w:lineRule="auto"/>
        <w:ind w:left="635"/>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颁奖单位应当是国家机关或民政部门注册登记的合法颁奖单位。</w:t>
      </w:r>
    </w:p>
    <w:p w14:paraId="04C846D0">
      <w:pPr>
        <w:spacing w:line="234" w:lineRule="auto"/>
        <w:rPr>
          <w:rFonts w:ascii="宋体" w:hAnsi="宋体" w:eastAsia="宋体" w:cs="宋体"/>
          <w:sz w:val="21"/>
          <w:szCs w:val="21"/>
        </w:rPr>
        <w:sectPr>
          <w:footerReference r:id="rId219" w:type="default"/>
          <w:pgSz w:w="11905" w:h="16843"/>
          <w:pgMar w:top="969" w:right="1355" w:bottom="1026" w:left="1480" w:header="0" w:footer="754" w:gutter="0"/>
          <w:cols w:space="0" w:num="1"/>
          <w:rtlGutter w:val="0"/>
          <w:docGrid w:linePitch="0" w:charSpace="0"/>
        </w:sectPr>
      </w:pPr>
    </w:p>
    <w:p w14:paraId="7F35665D">
      <w:pPr>
        <w:pStyle w:val="5"/>
        <w:spacing w:line="265" w:lineRule="auto"/>
      </w:pPr>
    </w:p>
    <w:p w14:paraId="5CFBFAA1">
      <w:pPr>
        <w:pStyle w:val="5"/>
        <w:spacing w:line="265" w:lineRule="auto"/>
      </w:pPr>
    </w:p>
    <w:p w14:paraId="113026A3">
      <w:pPr>
        <w:pStyle w:val="5"/>
        <w:spacing w:line="266" w:lineRule="auto"/>
      </w:pPr>
    </w:p>
    <w:p w14:paraId="292DD52D">
      <w:pPr>
        <w:pStyle w:val="5"/>
        <w:spacing w:line="266" w:lineRule="auto"/>
      </w:pPr>
    </w:p>
    <w:p w14:paraId="2902F4B4">
      <w:pPr>
        <w:pStyle w:val="5"/>
        <w:spacing w:line="266" w:lineRule="auto"/>
      </w:pPr>
    </w:p>
    <w:p w14:paraId="434EF2E1">
      <w:pPr>
        <w:spacing w:before="78" w:line="233" w:lineRule="auto"/>
        <w:ind w:left="2683"/>
        <w:outlineLvl w:val="2"/>
        <w:rPr>
          <w:rFonts w:ascii="黑体" w:hAnsi="黑体" w:eastAsia="黑体" w:cs="黑体"/>
          <w:sz w:val="24"/>
          <w:szCs w:val="24"/>
        </w:rPr>
      </w:pPr>
      <w:bookmarkStart w:id="1401" w:name="bookmark465"/>
      <w:bookmarkEnd w:id="1401"/>
      <w:r>
        <w:rPr>
          <w:rFonts w:ascii="Times New Roman" w:hAnsi="Times New Roman" w:eastAsia="Times New Roman" w:cs="Times New Roman"/>
          <w:spacing w:val="-1"/>
          <w:sz w:val="24"/>
          <w:szCs w:val="24"/>
        </w:rPr>
        <w:t xml:space="preserve">5-4  </w:t>
      </w:r>
      <w:r>
        <w:rPr>
          <w:rFonts w:ascii="黑体" w:hAnsi="黑体" w:eastAsia="黑体" w:cs="黑体"/>
          <w:spacing w:val="-1"/>
          <w:sz w:val="24"/>
          <w:szCs w:val="24"/>
        </w:rPr>
        <w:t>近年项目经理工程获奖情况表</w:t>
      </w:r>
    </w:p>
    <w:p w14:paraId="119B8E3E">
      <w:pPr>
        <w:spacing w:before="142"/>
      </w:pP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02"/>
        <w:gridCol w:w="1799"/>
        <w:gridCol w:w="1439"/>
        <w:gridCol w:w="2164"/>
      </w:tblGrid>
      <w:tr w14:paraId="37C7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0" w:type="dxa"/>
            <w:vAlign w:val="top"/>
          </w:tcPr>
          <w:p w14:paraId="39673EBC">
            <w:pPr>
              <w:pStyle w:val="11"/>
              <w:spacing w:before="163" w:line="222" w:lineRule="auto"/>
              <w:ind w:left="179"/>
            </w:pPr>
            <w:r>
              <w:rPr>
                <w:spacing w:val="-2"/>
              </w:rPr>
              <w:t>序号</w:t>
            </w:r>
          </w:p>
        </w:tc>
        <w:tc>
          <w:tcPr>
            <w:tcW w:w="2402" w:type="dxa"/>
            <w:vAlign w:val="top"/>
          </w:tcPr>
          <w:p w14:paraId="1D89E40C">
            <w:pPr>
              <w:pStyle w:val="11"/>
              <w:spacing w:before="164" w:line="221" w:lineRule="auto"/>
              <w:ind w:left="786"/>
            </w:pPr>
            <w:r>
              <w:rPr>
                <w:spacing w:val="-3"/>
              </w:rPr>
              <w:t>项目名称</w:t>
            </w:r>
          </w:p>
        </w:tc>
        <w:tc>
          <w:tcPr>
            <w:tcW w:w="1799" w:type="dxa"/>
            <w:vAlign w:val="top"/>
          </w:tcPr>
          <w:p w14:paraId="1C28A306">
            <w:pPr>
              <w:pStyle w:val="11"/>
              <w:spacing w:before="163" w:line="221" w:lineRule="auto"/>
              <w:ind w:left="487"/>
            </w:pPr>
            <w:r>
              <w:rPr>
                <w:spacing w:val="-3"/>
              </w:rPr>
              <w:t>获奖名称</w:t>
            </w:r>
          </w:p>
        </w:tc>
        <w:tc>
          <w:tcPr>
            <w:tcW w:w="1439" w:type="dxa"/>
            <w:vAlign w:val="top"/>
          </w:tcPr>
          <w:p w14:paraId="302F7648">
            <w:pPr>
              <w:pStyle w:val="11"/>
              <w:spacing w:before="163" w:line="221" w:lineRule="auto"/>
              <w:ind w:left="309"/>
            </w:pPr>
            <w:r>
              <w:rPr>
                <w:spacing w:val="-3"/>
              </w:rPr>
              <w:t>获奖日期</w:t>
            </w:r>
          </w:p>
        </w:tc>
        <w:tc>
          <w:tcPr>
            <w:tcW w:w="2164" w:type="dxa"/>
            <w:vAlign w:val="top"/>
          </w:tcPr>
          <w:p w14:paraId="5D0C81C0">
            <w:pPr>
              <w:pStyle w:val="11"/>
              <w:spacing w:before="164" w:line="221" w:lineRule="auto"/>
              <w:ind w:left="666"/>
            </w:pPr>
            <w:r>
              <w:rPr>
                <w:spacing w:val="-2"/>
              </w:rPr>
              <w:t>颁奖单位</w:t>
            </w:r>
          </w:p>
        </w:tc>
      </w:tr>
      <w:tr w14:paraId="744B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180C6087">
            <w:pPr>
              <w:rPr>
                <w:rFonts w:ascii="Arial"/>
                <w:sz w:val="21"/>
              </w:rPr>
            </w:pPr>
          </w:p>
        </w:tc>
        <w:tc>
          <w:tcPr>
            <w:tcW w:w="2402" w:type="dxa"/>
            <w:vAlign w:val="top"/>
          </w:tcPr>
          <w:p w14:paraId="50ABE672">
            <w:pPr>
              <w:rPr>
                <w:rFonts w:ascii="Arial"/>
                <w:sz w:val="21"/>
              </w:rPr>
            </w:pPr>
          </w:p>
        </w:tc>
        <w:tc>
          <w:tcPr>
            <w:tcW w:w="1799" w:type="dxa"/>
            <w:vAlign w:val="top"/>
          </w:tcPr>
          <w:p w14:paraId="77498BC9">
            <w:pPr>
              <w:rPr>
                <w:rFonts w:ascii="Arial"/>
                <w:sz w:val="21"/>
              </w:rPr>
            </w:pPr>
          </w:p>
        </w:tc>
        <w:tc>
          <w:tcPr>
            <w:tcW w:w="1439" w:type="dxa"/>
            <w:vAlign w:val="top"/>
          </w:tcPr>
          <w:p w14:paraId="171D4631">
            <w:pPr>
              <w:rPr>
                <w:rFonts w:ascii="Arial"/>
                <w:sz w:val="21"/>
              </w:rPr>
            </w:pPr>
          </w:p>
        </w:tc>
        <w:tc>
          <w:tcPr>
            <w:tcW w:w="2164" w:type="dxa"/>
            <w:vAlign w:val="top"/>
          </w:tcPr>
          <w:p w14:paraId="09C334E8">
            <w:pPr>
              <w:rPr>
                <w:rFonts w:ascii="Arial"/>
                <w:sz w:val="21"/>
              </w:rPr>
            </w:pPr>
          </w:p>
        </w:tc>
      </w:tr>
      <w:tr w14:paraId="5F9B5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14:paraId="07EEF057">
            <w:pPr>
              <w:rPr>
                <w:rFonts w:ascii="Arial"/>
                <w:sz w:val="21"/>
              </w:rPr>
            </w:pPr>
          </w:p>
        </w:tc>
        <w:tc>
          <w:tcPr>
            <w:tcW w:w="2402" w:type="dxa"/>
            <w:vAlign w:val="top"/>
          </w:tcPr>
          <w:p w14:paraId="2D64DDE8">
            <w:pPr>
              <w:rPr>
                <w:rFonts w:ascii="Arial"/>
                <w:sz w:val="21"/>
              </w:rPr>
            </w:pPr>
          </w:p>
        </w:tc>
        <w:tc>
          <w:tcPr>
            <w:tcW w:w="1799" w:type="dxa"/>
            <w:vAlign w:val="top"/>
          </w:tcPr>
          <w:p w14:paraId="2491E713">
            <w:pPr>
              <w:rPr>
                <w:rFonts w:ascii="Arial"/>
                <w:sz w:val="21"/>
              </w:rPr>
            </w:pPr>
          </w:p>
        </w:tc>
        <w:tc>
          <w:tcPr>
            <w:tcW w:w="1439" w:type="dxa"/>
            <w:vAlign w:val="top"/>
          </w:tcPr>
          <w:p w14:paraId="7D99D917">
            <w:pPr>
              <w:rPr>
                <w:rFonts w:ascii="Arial"/>
                <w:sz w:val="21"/>
              </w:rPr>
            </w:pPr>
          </w:p>
        </w:tc>
        <w:tc>
          <w:tcPr>
            <w:tcW w:w="2164" w:type="dxa"/>
            <w:vAlign w:val="top"/>
          </w:tcPr>
          <w:p w14:paraId="03624945">
            <w:pPr>
              <w:rPr>
                <w:rFonts w:ascii="Arial"/>
                <w:sz w:val="21"/>
              </w:rPr>
            </w:pPr>
          </w:p>
        </w:tc>
      </w:tr>
      <w:tr w14:paraId="0F91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259865BF">
            <w:pPr>
              <w:rPr>
                <w:rFonts w:ascii="Arial"/>
                <w:sz w:val="21"/>
              </w:rPr>
            </w:pPr>
          </w:p>
        </w:tc>
        <w:tc>
          <w:tcPr>
            <w:tcW w:w="2402" w:type="dxa"/>
            <w:vAlign w:val="top"/>
          </w:tcPr>
          <w:p w14:paraId="18D83401">
            <w:pPr>
              <w:rPr>
                <w:rFonts w:ascii="Arial"/>
                <w:sz w:val="21"/>
              </w:rPr>
            </w:pPr>
          </w:p>
        </w:tc>
        <w:tc>
          <w:tcPr>
            <w:tcW w:w="1799" w:type="dxa"/>
            <w:vAlign w:val="top"/>
          </w:tcPr>
          <w:p w14:paraId="7BFEA7BC">
            <w:pPr>
              <w:rPr>
                <w:rFonts w:ascii="Arial"/>
                <w:sz w:val="21"/>
              </w:rPr>
            </w:pPr>
          </w:p>
        </w:tc>
        <w:tc>
          <w:tcPr>
            <w:tcW w:w="1439" w:type="dxa"/>
            <w:vAlign w:val="top"/>
          </w:tcPr>
          <w:p w14:paraId="364BD008">
            <w:pPr>
              <w:rPr>
                <w:rFonts w:ascii="Arial"/>
                <w:sz w:val="21"/>
              </w:rPr>
            </w:pPr>
          </w:p>
        </w:tc>
        <w:tc>
          <w:tcPr>
            <w:tcW w:w="2164" w:type="dxa"/>
            <w:vAlign w:val="top"/>
          </w:tcPr>
          <w:p w14:paraId="10B82015">
            <w:pPr>
              <w:rPr>
                <w:rFonts w:ascii="Arial"/>
                <w:sz w:val="21"/>
              </w:rPr>
            </w:pPr>
          </w:p>
        </w:tc>
      </w:tr>
      <w:tr w14:paraId="435EE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7FC91C6A">
            <w:pPr>
              <w:rPr>
                <w:rFonts w:ascii="Arial"/>
                <w:sz w:val="21"/>
              </w:rPr>
            </w:pPr>
          </w:p>
        </w:tc>
        <w:tc>
          <w:tcPr>
            <w:tcW w:w="2402" w:type="dxa"/>
            <w:vAlign w:val="top"/>
          </w:tcPr>
          <w:p w14:paraId="11C97008">
            <w:pPr>
              <w:rPr>
                <w:rFonts w:ascii="Arial"/>
                <w:sz w:val="21"/>
              </w:rPr>
            </w:pPr>
          </w:p>
        </w:tc>
        <w:tc>
          <w:tcPr>
            <w:tcW w:w="1799" w:type="dxa"/>
            <w:vAlign w:val="top"/>
          </w:tcPr>
          <w:p w14:paraId="32B0713F">
            <w:pPr>
              <w:rPr>
                <w:rFonts w:ascii="Arial"/>
                <w:sz w:val="21"/>
              </w:rPr>
            </w:pPr>
          </w:p>
        </w:tc>
        <w:tc>
          <w:tcPr>
            <w:tcW w:w="1439" w:type="dxa"/>
            <w:vAlign w:val="top"/>
          </w:tcPr>
          <w:p w14:paraId="1E34F130">
            <w:pPr>
              <w:rPr>
                <w:rFonts w:ascii="Arial"/>
                <w:sz w:val="21"/>
              </w:rPr>
            </w:pPr>
          </w:p>
        </w:tc>
        <w:tc>
          <w:tcPr>
            <w:tcW w:w="2164" w:type="dxa"/>
            <w:vAlign w:val="top"/>
          </w:tcPr>
          <w:p w14:paraId="4C24F39F">
            <w:pPr>
              <w:rPr>
                <w:rFonts w:ascii="Arial"/>
                <w:sz w:val="21"/>
              </w:rPr>
            </w:pPr>
          </w:p>
        </w:tc>
      </w:tr>
      <w:tr w14:paraId="093F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0C320BD7">
            <w:pPr>
              <w:rPr>
                <w:rFonts w:ascii="Arial"/>
                <w:sz w:val="21"/>
              </w:rPr>
            </w:pPr>
          </w:p>
        </w:tc>
        <w:tc>
          <w:tcPr>
            <w:tcW w:w="2402" w:type="dxa"/>
            <w:vAlign w:val="top"/>
          </w:tcPr>
          <w:p w14:paraId="1DCF5727">
            <w:pPr>
              <w:rPr>
                <w:rFonts w:ascii="Arial"/>
                <w:sz w:val="21"/>
              </w:rPr>
            </w:pPr>
          </w:p>
        </w:tc>
        <w:tc>
          <w:tcPr>
            <w:tcW w:w="1799" w:type="dxa"/>
            <w:vAlign w:val="top"/>
          </w:tcPr>
          <w:p w14:paraId="4C642584">
            <w:pPr>
              <w:rPr>
                <w:rFonts w:ascii="Arial"/>
                <w:sz w:val="21"/>
              </w:rPr>
            </w:pPr>
          </w:p>
        </w:tc>
        <w:tc>
          <w:tcPr>
            <w:tcW w:w="1439" w:type="dxa"/>
            <w:vAlign w:val="top"/>
          </w:tcPr>
          <w:p w14:paraId="0D222DA2">
            <w:pPr>
              <w:rPr>
                <w:rFonts w:ascii="Arial"/>
                <w:sz w:val="21"/>
              </w:rPr>
            </w:pPr>
          </w:p>
        </w:tc>
        <w:tc>
          <w:tcPr>
            <w:tcW w:w="2164" w:type="dxa"/>
            <w:vAlign w:val="top"/>
          </w:tcPr>
          <w:p w14:paraId="4773F9CF">
            <w:pPr>
              <w:rPr>
                <w:rFonts w:ascii="Arial"/>
                <w:sz w:val="21"/>
              </w:rPr>
            </w:pPr>
          </w:p>
        </w:tc>
      </w:tr>
      <w:tr w14:paraId="6D4F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41EE373B">
            <w:pPr>
              <w:rPr>
                <w:rFonts w:ascii="Arial"/>
                <w:sz w:val="21"/>
              </w:rPr>
            </w:pPr>
          </w:p>
        </w:tc>
        <w:tc>
          <w:tcPr>
            <w:tcW w:w="2402" w:type="dxa"/>
            <w:vAlign w:val="top"/>
          </w:tcPr>
          <w:p w14:paraId="34EFC778">
            <w:pPr>
              <w:rPr>
                <w:rFonts w:ascii="Arial"/>
                <w:sz w:val="21"/>
              </w:rPr>
            </w:pPr>
          </w:p>
        </w:tc>
        <w:tc>
          <w:tcPr>
            <w:tcW w:w="1799" w:type="dxa"/>
            <w:vAlign w:val="top"/>
          </w:tcPr>
          <w:p w14:paraId="3C0F8F2C">
            <w:pPr>
              <w:rPr>
                <w:rFonts w:ascii="Arial"/>
                <w:sz w:val="21"/>
              </w:rPr>
            </w:pPr>
          </w:p>
        </w:tc>
        <w:tc>
          <w:tcPr>
            <w:tcW w:w="1439" w:type="dxa"/>
            <w:vAlign w:val="top"/>
          </w:tcPr>
          <w:p w14:paraId="762D952D">
            <w:pPr>
              <w:rPr>
                <w:rFonts w:ascii="Arial"/>
                <w:sz w:val="21"/>
              </w:rPr>
            </w:pPr>
          </w:p>
        </w:tc>
        <w:tc>
          <w:tcPr>
            <w:tcW w:w="2164" w:type="dxa"/>
            <w:vAlign w:val="top"/>
          </w:tcPr>
          <w:p w14:paraId="2A38D86F">
            <w:pPr>
              <w:rPr>
                <w:rFonts w:ascii="Arial"/>
                <w:sz w:val="21"/>
              </w:rPr>
            </w:pPr>
          </w:p>
        </w:tc>
      </w:tr>
      <w:tr w14:paraId="1955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4C0AA5C5">
            <w:pPr>
              <w:rPr>
                <w:rFonts w:ascii="Arial"/>
                <w:sz w:val="21"/>
              </w:rPr>
            </w:pPr>
          </w:p>
        </w:tc>
        <w:tc>
          <w:tcPr>
            <w:tcW w:w="2402" w:type="dxa"/>
            <w:vAlign w:val="top"/>
          </w:tcPr>
          <w:p w14:paraId="6059EE18">
            <w:pPr>
              <w:rPr>
                <w:rFonts w:ascii="Arial"/>
                <w:sz w:val="21"/>
              </w:rPr>
            </w:pPr>
          </w:p>
        </w:tc>
        <w:tc>
          <w:tcPr>
            <w:tcW w:w="1799" w:type="dxa"/>
            <w:vAlign w:val="top"/>
          </w:tcPr>
          <w:p w14:paraId="7A32F641">
            <w:pPr>
              <w:rPr>
                <w:rFonts w:ascii="Arial"/>
                <w:sz w:val="21"/>
              </w:rPr>
            </w:pPr>
          </w:p>
        </w:tc>
        <w:tc>
          <w:tcPr>
            <w:tcW w:w="1439" w:type="dxa"/>
            <w:vAlign w:val="top"/>
          </w:tcPr>
          <w:p w14:paraId="77681902">
            <w:pPr>
              <w:rPr>
                <w:rFonts w:ascii="Arial"/>
                <w:sz w:val="21"/>
              </w:rPr>
            </w:pPr>
          </w:p>
        </w:tc>
        <w:tc>
          <w:tcPr>
            <w:tcW w:w="2164" w:type="dxa"/>
            <w:vAlign w:val="top"/>
          </w:tcPr>
          <w:p w14:paraId="2CA00527">
            <w:pPr>
              <w:rPr>
                <w:rFonts w:ascii="Arial"/>
                <w:sz w:val="21"/>
              </w:rPr>
            </w:pPr>
          </w:p>
        </w:tc>
      </w:tr>
      <w:tr w14:paraId="1BD7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644BD3CB">
            <w:pPr>
              <w:rPr>
                <w:rFonts w:ascii="Arial"/>
                <w:sz w:val="21"/>
              </w:rPr>
            </w:pPr>
          </w:p>
        </w:tc>
        <w:tc>
          <w:tcPr>
            <w:tcW w:w="2402" w:type="dxa"/>
            <w:vAlign w:val="top"/>
          </w:tcPr>
          <w:p w14:paraId="18863AE2">
            <w:pPr>
              <w:rPr>
                <w:rFonts w:ascii="Arial"/>
                <w:sz w:val="21"/>
              </w:rPr>
            </w:pPr>
          </w:p>
        </w:tc>
        <w:tc>
          <w:tcPr>
            <w:tcW w:w="1799" w:type="dxa"/>
            <w:vAlign w:val="top"/>
          </w:tcPr>
          <w:p w14:paraId="08F3573E">
            <w:pPr>
              <w:rPr>
                <w:rFonts w:ascii="Arial"/>
                <w:sz w:val="21"/>
              </w:rPr>
            </w:pPr>
          </w:p>
        </w:tc>
        <w:tc>
          <w:tcPr>
            <w:tcW w:w="1439" w:type="dxa"/>
            <w:vAlign w:val="top"/>
          </w:tcPr>
          <w:p w14:paraId="46B91BF7">
            <w:pPr>
              <w:rPr>
                <w:rFonts w:ascii="Arial"/>
                <w:sz w:val="21"/>
              </w:rPr>
            </w:pPr>
          </w:p>
        </w:tc>
        <w:tc>
          <w:tcPr>
            <w:tcW w:w="2164" w:type="dxa"/>
            <w:vAlign w:val="top"/>
          </w:tcPr>
          <w:p w14:paraId="399FB9E1">
            <w:pPr>
              <w:rPr>
                <w:rFonts w:ascii="Arial"/>
                <w:sz w:val="21"/>
              </w:rPr>
            </w:pPr>
          </w:p>
        </w:tc>
      </w:tr>
      <w:tr w14:paraId="3E47A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194E19C3">
            <w:pPr>
              <w:rPr>
                <w:rFonts w:ascii="Arial"/>
                <w:sz w:val="21"/>
              </w:rPr>
            </w:pPr>
          </w:p>
        </w:tc>
        <w:tc>
          <w:tcPr>
            <w:tcW w:w="2402" w:type="dxa"/>
            <w:vAlign w:val="top"/>
          </w:tcPr>
          <w:p w14:paraId="23C33FB7">
            <w:pPr>
              <w:rPr>
                <w:rFonts w:ascii="Arial"/>
                <w:sz w:val="21"/>
              </w:rPr>
            </w:pPr>
          </w:p>
        </w:tc>
        <w:tc>
          <w:tcPr>
            <w:tcW w:w="1799" w:type="dxa"/>
            <w:vAlign w:val="top"/>
          </w:tcPr>
          <w:p w14:paraId="4D5D03C1">
            <w:pPr>
              <w:rPr>
                <w:rFonts w:ascii="Arial"/>
                <w:sz w:val="21"/>
              </w:rPr>
            </w:pPr>
          </w:p>
        </w:tc>
        <w:tc>
          <w:tcPr>
            <w:tcW w:w="1439" w:type="dxa"/>
            <w:vAlign w:val="top"/>
          </w:tcPr>
          <w:p w14:paraId="77CFD2E5">
            <w:pPr>
              <w:rPr>
                <w:rFonts w:ascii="Arial"/>
                <w:sz w:val="21"/>
              </w:rPr>
            </w:pPr>
          </w:p>
        </w:tc>
        <w:tc>
          <w:tcPr>
            <w:tcW w:w="2164" w:type="dxa"/>
            <w:vAlign w:val="top"/>
          </w:tcPr>
          <w:p w14:paraId="6F0BFEB8">
            <w:pPr>
              <w:rPr>
                <w:rFonts w:ascii="Arial"/>
                <w:sz w:val="21"/>
              </w:rPr>
            </w:pPr>
          </w:p>
        </w:tc>
      </w:tr>
      <w:tr w14:paraId="67E2F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53D9C007">
            <w:pPr>
              <w:rPr>
                <w:rFonts w:ascii="Arial"/>
                <w:sz w:val="21"/>
              </w:rPr>
            </w:pPr>
          </w:p>
        </w:tc>
        <w:tc>
          <w:tcPr>
            <w:tcW w:w="2402" w:type="dxa"/>
            <w:vAlign w:val="top"/>
          </w:tcPr>
          <w:p w14:paraId="4C4D1729">
            <w:pPr>
              <w:rPr>
                <w:rFonts w:ascii="Arial"/>
                <w:sz w:val="21"/>
              </w:rPr>
            </w:pPr>
          </w:p>
        </w:tc>
        <w:tc>
          <w:tcPr>
            <w:tcW w:w="1799" w:type="dxa"/>
            <w:vAlign w:val="top"/>
          </w:tcPr>
          <w:p w14:paraId="53B46D45">
            <w:pPr>
              <w:rPr>
                <w:rFonts w:ascii="Arial"/>
                <w:sz w:val="21"/>
              </w:rPr>
            </w:pPr>
          </w:p>
        </w:tc>
        <w:tc>
          <w:tcPr>
            <w:tcW w:w="1439" w:type="dxa"/>
            <w:vAlign w:val="top"/>
          </w:tcPr>
          <w:p w14:paraId="01EBD5BC">
            <w:pPr>
              <w:rPr>
                <w:rFonts w:ascii="Arial"/>
                <w:sz w:val="21"/>
              </w:rPr>
            </w:pPr>
          </w:p>
        </w:tc>
        <w:tc>
          <w:tcPr>
            <w:tcW w:w="2164" w:type="dxa"/>
            <w:vAlign w:val="top"/>
          </w:tcPr>
          <w:p w14:paraId="44C51F10">
            <w:pPr>
              <w:rPr>
                <w:rFonts w:ascii="Arial"/>
                <w:sz w:val="21"/>
              </w:rPr>
            </w:pPr>
          </w:p>
        </w:tc>
      </w:tr>
      <w:tr w14:paraId="0DFEA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5E70FA25">
            <w:pPr>
              <w:rPr>
                <w:rFonts w:ascii="Arial"/>
                <w:sz w:val="21"/>
              </w:rPr>
            </w:pPr>
          </w:p>
        </w:tc>
        <w:tc>
          <w:tcPr>
            <w:tcW w:w="2402" w:type="dxa"/>
            <w:vAlign w:val="top"/>
          </w:tcPr>
          <w:p w14:paraId="7778974B">
            <w:pPr>
              <w:rPr>
                <w:rFonts w:ascii="Arial"/>
                <w:sz w:val="21"/>
              </w:rPr>
            </w:pPr>
          </w:p>
        </w:tc>
        <w:tc>
          <w:tcPr>
            <w:tcW w:w="1799" w:type="dxa"/>
            <w:vAlign w:val="top"/>
          </w:tcPr>
          <w:p w14:paraId="7C87B9A3">
            <w:pPr>
              <w:rPr>
                <w:rFonts w:ascii="Arial"/>
                <w:sz w:val="21"/>
              </w:rPr>
            </w:pPr>
          </w:p>
        </w:tc>
        <w:tc>
          <w:tcPr>
            <w:tcW w:w="1439" w:type="dxa"/>
            <w:vAlign w:val="top"/>
          </w:tcPr>
          <w:p w14:paraId="33696F19">
            <w:pPr>
              <w:rPr>
                <w:rFonts w:ascii="Arial"/>
                <w:sz w:val="21"/>
              </w:rPr>
            </w:pPr>
          </w:p>
        </w:tc>
        <w:tc>
          <w:tcPr>
            <w:tcW w:w="2164" w:type="dxa"/>
            <w:vAlign w:val="top"/>
          </w:tcPr>
          <w:p w14:paraId="35DBA04E">
            <w:pPr>
              <w:rPr>
                <w:rFonts w:ascii="Arial"/>
                <w:sz w:val="21"/>
              </w:rPr>
            </w:pPr>
          </w:p>
        </w:tc>
      </w:tr>
      <w:tr w14:paraId="0A8C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0C555F29">
            <w:pPr>
              <w:rPr>
                <w:rFonts w:ascii="Arial"/>
                <w:sz w:val="21"/>
              </w:rPr>
            </w:pPr>
          </w:p>
        </w:tc>
        <w:tc>
          <w:tcPr>
            <w:tcW w:w="2402" w:type="dxa"/>
            <w:vAlign w:val="top"/>
          </w:tcPr>
          <w:p w14:paraId="2F2B7FC4">
            <w:pPr>
              <w:rPr>
                <w:rFonts w:ascii="Arial"/>
                <w:sz w:val="21"/>
              </w:rPr>
            </w:pPr>
          </w:p>
        </w:tc>
        <w:tc>
          <w:tcPr>
            <w:tcW w:w="1799" w:type="dxa"/>
            <w:vAlign w:val="top"/>
          </w:tcPr>
          <w:p w14:paraId="5B788E12">
            <w:pPr>
              <w:rPr>
                <w:rFonts w:ascii="Arial"/>
                <w:sz w:val="21"/>
              </w:rPr>
            </w:pPr>
          </w:p>
        </w:tc>
        <w:tc>
          <w:tcPr>
            <w:tcW w:w="1439" w:type="dxa"/>
            <w:vAlign w:val="top"/>
          </w:tcPr>
          <w:p w14:paraId="65927821">
            <w:pPr>
              <w:rPr>
                <w:rFonts w:ascii="Arial"/>
                <w:sz w:val="21"/>
              </w:rPr>
            </w:pPr>
          </w:p>
        </w:tc>
        <w:tc>
          <w:tcPr>
            <w:tcW w:w="2164" w:type="dxa"/>
            <w:vAlign w:val="top"/>
          </w:tcPr>
          <w:p w14:paraId="78264F9F">
            <w:pPr>
              <w:rPr>
                <w:rFonts w:ascii="Arial"/>
                <w:sz w:val="21"/>
              </w:rPr>
            </w:pPr>
          </w:p>
        </w:tc>
      </w:tr>
      <w:tr w14:paraId="3425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0" w:type="dxa"/>
            <w:vAlign w:val="top"/>
          </w:tcPr>
          <w:p w14:paraId="7B84CA15">
            <w:pPr>
              <w:rPr>
                <w:rFonts w:ascii="Arial"/>
                <w:sz w:val="21"/>
              </w:rPr>
            </w:pPr>
          </w:p>
        </w:tc>
        <w:tc>
          <w:tcPr>
            <w:tcW w:w="2402" w:type="dxa"/>
            <w:vAlign w:val="top"/>
          </w:tcPr>
          <w:p w14:paraId="5A7C1063">
            <w:pPr>
              <w:rPr>
                <w:rFonts w:ascii="Arial"/>
                <w:sz w:val="21"/>
              </w:rPr>
            </w:pPr>
          </w:p>
        </w:tc>
        <w:tc>
          <w:tcPr>
            <w:tcW w:w="1799" w:type="dxa"/>
            <w:vAlign w:val="top"/>
          </w:tcPr>
          <w:p w14:paraId="2FC77F70">
            <w:pPr>
              <w:rPr>
                <w:rFonts w:ascii="Arial"/>
                <w:sz w:val="21"/>
              </w:rPr>
            </w:pPr>
          </w:p>
        </w:tc>
        <w:tc>
          <w:tcPr>
            <w:tcW w:w="1439" w:type="dxa"/>
            <w:vAlign w:val="top"/>
          </w:tcPr>
          <w:p w14:paraId="78324BD2">
            <w:pPr>
              <w:rPr>
                <w:rFonts w:ascii="Arial"/>
                <w:sz w:val="21"/>
              </w:rPr>
            </w:pPr>
          </w:p>
        </w:tc>
        <w:tc>
          <w:tcPr>
            <w:tcW w:w="2164" w:type="dxa"/>
            <w:vAlign w:val="top"/>
          </w:tcPr>
          <w:p w14:paraId="0FE529B2">
            <w:pPr>
              <w:rPr>
                <w:rFonts w:ascii="Arial"/>
                <w:sz w:val="21"/>
              </w:rPr>
            </w:pPr>
          </w:p>
        </w:tc>
      </w:tr>
    </w:tbl>
    <w:p w14:paraId="23F6CC0A">
      <w:pPr>
        <w:spacing w:before="29" w:line="234" w:lineRule="auto"/>
        <w:ind w:left="10"/>
        <w:rPr>
          <w:rFonts w:ascii="宋体" w:hAnsi="宋体" w:eastAsia="宋体" w:cs="宋体"/>
          <w:sz w:val="21"/>
          <w:szCs w:val="21"/>
        </w:rPr>
      </w:pPr>
      <w:r>
        <w:rPr>
          <w:rFonts w:ascii="宋体" w:hAnsi="宋体" w:eastAsia="宋体" w:cs="宋体"/>
          <w:spacing w:val="-1"/>
          <w:sz w:val="21"/>
          <w:szCs w:val="21"/>
        </w:rPr>
        <w:t>备注：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本表后应附表彰文件、获奖证书及其他证明材料等。</w:t>
      </w:r>
    </w:p>
    <w:p w14:paraId="7F2B50BB">
      <w:pPr>
        <w:spacing w:before="134" w:line="234" w:lineRule="auto"/>
        <w:ind w:left="635"/>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颁奖单位应当是国家机关或民政部门注册登记的合法颁奖单位。</w:t>
      </w:r>
    </w:p>
    <w:p w14:paraId="446F57C3">
      <w:pPr>
        <w:spacing w:line="234" w:lineRule="auto"/>
        <w:rPr>
          <w:rFonts w:ascii="宋体" w:hAnsi="宋体" w:eastAsia="宋体" w:cs="宋体"/>
          <w:sz w:val="21"/>
          <w:szCs w:val="21"/>
        </w:rPr>
        <w:sectPr>
          <w:footerReference r:id="rId220" w:type="default"/>
          <w:pgSz w:w="11905" w:h="16843"/>
          <w:pgMar w:top="969" w:right="1355" w:bottom="1026" w:left="1480" w:header="0" w:footer="754" w:gutter="0"/>
          <w:cols w:space="0" w:num="1"/>
          <w:rtlGutter w:val="0"/>
          <w:docGrid w:linePitch="0" w:charSpace="0"/>
        </w:sectPr>
      </w:pPr>
    </w:p>
    <w:p w14:paraId="734E25DC">
      <w:pPr>
        <w:pStyle w:val="5"/>
        <w:spacing w:line="265" w:lineRule="auto"/>
      </w:pPr>
    </w:p>
    <w:p w14:paraId="17F972F1">
      <w:pPr>
        <w:pStyle w:val="5"/>
        <w:spacing w:line="265" w:lineRule="auto"/>
      </w:pPr>
    </w:p>
    <w:p w14:paraId="1B727F19">
      <w:pPr>
        <w:pStyle w:val="5"/>
        <w:spacing w:line="266" w:lineRule="auto"/>
      </w:pPr>
    </w:p>
    <w:p w14:paraId="7B08B109">
      <w:pPr>
        <w:pStyle w:val="5"/>
        <w:spacing w:line="266" w:lineRule="auto"/>
      </w:pPr>
    </w:p>
    <w:p w14:paraId="2668EAE6">
      <w:pPr>
        <w:pStyle w:val="5"/>
        <w:spacing w:line="266" w:lineRule="auto"/>
      </w:pPr>
    </w:p>
    <w:p w14:paraId="766196E8">
      <w:pPr>
        <w:spacing w:before="78" w:line="233" w:lineRule="auto"/>
        <w:ind w:left="2803"/>
        <w:outlineLvl w:val="2"/>
        <w:rPr>
          <w:rFonts w:ascii="黑体" w:hAnsi="黑体" w:eastAsia="黑体" w:cs="黑体"/>
          <w:sz w:val="24"/>
          <w:szCs w:val="24"/>
        </w:rPr>
      </w:pPr>
      <w:bookmarkStart w:id="1402" w:name="bookmark466"/>
      <w:bookmarkEnd w:id="1402"/>
      <w:r>
        <w:rPr>
          <w:rFonts w:ascii="Times New Roman" w:hAnsi="Times New Roman" w:eastAsia="Times New Roman" w:cs="Times New Roman"/>
          <w:spacing w:val="-1"/>
          <w:sz w:val="24"/>
          <w:szCs w:val="24"/>
        </w:rPr>
        <w:t xml:space="preserve">5-5  </w:t>
      </w:r>
      <w:r>
        <w:rPr>
          <w:rFonts w:ascii="黑体" w:hAnsi="黑体" w:eastAsia="黑体" w:cs="黑体"/>
          <w:spacing w:val="-1"/>
          <w:sz w:val="24"/>
          <w:szCs w:val="24"/>
        </w:rPr>
        <w:t>近年项目经理获表彰情况表</w:t>
      </w:r>
    </w:p>
    <w:p w14:paraId="6881EF1D">
      <w:pPr>
        <w:spacing w:before="183"/>
      </w:pP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3481"/>
        <w:gridCol w:w="1799"/>
        <w:gridCol w:w="2524"/>
      </w:tblGrid>
      <w:tr w14:paraId="7C5D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0" w:type="dxa"/>
            <w:vAlign w:val="top"/>
          </w:tcPr>
          <w:p w14:paraId="06D1B2D8">
            <w:pPr>
              <w:pStyle w:val="11"/>
              <w:spacing w:before="163" w:line="222" w:lineRule="auto"/>
              <w:ind w:left="179"/>
            </w:pPr>
            <w:r>
              <w:rPr>
                <w:spacing w:val="-2"/>
              </w:rPr>
              <w:t>序号</w:t>
            </w:r>
          </w:p>
        </w:tc>
        <w:tc>
          <w:tcPr>
            <w:tcW w:w="3481" w:type="dxa"/>
            <w:vAlign w:val="top"/>
          </w:tcPr>
          <w:p w14:paraId="4E43B184">
            <w:pPr>
              <w:pStyle w:val="11"/>
              <w:spacing w:before="163" w:line="221" w:lineRule="auto"/>
              <w:ind w:left="1326"/>
            </w:pPr>
            <w:r>
              <w:rPr>
                <w:spacing w:val="-3"/>
              </w:rPr>
              <w:t>获奖名称</w:t>
            </w:r>
          </w:p>
        </w:tc>
        <w:tc>
          <w:tcPr>
            <w:tcW w:w="1799" w:type="dxa"/>
            <w:vAlign w:val="top"/>
          </w:tcPr>
          <w:p w14:paraId="7E7AE11C">
            <w:pPr>
              <w:pStyle w:val="11"/>
              <w:spacing w:before="163" w:line="221" w:lineRule="auto"/>
              <w:ind w:left="488"/>
            </w:pPr>
            <w:r>
              <w:rPr>
                <w:spacing w:val="-3"/>
              </w:rPr>
              <w:t>获奖日期</w:t>
            </w:r>
          </w:p>
        </w:tc>
        <w:tc>
          <w:tcPr>
            <w:tcW w:w="2524" w:type="dxa"/>
            <w:vAlign w:val="top"/>
          </w:tcPr>
          <w:p w14:paraId="70D93256">
            <w:pPr>
              <w:pStyle w:val="11"/>
              <w:spacing w:before="164" w:line="221" w:lineRule="auto"/>
              <w:ind w:left="846"/>
            </w:pPr>
            <w:r>
              <w:rPr>
                <w:spacing w:val="-2"/>
              </w:rPr>
              <w:t>颁奖单位</w:t>
            </w:r>
          </w:p>
        </w:tc>
      </w:tr>
      <w:tr w14:paraId="41E58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14:paraId="54611A12">
            <w:pPr>
              <w:rPr>
                <w:rFonts w:ascii="Arial"/>
                <w:sz w:val="21"/>
              </w:rPr>
            </w:pPr>
          </w:p>
        </w:tc>
        <w:tc>
          <w:tcPr>
            <w:tcW w:w="3481" w:type="dxa"/>
            <w:vAlign w:val="top"/>
          </w:tcPr>
          <w:p w14:paraId="6EB247CC">
            <w:pPr>
              <w:rPr>
                <w:rFonts w:ascii="Arial"/>
                <w:sz w:val="21"/>
              </w:rPr>
            </w:pPr>
          </w:p>
        </w:tc>
        <w:tc>
          <w:tcPr>
            <w:tcW w:w="1799" w:type="dxa"/>
            <w:vAlign w:val="top"/>
          </w:tcPr>
          <w:p w14:paraId="3EC6DB5D">
            <w:pPr>
              <w:rPr>
                <w:rFonts w:ascii="Arial"/>
                <w:sz w:val="21"/>
              </w:rPr>
            </w:pPr>
          </w:p>
        </w:tc>
        <w:tc>
          <w:tcPr>
            <w:tcW w:w="2524" w:type="dxa"/>
            <w:vAlign w:val="top"/>
          </w:tcPr>
          <w:p w14:paraId="42FCD3BD">
            <w:pPr>
              <w:rPr>
                <w:rFonts w:ascii="Arial"/>
                <w:sz w:val="21"/>
              </w:rPr>
            </w:pPr>
          </w:p>
        </w:tc>
      </w:tr>
      <w:tr w14:paraId="5D3D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30F50649">
            <w:pPr>
              <w:rPr>
                <w:rFonts w:ascii="Arial"/>
                <w:sz w:val="21"/>
              </w:rPr>
            </w:pPr>
          </w:p>
        </w:tc>
        <w:tc>
          <w:tcPr>
            <w:tcW w:w="3481" w:type="dxa"/>
            <w:vAlign w:val="top"/>
          </w:tcPr>
          <w:p w14:paraId="28A6636D">
            <w:pPr>
              <w:rPr>
                <w:rFonts w:ascii="Arial"/>
                <w:sz w:val="21"/>
              </w:rPr>
            </w:pPr>
          </w:p>
        </w:tc>
        <w:tc>
          <w:tcPr>
            <w:tcW w:w="1799" w:type="dxa"/>
            <w:vAlign w:val="top"/>
          </w:tcPr>
          <w:p w14:paraId="062CFDE2">
            <w:pPr>
              <w:rPr>
                <w:rFonts w:ascii="Arial"/>
                <w:sz w:val="21"/>
              </w:rPr>
            </w:pPr>
          </w:p>
        </w:tc>
        <w:tc>
          <w:tcPr>
            <w:tcW w:w="2524" w:type="dxa"/>
            <w:vAlign w:val="top"/>
          </w:tcPr>
          <w:p w14:paraId="1D72463A">
            <w:pPr>
              <w:rPr>
                <w:rFonts w:ascii="Arial"/>
                <w:sz w:val="21"/>
              </w:rPr>
            </w:pPr>
          </w:p>
        </w:tc>
      </w:tr>
      <w:tr w14:paraId="4695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6A34DBBA">
            <w:pPr>
              <w:rPr>
                <w:rFonts w:ascii="Arial"/>
                <w:sz w:val="21"/>
              </w:rPr>
            </w:pPr>
          </w:p>
        </w:tc>
        <w:tc>
          <w:tcPr>
            <w:tcW w:w="3481" w:type="dxa"/>
            <w:vAlign w:val="top"/>
          </w:tcPr>
          <w:p w14:paraId="41A826BA">
            <w:pPr>
              <w:rPr>
                <w:rFonts w:ascii="Arial"/>
                <w:sz w:val="21"/>
              </w:rPr>
            </w:pPr>
          </w:p>
        </w:tc>
        <w:tc>
          <w:tcPr>
            <w:tcW w:w="1799" w:type="dxa"/>
            <w:vAlign w:val="top"/>
          </w:tcPr>
          <w:p w14:paraId="2D15FA77">
            <w:pPr>
              <w:rPr>
                <w:rFonts w:ascii="Arial"/>
                <w:sz w:val="21"/>
              </w:rPr>
            </w:pPr>
          </w:p>
        </w:tc>
        <w:tc>
          <w:tcPr>
            <w:tcW w:w="2524" w:type="dxa"/>
            <w:vAlign w:val="top"/>
          </w:tcPr>
          <w:p w14:paraId="3901D254">
            <w:pPr>
              <w:rPr>
                <w:rFonts w:ascii="Arial"/>
                <w:sz w:val="21"/>
              </w:rPr>
            </w:pPr>
          </w:p>
        </w:tc>
      </w:tr>
      <w:tr w14:paraId="2DBA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70" w:type="dxa"/>
            <w:vAlign w:val="top"/>
          </w:tcPr>
          <w:p w14:paraId="14770546">
            <w:pPr>
              <w:rPr>
                <w:rFonts w:ascii="Arial"/>
                <w:sz w:val="21"/>
              </w:rPr>
            </w:pPr>
          </w:p>
        </w:tc>
        <w:tc>
          <w:tcPr>
            <w:tcW w:w="3481" w:type="dxa"/>
            <w:vAlign w:val="top"/>
          </w:tcPr>
          <w:p w14:paraId="6A6BB191">
            <w:pPr>
              <w:rPr>
                <w:rFonts w:ascii="Arial"/>
                <w:sz w:val="21"/>
              </w:rPr>
            </w:pPr>
          </w:p>
        </w:tc>
        <w:tc>
          <w:tcPr>
            <w:tcW w:w="1799" w:type="dxa"/>
            <w:vAlign w:val="top"/>
          </w:tcPr>
          <w:p w14:paraId="30D5253A">
            <w:pPr>
              <w:rPr>
                <w:rFonts w:ascii="Arial"/>
                <w:sz w:val="21"/>
              </w:rPr>
            </w:pPr>
          </w:p>
        </w:tc>
        <w:tc>
          <w:tcPr>
            <w:tcW w:w="2524" w:type="dxa"/>
            <w:vAlign w:val="top"/>
          </w:tcPr>
          <w:p w14:paraId="6AA6B4FE">
            <w:pPr>
              <w:rPr>
                <w:rFonts w:ascii="Arial"/>
                <w:sz w:val="21"/>
              </w:rPr>
            </w:pPr>
          </w:p>
        </w:tc>
      </w:tr>
      <w:tr w14:paraId="45BE4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57811A32">
            <w:pPr>
              <w:rPr>
                <w:rFonts w:ascii="Arial"/>
                <w:sz w:val="21"/>
              </w:rPr>
            </w:pPr>
          </w:p>
        </w:tc>
        <w:tc>
          <w:tcPr>
            <w:tcW w:w="3481" w:type="dxa"/>
            <w:vAlign w:val="top"/>
          </w:tcPr>
          <w:p w14:paraId="2ADDD6D4">
            <w:pPr>
              <w:rPr>
                <w:rFonts w:ascii="Arial"/>
                <w:sz w:val="21"/>
              </w:rPr>
            </w:pPr>
          </w:p>
        </w:tc>
        <w:tc>
          <w:tcPr>
            <w:tcW w:w="1799" w:type="dxa"/>
            <w:vAlign w:val="top"/>
          </w:tcPr>
          <w:p w14:paraId="2151204E">
            <w:pPr>
              <w:rPr>
                <w:rFonts w:ascii="Arial"/>
                <w:sz w:val="21"/>
              </w:rPr>
            </w:pPr>
          </w:p>
        </w:tc>
        <w:tc>
          <w:tcPr>
            <w:tcW w:w="2524" w:type="dxa"/>
            <w:vAlign w:val="top"/>
          </w:tcPr>
          <w:p w14:paraId="03661BFF">
            <w:pPr>
              <w:rPr>
                <w:rFonts w:ascii="Arial"/>
                <w:sz w:val="21"/>
              </w:rPr>
            </w:pPr>
          </w:p>
        </w:tc>
      </w:tr>
      <w:tr w14:paraId="0D1B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024E2C0D">
            <w:pPr>
              <w:rPr>
                <w:rFonts w:ascii="Arial"/>
                <w:sz w:val="21"/>
              </w:rPr>
            </w:pPr>
          </w:p>
        </w:tc>
        <w:tc>
          <w:tcPr>
            <w:tcW w:w="3481" w:type="dxa"/>
            <w:vAlign w:val="top"/>
          </w:tcPr>
          <w:p w14:paraId="6FF0C5E1">
            <w:pPr>
              <w:rPr>
                <w:rFonts w:ascii="Arial"/>
                <w:sz w:val="21"/>
              </w:rPr>
            </w:pPr>
          </w:p>
        </w:tc>
        <w:tc>
          <w:tcPr>
            <w:tcW w:w="1799" w:type="dxa"/>
            <w:vAlign w:val="top"/>
          </w:tcPr>
          <w:p w14:paraId="7122C804">
            <w:pPr>
              <w:rPr>
                <w:rFonts w:ascii="Arial"/>
                <w:sz w:val="21"/>
              </w:rPr>
            </w:pPr>
          </w:p>
        </w:tc>
        <w:tc>
          <w:tcPr>
            <w:tcW w:w="2524" w:type="dxa"/>
            <w:vAlign w:val="top"/>
          </w:tcPr>
          <w:p w14:paraId="19A12B75">
            <w:pPr>
              <w:rPr>
                <w:rFonts w:ascii="Arial"/>
                <w:sz w:val="21"/>
              </w:rPr>
            </w:pPr>
          </w:p>
        </w:tc>
      </w:tr>
      <w:tr w14:paraId="1E930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0" w:type="dxa"/>
            <w:vAlign w:val="top"/>
          </w:tcPr>
          <w:p w14:paraId="116DBEF9">
            <w:pPr>
              <w:rPr>
                <w:rFonts w:ascii="Arial"/>
                <w:sz w:val="21"/>
              </w:rPr>
            </w:pPr>
          </w:p>
        </w:tc>
        <w:tc>
          <w:tcPr>
            <w:tcW w:w="3481" w:type="dxa"/>
            <w:vAlign w:val="top"/>
          </w:tcPr>
          <w:p w14:paraId="2EB524ED">
            <w:pPr>
              <w:rPr>
                <w:rFonts w:ascii="Arial"/>
                <w:sz w:val="21"/>
              </w:rPr>
            </w:pPr>
          </w:p>
        </w:tc>
        <w:tc>
          <w:tcPr>
            <w:tcW w:w="1799" w:type="dxa"/>
            <w:vAlign w:val="top"/>
          </w:tcPr>
          <w:p w14:paraId="67E9CA90">
            <w:pPr>
              <w:rPr>
                <w:rFonts w:ascii="Arial"/>
                <w:sz w:val="21"/>
              </w:rPr>
            </w:pPr>
          </w:p>
        </w:tc>
        <w:tc>
          <w:tcPr>
            <w:tcW w:w="2524" w:type="dxa"/>
            <w:vAlign w:val="top"/>
          </w:tcPr>
          <w:p w14:paraId="58C5901C">
            <w:pPr>
              <w:rPr>
                <w:rFonts w:ascii="Arial"/>
                <w:sz w:val="21"/>
              </w:rPr>
            </w:pPr>
          </w:p>
        </w:tc>
      </w:tr>
      <w:tr w14:paraId="47FD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0" w:type="dxa"/>
            <w:vAlign w:val="top"/>
          </w:tcPr>
          <w:p w14:paraId="32A0DCF6">
            <w:pPr>
              <w:rPr>
                <w:rFonts w:ascii="Arial"/>
                <w:sz w:val="21"/>
              </w:rPr>
            </w:pPr>
          </w:p>
        </w:tc>
        <w:tc>
          <w:tcPr>
            <w:tcW w:w="3481" w:type="dxa"/>
            <w:vAlign w:val="top"/>
          </w:tcPr>
          <w:p w14:paraId="4EA7E53B">
            <w:pPr>
              <w:rPr>
                <w:rFonts w:ascii="Arial"/>
                <w:sz w:val="21"/>
              </w:rPr>
            </w:pPr>
          </w:p>
        </w:tc>
        <w:tc>
          <w:tcPr>
            <w:tcW w:w="1799" w:type="dxa"/>
            <w:vAlign w:val="top"/>
          </w:tcPr>
          <w:p w14:paraId="14BD796F">
            <w:pPr>
              <w:rPr>
                <w:rFonts w:ascii="Arial"/>
                <w:sz w:val="21"/>
              </w:rPr>
            </w:pPr>
          </w:p>
        </w:tc>
        <w:tc>
          <w:tcPr>
            <w:tcW w:w="2524" w:type="dxa"/>
            <w:vAlign w:val="top"/>
          </w:tcPr>
          <w:p w14:paraId="2FE4AF34">
            <w:pPr>
              <w:rPr>
                <w:rFonts w:ascii="Arial"/>
                <w:sz w:val="21"/>
              </w:rPr>
            </w:pPr>
          </w:p>
        </w:tc>
      </w:tr>
      <w:tr w14:paraId="5245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70" w:type="dxa"/>
            <w:vAlign w:val="top"/>
          </w:tcPr>
          <w:p w14:paraId="68B5A43E">
            <w:pPr>
              <w:rPr>
                <w:rFonts w:ascii="Arial"/>
                <w:sz w:val="21"/>
              </w:rPr>
            </w:pPr>
          </w:p>
        </w:tc>
        <w:tc>
          <w:tcPr>
            <w:tcW w:w="3481" w:type="dxa"/>
            <w:vAlign w:val="top"/>
          </w:tcPr>
          <w:p w14:paraId="26F95E56">
            <w:pPr>
              <w:rPr>
                <w:rFonts w:ascii="Arial"/>
                <w:sz w:val="21"/>
              </w:rPr>
            </w:pPr>
          </w:p>
        </w:tc>
        <w:tc>
          <w:tcPr>
            <w:tcW w:w="1799" w:type="dxa"/>
            <w:vAlign w:val="top"/>
          </w:tcPr>
          <w:p w14:paraId="55755694">
            <w:pPr>
              <w:rPr>
                <w:rFonts w:ascii="Arial"/>
                <w:sz w:val="21"/>
              </w:rPr>
            </w:pPr>
          </w:p>
        </w:tc>
        <w:tc>
          <w:tcPr>
            <w:tcW w:w="2524" w:type="dxa"/>
            <w:vAlign w:val="top"/>
          </w:tcPr>
          <w:p w14:paraId="0B722239">
            <w:pPr>
              <w:rPr>
                <w:rFonts w:ascii="Arial"/>
                <w:sz w:val="21"/>
              </w:rPr>
            </w:pPr>
          </w:p>
        </w:tc>
      </w:tr>
    </w:tbl>
    <w:p w14:paraId="3C0E7A01">
      <w:pPr>
        <w:spacing w:before="156" w:line="234" w:lineRule="auto"/>
        <w:ind w:left="10"/>
        <w:rPr>
          <w:rFonts w:ascii="宋体" w:hAnsi="宋体" w:eastAsia="宋体" w:cs="宋体"/>
          <w:sz w:val="21"/>
          <w:szCs w:val="21"/>
        </w:rPr>
      </w:pPr>
      <w:r>
        <w:rPr>
          <w:rFonts w:ascii="宋体" w:hAnsi="宋体" w:eastAsia="宋体" w:cs="宋体"/>
          <w:spacing w:val="-1"/>
          <w:sz w:val="21"/>
          <w:szCs w:val="21"/>
        </w:rPr>
        <w:t>备注：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本表后应附表彰文件、获奖证书。</w:t>
      </w:r>
    </w:p>
    <w:p w14:paraId="18418608">
      <w:pPr>
        <w:spacing w:before="134" w:line="234" w:lineRule="auto"/>
        <w:ind w:left="635"/>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颁奖单位应当是国家机关或民政部门注册登记的合法颁奖单位。</w:t>
      </w:r>
    </w:p>
    <w:p w14:paraId="44B0F3E6">
      <w:pPr>
        <w:spacing w:line="234" w:lineRule="auto"/>
        <w:rPr>
          <w:rFonts w:ascii="宋体" w:hAnsi="宋体" w:eastAsia="宋体" w:cs="宋体"/>
          <w:sz w:val="21"/>
          <w:szCs w:val="21"/>
        </w:rPr>
        <w:sectPr>
          <w:footerReference r:id="rId221" w:type="default"/>
          <w:pgSz w:w="11905" w:h="16843"/>
          <w:pgMar w:top="969" w:right="1355" w:bottom="1026" w:left="1480" w:header="0" w:footer="754" w:gutter="0"/>
          <w:cols w:space="0" w:num="1"/>
          <w:rtlGutter w:val="0"/>
          <w:docGrid w:linePitch="0" w:charSpace="0"/>
        </w:sectPr>
      </w:pPr>
    </w:p>
    <w:p w14:paraId="2977CC46">
      <w:pPr>
        <w:pStyle w:val="5"/>
        <w:spacing w:line="256" w:lineRule="auto"/>
      </w:pPr>
    </w:p>
    <w:p w14:paraId="6086C43A">
      <w:pPr>
        <w:pStyle w:val="5"/>
        <w:spacing w:line="256" w:lineRule="auto"/>
      </w:pPr>
    </w:p>
    <w:p w14:paraId="766EE295">
      <w:pPr>
        <w:pStyle w:val="5"/>
        <w:spacing w:line="256" w:lineRule="auto"/>
      </w:pPr>
    </w:p>
    <w:p w14:paraId="64DD003F">
      <w:pPr>
        <w:pStyle w:val="5"/>
        <w:spacing w:line="256" w:lineRule="auto"/>
      </w:pPr>
    </w:p>
    <w:p w14:paraId="590B2753">
      <w:pPr>
        <w:pStyle w:val="5"/>
        <w:spacing w:line="257" w:lineRule="auto"/>
      </w:pPr>
    </w:p>
    <w:p w14:paraId="66353B73">
      <w:pPr>
        <w:spacing w:before="91" w:line="219" w:lineRule="auto"/>
        <w:ind w:left="3050"/>
        <w:outlineLvl w:val="1"/>
        <w:rPr>
          <w:rFonts w:ascii="黑体" w:hAnsi="黑体" w:eastAsia="黑体" w:cs="黑体"/>
          <w:sz w:val="28"/>
          <w:szCs w:val="28"/>
        </w:rPr>
      </w:pPr>
      <w:bookmarkStart w:id="1403" w:name="bookmark467"/>
      <w:bookmarkEnd w:id="1403"/>
      <w:r>
        <w:rPr>
          <w:rFonts w:ascii="黑体" w:hAnsi="黑体" w:eastAsia="黑体" w:cs="黑体"/>
          <w:spacing w:val="-2"/>
          <w:sz w:val="28"/>
          <w:szCs w:val="28"/>
        </w:rPr>
        <w:t>八、已标价工程量清单</w:t>
      </w:r>
    </w:p>
    <w:p w14:paraId="1FE9BC30">
      <w:pPr>
        <w:pStyle w:val="5"/>
        <w:spacing w:line="283" w:lineRule="auto"/>
      </w:pPr>
    </w:p>
    <w:p w14:paraId="60AA888F">
      <w:pPr>
        <w:pStyle w:val="5"/>
        <w:spacing w:line="283" w:lineRule="auto"/>
      </w:pPr>
    </w:p>
    <w:p w14:paraId="51FCF522">
      <w:pPr>
        <w:spacing w:before="68" w:line="405" w:lineRule="auto"/>
        <w:ind w:left="12" w:right="237" w:hanging="13"/>
        <w:jc w:val="both"/>
        <w:rPr>
          <w:rFonts w:ascii="宋体" w:hAnsi="宋体" w:eastAsia="宋体" w:cs="宋体"/>
          <w:sz w:val="21"/>
          <w:szCs w:val="21"/>
        </w:rPr>
      </w:pPr>
      <w:r>
        <w:rPr>
          <w:rFonts w:ascii="黑体" w:hAnsi="黑体" w:eastAsia="黑体" w:cs="黑体"/>
          <w:sz w:val="21"/>
          <w:szCs w:val="21"/>
        </w:rPr>
        <w:t>说明：</w:t>
      </w:r>
      <w:r>
        <w:rPr>
          <w:rFonts w:ascii="宋体" w:hAnsi="宋体" w:eastAsia="宋体" w:cs="宋体"/>
          <w:sz w:val="21"/>
          <w:szCs w:val="21"/>
        </w:rPr>
        <w:t>已标价工程量清单按第五章“工程量清单”中的相关清单表格式填写。构</w:t>
      </w:r>
      <w:r>
        <w:rPr>
          <w:rFonts w:ascii="宋体" w:hAnsi="宋体" w:eastAsia="宋体" w:cs="宋体"/>
          <w:spacing w:val="-1"/>
          <w:sz w:val="21"/>
          <w:szCs w:val="21"/>
        </w:rPr>
        <w:t>成合同文件</w:t>
      </w:r>
      <w:r>
        <w:rPr>
          <w:rFonts w:ascii="宋体" w:hAnsi="宋体" w:eastAsia="宋体" w:cs="宋体"/>
          <w:sz w:val="21"/>
          <w:szCs w:val="21"/>
        </w:rPr>
        <w:t>的已标价工程量清单包括第五章“工程量清单”</w:t>
      </w:r>
      <w:r>
        <w:rPr>
          <w:rFonts w:ascii="宋体" w:hAnsi="宋体" w:eastAsia="宋体" w:cs="宋体"/>
          <w:spacing w:val="-1"/>
          <w:sz w:val="21"/>
          <w:szCs w:val="21"/>
        </w:rPr>
        <w:t>有关工程量清单、投标报价以及其他说明的</w:t>
      </w:r>
      <w:r>
        <w:rPr>
          <w:rFonts w:ascii="宋体" w:hAnsi="宋体" w:eastAsia="宋体" w:cs="宋体"/>
          <w:spacing w:val="-12"/>
          <w:sz w:val="21"/>
          <w:szCs w:val="21"/>
        </w:rPr>
        <w:t>内容。</w:t>
      </w:r>
    </w:p>
    <w:p w14:paraId="5056BB07">
      <w:pPr>
        <w:spacing w:line="405" w:lineRule="auto"/>
        <w:rPr>
          <w:rFonts w:ascii="宋体" w:hAnsi="宋体" w:eastAsia="宋体" w:cs="宋体"/>
          <w:sz w:val="21"/>
          <w:szCs w:val="21"/>
        </w:rPr>
        <w:sectPr>
          <w:footerReference r:id="rId222" w:type="default"/>
          <w:pgSz w:w="11905" w:h="16843"/>
          <w:pgMar w:top="969" w:right="1355" w:bottom="1026" w:left="1480" w:header="0" w:footer="754" w:gutter="0"/>
          <w:cols w:space="0" w:num="1"/>
          <w:rtlGutter w:val="0"/>
          <w:docGrid w:linePitch="0" w:charSpace="0"/>
        </w:sectPr>
      </w:pPr>
    </w:p>
    <w:p w14:paraId="13CA9803">
      <w:pPr>
        <w:pStyle w:val="5"/>
        <w:spacing w:line="251" w:lineRule="auto"/>
      </w:pPr>
    </w:p>
    <w:p w14:paraId="357B7351">
      <w:pPr>
        <w:pStyle w:val="5"/>
        <w:spacing w:line="251" w:lineRule="auto"/>
      </w:pPr>
    </w:p>
    <w:p w14:paraId="326D1AB8">
      <w:pPr>
        <w:pStyle w:val="5"/>
        <w:spacing w:line="251" w:lineRule="auto"/>
      </w:pPr>
    </w:p>
    <w:p w14:paraId="1B9685B8">
      <w:pPr>
        <w:pStyle w:val="5"/>
        <w:spacing w:line="251" w:lineRule="auto"/>
      </w:pPr>
    </w:p>
    <w:p w14:paraId="51E3EE6A">
      <w:pPr>
        <w:pStyle w:val="5"/>
        <w:spacing w:line="251" w:lineRule="auto"/>
      </w:pPr>
    </w:p>
    <w:p w14:paraId="16CBC10D">
      <w:pPr>
        <w:pStyle w:val="5"/>
        <w:spacing w:line="251" w:lineRule="auto"/>
      </w:pPr>
    </w:p>
    <w:p w14:paraId="4F5ACCD2">
      <w:pPr>
        <w:pStyle w:val="5"/>
        <w:spacing w:line="252" w:lineRule="auto"/>
      </w:pPr>
    </w:p>
    <w:p w14:paraId="385FBEF9">
      <w:pPr>
        <w:spacing w:before="91" w:line="219" w:lineRule="auto"/>
        <w:ind w:left="3342"/>
        <w:outlineLvl w:val="1"/>
        <w:rPr>
          <w:rFonts w:ascii="黑体" w:hAnsi="黑体" w:eastAsia="黑体" w:cs="黑体"/>
          <w:sz w:val="28"/>
          <w:szCs w:val="28"/>
        </w:rPr>
      </w:pPr>
      <w:bookmarkStart w:id="1404" w:name="bookmark468"/>
      <w:bookmarkEnd w:id="1404"/>
      <w:r>
        <w:rPr>
          <w:rFonts w:ascii="黑体" w:hAnsi="黑体" w:eastAsia="黑体" w:cs="黑体"/>
          <w:spacing w:val="-2"/>
          <w:sz w:val="28"/>
          <w:szCs w:val="28"/>
        </w:rPr>
        <w:t>九、施工组织设计</w:t>
      </w:r>
    </w:p>
    <w:p w14:paraId="33485196">
      <w:pPr>
        <w:spacing w:before="143" w:line="369" w:lineRule="auto"/>
        <w:ind w:firstLine="436"/>
        <w:jc w:val="both"/>
        <w:rPr>
          <w:rFonts w:ascii="宋体" w:hAnsi="宋体" w:eastAsia="宋体" w:cs="宋体"/>
          <w:sz w:val="21"/>
          <w:szCs w:val="21"/>
        </w:rPr>
      </w:pPr>
      <w:r>
        <w:rPr>
          <w:rFonts w:ascii="宋体" w:hAnsi="宋体" w:eastAsia="宋体" w:cs="宋体"/>
          <w:spacing w:val="4"/>
          <w:sz w:val="21"/>
          <w:szCs w:val="21"/>
        </w:rPr>
        <w:t>1．投标人应根据招标文件和对现场的勘察情况，采用文字并结合图表形式，按照</w:t>
      </w:r>
      <w:r>
        <w:rPr>
          <w:rFonts w:hint="eastAsia" w:ascii="宋体" w:hAnsi="宋体" w:eastAsia="宋体" w:cs="宋体"/>
          <w:spacing w:val="4"/>
          <w:sz w:val="21"/>
          <w:szCs w:val="21"/>
          <w:lang w:eastAsia="zh-CN"/>
        </w:rPr>
        <w:t>中华人民共和国</w:t>
      </w:r>
      <w:r>
        <w:rPr>
          <w:rFonts w:ascii="宋体" w:hAnsi="宋体" w:eastAsia="宋体" w:cs="宋体"/>
          <w:spacing w:val="1"/>
          <w:sz w:val="21"/>
          <w:szCs w:val="21"/>
        </w:rPr>
        <w:t>标准《建筑施工组织设计规范》（</w:t>
      </w:r>
      <w:r>
        <w:rPr>
          <w:rFonts w:ascii="宋体" w:hAnsi="宋体" w:eastAsia="宋体" w:cs="宋体"/>
          <w:sz w:val="21"/>
          <w:szCs w:val="21"/>
        </w:rPr>
        <w:t>GB</w:t>
      </w:r>
      <w:r>
        <w:rPr>
          <w:rFonts w:ascii="宋体" w:hAnsi="宋体" w:eastAsia="宋体" w:cs="宋体"/>
          <w:spacing w:val="1"/>
          <w:sz w:val="21"/>
          <w:szCs w:val="21"/>
        </w:rPr>
        <w:t>/T50502</w:t>
      </w:r>
      <w:r>
        <w:rPr>
          <w:rFonts w:ascii="宋体" w:hAnsi="宋体" w:eastAsia="宋体" w:cs="宋体"/>
          <w:sz w:val="21"/>
          <w:szCs w:val="21"/>
        </w:rPr>
        <w:t>-2009）的要求编制本工程的施工组织设计，</w:t>
      </w:r>
      <w:r>
        <w:rPr>
          <w:rFonts w:ascii="宋体" w:hAnsi="宋体" w:eastAsia="宋体" w:cs="宋体"/>
          <w:spacing w:val="-1"/>
          <w:sz w:val="21"/>
          <w:szCs w:val="21"/>
        </w:rPr>
        <w:t>其要点如下：</w:t>
      </w:r>
    </w:p>
    <w:p w14:paraId="17DFAC4D">
      <w:pPr>
        <w:spacing w:line="220" w:lineRule="auto"/>
        <w:ind w:left="427"/>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b/>
          <w:bCs/>
          <w:spacing w:val="-3"/>
          <w:sz w:val="21"/>
          <w:szCs w:val="21"/>
        </w:rPr>
        <w:t>工程概况</w:t>
      </w:r>
    </w:p>
    <w:p w14:paraId="6BD20C96">
      <w:pPr>
        <w:spacing w:before="169" w:line="220" w:lineRule="auto"/>
        <w:ind w:left="946"/>
        <w:rPr>
          <w:rFonts w:ascii="宋体" w:hAnsi="宋体" w:eastAsia="宋体" w:cs="宋体"/>
          <w:sz w:val="21"/>
          <w:szCs w:val="21"/>
        </w:rPr>
      </w:pPr>
      <w:r>
        <w:rPr>
          <w:rFonts w:ascii="宋体" w:hAnsi="宋体" w:eastAsia="宋体" w:cs="宋体"/>
          <w:spacing w:val="-2"/>
          <w:sz w:val="21"/>
          <w:szCs w:val="21"/>
        </w:rPr>
        <w:t>包括工程主要情况、各专业设计简介、工程施工条件等；</w:t>
      </w:r>
    </w:p>
    <w:p w14:paraId="6B87F07C">
      <w:pPr>
        <w:spacing w:before="169" w:line="221" w:lineRule="auto"/>
        <w:ind w:left="427"/>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b/>
          <w:bCs/>
          <w:spacing w:val="-3"/>
          <w:sz w:val="21"/>
          <w:szCs w:val="21"/>
        </w:rPr>
        <w:t>施工部署</w:t>
      </w:r>
    </w:p>
    <w:p w14:paraId="32417FFF">
      <w:pPr>
        <w:spacing w:before="170" w:line="369" w:lineRule="auto"/>
        <w:ind w:left="964" w:right="161" w:hanging="1"/>
        <w:jc w:val="both"/>
        <w:rPr>
          <w:rFonts w:ascii="宋体" w:hAnsi="宋体" w:eastAsia="宋体" w:cs="宋体"/>
          <w:sz w:val="21"/>
          <w:szCs w:val="21"/>
        </w:rPr>
      </w:pPr>
      <w:r>
        <w:rPr>
          <w:rFonts w:ascii="宋体" w:hAnsi="宋体" w:eastAsia="宋体" w:cs="宋体"/>
          <w:spacing w:val="4"/>
          <w:sz w:val="21"/>
          <w:szCs w:val="21"/>
        </w:rPr>
        <w:t>包括工程施工目标、主要施工内容及其进度安排、施工流水段划分、施工的重点和难点分析、工程管理的组织机构形式、项目经理部的工作岗位设置及其职责划分、新技</w:t>
      </w:r>
      <w:r>
        <w:rPr>
          <w:rFonts w:ascii="宋体" w:hAnsi="宋体" w:eastAsia="宋体" w:cs="宋体"/>
          <w:spacing w:val="-1"/>
          <w:sz w:val="21"/>
          <w:szCs w:val="21"/>
        </w:rPr>
        <w:t>术、新工艺部署及其技术和管理要求（如有）、主要分包工</w:t>
      </w:r>
      <w:r>
        <w:rPr>
          <w:rFonts w:ascii="宋体" w:hAnsi="宋体" w:eastAsia="宋体" w:cs="宋体"/>
          <w:spacing w:val="-2"/>
          <w:sz w:val="21"/>
          <w:szCs w:val="21"/>
        </w:rPr>
        <w:t>程施工单位的选择要求及管</w:t>
      </w:r>
      <w:r>
        <w:rPr>
          <w:rFonts w:ascii="宋体" w:hAnsi="宋体" w:eastAsia="宋体" w:cs="宋体"/>
          <w:spacing w:val="-13"/>
          <w:sz w:val="21"/>
          <w:szCs w:val="21"/>
        </w:rPr>
        <w:t>理方式（如有</w:t>
      </w:r>
      <w:r>
        <w:rPr>
          <w:rFonts w:ascii="宋体" w:hAnsi="宋体" w:eastAsia="宋体" w:cs="宋体"/>
          <w:spacing w:val="-25"/>
          <w:sz w:val="21"/>
          <w:szCs w:val="21"/>
        </w:rPr>
        <w:t>）；</w:t>
      </w:r>
    </w:p>
    <w:p w14:paraId="0C09E363">
      <w:pPr>
        <w:spacing w:line="221" w:lineRule="auto"/>
        <w:ind w:left="427"/>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b/>
          <w:bCs/>
          <w:spacing w:val="-3"/>
          <w:sz w:val="21"/>
          <w:szCs w:val="21"/>
        </w:rPr>
        <w:t>施工进度计划</w:t>
      </w:r>
    </w:p>
    <w:p w14:paraId="4007F965">
      <w:pPr>
        <w:spacing w:before="170" w:line="369" w:lineRule="auto"/>
        <w:ind w:left="962" w:right="168" w:hanging="14"/>
        <w:rPr>
          <w:rFonts w:ascii="宋体" w:hAnsi="宋体" w:eastAsia="宋体" w:cs="宋体"/>
          <w:sz w:val="21"/>
          <w:szCs w:val="21"/>
        </w:rPr>
      </w:pPr>
      <w:r>
        <w:rPr>
          <w:rFonts w:ascii="宋体" w:hAnsi="宋体" w:eastAsia="宋体" w:cs="宋体"/>
          <w:spacing w:val="5"/>
          <w:sz w:val="21"/>
          <w:szCs w:val="21"/>
        </w:rPr>
        <w:t>可采用网络图或横道图表示，并附必要说明，对于</w:t>
      </w:r>
      <w:r>
        <w:rPr>
          <w:rFonts w:ascii="宋体" w:hAnsi="宋体" w:eastAsia="宋体" w:cs="宋体"/>
          <w:spacing w:val="4"/>
          <w:sz w:val="21"/>
          <w:szCs w:val="21"/>
        </w:rPr>
        <w:t>规模较大或较复杂的工程，宜采用</w:t>
      </w:r>
      <w:r>
        <w:rPr>
          <w:rFonts w:ascii="宋体" w:hAnsi="宋体" w:eastAsia="宋体" w:cs="宋体"/>
          <w:spacing w:val="-4"/>
          <w:sz w:val="21"/>
          <w:szCs w:val="21"/>
        </w:rPr>
        <w:t>网络图表示；</w:t>
      </w:r>
    </w:p>
    <w:p w14:paraId="703578E8">
      <w:pPr>
        <w:spacing w:line="222" w:lineRule="auto"/>
        <w:ind w:left="427"/>
        <w:rPr>
          <w:rFonts w:ascii="宋体" w:hAnsi="宋体" w:eastAsia="宋体" w:cs="宋体"/>
          <w:sz w:val="21"/>
          <w:szCs w:val="21"/>
        </w:rPr>
      </w:pPr>
      <w:r>
        <w:rPr>
          <w:rFonts w:ascii="宋体" w:hAnsi="宋体" w:eastAsia="宋体" w:cs="宋体"/>
          <w:spacing w:val="-3"/>
          <w:sz w:val="21"/>
          <w:szCs w:val="21"/>
        </w:rPr>
        <w:t>（4）</w:t>
      </w:r>
      <w:r>
        <w:rPr>
          <w:rFonts w:ascii="宋体" w:hAnsi="宋体" w:eastAsia="宋体" w:cs="宋体"/>
          <w:b/>
          <w:bCs/>
          <w:spacing w:val="-3"/>
          <w:sz w:val="21"/>
          <w:szCs w:val="21"/>
        </w:rPr>
        <w:t>施工准备与资源配置计划</w:t>
      </w:r>
    </w:p>
    <w:p w14:paraId="4D593D06">
      <w:pPr>
        <w:spacing w:before="168" w:line="369" w:lineRule="auto"/>
        <w:ind w:left="947" w:right="199" w:hanging="2"/>
        <w:rPr>
          <w:rFonts w:ascii="宋体" w:hAnsi="宋体" w:eastAsia="宋体" w:cs="宋体"/>
          <w:sz w:val="21"/>
          <w:szCs w:val="21"/>
        </w:rPr>
      </w:pPr>
      <w:r>
        <w:rPr>
          <w:rFonts w:ascii="宋体" w:hAnsi="宋体" w:eastAsia="宋体" w:cs="宋体"/>
          <w:spacing w:val="4"/>
          <w:sz w:val="21"/>
          <w:szCs w:val="21"/>
        </w:rPr>
        <w:t>施工准备包括技术准备、现场准备和资金准备；资源配置计划包括劳</w:t>
      </w:r>
      <w:r>
        <w:rPr>
          <w:rFonts w:ascii="宋体" w:hAnsi="宋体" w:eastAsia="宋体" w:cs="宋体"/>
          <w:spacing w:val="3"/>
          <w:sz w:val="21"/>
          <w:szCs w:val="21"/>
        </w:rPr>
        <w:t>动力配置计划、</w:t>
      </w:r>
      <w:r>
        <w:rPr>
          <w:rFonts w:ascii="宋体" w:hAnsi="宋体" w:eastAsia="宋体" w:cs="宋体"/>
          <w:spacing w:val="-1"/>
          <w:sz w:val="21"/>
          <w:szCs w:val="21"/>
        </w:rPr>
        <w:t>主要工程材料和设备配置计划、主要周转材料和施工机具配置计划等；</w:t>
      </w:r>
    </w:p>
    <w:p w14:paraId="4969FEE7">
      <w:pPr>
        <w:spacing w:line="221" w:lineRule="auto"/>
        <w:ind w:left="427"/>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b/>
          <w:bCs/>
          <w:spacing w:val="-3"/>
          <w:sz w:val="21"/>
          <w:szCs w:val="21"/>
        </w:rPr>
        <w:t>主要施工方案</w:t>
      </w:r>
    </w:p>
    <w:p w14:paraId="68BC9403">
      <w:pPr>
        <w:spacing w:before="170" w:line="369" w:lineRule="auto"/>
        <w:ind w:left="945" w:right="168"/>
        <w:jc w:val="both"/>
        <w:rPr>
          <w:rFonts w:ascii="宋体" w:hAnsi="宋体" w:eastAsia="宋体" w:cs="宋体"/>
          <w:sz w:val="21"/>
          <w:szCs w:val="21"/>
        </w:rPr>
      </w:pPr>
      <w:r>
        <w:rPr>
          <w:rFonts w:ascii="宋体" w:hAnsi="宋体" w:eastAsia="宋体" w:cs="宋体"/>
          <w:spacing w:val="5"/>
          <w:sz w:val="21"/>
          <w:szCs w:val="21"/>
        </w:rPr>
        <w:t>对主要分部、分项工程制定施工方案；对脚手架工程、</w:t>
      </w:r>
      <w:r>
        <w:rPr>
          <w:rFonts w:ascii="宋体" w:hAnsi="宋体" w:eastAsia="宋体" w:cs="宋体"/>
          <w:spacing w:val="4"/>
          <w:sz w:val="21"/>
          <w:szCs w:val="21"/>
        </w:rPr>
        <w:t>起重吊装工程、临时用水用电</w:t>
      </w:r>
      <w:r>
        <w:rPr>
          <w:rFonts w:ascii="宋体" w:hAnsi="宋体" w:eastAsia="宋体" w:cs="宋体"/>
          <w:spacing w:val="5"/>
          <w:sz w:val="21"/>
          <w:szCs w:val="21"/>
        </w:rPr>
        <w:t>工程、季节性施工等专项工程所采用的施工方案进行必</w:t>
      </w:r>
      <w:r>
        <w:rPr>
          <w:rFonts w:ascii="宋体" w:hAnsi="宋体" w:eastAsia="宋体" w:cs="宋体"/>
          <w:spacing w:val="4"/>
          <w:sz w:val="21"/>
          <w:szCs w:val="21"/>
        </w:rPr>
        <w:t>要的验算和说明；对易发生质</w:t>
      </w:r>
      <w:r>
        <w:rPr>
          <w:rFonts w:ascii="宋体" w:hAnsi="宋体" w:eastAsia="宋体" w:cs="宋体"/>
          <w:spacing w:val="5"/>
          <w:sz w:val="21"/>
          <w:szCs w:val="21"/>
        </w:rPr>
        <w:t>量通病、易出现安全问题、施工难度大、技术含量高的</w:t>
      </w:r>
      <w:r>
        <w:rPr>
          <w:rFonts w:ascii="宋体" w:hAnsi="宋体" w:eastAsia="宋体" w:cs="宋体"/>
          <w:spacing w:val="4"/>
          <w:sz w:val="21"/>
          <w:szCs w:val="21"/>
        </w:rPr>
        <w:t>分项工程（工序）等做出重点</w:t>
      </w:r>
      <w:r>
        <w:rPr>
          <w:rFonts w:ascii="宋体" w:hAnsi="宋体" w:eastAsia="宋体" w:cs="宋体"/>
          <w:spacing w:val="-13"/>
          <w:sz w:val="21"/>
          <w:szCs w:val="21"/>
        </w:rPr>
        <w:t>说明；</w:t>
      </w:r>
    </w:p>
    <w:p w14:paraId="4C21ACB8">
      <w:pPr>
        <w:spacing w:before="1" w:line="219" w:lineRule="auto"/>
        <w:ind w:left="427"/>
        <w:rPr>
          <w:rFonts w:ascii="宋体" w:hAnsi="宋体" w:eastAsia="宋体" w:cs="宋体"/>
          <w:sz w:val="21"/>
          <w:szCs w:val="21"/>
        </w:rPr>
      </w:pPr>
      <w:r>
        <w:rPr>
          <w:rFonts w:ascii="宋体" w:hAnsi="宋体" w:eastAsia="宋体" w:cs="宋体"/>
          <w:spacing w:val="-3"/>
          <w:sz w:val="21"/>
          <w:szCs w:val="21"/>
        </w:rPr>
        <w:t>（6）</w:t>
      </w:r>
      <w:r>
        <w:rPr>
          <w:rFonts w:ascii="宋体" w:hAnsi="宋体" w:eastAsia="宋体" w:cs="宋体"/>
          <w:b/>
          <w:bCs/>
          <w:spacing w:val="-3"/>
          <w:sz w:val="21"/>
          <w:szCs w:val="21"/>
        </w:rPr>
        <w:t>施工现场平面布置</w:t>
      </w:r>
    </w:p>
    <w:p w14:paraId="43760816">
      <w:pPr>
        <w:spacing w:before="171" w:line="369" w:lineRule="auto"/>
        <w:ind w:left="901" w:right="1"/>
        <w:jc w:val="both"/>
        <w:rPr>
          <w:rFonts w:ascii="宋体" w:hAnsi="宋体" w:eastAsia="宋体" w:cs="宋体"/>
          <w:sz w:val="21"/>
          <w:szCs w:val="21"/>
        </w:rPr>
      </w:pPr>
      <w:r>
        <w:rPr>
          <w:rFonts w:ascii="宋体" w:hAnsi="宋体" w:eastAsia="宋体" w:cs="宋体"/>
          <w:spacing w:val="6"/>
          <w:sz w:val="21"/>
          <w:szCs w:val="21"/>
        </w:rPr>
        <w:t>按不同施工阶段绘制施工现场平面布置图并附文字说明，说明施工场地状</w:t>
      </w:r>
      <w:r>
        <w:rPr>
          <w:rFonts w:ascii="宋体" w:hAnsi="宋体" w:eastAsia="宋体" w:cs="宋体"/>
          <w:spacing w:val="5"/>
          <w:sz w:val="21"/>
          <w:szCs w:val="21"/>
        </w:rPr>
        <w:t>况；拟建建</w:t>
      </w:r>
      <w:r>
        <w:rPr>
          <w:rFonts w:ascii="宋体" w:hAnsi="宋体" w:eastAsia="宋体" w:cs="宋体"/>
          <w:spacing w:val="-4"/>
          <w:sz w:val="21"/>
          <w:szCs w:val="21"/>
        </w:rPr>
        <w:t>（构）筑物的位置轮廓、尺寸、层数；</w:t>
      </w:r>
      <w:r>
        <w:rPr>
          <w:rFonts w:ascii="宋体" w:hAnsi="宋体" w:eastAsia="宋体" w:cs="宋体"/>
          <w:spacing w:val="61"/>
          <w:sz w:val="21"/>
          <w:szCs w:val="21"/>
        </w:rPr>
        <w:t xml:space="preserve"> </w:t>
      </w:r>
      <w:r>
        <w:rPr>
          <w:rFonts w:ascii="宋体" w:hAnsi="宋体" w:eastAsia="宋体" w:cs="宋体"/>
          <w:spacing w:val="-4"/>
          <w:sz w:val="21"/>
          <w:szCs w:val="21"/>
        </w:rPr>
        <w:t>加工设施、存储设施、办公和生活用房的位置和</w:t>
      </w:r>
      <w:r>
        <w:rPr>
          <w:rFonts w:ascii="宋体" w:hAnsi="宋体" w:eastAsia="宋体" w:cs="宋体"/>
          <w:spacing w:val="-1"/>
          <w:sz w:val="21"/>
          <w:szCs w:val="21"/>
        </w:rPr>
        <w:t>面积；布置垂直运输设施、供电设施、供水、供热设施、排水排污设施和临时施工道路；</w:t>
      </w:r>
      <w:r>
        <w:rPr>
          <w:rFonts w:ascii="宋体" w:hAnsi="宋体" w:eastAsia="宋体" w:cs="宋体"/>
          <w:sz w:val="21"/>
          <w:szCs w:val="21"/>
        </w:rPr>
        <w:t>必备的安全、消防、保卫和环境保护设施；相邻的地上地下既有建（构）筑物及相关环</w:t>
      </w:r>
      <w:r>
        <w:rPr>
          <w:rFonts w:ascii="宋体" w:hAnsi="宋体" w:eastAsia="宋体" w:cs="宋体"/>
          <w:spacing w:val="-13"/>
          <w:sz w:val="21"/>
          <w:szCs w:val="21"/>
        </w:rPr>
        <w:t>境等；</w:t>
      </w:r>
    </w:p>
    <w:p w14:paraId="2F690A35">
      <w:pPr>
        <w:spacing w:before="1" w:line="220" w:lineRule="auto"/>
        <w:ind w:left="427"/>
        <w:rPr>
          <w:rFonts w:ascii="宋体" w:hAnsi="宋体" w:eastAsia="宋体" w:cs="宋体"/>
          <w:sz w:val="21"/>
          <w:szCs w:val="21"/>
        </w:rPr>
      </w:pPr>
      <w:r>
        <w:rPr>
          <w:rFonts w:ascii="宋体" w:hAnsi="宋体" w:eastAsia="宋体" w:cs="宋体"/>
          <w:spacing w:val="-3"/>
          <w:sz w:val="21"/>
          <w:szCs w:val="21"/>
        </w:rPr>
        <w:t>（7）</w:t>
      </w:r>
      <w:r>
        <w:rPr>
          <w:rFonts w:ascii="宋体" w:hAnsi="宋体" w:eastAsia="宋体" w:cs="宋体"/>
          <w:b/>
          <w:bCs/>
          <w:spacing w:val="-3"/>
          <w:sz w:val="21"/>
          <w:szCs w:val="21"/>
        </w:rPr>
        <w:t>主要施工管理计划</w:t>
      </w:r>
    </w:p>
    <w:p w14:paraId="01BF9FF6">
      <w:pPr>
        <w:spacing w:before="170" w:line="371" w:lineRule="auto"/>
        <w:ind w:left="946" w:right="168"/>
        <w:rPr>
          <w:rFonts w:ascii="宋体" w:hAnsi="宋体" w:eastAsia="宋体" w:cs="宋体"/>
          <w:sz w:val="21"/>
          <w:szCs w:val="21"/>
        </w:rPr>
      </w:pPr>
      <w:r>
        <w:rPr>
          <w:rFonts w:ascii="宋体" w:hAnsi="宋体" w:eastAsia="宋体" w:cs="宋体"/>
          <w:spacing w:val="5"/>
          <w:sz w:val="21"/>
          <w:szCs w:val="21"/>
        </w:rPr>
        <w:t>包括进度管理计划、质量管理计划、安全管理计划、环</w:t>
      </w:r>
      <w:r>
        <w:rPr>
          <w:rFonts w:ascii="宋体" w:hAnsi="宋体" w:eastAsia="宋体" w:cs="宋体"/>
          <w:spacing w:val="4"/>
          <w:sz w:val="21"/>
          <w:szCs w:val="21"/>
        </w:rPr>
        <w:t>境管理计划、成本管理计划和</w:t>
      </w:r>
      <w:r>
        <w:rPr>
          <w:rFonts w:ascii="宋体" w:hAnsi="宋体" w:eastAsia="宋体" w:cs="宋体"/>
          <w:spacing w:val="5"/>
          <w:sz w:val="21"/>
          <w:szCs w:val="21"/>
        </w:rPr>
        <w:t>其他管理计划，其中其他管理计划宜包括治安保卫管</w:t>
      </w:r>
      <w:r>
        <w:rPr>
          <w:rFonts w:ascii="宋体" w:hAnsi="宋体" w:eastAsia="宋体" w:cs="宋体"/>
          <w:spacing w:val="4"/>
          <w:sz w:val="21"/>
          <w:szCs w:val="21"/>
        </w:rPr>
        <w:t>理计划、合同管理计划，组织协</w:t>
      </w:r>
    </w:p>
    <w:p w14:paraId="4AA5F608">
      <w:pPr>
        <w:spacing w:line="371" w:lineRule="auto"/>
        <w:rPr>
          <w:rFonts w:ascii="宋体" w:hAnsi="宋体" w:eastAsia="宋体" w:cs="宋体"/>
          <w:sz w:val="21"/>
          <w:szCs w:val="21"/>
        </w:rPr>
        <w:sectPr>
          <w:footerReference r:id="rId223" w:type="default"/>
          <w:pgSz w:w="11905" w:h="16843"/>
          <w:pgMar w:top="969" w:right="1355" w:bottom="1026" w:left="1480" w:header="0" w:footer="754" w:gutter="0"/>
          <w:cols w:space="0" w:num="1"/>
          <w:rtlGutter w:val="0"/>
          <w:docGrid w:linePitch="0" w:charSpace="0"/>
        </w:sectPr>
      </w:pPr>
    </w:p>
    <w:p w14:paraId="391EFFFB">
      <w:pPr>
        <w:pStyle w:val="5"/>
        <w:spacing w:line="276" w:lineRule="auto"/>
      </w:pPr>
    </w:p>
    <w:p w14:paraId="394F1F2B">
      <w:pPr>
        <w:pStyle w:val="5"/>
        <w:spacing w:line="276" w:lineRule="auto"/>
      </w:pPr>
    </w:p>
    <w:p w14:paraId="5BD4E2F3">
      <w:pPr>
        <w:pStyle w:val="5"/>
        <w:spacing w:line="276" w:lineRule="auto"/>
      </w:pPr>
    </w:p>
    <w:p w14:paraId="76AB89DE">
      <w:pPr>
        <w:pStyle w:val="5"/>
        <w:spacing w:line="276" w:lineRule="auto"/>
      </w:pPr>
    </w:p>
    <w:p w14:paraId="6D24E448">
      <w:pPr>
        <w:pStyle w:val="5"/>
        <w:spacing w:line="276" w:lineRule="auto"/>
      </w:pPr>
    </w:p>
    <w:p w14:paraId="5F980FDC">
      <w:pPr>
        <w:spacing w:before="68" w:line="369" w:lineRule="auto"/>
        <w:ind w:left="939" w:right="1"/>
        <w:rPr>
          <w:rFonts w:ascii="宋体" w:hAnsi="宋体" w:eastAsia="宋体" w:cs="宋体"/>
          <w:sz w:val="21"/>
          <w:szCs w:val="21"/>
        </w:rPr>
      </w:pPr>
      <w:r>
        <w:rPr>
          <w:rFonts w:ascii="宋体" w:hAnsi="宋体" w:eastAsia="宋体" w:cs="宋体"/>
          <w:spacing w:val="5"/>
          <w:sz w:val="21"/>
          <w:szCs w:val="21"/>
        </w:rPr>
        <w:t>调管理计划、创优质工程管理计划、成品保护管理</w:t>
      </w:r>
      <w:r>
        <w:rPr>
          <w:rFonts w:ascii="宋体" w:hAnsi="宋体" w:eastAsia="宋体" w:cs="宋体"/>
          <w:spacing w:val="4"/>
          <w:sz w:val="21"/>
          <w:szCs w:val="21"/>
        </w:rPr>
        <w:t>计划、质量保修管理计划、对施工</w:t>
      </w:r>
      <w:r>
        <w:rPr>
          <w:rFonts w:ascii="宋体" w:hAnsi="宋体" w:eastAsia="宋体" w:cs="宋体"/>
          <w:spacing w:val="-1"/>
          <w:sz w:val="21"/>
          <w:szCs w:val="21"/>
        </w:rPr>
        <w:t>现场人力资源、施工机具、材料设备等管理计划。</w:t>
      </w:r>
    </w:p>
    <w:p w14:paraId="41C14013">
      <w:pPr>
        <w:spacing w:line="369" w:lineRule="auto"/>
        <w:ind w:firstLine="415"/>
        <w:rPr>
          <w:rFonts w:ascii="宋体" w:hAnsi="宋体" w:eastAsia="宋体" w:cs="宋体"/>
          <w:sz w:val="21"/>
          <w:szCs w:val="21"/>
        </w:rPr>
      </w:pPr>
      <w:r>
        <w:rPr>
          <w:rFonts w:ascii="宋体" w:hAnsi="宋体" w:eastAsia="宋体" w:cs="宋体"/>
          <w:spacing w:val="4"/>
          <w:sz w:val="21"/>
          <w:szCs w:val="21"/>
        </w:rPr>
        <w:t>2．施工组织设计除采用文字表述外可附下列图表，图表及格式要求附后。下述表格应按照</w:t>
      </w:r>
      <w:r>
        <w:rPr>
          <w:rFonts w:ascii="宋体" w:hAnsi="宋体" w:eastAsia="宋体" w:cs="宋体"/>
          <w:spacing w:val="-2"/>
          <w:sz w:val="21"/>
          <w:szCs w:val="21"/>
        </w:rPr>
        <w:t>章节内容，严格按给定的格式附在相应的章节中。</w:t>
      </w:r>
    </w:p>
    <w:p w14:paraId="5DE4F46F">
      <w:pPr>
        <w:spacing w:line="219" w:lineRule="auto"/>
        <w:ind w:left="429"/>
        <w:rPr>
          <w:rFonts w:ascii="宋体" w:hAnsi="宋体" w:eastAsia="宋体" w:cs="宋体"/>
          <w:sz w:val="21"/>
          <w:szCs w:val="21"/>
        </w:rPr>
      </w:pPr>
      <w:r>
        <w:rPr>
          <w:rFonts w:ascii="宋体" w:hAnsi="宋体" w:eastAsia="宋体" w:cs="宋体"/>
          <w:spacing w:val="-2"/>
          <w:sz w:val="21"/>
          <w:szCs w:val="21"/>
        </w:rPr>
        <w:t>附表一  拟投入本工程的主要施工设备表</w:t>
      </w:r>
    </w:p>
    <w:p w14:paraId="19C0CADC">
      <w:pPr>
        <w:spacing w:before="169" w:line="220" w:lineRule="auto"/>
        <w:ind w:left="429"/>
        <w:rPr>
          <w:rFonts w:ascii="宋体" w:hAnsi="宋体" w:eastAsia="宋体" w:cs="宋体"/>
          <w:sz w:val="21"/>
          <w:szCs w:val="21"/>
        </w:rPr>
      </w:pPr>
      <w:r>
        <w:rPr>
          <w:rFonts w:ascii="宋体" w:hAnsi="宋体" w:eastAsia="宋体" w:cs="宋体"/>
          <w:spacing w:val="-1"/>
          <w:sz w:val="21"/>
          <w:szCs w:val="21"/>
        </w:rPr>
        <w:t>附表二  拟配备本工程的试验和检测仪器设备表</w:t>
      </w:r>
    </w:p>
    <w:p w14:paraId="05922365">
      <w:pPr>
        <w:spacing w:before="171" w:line="220" w:lineRule="auto"/>
        <w:ind w:left="429"/>
        <w:rPr>
          <w:rFonts w:ascii="宋体" w:hAnsi="宋体" w:eastAsia="宋体" w:cs="宋体"/>
          <w:sz w:val="21"/>
          <w:szCs w:val="21"/>
        </w:rPr>
      </w:pPr>
      <w:r>
        <w:rPr>
          <w:rFonts w:ascii="宋体" w:hAnsi="宋体" w:eastAsia="宋体" w:cs="宋体"/>
          <w:spacing w:val="-2"/>
          <w:sz w:val="21"/>
          <w:szCs w:val="21"/>
        </w:rPr>
        <w:t>附表三  劳动力计划表</w:t>
      </w:r>
    </w:p>
    <w:p w14:paraId="28596EB6">
      <w:pPr>
        <w:spacing w:before="169" w:line="220" w:lineRule="auto"/>
        <w:ind w:left="429"/>
        <w:rPr>
          <w:rFonts w:ascii="宋体" w:hAnsi="宋体" w:eastAsia="宋体" w:cs="宋体"/>
          <w:sz w:val="21"/>
          <w:szCs w:val="21"/>
        </w:rPr>
      </w:pPr>
      <w:r>
        <w:rPr>
          <w:rFonts w:ascii="宋体" w:hAnsi="宋体" w:eastAsia="宋体" w:cs="宋体"/>
          <w:spacing w:val="-1"/>
          <w:sz w:val="21"/>
          <w:szCs w:val="21"/>
        </w:rPr>
        <w:t>附表四  计划开、竣工日期和施工进度网络图</w:t>
      </w:r>
    </w:p>
    <w:p w14:paraId="7CD2BC22">
      <w:pPr>
        <w:spacing w:before="170" w:line="220" w:lineRule="auto"/>
        <w:ind w:left="429"/>
        <w:rPr>
          <w:rFonts w:ascii="宋体" w:hAnsi="宋体" w:eastAsia="宋体" w:cs="宋体"/>
          <w:sz w:val="21"/>
          <w:szCs w:val="21"/>
        </w:rPr>
      </w:pPr>
      <w:r>
        <w:rPr>
          <w:rFonts w:ascii="宋体" w:hAnsi="宋体" w:eastAsia="宋体" w:cs="宋体"/>
          <w:spacing w:val="-2"/>
          <w:sz w:val="21"/>
          <w:szCs w:val="21"/>
        </w:rPr>
        <w:t>附表五  施工总平面图</w:t>
      </w:r>
    </w:p>
    <w:p w14:paraId="41553575">
      <w:pPr>
        <w:spacing w:before="170" w:line="220" w:lineRule="auto"/>
        <w:ind w:left="429"/>
        <w:rPr>
          <w:rFonts w:ascii="宋体" w:hAnsi="宋体" w:eastAsia="宋体" w:cs="宋体"/>
          <w:sz w:val="21"/>
          <w:szCs w:val="21"/>
        </w:rPr>
      </w:pPr>
      <w:r>
        <w:rPr>
          <w:rFonts w:ascii="宋体" w:hAnsi="宋体" w:eastAsia="宋体" w:cs="宋体"/>
          <w:spacing w:val="-5"/>
          <w:sz w:val="21"/>
          <w:szCs w:val="21"/>
        </w:rPr>
        <w:t>附表六</w:t>
      </w:r>
      <w:r>
        <w:rPr>
          <w:rFonts w:ascii="宋体" w:hAnsi="宋体" w:eastAsia="宋体" w:cs="宋体"/>
          <w:spacing w:val="9"/>
          <w:sz w:val="21"/>
          <w:szCs w:val="21"/>
        </w:rPr>
        <w:t xml:space="preserve">  </w:t>
      </w:r>
      <w:r>
        <w:rPr>
          <w:rFonts w:ascii="宋体" w:hAnsi="宋体" w:eastAsia="宋体" w:cs="宋体"/>
          <w:spacing w:val="-5"/>
          <w:sz w:val="21"/>
          <w:szCs w:val="21"/>
        </w:rPr>
        <w:t>临时用地表</w:t>
      </w:r>
    </w:p>
    <w:p w14:paraId="2A1585C6">
      <w:pPr>
        <w:spacing w:line="220" w:lineRule="auto"/>
        <w:rPr>
          <w:rFonts w:ascii="宋体" w:hAnsi="宋体" w:eastAsia="宋体" w:cs="宋体"/>
          <w:sz w:val="21"/>
          <w:szCs w:val="21"/>
        </w:rPr>
        <w:sectPr>
          <w:footerReference r:id="rId224" w:type="default"/>
          <w:pgSz w:w="11905" w:h="16843"/>
          <w:pgMar w:top="969" w:right="1355" w:bottom="1026" w:left="1480" w:header="0" w:footer="754" w:gutter="0"/>
          <w:cols w:space="0" w:num="1"/>
          <w:rtlGutter w:val="0"/>
          <w:docGrid w:linePitch="0" w:charSpace="0"/>
        </w:sectPr>
      </w:pPr>
    </w:p>
    <w:p w14:paraId="4D7843B5">
      <w:pPr>
        <w:pStyle w:val="5"/>
        <w:spacing w:line="265" w:lineRule="auto"/>
      </w:pPr>
    </w:p>
    <w:p w14:paraId="4B0AAA1A">
      <w:pPr>
        <w:pStyle w:val="5"/>
        <w:spacing w:line="265" w:lineRule="auto"/>
      </w:pPr>
    </w:p>
    <w:p w14:paraId="2C010C07">
      <w:pPr>
        <w:pStyle w:val="5"/>
        <w:spacing w:line="266" w:lineRule="auto"/>
      </w:pPr>
    </w:p>
    <w:p w14:paraId="7E9832A8">
      <w:pPr>
        <w:pStyle w:val="5"/>
        <w:spacing w:line="266" w:lineRule="auto"/>
      </w:pPr>
    </w:p>
    <w:p w14:paraId="25773556">
      <w:pPr>
        <w:pStyle w:val="5"/>
        <w:spacing w:line="266" w:lineRule="auto"/>
      </w:pPr>
    </w:p>
    <w:p w14:paraId="615F99C2">
      <w:pPr>
        <w:spacing w:before="78" w:line="219" w:lineRule="auto"/>
        <w:outlineLvl w:val="2"/>
        <w:rPr>
          <w:rFonts w:ascii="黑体" w:hAnsi="黑体" w:eastAsia="黑体" w:cs="黑体"/>
          <w:sz w:val="24"/>
          <w:szCs w:val="24"/>
        </w:rPr>
      </w:pPr>
      <w:bookmarkStart w:id="1405" w:name="bookmark469"/>
      <w:bookmarkEnd w:id="1405"/>
      <w:r>
        <w:rPr>
          <w:rFonts w:ascii="黑体" w:hAnsi="黑体" w:eastAsia="黑体" w:cs="黑体"/>
          <w:spacing w:val="-2"/>
          <w:sz w:val="24"/>
          <w:szCs w:val="24"/>
        </w:rPr>
        <w:t>附表一：拟投入本工程的主要施工设备表</w:t>
      </w:r>
    </w:p>
    <w:tbl>
      <w:tblPr>
        <w:tblStyle w:val="10"/>
        <w:tblW w:w="8511"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065"/>
        <w:gridCol w:w="672"/>
        <w:gridCol w:w="1022"/>
        <w:gridCol w:w="708"/>
        <w:gridCol w:w="708"/>
        <w:gridCol w:w="1175"/>
        <w:gridCol w:w="873"/>
        <w:gridCol w:w="871"/>
        <w:gridCol w:w="770"/>
      </w:tblGrid>
      <w:tr w14:paraId="2068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7" w:type="dxa"/>
            <w:vAlign w:val="top"/>
          </w:tcPr>
          <w:p w14:paraId="38675E94">
            <w:pPr>
              <w:pStyle w:val="11"/>
              <w:spacing w:before="209" w:line="222" w:lineRule="auto"/>
              <w:ind w:left="117"/>
            </w:pPr>
            <w:r>
              <w:rPr>
                <w:spacing w:val="-2"/>
              </w:rPr>
              <w:t>序号</w:t>
            </w:r>
          </w:p>
        </w:tc>
        <w:tc>
          <w:tcPr>
            <w:tcW w:w="1065" w:type="dxa"/>
            <w:vAlign w:val="top"/>
          </w:tcPr>
          <w:p w14:paraId="6E061BE6">
            <w:pPr>
              <w:pStyle w:val="11"/>
              <w:spacing w:before="209" w:line="222" w:lineRule="auto"/>
              <w:ind w:left="120"/>
            </w:pPr>
            <w:r>
              <w:rPr>
                <w:spacing w:val="-3"/>
              </w:rPr>
              <w:t>设备名称</w:t>
            </w:r>
          </w:p>
        </w:tc>
        <w:tc>
          <w:tcPr>
            <w:tcW w:w="672" w:type="dxa"/>
            <w:vAlign w:val="top"/>
          </w:tcPr>
          <w:p w14:paraId="3977F13B">
            <w:pPr>
              <w:pStyle w:val="11"/>
              <w:spacing w:before="75" w:line="222" w:lineRule="auto"/>
              <w:ind w:left="136"/>
            </w:pPr>
            <w:r>
              <w:rPr>
                <w:spacing w:val="-4"/>
              </w:rPr>
              <w:t>型号</w:t>
            </w:r>
          </w:p>
          <w:p w14:paraId="716178BD">
            <w:pPr>
              <w:pStyle w:val="11"/>
              <w:spacing w:before="18" w:line="221" w:lineRule="auto"/>
              <w:ind w:left="130"/>
            </w:pPr>
            <w:r>
              <w:rPr>
                <w:spacing w:val="-2"/>
              </w:rPr>
              <w:t>规格</w:t>
            </w:r>
          </w:p>
        </w:tc>
        <w:tc>
          <w:tcPr>
            <w:tcW w:w="1022" w:type="dxa"/>
            <w:vAlign w:val="top"/>
          </w:tcPr>
          <w:p w14:paraId="22D5D8DD">
            <w:pPr>
              <w:pStyle w:val="11"/>
              <w:spacing w:before="209" w:line="221" w:lineRule="auto"/>
              <w:ind w:left="201"/>
            </w:pPr>
            <w:r>
              <w:rPr>
                <w:spacing w:val="-5"/>
              </w:rPr>
              <w:t>数</w:t>
            </w:r>
            <w:r>
              <w:rPr>
                <w:spacing w:val="4"/>
              </w:rPr>
              <w:t xml:space="preserve">  </w:t>
            </w:r>
            <w:r>
              <w:rPr>
                <w:spacing w:val="-5"/>
              </w:rPr>
              <w:t>量</w:t>
            </w:r>
          </w:p>
        </w:tc>
        <w:tc>
          <w:tcPr>
            <w:tcW w:w="708" w:type="dxa"/>
            <w:vAlign w:val="top"/>
          </w:tcPr>
          <w:p w14:paraId="4D73B1FD">
            <w:pPr>
              <w:pStyle w:val="11"/>
              <w:spacing w:before="75" w:line="221" w:lineRule="auto"/>
              <w:ind w:left="170"/>
            </w:pPr>
            <w:r>
              <w:rPr>
                <w:spacing w:val="-7"/>
              </w:rPr>
              <w:t>国别</w:t>
            </w:r>
          </w:p>
          <w:p w14:paraId="15C8066A">
            <w:pPr>
              <w:pStyle w:val="11"/>
              <w:spacing w:before="18" w:line="221" w:lineRule="auto"/>
              <w:ind w:left="149"/>
            </w:pPr>
            <w:r>
              <w:rPr>
                <w:spacing w:val="-2"/>
              </w:rPr>
              <w:t>产地</w:t>
            </w:r>
          </w:p>
        </w:tc>
        <w:tc>
          <w:tcPr>
            <w:tcW w:w="708" w:type="dxa"/>
            <w:vAlign w:val="top"/>
          </w:tcPr>
          <w:p w14:paraId="476C122D">
            <w:pPr>
              <w:pStyle w:val="11"/>
              <w:spacing w:before="75" w:line="221" w:lineRule="auto"/>
              <w:ind w:left="150"/>
            </w:pPr>
            <w:r>
              <w:rPr>
                <w:spacing w:val="-2"/>
              </w:rPr>
              <w:t>制造</w:t>
            </w:r>
          </w:p>
          <w:p w14:paraId="1AE2EAAA">
            <w:pPr>
              <w:pStyle w:val="11"/>
              <w:spacing w:before="18" w:line="221" w:lineRule="auto"/>
              <w:ind w:left="150"/>
            </w:pPr>
            <w:r>
              <w:rPr>
                <w:spacing w:val="-2"/>
              </w:rPr>
              <w:t>年份</w:t>
            </w:r>
          </w:p>
        </w:tc>
        <w:tc>
          <w:tcPr>
            <w:tcW w:w="1175" w:type="dxa"/>
            <w:vAlign w:val="top"/>
          </w:tcPr>
          <w:p w14:paraId="0E4541DB">
            <w:pPr>
              <w:pStyle w:val="11"/>
              <w:spacing w:before="74" w:line="221" w:lineRule="auto"/>
              <w:ind w:left="176"/>
            </w:pPr>
            <w:r>
              <w:rPr>
                <w:spacing w:val="-2"/>
              </w:rPr>
              <w:t>额定功率</w:t>
            </w:r>
          </w:p>
          <w:p w14:paraId="4209B6E9">
            <w:pPr>
              <w:pStyle w:val="11"/>
              <w:spacing w:before="20" w:line="233" w:lineRule="auto"/>
              <w:ind w:left="286"/>
            </w:pPr>
            <w:r>
              <w:rPr>
                <w:spacing w:val="-4"/>
              </w:rPr>
              <w:t>（KW）</w:t>
            </w:r>
          </w:p>
        </w:tc>
        <w:tc>
          <w:tcPr>
            <w:tcW w:w="873" w:type="dxa"/>
            <w:vAlign w:val="top"/>
          </w:tcPr>
          <w:p w14:paraId="0EFED555">
            <w:pPr>
              <w:pStyle w:val="11"/>
              <w:spacing w:before="74" w:line="221" w:lineRule="auto"/>
              <w:ind w:left="236"/>
            </w:pPr>
            <w:r>
              <w:rPr>
                <w:spacing w:val="-2"/>
              </w:rPr>
              <w:t>生产</w:t>
            </w:r>
          </w:p>
          <w:p w14:paraId="771DFF18">
            <w:pPr>
              <w:pStyle w:val="11"/>
              <w:spacing w:before="19" w:line="221" w:lineRule="auto"/>
              <w:ind w:left="243"/>
            </w:pPr>
            <w:r>
              <w:rPr>
                <w:spacing w:val="-4"/>
              </w:rPr>
              <w:t>能力</w:t>
            </w:r>
          </w:p>
        </w:tc>
        <w:tc>
          <w:tcPr>
            <w:tcW w:w="871" w:type="dxa"/>
            <w:vAlign w:val="top"/>
          </w:tcPr>
          <w:p w14:paraId="70877DEB">
            <w:pPr>
              <w:pStyle w:val="11"/>
              <w:spacing w:before="75" w:line="222" w:lineRule="auto"/>
              <w:ind w:left="129"/>
            </w:pPr>
            <w:r>
              <w:rPr>
                <w:spacing w:val="-2"/>
              </w:rPr>
              <w:t>用于施</w:t>
            </w:r>
          </w:p>
          <w:p w14:paraId="2D84722B">
            <w:pPr>
              <w:pStyle w:val="11"/>
              <w:spacing w:before="18" w:line="221" w:lineRule="auto"/>
              <w:ind w:left="130"/>
            </w:pPr>
            <w:r>
              <w:rPr>
                <w:spacing w:val="-2"/>
              </w:rPr>
              <w:t>工部位</w:t>
            </w:r>
          </w:p>
        </w:tc>
        <w:tc>
          <w:tcPr>
            <w:tcW w:w="770" w:type="dxa"/>
            <w:vAlign w:val="top"/>
          </w:tcPr>
          <w:p w14:paraId="5DCF2FAC">
            <w:pPr>
              <w:pStyle w:val="11"/>
              <w:spacing w:before="209" w:line="222" w:lineRule="auto"/>
              <w:ind w:left="183"/>
            </w:pPr>
            <w:r>
              <w:rPr>
                <w:spacing w:val="-3"/>
              </w:rPr>
              <w:t>备注</w:t>
            </w:r>
          </w:p>
        </w:tc>
      </w:tr>
      <w:tr w14:paraId="5D926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537FCC4A">
            <w:pPr>
              <w:rPr>
                <w:rFonts w:ascii="Arial"/>
                <w:sz w:val="21"/>
              </w:rPr>
            </w:pPr>
          </w:p>
        </w:tc>
        <w:tc>
          <w:tcPr>
            <w:tcW w:w="1065" w:type="dxa"/>
            <w:vAlign w:val="top"/>
          </w:tcPr>
          <w:p w14:paraId="0848D889">
            <w:pPr>
              <w:rPr>
                <w:rFonts w:ascii="Arial"/>
                <w:sz w:val="21"/>
              </w:rPr>
            </w:pPr>
          </w:p>
        </w:tc>
        <w:tc>
          <w:tcPr>
            <w:tcW w:w="672" w:type="dxa"/>
            <w:vAlign w:val="top"/>
          </w:tcPr>
          <w:p w14:paraId="01F8060B">
            <w:pPr>
              <w:rPr>
                <w:rFonts w:ascii="Arial"/>
                <w:sz w:val="21"/>
              </w:rPr>
            </w:pPr>
          </w:p>
        </w:tc>
        <w:tc>
          <w:tcPr>
            <w:tcW w:w="1022" w:type="dxa"/>
            <w:vAlign w:val="top"/>
          </w:tcPr>
          <w:p w14:paraId="72139F79">
            <w:pPr>
              <w:rPr>
                <w:rFonts w:ascii="Arial"/>
                <w:sz w:val="21"/>
              </w:rPr>
            </w:pPr>
          </w:p>
        </w:tc>
        <w:tc>
          <w:tcPr>
            <w:tcW w:w="708" w:type="dxa"/>
            <w:vAlign w:val="top"/>
          </w:tcPr>
          <w:p w14:paraId="48CF7C3C">
            <w:pPr>
              <w:rPr>
                <w:rFonts w:ascii="Arial"/>
                <w:sz w:val="21"/>
              </w:rPr>
            </w:pPr>
          </w:p>
        </w:tc>
        <w:tc>
          <w:tcPr>
            <w:tcW w:w="708" w:type="dxa"/>
            <w:vAlign w:val="top"/>
          </w:tcPr>
          <w:p w14:paraId="11D50A81">
            <w:pPr>
              <w:rPr>
                <w:rFonts w:ascii="Arial"/>
                <w:sz w:val="21"/>
              </w:rPr>
            </w:pPr>
          </w:p>
        </w:tc>
        <w:tc>
          <w:tcPr>
            <w:tcW w:w="1175" w:type="dxa"/>
            <w:vAlign w:val="top"/>
          </w:tcPr>
          <w:p w14:paraId="0973838E">
            <w:pPr>
              <w:rPr>
                <w:rFonts w:ascii="Arial"/>
                <w:sz w:val="21"/>
              </w:rPr>
            </w:pPr>
          </w:p>
        </w:tc>
        <w:tc>
          <w:tcPr>
            <w:tcW w:w="873" w:type="dxa"/>
            <w:vAlign w:val="top"/>
          </w:tcPr>
          <w:p w14:paraId="3C330EC5">
            <w:pPr>
              <w:rPr>
                <w:rFonts w:ascii="Arial"/>
                <w:sz w:val="21"/>
              </w:rPr>
            </w:pPr>
          </w:p>
        </w:tc>
        <w:tc>
          <w:tcPr>
            <w:tcW w:w="871" w:type="dxa"/>
            <w:vAlign w:val="top"/>
          </w:tcPr>
          <w:p w14:paraId="3CE41AB8">
            <w:pPr>
              <w:rPr>
                <w:rFonts w:ascii="Arial"/>
                <w:sz w:val="21"/>
              </w:rPr>
            </w:pPr>
          </w:p>
        </w:tc>
        <w:tc>
          <w:tcPr>
            <w:tcW w:w="770" w:type="dxa"/>
            <w:vAlign w:val="top"/>
          </w:tcPr>
          <w:p w14:paraId="73CDFC38">
            <w:pPr>
              <w:rPr>
                <w:rFonts w:ascii="Arial"/>
                <w:sz w:val="21"/>
              </w:rPr>
            </w:pPr>
          </w:p>
        </w:tc>
      </w:tr>
      <w:tr w14:paraId="1F06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3879E871">
            <w:pPr>
              <w:rPr>
                <w:rFonts w:ascii="Arial"/>
                <w:sz w:val="21"/>
              </w:rPr>
            </w:pPr>
          </w:p>
        </w:tc>
        <w:tc>
          <w:tcPr>
            <w:tcW w:w="1065" w:type="dxa"/>
            <w:vAlign w:val="top"/>
          </w:tcPr>
          <w:p w14:paraId="7AF57CDE">
            <w:pPr>
              <w:rPr>
                <w:rFonts w:ascii="Arial"/>
                <w:sz w:val="21"/>
              </w:rPr>
            </w:pPr>
          </w:p>
        </w:tc>
        <w:tc>
          <w:tcPr>
            <w:tcW w:w="672" w:type="dxa"/>
            <w:vAlign w:val="top"/>
          </w:tcPr>
          <w:p w14:paraId="23AE9641">
            <w:pPr>
              <w:rPr>
                <w:rFonts w:ascii="Arial"/>
                <w:sz w:val="21"/>
              </w:rPr>
            </w:pPr>
          </w:p>
        </w:tc>
        <w:tc>
          <w:tcPr>
            <w:tcW w:w="1022" w:type="dxa"/>
            <w:vAlign w:val="top"/>
          </w:tcPr>
          <w:p w14:paraId="4E32DBFA">
            <w:pPr>
              <w:rPr>
                <w:rFonts w:ascii="Arial"/>
                <w:sz w:val="21"/>
              </w:rPr>
            </w:pPr>
          </w:p>
        </w:tc>
        <w:tc>
          <w:tcPr>
            <w:tcW w:w="708" w:type="dxa"/>
            <w:vAlign w:val="top"/>
          </w:tcPr>
          <w:p w14:paraId="6848D729">
            <w:pPr>
              <w:rPr>
                <w:rFonts w:ascii="Arial"/>
                <w:sz w:val="21"/>
              </w:rPr>
            </w:pPr>
          </w:p>
        </w:tc>
        <w:tc>
          <w:tcPr>
            <w:tcW w:w="708" w:type="dxa"/>
            <w:vAlign w:val="top"/>
          </w:tcPr>
          <w:p w14:paraId="37B8E5BE">
            <w:pPr>
              <w:rPr>
                <w:rFonts w:ascii="Arial"/>
                <w:sz w:val="21"/>
              </w:rPr>
            </w:pPr>
          </w:p>
        </w:tc>
        <w:tc>
          <w:tcPr>
            <w:tcW w:w="1175" w:type="dxa"/>
            <w:vAlign w:val="top"/>
          </w:tcPr>
          <w:p w14:paraId="17075BC0">
            <w:pPr>
              <w:rPr>
                <w:rFonts w:ascii="Arial"/>
                <w:sz w:val="21"/>
              </w:rPr>
            </w:pPr>
          </w:p>
        </w:tc>
        <w:tc>
          <w:tcPr>
            <w:tcW w:w="873" w:type="dxa"/>
            <w:vAlign w:val="top"/>
          </w:tcPr>
          <w:p w14:paraId="5083D426">
            <w:pPr>
              <w:rPr>
                <w:rFonts w:ascii="Arial"/>
                <w:sz w:val="21"/>
              </w:rPr>
            </w:pPr>
          </w:p>
        </w:tc>
        <w:tc>
          <w:tcPr>
            <w:tcW w:w="871" w:type="dxa"/>
            <w:vAlign w:val="top"/>
          </w:tcPr>
          <w:p w14:paraId="391CC5F8">
            <w:pPr>
              <w:rPr>
                <w:rFonts w:ascii="Arial"/>
                <w:sz w:val="21"/>
              </w:rPr>
            </w:pPr>
          </w:p>
        </w:tc>
        <w:tc>
          <w:tcPr>
            <w:tcW w:w="770" w:type="dxa"/>
            <w:vAlign w:val="top"/>
          </w:tcPr>
          <w:p w14:paraId="72CC7229">
            <w:pPr>
              <w:rPr>
                <w:rFonts w:ascii="Arial"/>
                <w:sz w:val="21"/>
              </w:rPr>
            </w:pPr>
          </w:p>
        </w:tc>
      </w:tr>
      <w:tr w14:paraId="37666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15B26919">
            <w:pPr>
              <w:rPr>
                <w:rFonts w:ascii="Arial"/>
                <w:sz w:val="21"/>
              </w:rPr>
            </w:pPr>
          </w:p>
        </w:tc>
        <w:tc>
          <w:tcPr>
            <w:tcW w:w="1065" w:type="dxa"/>
            <w:vAlign w:val="top"/>
          </w:tcPr>
          <w:p w14:paraId="68B9AD66">
            <w:pPr>
              <w:rPr>
                <w:rFonts w:ascii="Arial"/>
                <w:sz w:val="21"/>
              </w:rPr>
            </w:pPr>
          </w:p>
        </w:tc>
        <w:tc>
          <w:tcPr>
            <w:tcW w:w="672" w:type="dxa"/>
            <w:vAlign w:val="top"/>
          </w:tcPr>
          <w:p w14:paraId="3C203FE7">
            <w:pPr>
              <w:rPr>
                <w:rFonts w:ascii="Arial"/>
                <w:sz w:val="21"/>
              </w:rPr>
            </w:pPr>
          </w:p>
        </w:tc>
        <w:tc>
          <w:tcPr>
            <w:tcW w:w="1022" w:type="dxa"/>
            <w:vAlign w:val="top"/>
          </w:tcPr>
          <w:p w14:paraId="4173201D">
            <w:pPr>
              <w:rPr>
                <w:rFonts w:ascii="Arial"/>
                <w:sz w:val="21"/>
              </w:rPr>
            </w:pPr>
          </w:p>
        </w:tc>
        <w:tc>
          <w:tcPr>
            <w:tcW w:w="708" w:type="dxa"/>
            <w:vAlign w:val="top"/>
          </w:tcPr>
          <w:p w14:paraId="11189FBD">
            <w:pPr>
              <w:rPr>
                <w:rFonts w:ascii="Arial"/>
                <w:sz w:val="21"/>
              </w:rPr>
            </w:pPr>
          </w:p>
        </w:tc>
        <w:tc>
          <w:tcPr>
            <w:tcW w:w="708" w:type="dxa"/>
            <w:vAlign w:val="top"/>
          </w:tcPr>
          <w:p w14:paraId="71D093D0">
            <w:pPr>
              <w:rPr>
                <w:rFonts w:ascii="Arial"/>
                <w:sz w:val="21"/>
              </w:rPr>
            </w:pPr>
          </w:p>
        </w:tc>
        <w:tc>
          <w:tcPr>
            <w:tcW w:w="1175" w:type="dxa"/>
            <w:vAlign w:val="top"/>
          </w:tcPr>
          <w:p w14:paraId="17170E03">
            <w:pPr>
              <w:rPr>
                <w:rFonts w:ascii="Arial"/>
                <w:sz w:val="21"/>
              </w:rPr>
            </w:pPr>
          </w:p>
        </w:tc>
        <w:tc>
          <w:tcPr>
            <w:tcW w:w="873" w:type="dxa"/>
            <w:vAlign w:val="top"/>
          </w:tcPr>
          <w:p w14:paraId="624FBC72">
            <w:pPr>
              <w:rPr>
                <w:rFonts w:ascii="Arial"/>
                <w:sz w:val="21"/>
              </w:rPr>
            </w:pPr>
          </w:p>
        </w:tc>
        <w:tc>
          <w:tcPr>
            <w:tcW w:w="871" w:type="dxa"/>
            <w:vAlign w:val="top"/>
          </w:tcPr>
          <w:p w14:paraId="6FD123C9">
            <w:pPr>
              <w:rPr>
                <w:rFonts w:ascii="Arial"/>
                <w:sz w:val="21"/>
              </w:rPr>
            </w:pPr>
          </w:p>
        </w:tc>
        <w:tc>
          <w:tcPr>
            <w:tcW w:w="770" w:type="dxa"/>
            <w:vAlign w:val="top"/>
          </w:tcPr>
          <w:p w14:paraId="6A9B8664">
            <w:pPr>
              <w:rPr>
                <w:rFonts w:ascii="Arial"/>
                <w:sz w:val="21"/>
              </w:rPr>
            </w:pPr>
          </w:p>
        </w:tc>
      </w:tr>
      <w:tr w14:paraId="77A9B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76346D82">
            <w:pPr>
              <w:rPr>
                <w:rFonts w:ascii="Arial"/>
                <w:sz w:val="21"/>
              </w:rPr>
            </w:pPr>
          </w:p>
        </w:tc>
        <w:tc>
          <w:tcPr>
            <w:tcW w:w="1065" w:type="dxa"/>
            <w:vAlign w:val="top"/>
          </w:tcPr>
          <w:p w14:paraId="173DE738">
            <w:pPr>
              <w:rPr>
                <w:rFonts w:ascii="Arial"/>
                <w:sz w:val="21"/>
              </w:rPr>
            </w:pPr>
          </w:p>
        </w:tc>
        <w:tc>
          <w:tcPr>
            <w:tcW w:w="672" w:type="dxa"/>
            <w:vAlign w:val="top"/>
          </w:tcPr>
          <w:p w14:paraId="3ECDA83F">
            <w:pPr>
              <w:rPr>
                <w:rFonts w:ascii="Arial"/>
                <w:sz w:val="21"/>
              </w:rPr>
            </w:pPr>
          </w:p>
        </w:tc>
        <w:tc>
          <w:tcPr>
            <w:tcW w:w="1022" w:type="dxa"/>
            <w:vAlign w:val="top"/>
          </w:tcPr>
          <w:p w14:paraId="3F5843FF">
            <w:pPr>
              <w:rPr>
                <w:rFonts w:ascii="Arial"/>
                <w:sz w:val="21"/>
              </w:rPr>
            </w:pPr>
          </w:p>
        </w:tc>
        <w:tc>
          <w:tcPr>
            <w:tcW w:w="708" w:type="dxa"/>
            <w:vAlign w:val="top"/>
          </w:tcPr>
          <w:p w14:paraId="44119A27">
            <w:pPr>
              <w:rPr>
                <w:rFonts w:ascii="Arial"/>
                <w:sz w:val="21"/>
              </w:rPr>
            </w:pPr>
          </w:p>
        </w:tc>
        <w:tc>
          <w:tcPr>
            <w:tcW w:w="708" w:type="dxa"/>
            <w:vAlign w:val="top"/>
          </w:tcPr>
          <w:p w14:paraId="07BB2041">
            <w:pPr>
              <w:rPr>
                <w:rFonts w:ascii="Arial"/>
                <w:sz w:val="21"/>
              </w:rPr>
            </w:pPr>
          </w:p>
        </w:tc>
        <w:tc>
          <w:tcPr>
            <w:tcW w:w="1175" w:type="dxa"/>
            <w:vAlign w:val="top"/>
          </w:tcPr>
          <w:p w14:paraId="2F23110E">
            <w:pPr>
              <w:rPr>
                <w:rFonts w:ascii="Arial"/>
                <w:sz w:val="21"/>
              </w:rPr>
            </w:pPr>
          </w:p>
        </w:tc>
        <w:tc>
          <w:tcPr>
            <w:tcW w:w="873" w:type="dxa"/>
            <w:vAlign w:val="top"/>
          </w:tcPr>
          <w:p w14:paraId="01AF00FB">
            <w:pPr>
              <w:rPr>
                <w:rFonts w:ascii="Arial"/>
                <w:sz w:val="21"/>
              </w:rPr>
            </w:pPr>
          </w:p>
        </w:tc>
        <w:tc>
          <w:tcPr>
            <w:tcW w:w="871" w:type="dxa"/>
            <w:vAlign w:val="top"/>
          </w:tcPr>
          <w:p w14:paraId="19DB459A">
            <w:pPr>
              <w:rPr>
                <w:rFonts w:ascii="Arial"/>
                <w:sz w:val="21"/>
              </w:rPr>
            </w:pPr>
          </w:p>
        </w:tc>
        <w:tc>
          <w:tcPr>
            <w:tcW w:w="770" w:type="dxa"/>
            <w:vAlign w:val="top"/>
          </w:tcPr>
          <w:p w14:paraId="32C01921">
            <w:pPr>
              <w:rPr>
                <w:rFonts w:ascii="Arial"/>
                <w:sz w:val="21"/>
              </w:rPr>
            </w:pPr>
          </w:p>
        </w:tc>
      </w:tr>
      <w:tr w14:paraId="0F8A1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7" w:type="dxa"/>
            <w:vAlign w:val="top"/>
          </w:tcPr>
          <w:p w14:paraId="3DD2A6CB">
            <w:pPr>
              <w:rPr>
                <w:rFonts w:ascii="Arial"/>
                <w:sz w:val="21"/>
              </w:rPr>
            </w:pPr>
          </w:p>
        </w:tc>
        <w:tc>
          <w:tcPr>
            <w:tcW w:w="1065" w:type="dxa"/>
            <w:vAlign w:val="top"/>
          </w:tcPr>
          <w:p w14:paraId="19930028">
            <w:pPr>
              <w:rPr>
                <w:rFonts w:ascii="Arial"/>
                <w:sz w:val="21"/>
              </w:rPr>
            </w:pPr>
          </w:p>
        </w:tc>
        <w:tc>
          <w:tcPr>
            <w:tcW w:w="672" w:type="dxa"/>
            <w:vAlign w:val="top"/>
          </w:tcPr>
          <w:p w14:paraId="7F5BA8B3">
            <w:pPr>
              <w:rPr>
                <w:rFonts w:ascii="Arial"/>
                <w:sz w:val="21"/>
              </w:rPr>
            </w:pPr>
          </w:p>
        </w:tc>
        <w:tc>
          <w:tcPr>
            <w:tcW w:w="1022" w:type="dxa"/>
            <w:vAlign w:val="top"/>
          </w:tcPr>
          <w:p w14:paraId="69E66FC6">
            <w:pPr>
              <w:rPr>
                <w:rFonts w:ascii="Arial"/>
                <w:sz w:val="21"/>
              </w:rPr>
            </w:pPr>
          </w:p>
        </w:tc>
        <w:tc>
          <w:tcPr>
            <w:tcW w:w="708" w:type="dxa"/>
            <w:vAlign w:val="top"/>
          </w:tcPr>
          <w:p w14:paraId="0CA24013">
            <w:pPr>
              <w:rPr>
                <w:rFonts w:ascii="Arial"/>
                <w:sz w:val="21"/>
              </w:rPr>
            </w:pPr>
          </w:p>
        </w:tc>
        <w:tc>
          <w:tcPr>
            <w:tcW w:w="708" w:type="dxa"/>
            <w:vAlign w:val="top"/>
          </w:tcPr>
          <w:p w14:paraId="15245D5C">
            <w:pPr>
              <w:rPr>
                <w:rFonts w:ascii="Arial"/>
                <w:sz w:val="21"/>
              </w:rPr>
            </w:pPr>
          </w:p>
        </w:tc>
        <w:tc>
          <w:tcPr>
            <w:tcW w:w="1175" w:type="dxa"/>
            <w:vAlign w:val="top"/>
          </w:tcPr>
          <w:p w14:paraId="2B5337C4">
            <w:pPr>
              <w:rPr>
                <w:rFonts w:ascii="Arial"/>
                <w:sz w:val="21"/>
              </w:rPr>
            </w:pPr>
          </w:p>
        </w:tc>
        <w:tc>
          <w:tcPr>
            <w:tcW w:w="873" w:type="dxa"/>
            <w:vAlign w:val="top"/>
          </w:tcPr>
          <w:p w14:paraId="7A06989C">
            <w:pPr>
              <w:rPr>
                <w:rFonts w:ascii="Arial"/>
                <w:sz w:val="21"/>
              </w:rPr>
            </w:pPr>
          </w:p>
        </w:tc>
        <w:tc>
          <w:tcPr>
            <w:tcW w:w="871" w:type="dxa"/>
            <w:vAlign w:val="top"/>
          </w:tcPr>
          <w:p w14:paraId="15518F39">
            <w:pPr>
              <w:rPr>
                <w:rFonts w:ascii="Arial"/>
                <w:sz w:val="21"/>
              </w:rPr>
            </w:pPr>
          </w:p>
        </w:tc>
        <w:tc>
          <w:tcPr>
            <w:tcW w:w="770" w:type="dxa"/>
            <w:vAlign w:val="top"/>
          </w:tcPr>
          <w:p w14:paraId="5E306AB6">
            <w:pPr>
              <w:rPr>
                <w:rFonts w:ascii="Arial"/>
                <w:sz w:val="21"/>
              </w:rPr>
            </w:pPr>
          </w:p>
        </w:tc>
      </w:tr>
      <w:tr w14:paraId="3905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3BD4B9E5">
            <w:pPr>
              <w:rPr>
                <w:rFonts w:ascii="Arial"/>
                <w:sz w:val="21"/>
              </w:rPr>
            </w:pPr>
          </w:p>
        </w:tc>
        <w:tc>
          <w:tcPr>
            <w:tcW w:w="1065" w:type="dxa"/>
            <w:vAlign w:val="top"/>
          </w:tcPr>
          <w:p w14:paraId="2A72924F">
            <w:pPr>
              <w:rPr>
                <w:rFonts w:ascii="Arial"/>
                <w:sz w:val="21"/>
              </w:rPr>
            </w:pPr>
          </w:p>
        </w:tc>
        <w:tc>
          <w:tcPr>
            <w:tcW w:w="672" w:type="dxa"/>
            <w:vAlign w:val="top"/>
          </w:tcPr>
          <w:p w14:paraId="0D9FB688">
            <w:pPr>
              <w:rPr>
                <w:rFonts w:ascii="Arial"/>
                <w:sz w:val="21"/>
              </w:rPr>
            </w:pPr>
          </w:p>
        </w:tc>
        <w:tc>
          <w:tcPr>
            <w:tcW w:w="1022" w:type="dxa"/>
            <w:vAlign w:val="top"/>
          </w:tcPr>
          <w:p w14:paraId="67C011F7">
            <w:pPr>
              <w:rPr>
                <w:rFonts w:ascii="Arial"/>
                <w:sz w:val="21"/>
              </w:rPr>
            </w:pPr>
          </w:p>
        </w:tc>
        <w:tc>
          <w:tcPr>
            <w:tcW w:w="708" w:type="dxa"/>
            <w:vAlign w:val="top"/>
          </w:tcPr>
          <w:p w14:paraId="0AC43877">
            <w:pPr>
              <w:rPr>
                <w:rFonts w:ascii="Arial"/>
                <w:sz w:val="21"/>
              </w:rPr>
            </w:pPr>
          </w:p>
        </w:tc>
        <w:tc>
          <w:tcPr>
            <w:tcW w:w="708" w:type="dxa"/>
            <w:vAlign w:val="top"/>
          </w:tcPr>
          <w:p w14:paraId="1D773117">
            <w:pPr>
              <w:rPr>
                <w:rFonts w:ascii="Arial"/>
                <w:sz w:val="21"/>
              </w:rPr>
            </w:pPr>
          </w:p>
        </w:tc>
        <w:tc>
          <w:tcPr>
            <w:tcW w:w="1175" w:type="dxa"/>
            <w:vAlign w:val="top"/>
          </w:tcPr>
          <w:p w14:paraId="7193CDFF">
            <w:pPr>
              <w:rPr>
                <w:rFonts w:ascii="Arial"/>
                <w:sz w:val="21"/>
              </w:rPr>
            </w:pPr>
          </w:p>
        </w:tc>
        <w:tc>
          <w:tcPr>
            <w:tcW w:w="873" w:type="dxa"/>
            <w:vAlign w:val="top"/>
          </w:tcPr>
          <w:p w14:paraId="5400D96D">
            <w:pPr>
              <w:rPr>
                <w:rFonts w:ascii="Arial"/>
                <w:sz w:val="21"/>
              </w:rPr>
            </w:pPr>
          </w:p>
        </w:tc>
        <w:tc>
          <w:tcPr>
            <w:tcW w:w="871" w:type="dxa"/>
            <w:vAlign w:val="top"/>
          </w:tcPr>
          <w:p w14:paraId="65426040">
            <w:pPr>
              <w:rPr>
                <w:rFonts w:ascii="Arial"/>
                <w:sz w:val="21"/>
              </w:rPr>
            </w:pPr>
          </w:p>
        </w:tc>
        <w:tc>
          <w:tcPr>
            <w:tcW w:w="770" w:type="dxa"/>
            <w:vAlign w:val="top"/>
          </w:tcPr>
          <w:p w14:paraId="737FB177">
            <w:pPr>
              <w:rPr>
                <w:rFonts w:ascii="Arial"/>
                <w:sz w:val="21"/>
              </w:rPr>
            </w:pPr>
          </w:p>
        </w:tc>
      </w:tr>
      <w:tr w14:paraId="0DC7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5F80C1E0">
            <w:pPr>
              <w:rPr>
                <w:rFonts w:ascii="Arial"/>
                <w:sz w:val="21"/>
              </w:rPr>
            </w:pPr>
          </w:p>
        </w:tc>
        <w:tc>
          <w:tcPr>
            <w:tcW w:w="1065" w:type="dxa"/>
            <w:vAlign w:val="top"/>
          </w:tcPr>
          <w:p w14:paraId="2BDE2EEE">
            <w:pPr>
              <w:rPr>
                <w:rFonts w:ascii="Arial"/>
                <w:sz w:val="21"/>
              </w:rPr>
            </w:pPr>
          </w:p>
        </w:tc>
        <w:tc>
          <w:tcPr>
            <w:tcW w:w="672" w:type="dxa"/>
            <w:vAlign w:val="top"/>
          </w:tcPr>
          <w:p w14:paraId="79890B2C">
            <w:pPr>
              <w:rPr>
                <w:rFonts w:ascii="Arial"/>
                <w:sz w:val="21"/>
              </w:rPr>
            </w:pPr>
          </w:p>
        </w:tc>
        <w:tc>
          <w:tcPr>
            <w:tcW w:w="1022" w:type="dxa"/>
            <w:vAlign w:val="top"/>
          </w:tcPr>
          <w:p w14:paraId="1A1169DA">
            <w:pPr>
              <w:rPr>
                <w:rFonts w:ascii="Arial"/>
                <w:sz w:val="21"/>
              </w:rPr>
            </w:pPr>
          </w:p>
        </w:tc>
        <w:tc>
          <w:tcPr>
            <w:tcW w:w="708" w:type="dxa"/>
            <w:vAlign w:val="top"/>
          </w:tcPr>
          <w:p w14:paraId="7F3D4CAB">
            <w:pPr>
              <w:rPr>
                <w:rFonts w:ascii="Arial"/>
                <w:sz w:val="21"/>
              </w:rPr>
            </w:pPr>
          </w:p>
        </w:tc>
        <w:tc>
          <w:tcPr>
            <w:tcW w:w="708" w:type="dxa"/>
            <w:vAlign w:val="top"/>
          </w:tcPr>
          <w:p w14:paraId="1C99CA49">
            <w:pPr>
              <w:rPr>
                <w:rFonts w:ascii="Arial"/>
                <w:sz w:val="21"/>
              </w:rPr>
            </w:pPr>
          </w:p>
        </w:tc>
        <w:tc>
          <w:tcPr>
            <w:tcW w:w="1175" w:type="dxa"/>
            <w:vAlign w:val="top"/>
          </w:tcPr>
          <w:p w14:paraId="39EBCE3B">
            <w:pPr>
              <w:rPr>
                <w:rFonts w:ascii="Arial"/>
                <w:sz w:val="21"/>
              </w:rPr>
            </w:pPr>
          </w:p>
        </w:tc>
        <w:tc>
          <w:tcPr>
            <w:tcW w:w="873" w:type="dxa"/>
            <w:vAlign w:val="top"/>
          </w:tcPr>
          <w:p w14:paraId="25690150">
            <w:pPr>
              <w:rPr>
                <w:rFonts w:ascii="Arial"/>
                <w:sz w:val="21"/>
              </w:rPr>
            </w:pPr>
          </w:p>
        </w:tc>
        <w:tc>
          <w:tcPr>
            <w:tcW w:w="871" w:type="dxa"/>
            <w:vAlign w:val="top"/>
          </w:tcPr>
          <w:p w14:paraId="2AFE3EED">
            <w:pPr>
              <w:rPr>
                <w:rFonts w:ascii="Arial"/>
                <w:sz w:val="21"/>
              </w:rPr>
            </w:pPr>
          </w:p>
        </w:tc>
        <w:tc>
          <w:tcPr>
            <w:tcW w:w="770" w:type="dxa"/>
            <w:vAlign w:val="top"/>
          </w:tcPr>
          <w:p w14:paraId="58ED640F">
            <w:pPr>
              <w:rPr>
                <w:rFonts w:ascii="Arial"/>
                <w:sz w:val="21"/>
              </w:rPr>
            </w:pPr>
          </w:p>
        </w:tc>
      </w:tr>
      <w:tr w14:paraId="2519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5CF6C572">
            <w:pPr>
              <w:rPr>
                <w:rFonts w:ascii="Arial"/>
                <w:sz w:val="21"/>
              </w:rPr>
            </w:pPr>
          </w:p>
        </w:tc>
        <w:tc>
          <w:tcPr>
            <w:tcW w:w="1065" w:type="dxa"/>
            <w:vAlign w:val="top"/>
          </w:tcPr>
          <w:p w14:paraId="4ECDF55E">
            <w:pPr>
              <w:rPr>
                <w:rFonts w:ascii="Arial"/>
                <w:sz w:val="21"/>
              </w:rPr>
            </w:pPr>
          </w:p>
        </w:tc>
        <w:tc>
          <w:tcPr>
            <w:tcW w:w="672" w:type="dxa"/>
            <w:vAlign w:val="top"/>
          </w:tcPr>
          <w:p w14:paraId="53BD934E">
            <w:pPr>
              <w:rPr>
                <w:rFonts w:ascii="Arial"/>
                <w:sz w:val="21"/>
              </w:rPr>
            </w:pPr>
          </w:p>
        </w:tc>
        <w:tc>
          <w:tcPr>
            <w:tcW w:w="1022" w:type="dxa"/>
            <w:vAlign w:val="top"/>
          </w:tcPr>
          <w:p w14:paraId="3511CD17">
            <w:pPr>
              <w:rPr>
                <w:rFonts w:ascii="Arial"/>
                <w:sz w:val="21"/>
              </w:rPr>
            </w:pPr>
          </w:p>
        </w:tc>
        <w:tc>
          <w:tcPr>
            <w:tcW w:w="708" w:type="dxa"/>
            <w:vAlign w:val="top"/>
          </w:tcPr>
          <w:p w14:paraId="164A2FED">
            <w:pPr>
              <w:rPr>
                <w:rFonts w:ascii="Arial"/>
                <w:sz w:val="21"/>
              </w:rPr>
            </w:pPr>
          </w:p>
        </w:tc>
        <w:tc>
          <w:tcPr>
            <w:tcW w:w="708" w:type="dxa"/>
            <w:vAlign w:val="top"/>
          </w:tcPr>
          <w:p w14:paraId="7DB4F5A7">
            <w:pPr>
              <w:rPr>
                <w:rFonts w:ascii="Arial"/>
                <w:sz w:val="21"/>
              </w:rPr>
            </w:pPr>
          </w:p>
        </w:tc>
        <w:tc>
          <w:tcPr>
            <w:tcW w:w="1175" w:type="dxa"/>
            <w:vAlign w:val="top"/>
          </w:tcPr>
          <w:p w14:paraId="59AE413D">
            <w:pPr>
              <w:rPr>
                <w:rFonts w:ascii="Arial"/>
                <w:sz w:val="21"/>
              </w:rPr>
            </w:pPr>
          </w:p>
        </w:tc>
        <w:tc>
          <w:tcPr>
            <w:tcW w:w="873" w:type="dxa"/>
            <w:vAlign w:val="top"/>
          </w:tcPr>
          <w:p w14:paraId="76CBF9FB">
            <w:pPr>
              <w:rPr>
                <w:rFonts w:ascii="Arial"/>
                <w:sz w:val="21"/>
              </w:rPr>
            </w:pPr>
          </w:p>
        </w:tc>
        <w:tc>
          <w:tcPr>
            <w:tcW w:w="871" w:type="dxa"/>
            <w:vAlign w:val="top"/>
          </w:tcPr>
          <w:p w14:paraId="5FDCFA10">
            <w:pPr>
              <w:rPr>
                <w:rFonts w:ascii="Arial"/>
                <w:sz w:val="21"/>
              </w:rPr>
            </w:pPr>
          </w:p>
        </w:tc>
        <w:tc>
          <w:tcPr>
            <w:tcW w:w="770" w:type="dxa"/>
            <w:vAlign w:val="top"/>
          </w:tcPr>
          <w:p w14:paraId="106E80AB">
            <w:pPr>
              <w:rPr>
                <w:rFonts w:ascii="Arial"/>
                <w:sz w:val="21"/>
              </w:rPr>
            </w:pPr>
          </w:p>
        </w:tc>
      </w:tr>
      <w:tr w14:paraId="26738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8114B2D">
            <w:pPr>
              <w:rPr>
                <w:rFonts w:ascii="Arial"/>
                <w:sz w:val="21"/>
              </w:rPr>
            </w:pPr>
          </w:p>
        </w:tc>
        <w:tc>
          <w:tcPr>
            <w:tcW w:w="1065" w:type="dxa"/>
            <w:vAlign w:val="top"/>
          </w:tcPr>
          <w:p w14:paraId="44765475">
            <w:pPr>
              <w:rPr>
                <w:rFonts w:ascii="Arial"/>
                <w:sz w:val="21"/>
              </w:rPr>
            </w:pPr>
          </w:p>
        </w:tc>
        <w:tc>
          <w:tcPr>
            <w:tcW w:w="672" w:type="dxa"/>
            <w:vAlign w:val="top"/>
          </w:tcPr>
          <w:p w14:paraId="5EDDB011">
            <w:pPr>
              <w:rPr>
                <w:rFonts w:ascii="Arial"/>
                <w:sz w:val="21"/>
              </w:rPr>
            </w:pPr>
          </w:p>
        </w:tc>
        <w:tc>
          <w:tcPr>
            <w:tcW w:w="1022" w:type="dxa"/>
            <w:vAlign w:val="top"/>
          </w:tcPr>
          <w:p w14:paraId="745600BE">
            <w:pPr>
              <w:rPr>
                <w:rFonts w:ascii="Arial"/>
                <w:sz w:val="21"/>
              </w:rPr>
            </w:pPr>
          </w:p>
        </w:tc>
        <w:tc>
          <w:tcPr>
            <w:tcW w:w="708" w:type="dxa"/>
            <w:vAlign w:val="top"/>
          </w:tcPr>
          <w:p w14:paraId="737E42DC">
            <w:pPr>
              <w:rPr>
                <w:rFonts w:ascii="Arial"/>
                <w:sz w:val="21"/>
              </w:rPr>
            </w:pPr>
          </w:p>
        </w:tc>
        <w:tc>
          <w:tcPr>
            <w:tcW w:w="708" w:type="dxa"/>
            <w:vAlign w:val="top"/>
          </w:tcPr>
          <w:p w14:paraId="4BA4663A">
            <w:pPr>
              <w:rPr>
                <w:rFonts w:ascii="Arial"/>
                <w:sz w:val="21"/>
              </w:rPr>
            </w:pPr>
          </w:p>
        </w:tc>
        <w:tc>
          <w:tcPr>
            <w:tcW w:w="1175" w:type="dxa"/>
            <w:vAlign w:val="top"/>
          </w:tcPr>
          <w:p w14:paraId="2189FEE9">
            <w:pPr>
              <w:rPr>
                <w:rFonts w:ascii="Arial"/>
                <w:sz w:val="21"/>
              </w:rPr>
            </w:pPr>
          </w:p>
        </w:tc>
        <w:tc>
          <w:tcPr>
            <w:tcW w:w="873" w:type="dxa"/>
            <w:vAlign w:val="top"/>
          </w:tcPr>
          <w:p w14:paraId="70072FCE">
            <w:pPr>
              <w:rPr>
                <w:rFonts w:ascii="Arial"/>
                <w:sz w:val="21"/>
              </w:rPr>
            </w:pPr>
          </w:p>
        </w:tc>
        <w:tc>
          <w:tcPr>
            <w:tcW w:w="871" w:type="dxa"/>
            <w:vAlign w:val="top"/>
          </w:tcPr>
          <w:p w14:paraId="1CF0CA31">
            <w:pPr>
              <w:rPr>
                <w:rFonts w:ascii="Arial"/>
                <w:sz w:val="21"/>
              </w:rPr>
            </w:pPr>
          </w:p>
        </w:tc>
        <w:tc>
          <w:tcPr>
            <w:tcW w:w="770" w:type="dxa"/>
            <w:vAlign w:val="top"/>
          </w:tcPr>
          <w:p w14:paraId="162733B4">
            <w:pPr>
              <w:rPr>
                <w:rFonts w:ascii="Arial"/>
                <w:sz w:val="21"/>
              </w:rPr>
            </w:pPr>
          </w:p>
        </w:tc>
      </w:tr>
      <w:tr w14:paraId="4292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38F6F870">
            <w:pPr>
              <w:rPr>
                <w:rFonts w:ascii="Arial"/>
                <w:sz w:val="21"/>
              </w:rPr>
            </w:pPr>
          </w:p>
        </w:tc>
        <w:tc>
          <w:tcPr>
            <w:tcW w:w="1065" w:type="dxa"/>
            <w:vAlign w:val="top"/>
          </w:tcPr>
          <w:p w14:paraId="689A13DD">
            <w:pPr>
              <w:rPr>
                <w:rFonts w:ascii="Arial"/>
                <w:sz w:val="21"/>
              </w:rPr>
            </w:pPr>
          </w:p>
        </w:tc>
        <w:tc>
          <w:tcPr>
            <w:tcW w:w="672" w:type="dxa"/>
            <w:vAlign w:val="top"/>
          </w:tcPr>
          <w:p w14:paraId="4414A74C">
            <w:pPr>
              <w:rPr>
                <w:rFonts w:ascii="Arial"/>
                <w:sz w:val="21"/>
              </w:rPr>
            </w:pPr>
          </w:p>
        </w:tc>
        <w:tc>
          <w:tcPr>
            <w:tcW w:w="1022" w:type="dxa"/>
            <w:vAlign w:val="top"/>
          </w:tcPr>
          <w:p w14:paraId="4F85933D">
            <w:pPr>
              <w:rPr>
                <w:rFonts w:ascii="Arial"/>
                <w:sz w:val="21"/>
              </w:rPr>
            </w:pPr>
          </w:p>
        </w:tc>
        <w:tc>
          <w:tcPr>
            <w:tcW w:w="708" w:type="dxa"/>
            <w:vAlign w:val="top"/>
          </w:tcPr>
          <w:p w14:paraId="4CD949D4">
            <w:pPr>
              <w:rPr>
                <w:rFonts w:ascii="Arial"/>
                <w:sz w:val="21"/>
              </w:rPr>
            </w:pPr>
          </w:p>
        </w:tc>
        <w:tc>
          <w:tcPr>
            <w:tcW w:w="708" w:type="dxa"/>
            <w:vAlign w:val="top"/>
          </w:tcPr>
          <w:p w14:paraId="3469E4C6">
            <w:pPr>
              <w:rPr>
                <w:rFonts w:ascii="Arial"/>
                <w:sz w:val="21"/>
              </w:rPr>
            </w:pPr>
          </w:p>
        </w:tc>
        <w:tc>
          <w:tcPr>
            <w:tcW w:w="1175" w:type="dxa"/>
            <w:vAlign w:val="top"/>
          </w:tcPr>
          <w:p w14:paraId="48516EB4">
            <w:pPr>
              <w:rPr>
                <w:rFonts w:ascii="Arial"/>
                <w:sz w:val="21"/>
              </w:rPr>
            </w:pPr>
          </w:p>
        </w:tc>
        <w:tc>
          <w:tcPr>
            <w:tcW w:w="873" w:type="dxa"/>
            <w:vAlign w:val="top"/>
          </w:tcPr>
          <w:p w14:paraId="21424A63">
            <w:pPr>
              <w:rPr>
                <w:rFonts w:ascii="Arial"/>
                <w:sz w:val="21"/>
              </w:rPr>
            </w:pPr>
          </w:p>
        </w:tc>
        <w:tc>
          <w:tcPr>
            <w:tcW w:w="871" w:type="dxa"/>
            <w:vAlign w:val="top"/>
          </w:tcPr>
          <w:p w14:paraId="001B6439">
            <w:pPr>
              <w:rPr>
                <w:rFonts w:ascii="Arial"/>
                <w:sz w:val="21"/>
              </w:rPr>
            </w:pPr>
          </w:p>
        </w:tc>
        <w:tc>
          <w:tcPr>
            <w:tcW w:w="770" w:type="dxa"/>
            <w:vAlign w:val="top"/>
          </w:tcPr>
          <w:p w14:paraId="71121C3D">
            <w:pPr>
              <w:rPr>
                <w:rFonts w:ascii="Arial"/>
                <w:sz w:val="21"/>
              </w:rPr>
            </w:pPr>
          </w:p>
        </w:tc>
      </w:tr>
      <w:tr w14:paraId="6848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0FB7EB60">
            <w:pPr>
              <w:rPr>
                <w:rFonts w:ascii="Arial"/>
                <w:sz w:val="21"/>
              </w:rPr>
            </w:pPr>
          </w:p>
        </w:tc>
        <w:tc>
          <w:tcPr>
            <w:tcW w:w="1065" w:type="dxa"/>
            <w:vAlign w:val="top"/>
          </w:tcPr>
          <w:p w14:paraId="00EC18DB">
            <w:pPr>
              <w:rPr>
                <w:rFonts w:ascii="Arial"/>
                <w:sz w:val="21"/>
              </w:rPr>
            </w:pPr>
          </w:p>
        </w:tc>
        <w:tc>
          <w:tcPr>
            <w:tcW w:w="672" w:type="dxa"/>
            <w:vAlign w:val="top"/>
          </w:tcPr>
          <w:p w14:paraId="0BEE49F4">
            <w:pPr>
              <w:rPr>
                <w:rFonts w:ascii="Arial"/>
                <w:sz w:val="21"/>
              </w:rPr>
            </w:pPr>
          </w:p>
        </w:tc>
        <w:tc>
          <w:tcPr>
            <w:tcW w:w="1022" w:type="dxa"/>
            <w:vAlign w:val="top"/>
          </w:tcPr>
          <w:p w14:paraId="41C8694A">
            <w:pPr>
              <w:rPr>
                <w:rFonts w:ascii="Arial"/>
                <w:sz w:val="21"/>
              </w:rPr>
            </w:pPr>
          </w:p>
        </w:tc>
        <w:tc>
          <w:tcPr>
            <w:tcW w:w="708" w:type="dxa"/>
            <w:vAlign w:val="top"/>
          </w:tcPr>
          <w:p w14:paraId="659ACE2A">
            <w:pPr>
              <w:rPr>
                <w:rFonts w:ascii="Arial"/>
                <w:sz w:val="21"/>
              </w:rPr>
            </w:pPr>
          </w:p>
        </w:tc>
        <w:tc>
          <w:tcPr>
            <w:tcW w:w="708" w:type="dxa"/>
            <w:vAlign w:val="top"/>
          </w:tcPr>
          <w:p w14:paraId="4F8751B9">
            <w:pPr>
              <w:rPr>
                <w:rFonts w:ascii="Arial"/>
                <w:sz w:val="21"/>
              </w:rPr>
            </w:pPr>
          </w:p>
        </w:tc>
        <w:tc>
          <w:tcPr>
            <w:tcW w:w="1175" w:type="dxa"/>
            <w:vAlign w:val="top"/>
          </w:tcPr>
          <w:p w14:paraId="4CE6E0D6">
            <w:pPr>
              <w:rPr>
                <w:rFonts w:ascii="Arial"/>
                <w:sz w:val="21"/>
              </w:rPr>
            </w:pPr>
          </w:p>
        </w:tc>
        <w:tc>
          <w:tcPr>
            <w:tcW w:w="873" w:type="dxa"/>
            <w:vAlign w:val="top"/>
          </w:tcPr>
          <w:p w14:paraId="0F6E99AE">
            <w:pPr>
              <w:rPr>
                <w:rFonts w:ascii="Arial"/>
                <w:sz w:val="21"/>
              </w:rPr>
            </w:pPr>
          </w:p>
        </w:tc>
        <w:tc>
          <w:tcPr>
            <w:tcW w:w="871" w:type="dxa"/>
            <w:vAlign w:val="top"/>
          </w:tcPr>
          <w:p w14:paraId="71EE1D42">
            <w:pPr>
              <w:rPr>
                <w:rFonts w:ascii="Arial"/>
                <w:sz w:val="21"/>
              </w:rPr>
            </w:pPr>
          </w:p>
        </w:tc>
        <w:tc>
          <w:tcPr>
            <w:tcW w:w="770" w:type="dxa"/>
            <w:vAlign w:val="top"/>
          </w:tcPr>
          <w:p w14:paraId="0B48167F">
            <w:pPr>
              <w:rPr>
                <w:rFonts w:ascii="Arial"/>
                <w:sz w:val="21"/>
              </w:rPr>
            </w:pPr>
          </w:p>
        </w:tc>
      </w:tr>
      <w:tr w14:paraId="50D80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7" w:type="dxa"/>
            <w:vAlign w:val="top"/>
          </w:tcPr>
          <w:p w14:paraId="4B8F60A0">
            <w:pPr>
              <w:rPr>
                <w:rFonts w:ascii="Arial"/>
                <w:sz w:val="21"/>
              </w:rPr>
            </w:pPr>
          </w:p>
        </w:tc>
        <w:tc>
          <w:tcPr>
            <w:tcW w:w="1065" w:type="dxa"/>
            <w:vAlign w:val="top"/>
          </w:tcPr>
          <w:p w14:paraId="0891A3C1">
            <w:pPr>
              <w:rPr>
                <w:rFonts w:ascii="Arial"/>
                <w:sz w:val="21"/>
              </w:rPr>
            </w:pPr>
          </w:p>
        </w:tc>
        <w:tc>
          <w:tcPr>
            <w:tcW w:w="672" w:type="dxa"/>
            <w:vAlign w:val="top"/>
          </w:tcPr>
          <w:p w14:paraId="756E92C0">
            <w:pPr>
              <w:rPr>
                <w:rFonts w:ascii="Arial"/>
                <w:sz w:val="21"/>
              </w:rPr>
            </w:pPr>
          </w:p>
        </w:tc>
        <w:tc>
          <w:tcPr>
            <w:tcW w:w="1022" w:type="dxa"/>
            <w:vAlign w:val="top"/>
          </w:tcPr>
          <w:p w14:paraId="68D46E90">
            <w:pPr>
              <w:rPr>
                <w:rFonts w:ascii="Arial"/>
                <w:sz w:val="21"/>
              </w:rPr>
            </w:pPr>
          </w:p>
        </w:tc>
        <w:tc>
          <w:tcPr>
            <w:tcW w:w="708" w:type="dxa"/>
            <w:vAlign w:val="top"/>
          </w:tcPr>
          <w:p w14:paraId="1453918A">
            <w:pPr>
              <w:rPr>
                <w:rFonts w:ascii="Arial"/>
                <w:sz w:val="21"/>
              </w:rPr>
            </w:pPr>
          </w:p>
        </w:tc>
        <w:tc>
          <w:tcPr>
            <w:tcW w:w="708" w:type="dxa"/>
            <w:vAlign w:val="top"/>
          </w:tcPr>
          <w:p w14:paraId="69C885CF">
            <w:pPr>
              <w:rPr>
                <w:rFonts w:ascii="Arial"/>
                <w:sz w:val="21"/>
              </w:rPr>
            </w:pPr>
          </w:p>
        </w:tc>
        <w:tc>
          <w:tcPr>
            <w:tcW w:w="1175" w:type="dxa"/>
            <w:vAlign w:val="top"/>
          </w:tcPr>
          <w:p w14:paraId="1CD167D6">
            <w:pPr>
              <w:rPr>
                <w:rFonts w:ascii="Arial"/>
                <w:sz w:val="21"/>
              </w:rPr>
            </w:pPr>
          </w:p>
        </w:tc>
        <w:tc>
          <w:tcPr>
            <w:tcW w:w="873" w:type="dxa"/>
            <w:vAlign w:val="top"/>
          </w:tcPr>
          <w:p w14:paraId="12268635">
            <w:pPr>
              <w:rPr>
                <w:rFonts w:ascii="Arial"/>
                <w:sz w:val="21"/>
              </w:rPr>
            </w:pPr>
          </w:p>
        </w:tc>
        <w:tc>
          <w:tcPr>
            <w:tcW w:w="871" w:type="dxa"/>
            <w:vAlign w:val="top"/>
          </w:tcPr>
          <w:p w14:paraId="1D1BDBF1">
            <w:pPr>
              <w:rPr>
                <w:rFonts w:ascii="Arial"/>
                <w:sz w:val="21"/>
              </w:rPr>
            </w:pPr>
          </w:p>
        </w:tc>
        <w:tc>
          <w:tcPr>
            <w:tcW w:w="770" w:type="dxa"/>
            <w:vAlign w:val="top"/>
          </w:tcPr>
          <w:p w14:paraId="0E279EBD">
            <w:pPr>
              <w:rPr>
                <w:rFonts w:ascii="Arial"/>
                <w:sz w:val="21"/>
              </w:rPr>
            </w:pPr>
          </w:p>
        </w:tc>
      </w:tr>
      <w:tr w14:paraId="58257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0F6B8B2">
            <w:pPr>
              <w:rPr>
                <w:rFonts w:ascii="Arial"/>
                <w:sz w:val="21"/>
              </w:rPr>
            </w:pPr>
          </w:p>
        </w:tc>
        <w:tc>
          <w:tcPr>
            <w:tcW w:w="1065" w:type="dxa"/>
            <w:vAlign w:val="top"/>
          </w:tcPr>
          <w:p w14:paraId="29592053">
            <w:pPr>
              <w:rPr>
                <w:rFonts w:ascii="Arial"/>
                <w:sz w:val="21"/>
              </w:rPr>
            </w:pPr>
          </w:p>
        </w:tc>
        <w:tc>
          <w:tcPr>
            <w:tcW w:w="672" w:type="dxa"/>
            <w:vAlign w:val="top"/>
          </w:tcPr>
          <w:p w14:paraId="777CC512">
            <w:pPr>
              <w:rPr>
                <w:rFonts w:ascii="Arial"/>
                <w:sz w:val="21"/>
              </w:rPr>
            </w:pPr>
          </w:p>
        </w:tc>
        <w:tc>
          <w:tcPr>
            <w:tcW w:w="1022" w:type="dxa"/>
            <w:vAlign w:val="top"/>
          </w:tcPr>
          <w:p w14:paraId="703710FF">
            <w:pPr>
              <w:rPr>
                <w:rFonts w:ascii="Arial"/>
                <w:sz w:val="21"/>
              </w:rPr>
            </w:pPr>
          </w:p>
        </w:tc>
        <w:tc>
          <w:tcPr>
            <w:tcW w:w="708" w:type="dxa"/>
            <w:vAlign w:val="top"/>
          </w:tcPr>
          <w:p w14:paraId="52601BB6">
            <w:pPr>
              <w:rPr>
                <w:rFonts w:ascii="Arial"/>
                <w:sz w:val="21"/>
              </w:rPr>
            </w:pPr>
          </w:p>
        </w:tc>
        <w:tc>
          <w:tcPr>
            <w:tcW w:w="708" w:type="dxa"/>
            <w:vAlign w:val="top"/>
          </w:tcPr>
          <w:p w14:paraId="385D811A">
            <w:pPr>
              <w:rPr>
                <w:rFonts w:ascii="Arial"/>
                <w:sz w:val="21"/>
              </w:rPr>
            </w:pPr>
          </w:p>
        </w:tc>
        <w:tc>
          <w:tcPr>
            <w:tcW w:w="1175" w:type="dxa"/>
            <w:vAlign w:val="top"/>
          </w:tcPr>
          <w:p w14:paraId="4502C5F0">
            <w:pPr>
              <w:rPr>
                <w:rFonts w:ascii="Arial"/>
                <w:sz w:val="21"/>
              </w:rPr>
            </w:pPr>
          </w:p>
        </w:tc>
        <w:tc>
          <w:tcPr>
            <w:tcW w:w="873" w:type="dxa"/>
            <w:vAlign w:val="top"/>
          </w:tcPr>
          <w:p w14:paraId="11FD1E66">
            <w:pPr>
              <w:rPr>
                <w:rFonts w:ascii="Arial"/>
                <w:sz w:val="21"/>
              </w:rPr>
            </w:pPr>
          </w:p>
        </w:tc>
        <w:tc>
          <w:tcPr>
            <w:tcW w:w="871" w:type="dxa"/>
            <w:vAlign w:val="top"/>
          </w:tcPr>
          <w:p w14:paraId="7DAA472A">
            <w:pPr>
              <w:rPr>
                <w:rFonts w:ascii="Arial"/>
                <w:sz w:val="21"/>
              </w:rPr>
            </w:pPr>
          </w:p>
        </w:tc>
        <w:tc>
          <w:tcPr>
            <w:tcW w:w="770" w:type="dxa"/>
            <w:vAlign w:val="top"/>
          </w:tcPr>
          <w:p w14:paraId="6B0D3F72">
            <w:pPr>
              <w:rPr>
                <w:rFonts w:ascii="Arial"/>
                <w:sz w:val="21"/>
              </w:rPr>
            </w:pPr>
          </w:p>
        </w:tc>
      </w:tr>
      <w:tr w14:paraId="7A86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ED4B26A">
            <w:pPr>
              <w:rPr>
                <w:rFonts w:ascii="Arial"/>
                <w:sz w:val="21"/>
              </w:rPr>
            </w:pPr>
          </w:p>
        </w:tc>
        <w:tc>
          <w:tcPr>
            <w:tcW w:w="1065" w:type="dxa"/>
            <w:vAlign w:val="top"/>
          </w:tcPr>
          <w:p w14:paraId="3EE684DD">
            <w:pPr>
              <w:rPr>
                <w:rFonts w:ascii="Arial"/>
                <w:sz w:val="21"/>
              </w:rPr>
            </w:pPr>
          </w:p>
        </w:tc>
        <w:tc>
          <w:tcPr>
            <w:tcW w:w="672" w:type="dxa"/>
            <w:vAlign w:val="top"/>
          </w:tcPr>
          <w:p w14:paraId="4E301C52">
            <w:pPr>
              <w:rPr>
                <w:rFonts w:ascii="Arial"/>
                <w:sz w:val="21"/>
              </w:rPr>
            </w:pPr>
          </w:p>
        </w:tc>
        <w:tc>
          <w:tcPr>
            <w:tcW w:w="1022" w:type="dxa"/>
            <w:vAlign w:val="top"/>
          </w:tcPr>
          <w:p w14:paraId="798FE131">
            <w:pPr>
              <w:rPr>
                <w:rFonts w:ascii="Arial"/>
                <w:sz w:val="21"/>
              </w:rPr>
            </w:pPr>
          </w:p>
        </w:tc>
        <w:tc>
          <w:tcPr>
            <w:tcW w:w="708" w:type="dxa"/>
            <w:vAlign w:val="top"/>
          </w:tcPr>
          <w:p w14:paraId="52251761">
            <w:pPr>
              <w:rPr>
                <w:rFonts w:ascii="Arial"/>
                <w:sz w:val="21"/>
              </w:rPr>
            </w:pPr>
          </w:p>
        </w:tc>
        <w:tc>
          <w:tcPr>
            <w:tcW w:w="708" w:type="dxa"/>
            <w:vAlign w:val="top"/>
          </w:tcPr>
          <w:p w14:paraId="490A7399">
            <w:pPr>
              <w:rPr>
                <w:rFonts w:ascii="Arial"/>
                <w:sz w:val="21"/>
              </w:rPr>
            </w:pPr>
          </w:p>
        </w:tc>
        <w:tc>
          <w:tcPr>
            <w:tcW w:w="1175" w:type="dxa"/>
            <w:vAlign w:val="top"/>
          </w:tcPr>
          <w:p w14:paraId="16705467">
            <w:pPr>
              <w:rPr>
                <w:rFonts w:ascii="Arial"/>
                <w:sz w:val="21"/>
              </w:rPr>
            </w:pPr>
          </w:p>
        </w:tc>
        <w:tc>
          <w:tcPr>
            <w:tcW w:w="873" w:type="dxa"/>
            <w:vAlign w:val="top"/>
          </w:tcPr>
          <w:p w14:paraId="087885BC">
            <w:pPr>
              <w:rPr>
                <w:rFonts w:ascii="Arial"/>
                <w:sz w:val="21"/>
              </w:rPr>
            </w:pPr>
          </w:p>
        </w:tc>
        <w:tc>
          <w:tcPr>
            <w:tcW w:w="871" w:type="dxa"/>
            <w:vAlign w:val="top"/>
          </w:tcPr>
          <w:p w14:paraId="25C49C46">
            <w:pPr>
              <w:rPr>
                <w:rFonts w:ascii="Arial"/>
                <w:sz w:val="21"/>
              </w:rPr>
            </w:pPr>
          </w:p>
        </w:tc>
        <w:tc>
          <w:tcPr>
            <w:tcW w:w="770" w:type="dxa"/>
            <w:vAlign w:val="top"/>
          </w:tcPr>
          <w:p w14:paraId="2718BCE6">
            <w:pPr>
              <w:rPr>
                <w:rFonts w:ascii="Arial"/>
                <w:sz w:val="21"/>
              </w:rPr>
            </w:pPr>
          </w:p>
        </w:tc>
      </w:tr>
      <w:tr w14:paraId="7029F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5557D36D">
            <w:pPr>
              <w:rPr>
                <w:rFonts w:ascii="Arial"/>
                <w:sz w:val="21"/>
              </w:rPr>
            </w:pPr>
          </w:p>
        </w:tc>
        <w:tc>
          <w:tcPr>
            <w:tcW w:w="1065" w:type="dxa"/>
            <w:vAlign w:val="top"/>
          </w:tcPr>
          <w:p w14:paraId="0A06D47B">
            <w:pPr>
              <w:rPr>
                <w:rFonts w:ascii="Arial"/>
                <w:sz w:val="21"/>
              </w:rPr>
            </w:pPr>
          </w:p>
        </w:tc>
        <w:tc>
          <w:tcPr>
            <w:tcW w:w="672" w:type="dxa"/>
            <w:vAlign w:val="top"/>
          </w:tcPr>
          <w:p w14:paraId="1E7F6990">
            <w:pPr>
              <w:rPr>
                <w:rFonts w:ascii="Arial"/>
                <w:sz w:val="21"/>
              </w:rPr>
            </w:pPr>
          </w:p>
        </w:tc>
        <w:tc>
          <w:tcPr>
            <w:tcW w:w="1022" w:type="dxa"/>
            <w:vAlign w:val="top"/>
          </w:tcPr>
          <w:p w14:paraId="146CED2C">
            <w:pPr>
              <w:rPr>
                <w:rFonts w:ascii="Arial"/>
                <w:sz w:val="21"/>
              </w:rPr>
            </w:pPr>
          </w:p>
        </w:tc>
        <w:tc>
          <w:tcPr>
            <w:tcW w:w="708" w:type="dxa"/>
            <w:vAlign w:val="top"/>
          </w:tcPr>
          <w:p w14:paraId="6028574E">
            <w:pPr>
              <w:rPr>
                <w:rFonts w:ascii="Arial"/>
                <w:sz w:val="21"/>
              </w:rPr>
            </w:pPr>
          </w:p>
        </w:tc>
        <w:tc>
          <w:tcPr>
            <w:tcW w:w="708" w:type="dxa"/>
            <w:vAlign w:val="top"/>
          </w:tcPr>
          <w:p w14:paraId="4C744B0A">
            <w:pPr>
              <w:rPr>
                <w:rFonts w:ascii="Arial"/>
                <w:sz w:val="21"/>
              </w:rPr>
            </w:pPr>
          </w:p>
        </w:tc>
        <w:tc>
          <w:tcPr>
            <w:tcW w:w="1175" w:type="dxa"/>
            <w:vAlign w:val="top"/>
          </w:tcPr>
          <w:p w14:paraId="2EB3E716">
            <w:pPr>
              <w:rPr>
                <w:rFonts w:ascii="Arial"/>
                <w:sz w:val="21"/>
              </w:rPr>
            </w:pPr>
          </w:p>
        </w:tc>
        <w:tc>
          <w:tcPr>
            <w:tcW w:w="873" w:type="dxa"/>
            <w:vAlign w:val="top"/>
          </w:tcPr>
          <w:p w14:paraId="20397EC6">
            <w:pPr>
              <w:rPr>
                <w:rFonts w:ascii="Arial"/>
                <w:sz w:val="21"/>
              </w:rPr>
            </w:pPr>
          </w:p>
        </w:tc>
        <w:tc>
          <w:tcPr>
            <w:tcW w:w="871" w:type="dxa"/>
            <w:vAlign w:val="top"/>
          </w:tcPr>
          <w:p w14:paraId="1C8A92FD">
            <w:pPr>
              <w:rPr>
                <w:rFonts w:ascii="Arial"/>
                <w:sz w:val="21"/>
              </w:rPr>
            </w:pPr>
          </w:p>
        </w:tc>
        <w:tc>
          <w:tcPr>
            <w:tcW w:w="770" w:type="dxa"/>
            <w:vAlign w:val="top"/>
          </w:tcPr>
          <w:p w14:paraId="6BDE2E08">
            <w:pPr>
              <w:rPr>
                <w:rFonts w:ascii="Arial"/>
                <w:sz w:val="21"/>
              </w:rPr>
            </w:pPr>
          </w:p>
        </w:tc>
      </w:tr>
      <w:tr w14:paraId="1AD20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2633576">
            <w:pPr>
              <w:rPr>
                <w:rFonts w:ascii="Arial"/>
                <w:sz w:val="21"/>
              </w:rPr>
            </w:pPr>
          </w:p>
        </w:tc>
        <w:tc>
          <w:tcPr>
            <w:tcW w:w="1065" w:type="dxa"/>
            <w:vAlign w:val="top"/>
          </w:tcPr>
          <w:p w14:paraId="2AC76808">
            <w:pPr>
              <w:rPr>
                <w:rFonts w:ascii="Arial"/>
                <w:sz w:val="21"/>
              </w:rPr>
            </w:pPr>
          </w:p>
        </w:tc>
        <w:tc>
          <w:tcPr>
            <w:tcW w:w="672" w:type="dxa"/>
            <w:vAlign w:val="top"/>
          </w:tcPr>
          <w:p w14:paraId="03112973">
            <w:pPr>
              <w:rPr>
                <w:rFonts w:ascii="Arial"/>
                <w:sz w:val="21"/>
              </w:rPr>
            </w:pPr>
          </w:p>
        </w:tc>
        <w:tc>
          <w:tcPr>
            <w:tcW w:w="1022" w:type="dxa"/>
            <w:vAlign w:val="top"/>
          </w:tcPr>
          <w:p w14:paraId="644EB93E">
            <w:pPr>
              <w:rPr>
                <w:rFonts w:ascii="Arial"/>
                <w:sz w:val="21"/>
              </w:rPr>
            </w:pPr>
          </w:p>
        </w:tc>
        <w:tc>
          <w:tcPr>
            <w:tcW w:w="708" w:type="dxa"/>
            <w:vAlign w:val="top"/>
          </w:tcPr>
          <w:p w14:paraId="132B54D4">
            <w:pPr>
              <w:rPr>
                <w:rFonts w:ascii="Arial"/>
                <w:sz w:val="21"/>
              </w:rPr>
            </w:pPr>
          </w:p>
        </w:tc>
        <w:tc>
          <w:tcPr>
            <w:tcW w:w="708" w:type="dxa"/>
            <w:vAlign w:val="top"/>
          </w:tcPr>
          <w:p w14:paraId="14CC666B">
            <w:pPr>
              <w:rPr>
                <w:rFonts w:ascii="Arial"/>
                <w:sz w:val="21"/>
              </w:rPr>
            </w:pPr>
          </w:p>
        </w:tc>
        <w:tc>
          <w:tcPr>
            <w:tcW w:w="1175" w:type="dxa"/>
            <w:vAlign w:val="top"/>
          </w:tcPr>
          <w:p w14:paraId="22EEF966">
            <w:pPr>
              <w:rPr>
                <w:rFonts w:ascii="Arial"/>
                <w:sz w:val="21"/>
              </w:rPr>
            </w:pPr>
          </w:p>
        </w:tc>
        <w:tc>
          <w:tcPr>
            <w:tcW w:w="873" w:type="dxa"/>
            <w:vAlign w:val="top"/>
          </w:tcPr>
          <w:p w14:paraId="64BC0738">
            <w:pPr>
              <w:rPr>
                <w:rFonts w:ascii="Arial"/>
                <w:sz w:val="21"/>
              </w:rPr>
            </w:pPr>
          </w:p>
        </w:tc>
        <w:tc>
          <w:tcPr>
            <w:tcW w:w="871" w:type="dxa"/>
            <w:vAlign w:val="top"/>
          </w:tcPr>
          <w:p w14:paraId="7015B768">
            <w:pPr>
              <w:rPr>
                <w:rFonts w:ascii="Arial"/>
                <w:sz w:val="21"/>
              </w:rPr>
            </w:pPr>
          </w:p>
        </w:tc>
        <w:tc>
          <w:tcPr>
            <w:tcW w:w="770" w:type="dxa"/>
            <w:vAlign w:val="top"/>
          </w:tcPr>
          <w:p w14:paraId="43C40F86">
            <w:pPr>
              <w:rPr>
                <w:rFonts w:ascii="Arial"/>
                <w:sz w:val="21"/>
              </w:rPr>
            </w:pPr>
          </w:p>
        </w:tc>
      </w:tr>
      <w:tr w14:paraId="1047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5F882BD9">
            <w:pPr>
              <w:rPr>
                <w:rFonts w:ascii="Arial"/>
                <w:sz w:val="21"/>
              </w:rPr>
            </w:pPr>
          </w:p>
        </w:tc>
        <w:tc>
          <w:tcPr>
            <w:tcW w:w="1065" w:type="dxa"/>
            <w:vAlign w:val="top"/>
          </w:tcPr>
          <w:p w14:paraId="278882C3">
            <w:pPr>
              <w:rPr>
                <w:rFonts w:ascii="Arial"/>
                <w:sz w:val="21"/>
              </w:rPr>
            </w:pPr>
          </w:p>
        </w:tc>
        <w:tc>
          <w:tcPr>
            <w:tcW w:w="672" w:type="dxa"/>
            <w:vAlign w:val="top"/>
          </w:tcPr>
          <w:p w14:paraId="18E2F239">
            <w:pPr>
              <w:rPr>
                <w:rFonts w:ascii="Arial"/>
                <w:sz w:val="21"/>
              </w:rPr>
            </w:pPr>
          </w:p>
        </w:tc>
        <w:tc>
          <w:tcPr>
            <w:tcW w:w="1022" w:type="dxa"/>
            <w:vAlign w:val="top"/>
          </w:tcPr>
          <w:p w14:paraId="4A2B97A6">
            <w:pPr>
              <w:rPr>
                <w:rFonts w:ascii="Arial"/>
                <w:sz w:val="21"/>
              </w:rPr>
            </w:pPr>
          </w:p>
        </w:tc>
        <w:tc>
          <w:tcPr>
            <w:tcW w:w="708" w:type="dxa"/>
            <w:vAlign w:val="top"/>
          </w:tcPr>
          <w:p w14:paraId="39F5A4FF">
            <w:pPr>
              <w:rPr>
                <w:rFonts w:ascii="Arial"/>
                <w:sz w:val="21"/>
              </w:rPr>
            </w:pPr>
          </w:p>
        </w:tc>
        <w:tc>
          <w:tcPr>
            <w:tcW w:w="708" w:type="dxa"/>
            <w:vAlign w:val="top"/>
          </w:tcPr>
          <w:p w14:paraId="3ECDA125">
            <w:pPr>
              <w:rPr>
                <w:rFonts w:ascii="Arial"/>
                <w:sz w:val="21"/>
              </w:rPr>
            </w:pPr>
          </w:p>
        </w:tc>
        <w:tc>
          <w:tcPr>
            <w:tcW w:w="1175" w:type="dxa"/>
            <w:vAlign w:val="top"/>
          </w:tcPr>
          <w:p w14:paraId="1EE3117C">
            <w:pPr>
              <w:rPr>
                <w:rFonts w:ascii="Arial"/>
                <w:sz w:val="21"/>
              </w:rPr>
            </w:pPr>
          </w:p>
        </w:tc>
        <w:tc>
          <w:tcPr>
            <w:tcW w:w="873" w:type="dxa"/>
            <w:vAlign w:val="top"/>
          </w:tcPr>
          <w:p w14:paraId="3B4E68B3">
            <w:pPr>
              <w:rPr>
                <w:rFonts w:ascii="Arial"/>
                <w:sz w:val="21"/>
              </w:rPr>
            </w:pPr>
          </w:p>
        </w:tc>
        <w:tc>
          <w:tcPr>
            <w:tcW w:w="871" w:type="dxa"/>
            <w:vAlign w:val="top"/>
          </w:tcPr>
          <w:p w14:paraId="7F1F0728">
            <w:pPr>
              <w:rPr>
                <w:rFonts w:ascii="Arial"/>
                <w:sz w:val="21"/>
              </w:rPr>
            </w:pPr>
          </w:p>
        </w:tc>
        <w:tc>
          <w:tcPr>
            <w:tcW w:w="770" w:type="dxa"/>
            <w:vAlign w:val="top"/>
          </w:tcPr>
          <w:p w14:paraId="1E91675B">
            <w:pPr>
              <w:rPr>
                <w:rFonts w:ascii="Arial"/>
                <w:sz w:val="21"/>
              </w:rPr>
            </w:pPr>
          </w:p>
        </w:tc>
      </w:tr>
      <w:tr w14:paraId="09EC5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6ADA158B">
            <w:pPr>
              <w:rPr>
                <w:rFonts w:ascii="Arial"/>
                <w:sz w:val="21"/>
              </w:rPr>
            </w:pPr>
          </w:p>
        </w:tc>
        <w:tc>
          <w:tcPr>
            <w:tcW w:w="1065" w:type="dxa"/>
            <w:vAlign w:val="top"/>
          </w:tcPr>
          <w:p w14:paraId="7774E588">
            <w:pPr>
              <w:rPr>
                <w:rFonts w:ascii="Arial"/>
                <w:sz w:val="21"/>
              </w:rPr>
            </w:pPr>
          </w:p>
        </w:tc>
        <w:tc>
          <w:tcPr>
            <w:tcW w:w="672" w:type="dxa"/>
            <w:vAlign w:val="top"/>
          </w:tcPr>
          <w:p w14:paraId="2943EB26">
            <w:pPr>
              <w:rPr>
                <w:rFonts w:ascii="Arial"/>
                <w:sz w:val="21"/>
              </w:rPr>
            </w:pPr>
          </w:p>
        </w:tc>
        <w:tc>
          <w:tcPr>
            <w:tcW w:w="1022" w:type="dxa"/>
            <w:vAlign w:val="top"/>
          </w:tcPr>
          <w:p w14:paraId="67EEAA3A">
            <w:pPr>
              <w:rPr>
                <w:rFonts w:ascii="Arial"/>
                <w:sz w:val="21"/>
              </w:rPr>
            </w:pPr>
          </w:p>
        </w:tc>
        <w:tc>
          <w:tcPr>
            <w:tcW w:w="708" w:type="dxa"/>
            <w:vAlign w:val="top"/>
          </w:tcPr>
          <w:p w14:paraId="131C52A7">
            <w:pPr>
              <w:rPr>
                <w:rFonts w:ascii="Arial"/>
                <w:sz w:val="21"/>
              </w:rPr>
            </w:pPr>
          </w:p>
        </w:tc>
        <w:tc>
          <w:tcPr>
            <w:tcW w:w="708" w:type="dxa"/>
            <w:vAlign w:val="top"/>
          </w:tcPr>
          <w:p w14:paraId="4F2039E0">
            <w:pPr>
              <w:rPr>
                <w:rFonts w:ascii="Arial"/>
                <w:sz w:val="21"/>
              </w:rPr>
            </w:pPr>
          </w:p>
        </w:tc>
        <w:tc>
          <w:tcPr>
            <w:tcW w:w="1175" w:type="dxa"/>
            <w:vAlign w:val="top"/>
          </w:tcPr>
          <w:p w14:paraId="01C92A33">
            <w:pPr>
              <w:rPr>
                <w:rFonts w:ascii="Arial"/>
                <w:sz w:val="21"/>
              </w:rPr>
            </w:pPr>
          </w:p>
        </w:tc>
        <w:tc>
          <w:tcPr>
            <w:tcW w:w="873" w:type="dxa"/>
            <w:vAlign w:val="top"/>
          </w:tcPr>
          <w:p w14:paraId="116B096C">
            <w:pPr>
              <w:rPr>
                <w:rFonts w:ascii="Arial"/>
                <w:sz w:val="21"/>
              </w:rPr>
            </w:pPr>
          </w:p>
        </w:tc>
        <w:tc>
          <w:tcPr>
            <w:tcW w:w="871" w:type="dxa"/>
            <w:vAlign w:val="top"/>
          </w:tcPr>
          <w:p w14:paraId="2CA7A4B0">
            <w:pPr>
              <w:rPr>
                <w:rFonts w:ascii="Arial"/>
                <w:sz w:val="21"/>
              </w:rPr>
            </w:pPr>
          </w:p>
        </w:tc>
        <w:tc>
          <w:tcPr>
            <w:tcW w:w="770" w:type="dxa"/>
            <w:vAlign w:val="top"/>
          </w:tcPr>
          <w:p w14:paraId="04A75D76">
            <w:pPr>
              <w:rPr>
                <w:rFonts w:ascii="Arial"/>
                <w:sz w:val="21"/>
              </w:rPr>
            </w:pPr>
          </w:p>
        </w:tc>
      </w:tr>
      <w:tr w14:paraId="5F79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66E57AB1">
            <w:pPr>
              <w:rPr>
                <w:rFonts w:ascii="Arial"/>
                <w:sz w:val="21"/>
              </w:rPr>
            </w:pPr>
          </w:p>
        </w:tc>
        <w:tc>
          <w:tcPr>
            <w:tcW w:w="1065" w:type="dxa"/>
            <w:vAlign w:val="top"/>
          </w:tcPr>
          <w:p w14:paraId="384BAA53">
            <w:pPr>
              <w:rPr>
                <w:rFonts w:ascii="Arial"/>
                <w:sz w:val="21"/>
              </w:rPr>
            </w:pPr>
          </w:p>
        </w:tc>
        <w:tc>
          <w:tcPr>
            <w:tcW w:w="672" w:type="dxa"/>
            <w:vAlign w:val="top"/>
          </w:tcPr>
          <w:p w14:paraId="05F5F6E0">
            <w:pPr>
              <w:rPr>
                <w:rFonts w:ascii="Arial"/>
                <w:sz w:val="21"/>
              </w:rPr>
            </w:pPr>
          </w:p>
        </w:tc>
        <w:tc>
          <w:tcPr>
            <w:tcW w:w="1022" w:type="dxa"/>
            <w:vAlign w:val="top"/>
          </w:tcPr>
          <w:p w14:paraId="4A216171">
            <w:pPr>
              <w:rPr>
                <w:rFonts w:ascii="Arial"/>
                <w:sz w:val="21"/>
              </w:rPr>
            </w:pPr>
          </w:p>
        </w:tc>
        <w:tc>
          <w:tcPr>
            <w:tcW w:w="708" w:type="dxa"/>
            <w:vAlign w:val="top"/>
          </w:tcPr>
          <w:p w14:paraId="4B499EC1">
            <w:pPr>
              <w:rPr>
                <w:rFonts w:ascii="Arial"/>
                <w:sz w:val="21"/>
              </w:rPr>
            </w:pPr>
          </w:p>
        </w:tc>
        <w:tc>
          <w:tcPr>
            <w:tcW w:w="708" w:type="dxa"/>
            <w:vAlign w:val="top"/>
          </w:tcPr>
          <w:p w14:paraId="7AAB71E9">
            <w:pPr>
              <w:rPr>
                <w:rFonts w:ascii="Arial"/>
                <w:sz w:val="21"/>
              </w:rPr>
            </w:pPr>
          </w:p>
        </w:tc>
        <w:tc>
          <w:tcPr>
            <w:tcW w:w="1175" w:type="dxa"/>
            <w:vAlign w:val="top"/>
          </w:tcPr>
          <w:p w14:paraId="261087F2">
            <w:pPr>
              <w:rPr>
                <w:rFonts w:ascii="Arial"/>
                <w:sz w:val="21"/>
              </w:rPr>
            </w:pPr>
          </w:p>
        </w:tc>
        <w:tc>
          <w:tcPr>
            <w:tcW w:w="873" w:type="dxa"/>
            <w:vAlign w:val="top"/>
          </w:tcPr>
          <w:p w14:paraId="1B4568AE">
            <w:pPr>
              <w:rPr>
                <w:rFonts w:ascii="Arial"/>
                <w:sz w:val="21"/>
              </w:rPr>
            </w:pPr>
          </w:p>
        </w:tc>
        <w:tc>
          <w:tcPr>
            <w:tcW w:w="871" w:type="dxa"/>
            <w:vAlign w:val="top"/>
          </w:tcPr>
          <w:p w14:paraId="611C5385">
            <w:pPr>
              <w:rPr>
                <w:rFonts w:ascii="Arial"/>
                <w:sz w:val="21"/>
              </w:rPr>
            </w:pPr>
          </w:p>
        </w:tc>
        <w:tc>
          <w:tcPr>
            <w:tcW w:w="770" w:type="dxa"/>
            <w:vAlign w:val="top"/>
          </w:tcPr>
          <w:p w14:paraId="7A36A0C9">
            <w:pPr>
              <w:rPr>
                <w:rFonts w:ascii="Arial"/>
                <w:sz w:val="21"/>
              </w:rPr>
            </w:pPr>
          </w:p>
        </w:tc>
      </w:tr>
      <w:tr w14:paraId="366B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28B0EFBE">
            <w:pPr>
              <w:rPr>
                <w:rFonts w:ascii="Arial"/>
                <w:sz w:val="21"/>
              </w:rPr>
            </w:pPr>
          </w:p>
        </w:tc>
        <w:tc>
          <w:tcPr>
            <w:tcW w:w="1065" w:type="dxa"/>
            <w:vAlign w:val="top"/>
          </w:tcPr>
          <w:p w14:paraId="2144EAFD">
            <w:pPr>
              <w:rPr>
                <w:rFonts w:ascii="Arial"/>
                <w:sz w:val="21"/>
              </w:rPr>
            </w:pPr>
          </w:p>
        </w:tc>
        <w:tc>
          <w:tcPr>
            <w:tcW w:w="672" w:type="dxa"/>
            <w:vAlign w:val="top"/>
          </w:tcPr>
          <w:p w14:paraId="744A923B">
            <w:pPr>
              <w:rPr>
                <w:rFonts w:ascii="Arial"/>
                <w:sz w:val="21"/>
              </w:rPr>
            </w:pPr>
          </w:p>
        </w:tc>
        <w:tc>
          <w:tcPr>
            <w:tcW w:w="1022" w:type="dxa"/>
            <w:vAlign w:val="top"/>
          </w:tcPr>
          <w:p w14:paraId="2A6DCE49">
            <w:pPr>
              <w:rPr>
                <w:rFonts w:ascii="Arial"/>
                <w:sz w:val="21"/>
              </w:rPr>
            </w:pPr>
          </w:p>
        </w:tc>
        <w:tc>
          <w:tcPr>
            <w:tcW w:w="708" w:type="dxa"/>
            <w:vAlign w:val="top"/>
          </w:tcPr>
          <w:p w14:paraId="138BDB73">
            <w:pPr>
              <w:rPr>
                <w:rFonts w:ascii="Arial"/>
                <w:sz w:val="21"/>
              </w:rPr>
            </w:pPr>
          </w:p>
        </w:tc>
        <w:tc>
          <w:tcPr>
            <w:tcW w:w="708" w:type="dxa"/>
            <w:vAlign w:val="top"/>
          </w:tcPr>
          <w:p w14:paraId="450B825E">
            <w:pPr>
              <w:rPr>
                <w:rFonts w:ascii="Arial"/>
                <w:sz w:val="21"/>
              </w:rPr>
            </w:pPr>
          </w:p>
        </w:tc>
        <w:tc>
          <w:tcPr>
            <w:tcW w:w="1175" w:type="dxa"/>
            <w:vAlign w:val="top"/>
          </w:tcPr>
          <w:p w14:paraId="103AD975">
            <w:pPr>
              <w:rPr>
                <w:rFonts w:ascii="Arial"/>
                <w:sz w:val="21"/>
              </w:rPr>
            </w:pPr>
          </w:p>
        </w:tc>
        <w:tc>
          <w:tcPr>
            <w:tcW w:w="873" w:type="dxa"/>
            <w:vAlign w:val="top"/>
          </w:tcPr>
          <w:p w14:paraId="74FC038C">
            <w:pPr>
              <w:rPr>
                <w:rFonts w:ascii="Arial"/>
                <w:sz w:val="21"/>
              </w:rPr>
            </w:pPr>
          </w:p>
        </w:tc>
        <w:tc>
          <w:tcPr>
            <w:tcW w:w="871" w:type="dxa"/>
            <w:vAlign w:val="top"/>
          </w:tcPr>
          <w:p w14:paraId="54EADB42">
            <w:pPr>
              <w:rPr>
                <w:rFonts w:ascii="Arial"/>
                <w:sz w:val="21"/>
              </w:rPr>
            </w:pPr>
          </w:p>
        </w:tc>
        <w:tc>
          <w:tcPr>
            <w:tcW w:w="770" w:type="dxa"/>
            <w:vAlign w:val="top"/>
          </w:tcPr>
          <w:p w14:paraId="15B770B7">
            <w:pPr>
              <w:rPr>
                <w:rFonts w:ascii="Arial"/>
                <w:sz w:val="21"/>
              </w:rPr>
            </w:pPr>
          </w:p>
        </w:tc>
      </w:tr>
      <w:tr w14:paraId="4EEB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B0D5481">
            <w:pPr>
              <w:rPr>
                <w:rFonts w:ascii="Arial"/>
                <w:sz w:val="21"/>
              </w:rPr>
            </w:pPr>
          </w:p>
        </w:tc>
        <w:tc>
          <w:tcPr>
            <w:tcW w:w="1065" w:type="dxa"/>
            <w:vAlign w:val="top"/>
          </w:tcPr>
          <w:p w14:paraId="3338802F">
            <w:pPr>
              <w:rPr>
                <w:rFonts w:ascii="Arial"/>
                <w:sz w:val="21"/>
              </w:rPr>
            </w:pPr>
          </w:p>
        </w:tc>
        <w:tc>
          <w:tcPr>
            <w:tcW w:w="672" w:type="dxa"/>
            <w:vAlign w:val="top"/>
          </w:tcPr>
          <w:p w14:paraId="181D4416">
            <w:pPr>
              <w:rPr>
                <w:rFonts w:ascii="Arial"/>
                <w:sz w:val="21"/>
              </w:rPr>
            </w:pPr>
          </w:p>
        </w:tc>
        <w:tc>
          <w:tcPr>
            <w:tcW w:w="1022" w:type="dxa"/>
            <w:vAlign w:val="top"/>
          </w:tcPr>
          <w:p w14:paraId="70D47C35">
            <w:pPr>
              <w:rPr>
                <w:rFonts w:ascii="Arial"/>
                <w:sz w:val="21"/>
              </w:rPr>
            </w:pPr>
          </w:p>
        </w:tc>
        <w:tc>
          <w:tcPr>
            <w:tcW w:w="708" w:type="dxa"/>
            <w:vAlign w:val="top"/>
          </w:tcPr>
          <w:p w14:paraId="6A26870E">
            <w:pPr>
              <w:rPr>
                <w:rFonts w:ascii="Arial"/>
                <w:sz w:val="21"/>
              </w:rPr>
            </w:pPr>
          </w:p>
        </w:tc>
        <w:tc>
          <w:tcPr>
            <w:tcW w:w="708" w:type="dxa"/>
            <w:vAlign w:val="top"/>
          </w:tcPr>
          <w:p w14:paraId="77877BEC">
            <w:pPr>
              <w:rPr>
                <w:rFonts w:ascii="Arial"/>
                <w:sz w:val="21"/>
              </w:rPr>
            </w:pPr>
          </w:p>
        </w:tc>
        <w:tc>
          <w:tcPr>
            <w:tcW w:w="1175" w:type="dxa"/>
            <w:vAlign w:val="top"/>
          </w:tcPr>
          <w:p w14:paraId="6CA7A44D">
            <w:pPr>
              <w:rPr>
                <w:rFonts w:ascii="Arial"/>
                <w:sz w:val="21"/>
              </w:rPr>
            </w:pPr>
          </w:p>
        </w:tc>
        <w:tc>
          <w:tcPr>
            <w:tcW w:w="873" w:type="dxa"/>
            <w:vAlign w:val="top"/>
          </w:tcPr>
          <w:p w14:paraId="5A3649AE">
            <w:pPr>
              <w:rPr>
                <w:rFonts w:ascii="Arial"/>
                <w:sz w:val="21"/>
              </w:rPr>
            </w:pPr>
          </w:p>
        </w:tc>
        <w:tc>
          <w:tcPr>
            <w:tcW w:w="871" w:type="dxa"/>
            <w:vAlign w:val="top"/>
          </w:tcPr>
          <w:p w14:paraId="27AE2D23">
            <w:pPr>
              <w:rPr>
                <w:rFonts w:ascii="Arial"/>
                <w:sz w:val="21"/>
              </w:rPr>
            </w:pPr>
          </w:p>
        </w:tc>
        <w:tc>
          <w:tcPr>
            <w:tcW w:w="770" w:type="dxa"/>
            <w:vAlign w:val="top"/>
          </w:tcPr>
          <w:p w14:paraId="3CEA56D8">
            <w:pPr>
              <w:rPr>
                <w:rFonts w:ascii="Arial"/>
                <w:sz w:val="21"/>
              </w:rPr>
            </w:pPr>
          </w:p>
        </w:tc>
      </w:tr>
      <w:tr w14:paraId="0F06A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046F63C">
            <w:pPr>
              <w:rPr>
                <w:rFonts w:ascii="Arial"/>
                <w:sz w:val="21"/>
              </w:rPr>
            </w:pPr>
          </w:p>
        </w:tc>
        <w:tc>
          <w:tcPr>
            <w:tcW w:w="1065" w:type="dxa"/>
            <w:vAlign w:val="top"/>
          </w:tcPr>
          <w:p w14:paraId="5D62A5A6">
            <w:pPr>
              <w:rPr>
                <w:rFonts w:ascii="Arial"/>
                <w:sz w:val="21"/>
              </w:rPr>
            </w:pPr>
          </w:p>
        </w:tc>
        <w:tc>
          <w:tcPr>
            <w:tcW w:w="672" w:type="dxa"/>
            <w:vAlign w:val="top"/>
          </w:tcPr>
          <w:p w14:paraId="5FA05D86">
            <w:pPr>
              <w:rPr>
                <w:rFonts w:ascii="Arial"/>
                <w:sz w:val="21"/>
              </w:rPr>
            </w:pPr>
          </w:p>
        </w:tc>
        <w:tc>
          <w:tcPr>
            <w:tcW w:w="1022" w:type="dxa"/>
            <w:vAlign w:val="top"/>
          </w:tcPr>
          <w:p w14:paraId="2750DA64">
            <w:pPr>
              <w:rPr>
                <w:rFonts w:ascii="Arial"/>
                <w:sz w:val="21"/>
              </w:rPr>
            </w:pPr>
          </w:p>
        </w:tc>
        <w:tc>
          <w:tcPr>
            <w:tcW w:w="708" w:type="dxa"/>
            <w:vAlign w:val="top"/>
          </w:tcPr>
          <w:p w14:paraId="2B5B38AB">
            <w:pPr>
              <w:rPr>
                <w:rFonts w:ascii="Arial"/>
                <w:sz w:val="21"/>
              </w:rPr>
            </w:pPr>
          </w:p>
        </w:tc>
        <w:tc>
          <w:tcPr>
            <w:tcW w:w="708" w:type="dxa"/>
            <w:vAlign w:val="top"/>
          </w:tcPr>
          <w:p w14:paraId="4791BF76">
            <w:pPr>
              <w:rPr>
                <w:rFonts w:ascii="Arial"/>
                <w:sz w:val="21"/>
              </w:rPr>
            </w:pPr>
          </w:p>
        </w:tc>
        <w:tc>
          <w:tcPr>
            <w:tcW w:w="1175" w:type="dxa"/>
            <w:vAlign w:val="top"/>
          </w:tcPr>
          <w:p w14:paraId="530794E6">
            <w:pPr>
              <w:rPr>
                <w:rFonts w:ascii="Arial"/>
                <w:sz w:val="21"/>
              </w:rPr>
            </w:pPr>
          </w:p>
        </w:tc>
        <w:tc>
          <w:tcPr>
            <w:tcW w:w="873" w:type="dxa"/>
            <w:vAlign w:val="top"/>
          </w:tcPr>
          <w:p w14:paraId="519DF7F3">
            <w:pPr>
              <w:rPr>
                <w:rFonts w:ascii="Arial"/>
                <w:sz w:val="21"/>
              </w:rPr>
            </w:pPr>
          </w:p>
        </w:tc>
        <w:tc>
          <w:tcPr>
            <w:tcW w:w="871" w:type="dxa"/>
            <w:vAlign w:val="top"/>
          </w:tcPr>
          <w:p w14:paraId="1D4C8BA3">
            <w:pPr>
              <w:rPr>
                <w:rFonts w:ascii="Arial"/>
                <w:sz w:val="21"/>
              </w:rPr>
            </w:pPr>
          </w:p>
        </w:tc>
        <w:tc>
          <w:tcPr>
            <w:tcW w:w="770" w:type="dxa"/>
            <w:vAlign w:val="top"/>
          </w:tcPr>
          <w:p w14:paraId="2B0E53BF">
            <w:pPr>
              <w:rPr>
                <w:rFonts w:ascii="Arial"/>
                <w:sz w:val="21"/>
              </w:rPr>
            </w:pPr>
          </w:p>
        </w:tc>
      </w:tr>
      <w:tr w14:paraId="6846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47" w:type="dxa"/>
            <w:vAlign w:val="top"/>
          </w:tcPr>
          <w:p w14:paraId="702B9A5C">
            <w:pPr>
              <w:rPr>
                <w:rFonts w:ascii="Arial"/>
                <w:sz w:val="21"/>
              </w:rPr>
            </w:pPr>
          </w:p>
        </w:tc>
        <w:tc>
          <w:tcPr>
            <w:tcW w:w="1065" w:type="dxa"/>
            <w:vAlign w:val="top"/>
          </w:tcPr>
          <w:p w14:paraId="76EE6F02">
            <w:pPr>
              <w:rPr>
                <w:rFonts w:ascii="Arial"/>
                <w:sz w:val="21"/>
              </w:rPr>
            </w:pPr>
          </w:p>
        </w:tc>
        <w:tc>
          <w:tcPr>
            <w:tcW w:w="672" w:type="dxa"/>
            <w:vAlign w:val="top"/>
          </w:tcPr>
          <w:p w14:paraId="164E8F7E">
            <w:pPr>
              <w:rPr>
                <w:rFonts w:ascii="Arial"/>
                <w:sz w:val="21"/>
              </w:rPr>
            </w:pPr>
          </w:p>
        </w:tc>
        <w:tc>
          <w:tcPr>
            <w:tcW w:w="1022" w:type="dxa"/>
            <w:vAlign w:val="top"/>
          </w:tcPr>
          <w:p w14:paraId="25F7D075">
            <w:pPr>
              <w:rPr>
                <w:rFonts w:ascii="Arial"/>
                <w:sz w:val="21"/>
              </w:rPr>
            </w:pPr>
          </w:p>
        </w:tc>
        <w:tc>
          <w:tcPr>
            <w:tcW w:w="708" w:type="dxa"/>
            <w:vAlign w:val="top"/>
          </w:tcPr>
          <w:p w14:paraId="6DD6B9FD">
            <w:pPr>
              <w:rPr>
                <w:rFonts w:ascii="Arial"/>
                <w:sz w:val="21"/>
              </w:rPr>
            </w:pPr>
          </w:p>
        </w:tc>
        <w:tc>
          <w:tcPr>
            <w:tcW w:w="708" w:type="dxa"/>
            <w:vAlign w:val="top"/>
          </w:tcPr>
          <w:p w14:paraId="09F18654">
            <w:pPr>
              <w:rPr>
                <w:rFonts w:ascii="Arial"/>
                <w:sz w:val="21"/>
              </w:rPr>
            </w:pPr>
          </w:p>
        </w:tc>
        <w:tc>
          <w:tcPr>
            <w:tcW w:w="1175" w:type="dxa"/>
            <w:vAlign w:val="top"/>
          </w:tcPr>
          <w:p w14:paraId="50FDA6BF">
            <w:pPr>
              <w:rPr>
                <w:rFonts w:ascii="Arial"/>
                <w:sz w:val="21"/>
              </w:rPr>
            </w:pPr>
          </w:p>
        </w:tc>
        <w:tc>
          <w:tcPr>
            <w:tcW w:w="873" w:type="dxa"/>
            <w:vAlign w:val="top"/>
          </w:tcPr>
          <w:p w14:paraId="056C695D">
            <w:pPr>
              <w:rPr>
                <w:rFonts w:ascii="Arial"/>
                <w:sz w:val="21"/>
              </w:rPr>
            </w:pPr>
          </w:p>
        </w:tc>
        <w:tc>
          <w:tcPr>
            <w:tcW w:w="871" w:type="dxa"/>
            <w:vAlign w:val="top"/>
          </w:tcPr>
          <w:p w14:paraId="59AC3B5C">
            <w:pPr>
              <w:rPr>
                <w:rFonts w:ascii="Arial"/>
                <w:sz w:val="21"/>
              </w:rPr>
            </w:pPr>
          </w:p>
        </w:tc>
        <w:tc>
          <w:tcPr>
            <w:tcW w:w="770" w:type="dxa"/>
            <w:vAlign w:val="top"/>
          </w:tcPr>
          <w:p w14:paraId="2C05702B">
            <w:pPr>
              <w:rPr>
                <w:rFonts w:ascii="Arial"/>
                <w:sz w:val="21"/>
              </w:rPr>
            </w:pPr>
          </w:p>
        </w:tc>
      </w:tr>
    </w:tbl>
    <w:p w14:paraId="535452D9">
      <w:pPr>
        <w:pStyle w:val="5"/>
      </w:pPr>
    </w:p>
    <w:p w14:paraId="56DD589C">
      <w:pPr>
        <w:sectPr>
          <w:footerReference r:id="rId225" w:type="default"/>
          <w:pgSz w:w="11905" w:h="16843"/>
          <w:pgMar w:top="969" w:right="1355" w:bottom="1026" w:left="1480" w:header="0" w:footer="754" w:gutter="0"/>
          <w:cols w:space="0" w:num="1"/>
          <w:rtlGutter w:val="0"/>
          <w:docGrid w:linePitch="0" w:charSpace="0"/>
        </w:sectPr>
      </w:pPr>
    </w:p>
    <w:p w14:paraId="74C8B64A">
      <w:pPr>
        <w:pStyle w:val="5"/>
        <w:spacing w:line="265" w:lineRule="auto"/>
      </w:pPr>
    </w:p>
    <w:p w14:paraId="21D5EEB3">
      <w:pPr>
        <w:pStyle w:val="5"/>
        <w:spacing w:line="265" w:lineRule="auto"/>
      </w:pPr>
    </w:p>
    <w:p w14:paraId="1D055F7B">
      <w:pPr>
        <w:pStyle w:val="5"/>
        <w:spacing w:line="266" w:lineRule="auto"/>
      </w:pPr>
    </w:p>
    <w:p w14:paraId="6E15A6EA">
      <w:pPr>
        <w:pStyle w:val="5"/>
        <w:spacing w:line="266" w:lineRule="auto"/>
      </w:pPr>
    </w:p>
    <w:p w14:paraId="54B975AC">
      <w:pPr>
        <w:pStyle w:val="5"/>
        <w:spacing w:line="266" w:lineRule="auto"/>
      </w:pPr>
    </w:p>
    <w:p w14:paraId="356C9CF4">
      <w:pPr>
        <w:spacing w:before="78" w:line="218" w:lineRule="auto"/>
        <w:outlineLvl w:val="2"/>
        <w:rPr>
          <w:rFonts w:ascii="黑体" w:hAnsi="黑体" w:eastAsia="黑体" w:cs="黑体"/>
          <w:sz w:val="24"/>
          <w:szCs w:val="24"/>
        </w:rPr>
      </w:pPr>
      <w:bookmarkStart w:id="1406" w:name="bookmark470"/>
      <w:bookmarkEnd w:id="1406"/>
      <w:r>
        <w:rPr>
          <w:rFonts w:ascii="黑体" w:hAnsi="黑体" w:eastAsia="黑体" w:cs="黑体"/>
          <w:spacing w:val="-1"/>
          <w:sz w:val="24"/>
          <w:szCs w:val="24"/>
        </w:rPr>
        <w:t>附表二：拟配备本工程的试验和检测仪器设</w:t>
      </w:r>
      <w:r>
        <w:rPr>
          <w:rFonts w:ascii="黑体" w:hAnsi="黑体" w:eastAsia="黑体" w:cs="黑体"/>
          <w:spacing w:val="-2"/>
          <w:sz w:val="24"/>
          <w:szCs w:val="24"/>
        </w:rPr>
        <w:t>备表</w:t>
      </w:r>
    </w:p>
    <w:p w14:paraId="09B3F882">
      <w:pPr>
        <w:spacing w:line="19" w:lineRule="auto"/>
        <w:rPr>
          <w:rFonts w:ascii="Arial"/>
          <w:sz w:val="2"/>
        </w:rPr>
      </w:pPr>
    </w:p>
    <w:tbl>
      <w:tblPr>
        <w:tblStyle w:val="10"/>
        <w:tblW w:w="8511"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065"/>
        <w:gridCol w:w="672"/>
        <w:gridCol w:w="1022"/>
        <w:gridCol w:w="708"/>
        <w:gridCol w:w="708"/>
        <w:gridCol w:w="1175"/>
        <w:gridCol w:w="1660"/>
        <w:gridCol w:w="854"/>
      </w:tblGrid>
      <w:tr w14:paraId="42BF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7" w:type="dxa"/>
            <w:vAlign w:val="top"/>
          </w:tcPr>
          <w:p w14:paraId="1FDA2AD6">
            <w:pPr>
              <w:pStyle w:val="11"/>
              <w:spacing w:before="209" w:line="222" w:lineRule="auto"/>
              <w:ind w:left="117"/>
            </w:pPr>
            <w:r>
              <w:rPr>
                <w:spacing w:val="-2"/>
              </w:rPr>
              <w:t>序号</w:t>
            </w:r>
          </w:p>
        </w:tc>
        <w:tc>
          <w:tcPr>
            <w:tcW w:w="1065" w:type="dxa"/>
            <w:vAlign w:val="top"/>
          </w:tcPr>
          <w:p w14:paraId="76B5361F">
            <w:pPr>
              <w:pStyle w:val="11"/>
              <w:spacing w:before="74" w:line="241" w:lineRule="auto"/>
              <w:ind w:left="118" w:right="108" w:hanging="1"/>
            </w:pPr>
            <w:r>
              <w:rPr>
                <w:spacing w:val="-2"/>
              </w:rPr>
              <w:t>仪器设备</w:t>
            </w:r>
            <w:r>
              <w:rPr>
                <w:spacing w:val="-8"/>
              </w:rPr>
              <w:t>名</w:t>
            </w:r>
            <w:r>
              <w:rPr>
                <w:spacing w:val="1"/>
              </w:rPr>
              <w:t xml:space="preserve">    </w:t>
            </w:r>
            <w:r>
              <w:rPr>
                <w:spacing w:val="-8"/>
              </w:rPr>
              <w:t>称</w:t>
            </w:r>
          </w:p>
        </w:tc>
        <w:tc>
          <w:tcPr>
            <w:tcW w:w="672" w:type="dxa"/>
            <w:vAlign w:val="top"/>
          </w:tcPr>
          <w:p w14:paraId="0A906010">
            <w:pPr>
              <w:pStyle w:val="11"/>
              <w:spacing w:before="75" w:line="222" w:lineRule="auto"/>
              <w:ind w:left="136"/>
            </w:pPr>
            <w:r>
              <w:rPr>
                <w:spacing w:val="-4"/>
              </w:rPr>
              <w:t>型号</w:t>
            </w:r>
          </w:p>
          <w:p w14:paraId="2815F10A">
            <w:pPr>
              <w:pStyle w:val="11"/>
              <w:spacing w:before="18" w:line="221" w:lineRule="auto"/>
              <w:ind w:left="130"/>
            </w:pPr>
            <w:r>
              <w:rPr>
                <w:spacing w:val="-2"/>
              </w:rPr>
              <w:t>规格</w:t>
            </w:r>
          </w:p>
        </w:tc>
        <w:tc>
          <w:tcPr>
            <w:tcW w:w="1022" w:type="dxa"/>
            <w:vAlign w:val="top"/>
          </w:tcPr>
          <w:p w14:paraId="7CF88591">
            <w:pPr>
              <w:pStyle w:val="11"/>
              <w:spacing w:before="209" w:line="221" w:lineRule="auto"/>
              <w:ind w:left="201"/>
            </w:pPr>
            <w:r>
              <w:rPr>
                <w:spacing w:val="-5"/>
              </w:rPr>
              <w:t>数</w:t>
            </w:r>
            <w:r>
              <w:rPr>
                <w:spacing w:val="4"/>
              </w:rPr>
              <w:t xml:space="preserve">  </w:t>
            </w:r>
            <w:r>
              <w:rPr>
                <w:spacing w:val="-5"/>
              </w:rPr>
              <w:t>量</w:t>
            </w:r>
          </w:p>
        </w:tc>
        <w:tc>
          <w:tcPr>
            <w:tcW w:w="708" w:type="dxa"/>
            <w:vAlign w:val="top"/>
          </w:tcPr>
          <w:p w14:paraId="60B2E578">
            <w:pPr>
              <w:pStyle w:val="11"/>
              <w:spacing w:before="75" w:line="221" w:lineRule="auto"/>
              <w:ind w:left="170"/>
            </w:pPr>
            <w:r>
              <w:rPr>
                <w:spacing w:val="-7"/>
              </w:rPr>
              <w:t>国别</w:t>
            </w:r>
          </w:p>
          <w:p w14:paraId="69A8F5DD">
            <w:pPr>
              <w:pStyle w:val="11"/>
              <w:spacing w:before="18" w:line="221" w:lineRule="auto"/>
              <w:ind w:left="149"/>
            </w:pPr>
            <w:r>
              <w:rPr>
                <w:spacing w:val="-2"/>
              </w:rPr>
              <w:t>产地</w:t>
            </w:r>
          </w:p>
        </w:tc>
        <w:tc>
          <w:tcPr>
            <w:tcW w:w="708" w:type="dxa"/>
            <w:vAlign w:val="top"/>
          </w:tcPr>
          <w:p w14:paraId="03A742E5">
            <w:pPr>
              <w:pStyle w:val="11"/>
              <w:spacing w:before="75" w:line="221" w:lineRule="auto"/>
              <w:ind w:left="150"/>
            </w:pPr>
            <w:r>
              <w:rPr>
                <w:spacing w:val="-2"/>
              </w:rPr>
              <w:t>制造</w:t>
            </w:r>
          </w:p>
          <w:p w14:paraId="6ABDDA6F">
            <w:pPr>
              <w:pStyle w:val="11"/>
              <w:spacing w:before="18" w:line="221" w:lineRule="auto"/>
              <w:ind w:left="150"/>
            </w:pPr>
            <w:r>
              <w:rPr>
                <w:spacing w:val="-2"/>
              </w:rPr>
              <w:t>年份</w:t>
            </w:r>
          </w:p>
        </w:tc>
        <w:tc>
          <w:tcPr>
            <w:tcW w:w="1175" w:type="dxa"/>
            <w:vAlign w:val="top"/>
          </w:tcPr>
          <w:p w14:paraId="747E937A">
            <w:pPr>
              <w:pStyle w:val="11"/>
              <w:spacing w:before="76"/>
              <w:ind w:left="186" w:right="159" w:firstLine="13"/>
            </w:pPr>
            <w:r>
              <w:rPr>
                <w:spacing w:val="-8"/>
              </w:rPr>
              <w:t>已使用台</w:t>
            </w:r>
            <w:r>
              <w:rPr>
                <w:spacing w:val="-13"/>
              </w:rPr>
              <w:t>时</w:t>
            </w:r>
            <w:r>
              <w:rPr>
                <w:spacing w:val="2"/>
              </w:rPr>
              <w:t xml:space="preserve">    </w:t>
            </w:r>
            <w:r>
              <w:rPr>
                <w:spacing w:val="-13"/>
              </w:rPr>
              <w:t>数</w:t>
            </w:r>
          </w:p>
        </w:tc>
        <w:tc>
          <w:tcPr>
            <w:tcW w:w="1660" w:type="dxa"/>
            <w:vAlign w:val="top"/>
          </w:tcPr>
          <w:p w14:paraId="242F585D">
            <w:pPr>
              <w:pStyle w:val="11"/>
              <w:spacing w:before="209" w:line="222" w:lineRule="auto"/>
              <w:ind w:left="524"/>
            </w:pPr>
            <w:r>
              <w:rPr>
                <w:spacing w:val="-5"/>
              </w:rPr>
              <w:t>用</w:t>
            </w:r>
            <w:r>
              <w:rPr>
                <w:spacing w:val="4"/>
              </w:rPr>
              <w:t xml:space="preserve">  </w:t>
            </w:r>
            <w:r>
              <w:rPr>
                <w:spacing w:val="-5"/>
              </w:rPr>
              <w:t>途</w:t>
            </w:r>
          </w:p>
        </w:tc>
        <w:tc>
          <w:tcPr>
            <w:tcW w:w="854" w:type="dxa"/>
            <w:vAlign w:val="top"/>
          </w:tcPr>
          <w:p w14:paraId="694F120F">
            <w:pPr>
              <w:pStyle w:val="11"/>
              <w:spacing w:before="209" w:line="222" w:lineRule="auto"/>
              <w:ind w:left="224"/>
            </w:pPr>
            <w:r>
              <w:rPr>
                <w:spacing w:val="-3"/>
              </w:rPr>
              <w:t>备注</w:t>
            </w:r>
          </w:p>
        </w:tc>
      </w:tr>
      <w:tr w14:paraId="691E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716F0B8">
            <w:pPr>
              <w:rPr>
                <w:rFonts w:ascii="Arial"/>
                <w:sz w:val="21"/>
              </w:rPr>
            </w:pPr>
          </w:p>
        </w:tc>
        <w:tc>
          <w:tcPr>
            <w:tcW w:w="1065" w:type="dxa"/>
            <w:vAlign w:val="top"/>
          </w:tcPr>
          <w:p w14:paraId="01CD44DC">
            <w:pPr>
              <w:rPr>
                <w:rFonts w:ascii="Arial"/>
                <w:sz w:val="21"/>
              </w:rPr>
            </w:pPr>
          </w:p>
        </w:tc>
        <w:tc>
          <w:tcPr>
            <w:tcW w:w="672" w:type="dxa"/>
            <w:vAlign w:val="top"/>
          </w:tcPr>
          <w:p w14:paraId="04002C75">
            <w:pPr>
              <w:rPr>
                <w:rFonts w:ascii="Arial"/>
                <w:sz w:val="21"/>
              </w:rPr>
            </w:pPr>
          </w:p>
        </w:tc>
        <w:tc>
          <w:tcPr>
            <w:tcW w:w="1022" w:type="dxa"/>
            <w:vAlign w:val="top"/>
          </w:tcPr>
          <w:p w14:paraId="5E572816">
            <w:pPr>
              <w:rPr>
                <w:rFonts w:ascii="Arial"/>
                <w:sz w:val="21"/>
              </w:rPr>
            </w:pPr>
          </w:p>
        </w:tc>
        <w:tc>
          <w:tcPr>
            <w:tcW w:w="708" w:type="dxa"/>
            <w:vAlign w:val="top"/>
          </w:tcPr>
          <w:p w14:paraId="23B90407">
            <w:pPr>
              <w:rPr>
                <w:rFonts w:ascii="Arial"/>
                <w:sz w:val="21"/>
              </w:rPr>
            </w:pPr>
          </w:p>
        </w:tc>
        <w:tc>
          <w:tcPr>
            <w:tcW w:w="708" w:type="dxa"/>
            <w:vAlign w:val="top"/>
          </w:tcPr>
          <w:p w14:paraId="35305457">
            <w:pPr>
              <w:rPr>
                <w:rFonts w:ascii="Arial"/>
                <w:sz w:val="21"/>
              </w:rPr>
            </w:pPr>
          </w:p>
        </w:tc>
        <w:tc>
          <w:tcPr>
            <w:tcW w:w="1175" w:type="dxa"/>
            <w:vAlign w:val="top"/>
          </w:tcPr>
          <w:p w14:paraId="73213EA2">
            <w:pPr>
              <w:rPr>
                <w:rFonts w:ascii="Arial"/>
                <w:sz w:val="21"/>
              </w:rPr>
            </w:pPr>
          </w:p>
        </w:tc>
        <w:tc>
          <w:tcPr>
            <w:tcW w:w="1660" w:type="dxa"/>
            <w:vAlign w:val="top"/>
          </w:tcPr>
          <w:p w14:paraId="2664977C">
            <w:pPr>
              <w:rPr>
                <w:rFonts w:ascii="Arial"/>
                <w:sz w:val="21"/>
              </w:rPr>
            </w:pPr>
          </w:p>
        </w:tc>
        <w:tc>
          <w:tcPr>
            <w:tcW w:w="854" w:type="dxa"/>
            <w:vAlign w:val="top"/>
          </w:tcPr>
          <w:p w14:paraId="4116C89F">
            <w:pPr>
              <w:rPr>
                <w:rFonts w:ascii="Arial"/>
                <w:sz w:val="21"/>
              </w:rPr>
            </w:pPr>
          </w:p>
        </w:tc>
      </w:tr>
      <w:tr w14:paraId="1E77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39DA3765">
            <w:pPr>
              <w:rPr>
                <w:rFonts w:ascii="Arial"/>
                <w:sz w:val="21"/>
              </w:rPr>
            </w:pPr>
          </w:p>
        </w:tc>
        <w:tc>
          <w:tcPr>
            <w:tcW w:w="1065" w:type="dxa"/>
            <w:vAlign w:val="top"/>
          </w:tcPr>
          <w:p w14:paraId="344D4F64">
            <w:pPr>
              <w:rPr>
                <w:rFonts w:ascii="Arial"/>
                <w:sz w:val="21"/>
              </w:rPr>
            </w:pPr>
          </w:p>
        </w:tc>
        <w:tc>
          <w:tcPr>
            <w:tcW w:w="672" w:type="dxa"/>
            <w:vAlign w:val="top"/>
          </w:tcPr>
          <w:p w14:paraId="4DE8E906">
            <w:pPr>
              <w:rPr>
                <w:rFonts w:ascii="Arial"/>
                <w:sz w:val="21"/>
              </w:rPr>
            </w:pPr>
          </w:p>
        </w:tc>
        <w:tc>
          <w:tcPr>
            <w:tcW w:w="1022" w:type="dxa"/>
            <w:vAlign w:val="top"/>
          </w:tcPr>
          <w:p w14:paraId="4DABF868">
            <w:pPr>
              <w:rPr>
                <w:rFonts w:ascii="Arial"/>
                <w:sz w:val="21"/>
              </w:rPr>
            </w:pPr>
          </w:p>
        </w:tc>
        <w:tc>
          <w:tcPr>
            <w:tcW w:w="708" w:type="dxa"/>
            <w:vAlign w:val="top"/>
          </w:tcPr>
          <w:p w14:paraId="6903E0A7">
            <w:pPr>
              <w:rPr>
                <w:rFonts w:ascii="Arial"/>
                <w:sz w:val="21"/>
              </w:rPr>
            </w:pPr>
          </w:p>
        </w:tc>
        <w:tc>
          <w:tcPr>
            <w:tcW w:w="708" w:type="dxa"/>
            <w:vAlign w:val="top"/>
          </w:tcPr>
          <w:p w14:paraId="70EAD1B7">
            <w:pPr>
              <w:rPr>
                <w:rFonts w:ascii="Arial"/>
                <w:sz w:val="21"/>
              </w:rPr>
            </w:pPr>
          </w:p>
        </w:tc>
        <w:tc>
          <w:tcPr>
            <w:tcW w:w="1175" w:type="dxa"/>
            <w:vAlign w:val="top"/>
          </w:tcPr>
          <w:p w14:paraId="720BB82B">
            <w:pPr>
              <w:rPr>
                <w:rFonts w:ascii="Arial"/>
                <w:sz w:val="21"/>
              </w:rPr>
            </w:pPr>
          </w:p>
        </w:tc>
        <w:tc>
          <w:tcPr>
            <w:tcW w:w="1660" w:type="dxa"/>
            <w:vAlign w:val="top"/>
          </w:tcPr>
          <w:p w14:paraId="3A96184A">
            <w:pPr>
              <w:rPr>
                <w:rFonts w:ascii="Arial"/>
                <w:sz w:val="21"/>
              </w:rPr>
            </w:pPr>
          </w:p>
        </w:tc>
        <w:tc>
          <w:tcPr>
            <w:tcW w:w="854" w:type="dxa"/>
            <w:vAlign w:val="top"/>
          </w:tcPr>
          <w:p w14:paraId="4D568B69">
            <w:pPr>
              <w:rPr>
                <w:rFonts w:ascii="Arial"/>
                <w:sz w:val="21"/>
              </w:rPr>
            </w:pPr>
          </w:p>
        </w:tc>
      </w:tr>
      <w:tr w14:paraId="36A04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4BF2A371">
            <w:pPr>
              <w:rPr>
                <w:rFonts w:ascii="Arial"/>
                <w:sz w:val="21"/>
              </w:rPr>
            </w:pPr>
          </w:p>
        </w:tc>
        <w:tc>
          <w:tcPr>
            <w:tcW w:w="1065" w:type="dxa"/>
            <w:vAlign w:val="top"/>
          </w:tcPr>
          <w:p w14:paraId="14B71F69">
            <w:pPr>
              <w:rPr>
                <w:rFonts w:ascii="Arial"/>
                <w:sz w:val="21"/>
              </w:rPr>
            </w:pPr>
          </w:p>
        </w:tc>
        <w:tc>
          <w:tcPr>
            <w:tcW w:w="672" w:type="dxa"/>
            <w:vAlign w:val="top"/>
          </w:tcPr>
          <w:p w14:paraId="07B894A8">
            <w:pPr>
              <w:rPr>
                <w:rFonts w:ascii="Arial"/>
                <w:sz w:val="21"/>
              </w:rPr>
            </w:pPr>
          </w:p>
        </w:tc>
        <w:tc>
          <w:tcPr>
            <w:tcW w:w="1022" w:type="dxa"/>
            <w:vAlign w:val="top"/>
          </w:tcPr>
          <w:p w14:paraId="774923B6">
            <w:pPr>
              <w:rPr>
                <w:rFonts w:ascii="Arial"/>
                <w:sz w:val="21"/>
              </w:rPr>
            </w:pPr>
          </w:p>
        </w:tc>
        <w:tc>
          <w:tcPr>
            <w:tcW w:w="708" w:type="dxa"/>
            <w:vAlign w:val="top"/>
          </w:tcPr>
          <w:p w14:paraId="0A3F1BBF">
            <w:pPr>
              <w:rPr>
                <w:rFonts w:ascii="Arial"/>
                <w:sz w:val="21"/>
              </w:rPr>
            </w:pPr>
          </w:p>
        </w:tc>
        <w:tc>
          <w:tcPr>
            <w:tcW w:w="708" w:type="dxa"/>
            <w:vAlign w:val="top"/>
          </w:tcPr>
          <w:p w14:paraId="32FA7F36">
            <w:pPr>
              <w:rPr>
                <w:rFonts w:ascii="Arial"/>
                <w:sz w:val="21"/>
              </w:rPr>
            </w:pPr>
          </w:p>
        </w:tc>
        <w:tc>
          <w:tcPr>
            <w:tcW w:w="1175" w:type="dxa"/>
            <w:vAlign w:val="top"/>
          </w:tcPr>
          <w:p w14:paraId="33CCA61A">
            <w:pPr>
              <w:rPr>
                <w:rFonts w:ascii="Arial"/>
                <w:sz w:val="21"/>
              </w:rPr>
            </w:pPr>
          </w:p>
        </w:tc>
        <w:tc>
          <w:tcPr>
            <w:tcW w:w="1660" w:type="dxa"/>
            <w:vAlign w:val="top"/>
          </w:tcPr>
          <w:p w14:paraId="07E4643A">
            <w:pPr>
              <w:rPr>
                <w:rFonts w:ascii="Arial"/>
                <w:sz w:val="21"/>
              </w:rPr>
            </w:pPr>
          </w:p>
        </w:tc>
        <w:tc>
          <w:tcPr>
            <w:tcW w:w="854" w:type="dxa"/>
            <w:vAlign w:val="top"/>
          </w:tcPr>
          <w:p w14:paraId="3CA030DE">
            <w:pPr>
              <w:rPr>
                <w:rFonts w:ascii="Arial"/>
                <w:sz w:val="21"/>
              </w:rPr>
            </w:pPr>
          </w:p>
        </w:tc>
      </w:tr>
      <w:tr w14:paraId="0A76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8887614">
            <w:pPr>
              <w:rPr>
                <w:rFonts w:ascii="Arial"/>
                <w:sz w:val="21"/>
              </w:rPr>
            </w:pPr>
          </w:p>
        </w:tc>
        <w:tc>
          <w:tcPr>
            <w:tcW w:w="1065" w:type="dxa"/>
            <w:vAlign w:val="top"/>
          </w:tcPr>
          <w:p w14:paraId="5DBA1BDC">
            <w:pPr>
              <w:rPr>
                <w:rFonts w:ascii="Arial"/>
                <w:sz w:val="21"/>
              </w:rPr>
            </w:pPr>
          </w:p>
        </w:tc>
        <w:tc>
          <w:tcPr>
            <w:tcW w:w="672" w:type="dxa"/>
            <w:vAlign w:val="top"/>
          </w:tcPr>
          <w:p w14:paraId="7F1A3A64">
            <w:pPr>
              <w:rPr>
                <w:rFonts w:ascii="Arial"/>
                <w:sz w:val="21"/>
              </w:rPr>
            </w:pPr>
          </w:p>
        </w:tc>
        <w:tc>
          <w:tcPr>
            <w:tcW w:w="1022" w:type="dxa"/>
            <w:vAlign w:val="top"/>
          </w:tcPr>
          <w:p w14:paraId="67B570C6">
            <w:pPr>
              <w:rPr>
                <w:rFonts w:ascii="Arial"/>
                <w:sz w:val="21"/>
              </w:rPr>
            </w:pPr>
          </w:p>
        </w:tc>
        <w:tc>
          <w:tcPr>
            <w:tcW w:w="708" w:type="dxa"/>
            <w:vAlign w:val="top"/>
          </w:tcPr>
          <w:p w14:paraId="418C43F5">
            <w:pPr>
              <w:rPr>
                <w:rFonts w:ascii="Arial"/>
                <w:sz w:val="21"/>
              </w:rPr>
            </w:pPr>
          </w:p>
        </w:tc>
        <w:tc>
          <w:tcPr>
            <w:tcW w:w="708" w:type="dxa"/>
            <w:vAlign w:val="top"/>
          </w:tcPr>
          <w:p w14:paraId="7A7F93B5">
            <w:pPr>
              <w:rPr>
                <w:rFonts w:ascii="Arial"/>
                <w:sz w:val="21"/>
              </w:rPr>
            </w:pPr>
          </w:p>
        </w:tc>
        <w:tc>
          <w:tcPr>
            <w:tcW w:w="1175" w:type="dxa"/>
            <w:vAlign w:val="top"/>
          </w:tcPr>
          <w:p w14:paraId="7C8F8152">
            <w:pPr>
              <w:rPr>
                <w:rFonts w:ascii="Arial"/>
                <w:sz w:val="21"/>
              </w:rPr>
            </w:pPr>
          </w:p>
        </w:tc>
        <w:tc>
          <w:tcPr>
            <w:tcW w:w="1660" w:type="dxa"/>
            <w:vAlign w:val="top"/>
          </w:tcPr>
          <w:p w14:paraId="51585B70">
            <w:pPr>
              <w:rPr>
                <w:rFonts w:ascii="Arial"/>
                <w:sz w:val="21"/>
              </w:rPr>
            </w:pPr>
          </w:p>
        </w:tc>
        <w:tc>
          <w:tcPr>
            <w:tcW w:w="854" w:type="dxa"/>
            <w:vAlign w:val="top"/>
          </w:tcPr>
          <w:p w14:paraId="3CB2FBA5">
            <w:pPr>
              <w:rPr>
                <w:rFonts w:ascii="Arial"/>
                <w:sz w:val="21"/>
              </w:rPr>
            </w:pPr>
          </w:p>
        </w:tc>
      </w:tr>
      <w:tr w14:paraId="4C71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7" w:type="dxa"/>
            <w:vAlign w:val="top"/>
          </w:tcPr>
          <w:p w14:paraId="1715D916">
            <w:pPr>
              <w:rPr>
                <w:rFonts w:ascii="Arial"/>
                <w:sz w:val="21"/>
              </w:rPr>
            </w:pPr>
          </w:p>
        </w:tc>
        <w:tc>
          <w:tcPr>
            <w:tcW w:w="1065" w:type="dxa"/>
            <w:vAlign w:val="top"/>
          </w:tcPr>
          <w:p w14:paraId="3DA319BE">
            <w:pPr>
              <w:rPr>
                <w:rFonts w:ascii="Arial"/>
                <w:sz w:val="21"/>
              </w:rPr>
            </w:pPr>
          </w:p>
        </w:tc>
        <w:tc>
          <w:tcPr>
            <w:tcW w:w="672" w:type="dxa"/>
            <w:vAlign w:val="top"/>
          </w:tcPr>
          <w:p w14:paraId="7E7D82B8">
            <w:pPr>
              <w:rPr>
                <w:rFonts w:ascii="Arial"/>
                <w:sz w:val="21"/>
              </w:rPr>
            </w:pPr>
          </w:p>
        </w:tc>
        <w:tc>
          <w:tcPr>
            <w:tcW w:w="1022" w:type="dxa"/>
            <w:vAlign w:val="top"/>
          </w:tcPr>
          <w:p w14:paraId="4923A6B2">
            <w:pPr>
              <w:rPr>
                <w:rFonts w:ascii="Arial"/>
                <w:sz w:val="21"/>
              </w:rPr>
            </w:pPr>
          </w:p>
        </w:tc>
        <w:tc>
          <w:tcPr>
            <w:tcW w:w="708" w:type="dxa"/>
            <w:vAlign w:val="top"/>
          </w:tcPr>
          <w:p w14:paraId="2F657CA8">
            <w:pPr>
              <w:rPr>
                <w:rFonts w:ascii="Arial"/>
                <w:sz w:val="21"/>
              </w:rPr>
            </w:pPr>
          </w:p>
        </w:tc>
        <w:tc>
          <w:tcPr>
            <w:tcW w:w="708" w:type="dxa"/>
            <w:vAlign w:val="top"/>
          </w:tcPr>
          <w:p w14:paraId="293920D4">
            <w:pPr>
              <w:rPr>
                <w:rFonts w:ascii="Arial"/>
                <w:sz w:val="21"/>
              </w:rPr>
            </w:pPr>
          </w:p>
        </w:tc>
        <w:tc>
          <w:tcPr>
            <w:tcW w:w="1175" w:type="dxa"/>
            <w:vAlign w:val="top"/>
          </w:tcPr>
          <w:p w14:paraId="372D2307">
            <w:pPr>
              <w:rPr>
                <w:rFonts w:ascii="Arial"/>
                <w:sz w:val="21"/>
              </w:rPr>
            </w:pPr>
          </w:p>
        </w:tc>
        <w:tc>
          <w:tcPr>
            <w:tcW w:w="1660" w:type="dxa"/>
            <w:vAlign w:val="top"/>
          </w:tcPr>
          <w:p w14:paraId="74187D8B">
            <w:pPr>
              <w:rPr>
                <w:rFonts w:ascii="Arial"/>
                <w:sz w:val="21"/>
              </w:rPr>
            </w:pPr>
          </w:p>
        </w:tc>
        <w:tc>
          <w:tcPr>
            <w:tcW w:w="854" w:type="dxa"/>
            <w:vAlign w:val="top"/>
          </w:tcPr>
          <w:p w14:paraId="118B00B0">
            <w:pPr>
              <w:rPr>
                <w:rFonts w:ascii="Arial"/>
                <w:sz w:val="21"/>
              </w:rPr>
            </w:pPr>
          </w:p>
        </w:tc>
      </w:tr>
      <w:tr w14:paraId="5047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A19D369">
            <w:pPr>
              <w:rPr>
                <w:rFonts w:ascii="Arial"/>
                <w:sz w:val="21"/>
              </w:rPr>
            </w:pPr>
          </w:p>
        </w:tc>
        <w:tc>
          <w:tcPr>
            <w:tcW w:w="1065" w:type="dxa"/>
            <w:vAlign w:val="top"/>
          </w:tcPr>
          <w:p w14:paraId="3B010558">
            <w:pPr>
              <w:rPr>
                <w:rFonts w:ascii="Arial"/>
                <w:sz w:val="21"/>
              </w:rPr>
            </w:pPr>
          </w:p>
        </w:tc>
        <w:tc>
          <w:tcPr>
            <w:tcW w:w="672" w:type="dxa"/>
            <w:vAlign w:val="top"/>
          </w:tcPr>
          <w:p w14:paraId="31CC428D">
            <w:pPr>
              <w:rPr>
                <w:rFonts w:ascii="Arial"/>
                <w:sz w:val="21"/>
              </w:rPr>
            </w:pPr>
          </w:p>
        </w:tc>
        <w:tc>
          <w:tcPr>
            <w:tcW w:w="1022" w:type="dxa"/>
            <w:vAlign w:val="top"/>
          </w:tcPr>
          <w:p w14:paraId="0E6D78E5">
            <w:pPr>
              <w:rPr>
                <w:rFonts w:ascii="Arial"/>
                <w:sz w:val="21"/>
              </w:rPr>
            </w:pPr>
          </w:p>
        </w:tc>
        <w:tc>
          <w:tcPr>
            <w:tcW w:w="708" w:type="dxa"/>
            <w:vAlign w:val="top"/>
          </w:tcPr>
          <w:p w14:paraId="203BA7D0">
            <w:pPr>
              <w:rPr>
                <w:rFonts w:ascii="Arial"/>
                <w:sz w:val="21"/>
              </w:rPr>
            </w:pPr>
          </w:p>
        </w:tc>
        <w:tc>
          <w:tcPr>
            <w:tcW w:w="708" w:type="dxa"/>
            <w:vAlign w:val="top"/>
          </w:tcPr>
          <w:p w14:paraId="1AEE1F25">
            <w:pPr>
              <w:rPr>
                <w:rFonts w:ascii="Arial"/>
                <w:sz w:val="21"/>
              </w:rPr>
            </w:pPr>
          </w:p>
        </w:tc>
        <w:tc>
          <w:tcPr>
            <w:tcW w:w="1175" w:type="dxa"/>
            <w:vAlign w:val="top"/>
          </w:tcPr>
          <w:p w14:paraId="3C20247A">
            <w:pPr>
              <w:rPr>
                <w:rFonts w:ascii="Arial"/>
                <w:sz w:val="21"/>
              </w:rPr>
            </w:pPr>
          </w:p>
        </w:tc>
        <w:tc>
          <w:tcPr>
            <w:tcW w:w="1660" w:type="dxa"/>
            <w:vAlign w:val="top"/>
          </w:tcPr>
          <w:p w14:paraId="36ED7059">
            <w:pPr>
              <w:rPr>
                <w:rFonts w:ascii="Arial"/>
                <w:sz w:val="21"/>
              </w:rPr>
            </w:pPr>
          </w:p>
        </w:tc>
        <w:tc>
          <w:tcPr>
            <w:tcW w:w="854" w:type="dxa"/>
            <w:vAlign w:val="top"/>
          </w:tcPr>
          <w:p w14:paraId="7A9320AB">
            <w:pPr>
              <w:rPr>
                <w:rFonts w:ascii="Arial"/>
                <w:sz w:val="21"/>
              </w:rPr>
            </w:pPr>
          </w:p>
        </w:tc>
      </w:tr>
      <w:tr w14:paraId="22EF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3001AE1E">
            <w:pPr>
              <w:rPr>
                <w:rFonts w:ascii="Arial"/>
                <w:sz w:val="21"/>
              </w:rPr>
            </w:pPr>
          </w:p>
        </w:tc>
        <w:tc>
          <w:tcPr>
            <w:tcW w:w="1065" w:type="dxa"/>
            <w:vAlign w:val="top"/>
          </w:tcPr>
          <w:p w14:paraId="5D2B0DC0">
            <w:pPr>
              <w:rPr>
                <w:rFonts w:ascii="Arial"/>
                <w:sz w:val="21"/>
              </w:rPr>
            </w:pPr>
          </w:p>
        </w:tc>
        <w:tc>
          <w:tcPr>
            <w:tcW w:w="672" w:type="dxa"/>
            <w:vAlign w:val="top"/>
          </w:tcPr>
          <w:p w14:paraId="492249B4">
            <w:pPr>
              <w:rPr>
                <w:rFonts w:ascii="Arial"/>
                <w:sz w:val="21"/>
              </w:rPr>
            </w:pPr>
          </w:p>
        </w:tc>
        <w:tc>
          <w:tcPr>
            <w:tcW w:w="1022" w:type="dxa"/>
            <w:vAlign w:val="top"/>
          </w:tcPr>
          <w:p w14:paraId="7A2E4DEB">
            <w:pPr>
              <w:rPr>
                <w:rFonts w:ascii="Arial"/>
                <w:sz w:val="21"/>
              </w:rPr>
            </w:pPr>
          </w:p>
        </w:tc>
        <w:tc>
          <w:tcPr>
            <w:tcW w:w="708" w:type="dxa"/>
            <w:vAlign w:val="top"/>
          </w:tcPr>
          <w:p w14:paraId="668354C3">
            <w:pPr>
              <w:rPr>
                <w:rFonts w:ascii="Arial"/>
                <w:sz w:val="21"/>
              </w:rPr>
            </w:pPr>
          </w:p>
        </w:tc>
        <w:tc>
          <w:tcPr>
            <w:tcW w:w="708" w:type="dxa"/>
            <w:vAlign w:val="top"/>
          </w:tcPr>
          <w:p w14:paraId="2F51D216">
            <w:pPr>
              <w:rPr>
                <w:rFonts w:ascii="Arial"/>
                <w:sz w:val="21"/>
              </w:rPr>
            </w:pPr>
          </w:p>
        </w:tc>
        <w:tc>
          <w:tcPr>
            <w:tcW w:w="1175" w:type="dxa"/>
            <w:vAlign w:val="top"/>
          </w:tcPr>
          <w:p w14:paraId="2201C81B">
            <w:pPr>
              <w:rPr>
                <w:rFonts w:ascii="Arial"/>
                <w:sz w:val="21"/>
              </w:rPr>
            </w:pPr>
          </w:p>
        </w:tc>
        <w:tc>
          <w:tcPr>
            <w:tcW w:w="1660" w:type="dxa"/>
            <w:vAlign w:val="top"/>
          </w:tcPr>
          <w:p w14:paraId="0C75C2E4">
            <w:pPr>
              <w:rPr>
                <w:rFonts w:ascii="Arial"/>
                <w:sz w:val="21"/>
              </w:rPr>
            </w:pPr>
          </w:p>
        </w:tc>
        <w:tc>
          <w:tcPr>
            <w:tcW w:w="854" w:type="dxa"/>
            <w:vAlign w:val="top"/>
          </w:tcPr>
          <w:p w14:paraId="79B13402">
            <w:pPr>
              <w:rPr>
                <w:rFonts w:ascii="Arial"/>
                <w:sz w:val="21"/>
              </w:rPr>
            </w:pPr>
          </w:p>
        </w:tc>
      </w:tr>
      <w:tr w14:paraId="2E497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23ACB720">
            <w:pPr>
              <w:rPr>
                <w:rFonts w:ascii="Arial"/>
                <w:sz w:val="21"/>
              </w:rPr>
            </w:pPr>
          </w:p>
        </w:tc>
        <w:tc>
          <w:tcPr>
            <w:tcW w:w="1065" w:type="dxa"/>
            <w:vAlign w:val="top"/>
          </w:tcPr>
          <w:p w14:paraId="5A67977A">
            <w:pPr>
              <w:rPr>
                <w:rFonts w:ascii="Arial"/>
                <w:sz w:val="21"/>
              </w:rPr>
            </w:pPr>
          </w:p>
        </w:tc>
        <w:tc>
          <w:tcPr>
            <w:tcW w:w="672" w:type="dxa"/>
            <w:vAlign w:val="top"/>
          </w:tcPr>
          <w:p w14:paraId="117078DD">
            <w:pPr>
              <w:rPr>
                <w:rFonts w:ascii="Arial"/>
                <w:sz w:val="21"/>
              </w:rPr>
            </w:pPr>
          </w:p>
        </w:tc>
        <w:tc>
          <w:tcPr>
            <w:tcW w:w="1022" w:type="dxa"/>
            <w:vAlign w:val="top"/>
          </w:tcPr>
          <w:p w14:paraId="64C673C3">
            <w:pPr>
              <w:rPr>
                <w:rFonts w:ascii="Arial"/>
                <w:sz w:val="21"/>
              </w:rPr>
            </w:pPr>
          </w:p>
        </w:tc>
        <w:tc>
          <w:tcPr>
            <w:tcW w:w="708" w:type="dxa"/>
            <w:vAlign w:val="top"/>
          </w:tcPr>
          <w:p w14:paraId="0E76A9F0">
            <w:pPr>
              <w:rPr>
                <w:rFonts w:ascii="Arial"/>
                <w:sz w:val="21"/>
              </w:rPr>
            </w:pPr>
          </w:p>
        </w:tc>
        <w:tc>
          <w:tcPr>
            <w:tcW w:w="708" w:type="dxa"/>
            <w:vAlign w:val="top"/>
          </w:tcPr>
          <w:p w14:paraId="56213D96">
            <w:pPr>
              <w:rPr>
                <w:rFonts w:ascii="Arial"/>
                <w:sz w:val="21"/>
              </w:rPr>
            </w:pPr>
          </w:p>
        </w:tc>
        <w:tc>
          <w:tcPr>
            <w:tcW w:w="1175" w:type="dxa"/>
            <w:vAlign w:val="top"/>
          </w:tcPr>
          <w:p w14:paraId="53C4EEB7">
            <w:pPr>
              <w:rPr>
                <w:rFonts w:ascii="Arial"/>
                <w:sz w:val="21"/>
              </w:rPr>
            </w:pPr>
          </w:p>
        </w:tc>
        <w:tc>
          <w:tcPr>
            <w:tcW w:w="1660" w:type="dxa"/>
            <w:vAlign w:val="top"/>
          </w:tcPr>
          <w:p w14:paraId="11339449">
            <w:pPr>
              <w:rPr>
                <w:rFonts w:ascii="Arial"/>
                <w:sz w:val="21"/>
              </w:rPr>
            </w:pPr>
          </w:p>
        </w:tc>
        <w:tc>
          <w:tcPr>
            <w:tcW w:w="854" w:type="dxa"/>
            <w:vAlign w:val="top"/>
          </w:tcPr>
          <w:p w14:paraId="50DE7D69">
            <w:pPr>
              <w:rPr>
                <w:rFonts w:ascii="Arial"/>
                <w:sz w:val="21"/>
              </w:rPr>
            </w:pPr>
          </w:p>
        </w:tc>
      </w:tr>
      <w:tr w14:paraId="373A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C1A9F85">
            <w:pPr>
              <w:rPr>
                <w:rFonts w:ascii="Arial"/>
                <w:sz w:val="21"/>
              </w:rPr>
            </w:pPr>
          </w:p>
        </w:tc>
        <w:tc>
          <w:tcPr>
            <w:tcW w:w="1065" w:type="dxa"/>
            <w:vAlign w:val="top"/>
          </w:tcPr>
          <w:p w14:paraId="22E27C0F">
            <w:pPr>
              <w:rPr>
                <w:rFonts w:ascii="Arial"/>
                <w:sz w:val="21"/>
              </w:rPr>
            </w:pPr>
          </w:p>
        </w:tc>
        <w:tc>
          <w:tcPr>
            <w:tcW w:w="672" w:type="dxa"/>
            <w:vAlign w:val="top"/>
          </w:tcPr>
          <w:p w14:paraId="081AA943">
            <w:pPr>
              <w:rPr>
                <w:rFonts w:ascii="Arial"/>
                <w:sz w:val="21"/>
              </w:rPr>
            </w:pPr>
          </w:p>
        </w:tc>
        <w:tc>
          <w:tcPr>
            <w:tcW w:w="1022" w:type="dxa"/>
            <w:vAlign w:val="top"/>
          </w:tcPr>
          <w:p w14:paraId="1AF3753E">
            <w:pPr>
              <w:rPr>
                <w:rFonts w:ascii="Arial"/>
                <w:sz w:val="21"/>
              </w:rPr>
            </w:pPr>
          </w:p>
        </w:tc>
        <w:tc>
          <w:tcPr>
            <w:tcW w:w="708" w:type="dxa"/>
            <w:vAlign w:val="top"/>
          </w:tcPr>
          <w:p w14:paraId="5ED97824">
            <w:pPr>
              <w:rPr>
                <w:rFonts w:ascii="Arial"/>
                <w:sz w:val="21"/>
              </w:rPr>
            </w:pPr>
          </w:p>
        </w:tc>
        <w:tc>
          <w:tcPr>
            <w:tcW w:w="708" w:type="dxa"/>
            <w:vAlign w:val="top"/>
          </w:tcPr>
          <w:p w14:paraId="5D476776">
            <w:pPr>
              <w:rPr>
                <w:rFonts w:ascii="Arial"/>
                <w:sz w:val="21"/>
              </w:rPr>
            </w:pPr>
          </w:p>
        </w:tc>
        <w:tc>
          <w:tcPr>
            <w:tcW w:w="1175" w:type="dxa"/>
            <w:vAlign w:val="top"/>
          </w:tcPr>
          <w:p w14:paraId="1B71F541">
            <w:pPr>
              <w:rPr>
                <w:rFonts w:ascii="Arial"/>
                <w:sz w:val="21"/>
              </w:rPr>
            </w:pPr>
          </w:p>
        </w:tc>
        <w:tc>
          <w:tcPr>
            <w:tcW w:w="1660" w:type="dxa"/>
            <w:vAlign w:val="top"/>
          </w:tcPr>
          <w:p w14:paraId="3F398A6D">
            <w:pPr>
              <w:rPr>
                <w:rFonts w:ascii="Arial"/>
                <w:sz w:val="21"/>
              </w:rPr>
            </w:pPr>
          </w:p>
        </w:tc>
        <w:tc>
          <w:tcPr>
            <w:tcW w:w="854" w:type="dxa"/>
            <w:vAlign w:val="top"/>
          </w:tcPr>
          <w:p w14:paraId="3712D299">
            <w:pPr>
              <w:rPr>
                <w:rFonts w:ascii="Arial"/>
                <w:sz w:val="21"/>
              </w:rPr>
            </w:pPr>
          </w:p>
        </w:tc>
      </w:tr>
      <w:tr w14:paraId="6CCB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7413F6F3">
            <w:pPr>
              <w:rPr>
                <w:rFonts w:ascii="Arial"/>
                <w:sz w:val="21"/>
              </w:rPr>
            </w:pPr>
          </w:p>
        </w:tc>
        <w:tc>
          <w:tcPr>
            <w:tcW w:w="1065" w:type="dxa"/>
            <w:vAlign w:val="top"/>
          </w:tcPr>
          <w:p w14:paraId="24FFF5FA">
            <w:pPr>
              <w:rPr>
                <w:rFonts w:ascii="Arial"/>
                <w:sz w:val="21"/>
              </w:rPr>
            </w:pPr>
          </w:p>
        </w:tc>
        <w:tc>
          <w:tcPr>
            <w:tcW w:w="672" w:type="dxa"/>
            <w:vAlign w:val="top"/>
          </w:tcPr>
          <w:p w14:paraId="5E8315F8">
            <w:pPr>
              <w:rPr>
                <w:rFonts w:ascii="Arial"/>
                <w:sz w:val="21"/>
              </w:rPr>
            </w:pPr>
          </w:p>
        </w:tc>
        <w:tc>
          <w:tcPr>
            <w:tcW w:w="1022" w:type="dxa"/>
            <w:vAlign w:val="top"/>
          </w:tcPr>
          <w:p w14:paraId="01D6A8AE">
            <w:pPr>
              <w:rPr>
                <w:rFonts w:ascii="Arial"/>
                <w:sz w:val="21"/>
              </w:rPr>
            </w:pPr>
          </w:p>
        </w:tc>
        <w:tc>
          <w:tcPr>
            <w:tcW w:w="708" w:type="dxa"/>
            <w:vAlign w:val="top"/>
          </w:tcPr>
          <w:p w14:paraId="6E1F8542">
            <w:pPr>
              <w:rPr>
                <w:rFonts w:ascii="Arial"/>
                <w:sz w:val="21"/>
              </w:rPr>
            </w:pPr>
          </w:p>
        </w:tc>
        <w:tc>
          <w:tcPr>
            <w:tcW w:w="708" w:type="dxa"/>
            <w:vAlign w:val="top"/>
          </w:tcPr>
          <w:p w14:paraId="0B738B49">
            <w:pPr>
              <w:rPr>
                <w:rFonts w:ascii="Arial"/>
                <w:sz w:val="21"/>
              </w:rPr>
            </w:pPr>
          </w:p>
        </w:tc>
        <w:tc>
          <w:tcPr>
            <w:tcW w:w="1175" w:type="dxa"/>
            <w:vAlign w:val="top"/>
          </w:tcPr>
          <w:p w14:paraId="0FF16854">
            <w:pPr>
              <w:rPr>
                <w:rFonts w:ascii="Arial"/>
                <w:sz w:val="21"/>
              </w:rPr>
            </w:pPr>
          </w:p>
        </w:tc>
        <w:tc>
          <w:tcPr>
            <w:tcW w:w="1660" w:type="dxa"/>
            <w:vAlign w:val="top"/>
          </w:tcPr>
          <w:p w14:paraId="6B998C70">
            <w:pPr>
              <w:rPr>
                <w:rFonts w:ascii="Arial"/>
                <w:sz w:val="21"/>
              </w:rPr>
            </w:pPr>
          </w:p>
        </w:tc>
        <w:tc>
          <w:tcPr>
            <w:tcW w:w="854" w:type="dxa"/>
            <w:vAlign w:val="top"/>
          </w:tcPr>
          <w:p w14:paraId="1BEC1D78">
            <w:pPr>
              <w:rPr>
                <w:rFonts w:ascii="Arial"/>
                <w:sz w:val="21"/>
              </w:rPr>
            </w:pPr>
          </w:p>
        </w:tc>
      </w:tr>
      <w:tr w14:paraId="6F5E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4A7EEB4C">
            <w:pPr>
              <w:rPr>
                <w:rFonts w:ascii="Arial"/>
                <w:sz w:val="21"/>
              </w:rPr>
            </w:pPr>
          </w:p>
        </w:tc>
        <w:tc>
          <w:tcPr>
            <w:tcW w:w="1065" w:type="dxa"/>
            <w:vAlign w:val="top"/>
          </w:tcPr>
          <w:p w14:paraId="1347A016">
            <w:pPr>
              <w:rPr>
                <w:rFonts w:ascii="Arial"/>
                <w:sz w:val="21"/>
              </w:rPr>
            </w:pPr>
          </w:p>
        </w:tc>
        <w:tc>
          <w:tcPr>
            <w:tcW w:w="672" w:type="dxa"/>
            <w:vAlign w:val="top"/>
          </w:tcPr>
          <w:p w14:paraId="2F6BC2E4">
            <w:pPr>
              <w:rPr>
                <w:rFonts w:ascii="Arial"/>
                <w:sz w:val="21"/>
              </w:rPr>
            </w:pPr>
          </w:p>
        </w:tc>
        <w:tc>
          <w:tcPr>
            <w:tcW w:w="1022" w:type="dxa"/>
            <w:vAlign w:val="top"/>
          </w:tcPr>
          <w:p w14:paraId="56B03B55">
            <w:pPr>
              <w:rPr>
                <w:rFonts w:ascii="Arial"/>
                <w:sz w:val="21"/>
              </w:rPr>
            </w:pPr>
          </w:p>
        </w:tc>
        <w:tc>
          <w:tcPr>
            <w:tcW w:w="708" w:type="dxa"/>
            <w:vAlign w:val="top"/>
          </w:tcPr>
          <w:p w14:paraId="2FAD8CDA">
            <w:pPr>
              <w:rPr>
                <w:rFonts w:ascii="Arial"/>
                <w:sz w:val="21"/>
              </w:rPr>
            </w:pPr>
          </w:p>
        </w:tc>
        <w:tc>
          <w:tcPr>
            <w:tcW w:w="708" w:type="dxa"/>
            <w:vAlign w:val="top"/>
          </w:tcPr>
          <w:p w14:paraId="5E26CADC">
            <w:pPr>
              <w:rPr>
                <w:rFonts w:ascii="Arial"/>
                <w:sz w:val="21"/>
              </w:rPr>
            </w:pPr>
          </w:p>
        </w:tc>
        <w:tc>
          <w:tcPr>
            <w:tcW w:w="1175" w:type="dxa"/>
            <w:vAlign w:val="top"/>
          </w:tcPr>
          <w:p w14:paraId="57871C7B">
            <w:pPr>
              <w:rPr>
                <w:rFonts w:ascii="Arial"/>
                <w:sz w:val="21"/>
              </w:rPr>
            </w:pPr>
          </w:p>
        </w:tc>
        <w:tc>
          <w:tcPr>
            <w:tcW w:w="1660" w:type="dxa"/>
            <w:vAlign w:val="top"/>
          </w:tcPr>
          <w:p w14:paraId="739612A4">
            <w:pPr>
              <w:rPr>
                <w:rFonts w:ascii="Arial"/>
                <w:sz w:val="21"/>
              </w:rPr>
            </w:pPr>
          </w:p>
        </w:tc>
        <w:tc>
          <w:tcPr>
            <w:tcW w:w="854" w:type="dxa"/>
            <w:vAlign w:val="top"/>
          </w:tcPr>
          <w:p w14:paraId="5CF9511F">
            <w:pPr>
              <w:rPr>
                <w:rFonts w:ascii="Arial"/>
                <w:sz w:val="21"/>
              </w:rPr>
            </w:pPr>
          </w:p>
        </w:tc>
      </w:tr>
      <w:tr w14:paraId="19C41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7" w:type="dxa"/>
            <w:vAlign w:val="top"/>
          </w:tcPr>
          <w:p w14:paraId="2EA0C155">
            <w:pPr>
              <w:rPr>
                <w:rFonts w:ascii="Arial"/>
                <w:sz w:val="21"/>
              </w:rPr>
            </w:pPr>
          </w:p>
        </w:tc>
        <w:tc>
          <w:tcPr>
            <w:tcW w:w="1065" w:type="dxa"/>
            <w:vAlign w:val="top"/>
          </w:tcPr>
          <w:p w14:paraId="7126CB65">
            <w:pPr>
              <w:rPr>
                <w:rFonts w:ascii="Arial"/>
                <w:sz w:val="21"/>
              </w:rPr>
            </w:pPr>
          </w:p>
        </w:tc>
        <w:tc>
          <w:tcPr>
            <w:tcW w:w="672" w:type="dxa"/>
            <w:vAlign w:val="top"/>
          </w:tcPr>
          <w:p w14:paraId="7CD074E7">
            <w:pPr>
              <w:rPr>
                <w:rFonts w:ascii="Arial"/>
                <w:sz w:val="21"/>
              </w:rPr>
            </w:pPr>
          </w:p>
        </w:tc>
        <w:tc>
          <w:tcPr>
            <w:tcW w:w="1022" w:type="dxa"/>
            <w:vAlign w:val="top"/>
          </w:tcPr>
          <w:p w14:paraId="127179BF">
            <w:pPr>
              <w:rPr>
                <w:rFonts w:ascii="Arial"/>
                <w:sz w:val="21"/>
              </w:rPr>
            </w:pPr>
          </w:p>
        </w:tc>
        <w:tc>
          <w:tcPr>
            <w:tcW w:w="708" w:type="dxa"/>
            <w:vAlign w:val="top"/>
          </w:tcPr>
          <w:p w14:paraId="0D93D9BD">
            <w:pPr>
              <w:rPr>
                <w:rFonts w:ascii="Arial"/>
                <w:sz w:val="21"/>
              </w:rPr>
            </w:pPr>
          </w:p>
        </w:tc>
        <w:tc>
          <w:tcPr>
            <w:tcW w:w="708" w:type="dxa"/>
            <w:vAlign w:val="top"/>
          </w:tcPr>
          <w:p w14:paraId="7EDC4DA2">
            <w:pPr>
              <w:rPr>
                <w:rFonts w:ascii="Arial"/>
                <w:sz w:val="21"/>
              </w:rPr>
            </w:pPr>
          </w:p>
        </w:tc>
        <w:tc>
          <w:tcPr>
            <w:tcW w:w="1175" w:type="dxa"/>
            <w:vAlign w:val="top"/>
          </w:tcPr>
          <w:p w14:paraId="42F3CC1F">
            <w:pPr>
              <w:rPr>
                <w:rFonts w:ascii="Arial"/>
                <w:sz w:val="21"/>
              </w:rPr>
            </w:pPr>
          </w:p>
        </w:tc>
        <w:tc>
          <w:tcPr>
            <w:tcW w:w="1660" w:type="dxa"/>
            <w:vAlign w:val="top"/>
          </w:tcPr>
          <w:p w14:paraId="464D5374">
            <w:pPr>
              <w:rPr>
                <w:rFonts w:ascii="Arial"/>
                <w:sz w:val="21"/>
              </w:rPr>
            </w:pPr>
          </w:p>
        </w:tc>
        <w:tc>
          <w:tcPr>
            <w:tcW w:w="854" w:type="dxa"/>
            <w:vAlign w:val="top"/>
          </w:tcPr>
          <w:p w14:paraId="2EDAE4E9">
            <w:pPr>
              <w:rPr>
                <w:rFonts w:ascii="Arial"/>
                <w:sz w:val="21"/>
              </w:rPr>
            </w:pPr>
          </w:p>
        </w:tc>
      </w:tr>
      <w:tr w14:paraId="1591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250D6C5D">
            <w:pPr>
              <w:rPr>
                <w:rFonts w:ascii="Arial"/>
                <w:sz w:val="21"/>
              </w:rPr>
            </w:pPr>
          </w:p>
        </w:tc>
        <w:tc>
          <w:tcPr>
            <w:tcW w:w="1065" w:type="dxa"/>
            <w:vAlign w:val="top"/>
          </w:tcPr>
          <w:p w14:paraId="28C59AD0">
            <w:pPr>
              <w:rPr>
                <w:rFonts w:ascii="Arial"/>
                <w:sz w:val="21"/>
              </w:rPr>
            </w:pPr>
          </w:p>
        </w:tc>
        <w:tc>
          <w:tcPr>
            <w:tcW w:w="672" w:type="dxa"/>
            <w:vAlign w:val="top"/>
          </w:tcPr>
          <w:p w14:paraId="63BB9E1A">
            <w:pPr>
              <w:rPr>
                <w:rFonts w:ascii="Arial"/>
                <w:sz w:val="21"/>
              </w:rPr>
            </w:pPr>
          </w:p>
        </w:tc>
        <w:tc>
          <w:tcPr>
            <w:tcW w:w="1022" w:type="dxa"/>
            <w:vAlign w:val="top"/>
          </w:tcPr>
          <w:p w14:paraId="56333ACB">
            <w:pPr>
              <w:rPr>
                <w:rFonts w:ascii="Arial"/>
                <w:sz w:val="21"/>
              </w:rPr>
            </w:pPr>
          </w:p>
        </w:tc>
        <w:tc>
          <w:tcPr>
            <w:tcW w:w="708" w:type="dxa"/>
            <w:vAlign w:val="top"/>
          </w:tcPr>
          <w:p w14:paraId="12E9D20E">
            <w:pPr>
              <w:rPr>
                <w:rFonts w:ascii="Arial"/>
                <w:sz w:val="21"/>
              </w:rPr>
            </w:pPr>
          </w:p>
        </w:tc>
        <w:tc>
          <w:tcPr>
            <w:tcW w:w="708" w:type="dxa"/>
            <w:vAlign w:val="top"/>
          </w:tcPr>
          <w:p w14:paraId="158D5C95">
            <w:pPr>
              <w:rPr>
                <w:rFonts w:ascii="Arial"/>
                <w:sz w:val="21"/>
              </w:rPr>
            </w:pPr>
          </w:p>
        </w:tc>
        <w:tc>
          <w:tcPr>
            <w:tcW w:w="1175" w:type="dxa"/>
            <w:vAlign w:val="top"/>
          </w:tcPr>
          <w:p w14:paraId="0749DBF5">
            <w:pPr>
              <w:rPr>
                <w:rFonts w:ascii="Arial"/>
                <w:sz w:val="21"/>
              </w:rPr>
            </w:pPr>
          </w:p>
        </w:tc>
        <w:tc>
          <w:tcPr>
            <w:tcW w:w="1660" w:type="dxa"/>
            <w:vAlign w:val="top"/>
          </w:tcPr>
          <w:p w14:paraId="7EE179DA">
            <w:pPr>
              <w:rPr>
                <w:rFonts w:ascii="Arial"/>
                <w:sz w:val="21"/>
              </w:rPr>
            </w:pPr>
          </w:p>
        </w:tc>
        <w:tc>
          <w:tcPr>
            <w:tcW w:w="854" w:type="dxa"/>
            <w:vAlign w:val="top"/>
          </w:tcPr>
          <w:p w14:paraId="20D6D8E2">
            <w:pPr>
              <w:rPr>
                <w:rFonts w:ascii="Arial"/>
                <w:sz w:val="21"/>
              </w:rPr>
            </w:pPr>
          </w:p>
        </w:tc>
      </w:tr>
      <w:tr w14:paraId="1956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49E31005">
            <w:pPr>
              <w:rPr>
                <w:rFonts w:ascii="Arial"/>
                <w:sz w:val="21"/>
              </w:rPr>
            </w:pPr>
          </w:p>
        </w:tc>
        <w:tc>
          <w:tcPr>
            <w:tcW w:w="1065" w:type="dxa"/>
            <w:vAlign w:val="top"/>
          </w:tcPr>
          <w:p w14:paraId="14549AF4">
            <w:pPr>
              <w:rPr>
                <w:rFonts w:ascii="Arial"/>
                <w:sz w:val="21"/>
              </w:rPr>
            </w:pPr>
          </w:p>
        </w:tc>
        <w:tc>
          <w:tcPr>
            <w:tcW w:w="672" w:type="dxa"/>
            <w:vAlign w:val="top"/>
          </w:tcPr>
          <w:p w14:paraId="48DA8E27">
            <w:pPr>
              <w:rPr>
                <w:rFonts w:ascii="Arial"/>
                <w:sz w:val="21"/>
              </w:rPr>
            </w:pPr>
          </w:p>
        </w:tc>
        <w:tc>
          <w:tcPr>
            <w:tcW w:w="1022" w:type="dxa"/>
            <w:vAlign w:val="top"/>
          </w:tcPr>
          <w:p w14:paraId="05EB83E6">
            <w:pPr>
              <w:rPr>
                <w:rFonts w:ascii="Arial"/>
                <w:sz w:val="21"/>
              </w:rPr>
            </w:pPr>
          </w:p>
        </w:tc>
        <w:tc>
          <w:tcPr>
            <w:tcW w:w="708" w:type="dxa"/>
            <w:vAlign w:val="top"/>
          </w:tcPr>
          <w:p w14:paraId="67475807">
            <w:pPr>
              <w:rPr>
                <w:rFonts w:ascii="Arial"/>
                <w:sz w:val="21"/>
              </w:rPr>
            </w:pPr>
          </w:p>
        </w:tc>
        <w:tc>
          <w:tcPr>
            <w:tcW w:w="708" w:type="dxa"/>
            <w:vAlign w:val="top"/>
          </w:tcPr>
          <w:p w14:paraId="58FC01FB">
            <w:pPr>
              <w:rPr>
                <w:rFonts w:ascii="Arial"/>
                <w:sz w:val="21"/>
              </w:rPr>
            </w:pPr>
          </w:p>
        </w:tc>
        <w:tc>
          <w:tcPr>
            <w:tcW w:w="1175" w:type="dxa"/>
            <w:vAlign w:val="top"/>
          </w:tcPr>
          <w:p w14:paraId="1933D1BE">
            <w:pPr>
              <w:rPr>
                <w:rFonts w:ascii="Arial"/>
                <w:sz w:val="21"/>
              </w:rPr>
            </w:pPr>
          </w:p>
        </w:tc>
        <w:tc>
          <w:tcPr>
            <w:tcW w:w="1660" w:type="dxa"/>
            <w:vAlign w:val="top"/>
          </w:tcPr>
          <w:p w14:paraId="4CBA4412">
            <w:pPr>
              <w:rPr>
                <w:rFonts w:ascii="Arial"/>
                <w:sz w:val="21"/>
              </w:rPr>
            </w:pPr>
          </w:p>
        </w:tc>
        <w:tc>
          <w:tcPr>
            <w:tcW w:w="854" w:type="dxa"/>
            <w:vAlign w:val="top"/>
          </w:tcPr>
          <w:p w14:paraId="7E30EFBF">
            <w:pPr>
              <w:rPr>
                <w:rFonts w:ascii="Arial"/>
                <w:sz w:val="21"/>
              </w:rPr>
            </w:pPr>
          </w:p>
        </w:tc>
      </w:tr>
      <w:tr w14:paraId="5A10C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395B233E">
            <w:pPr>
              <w:rPr>
                <w:rFonts w:ascii="Arial"/>
                <w:sz w:val="21"/>
              </w:rPr>
            </w:pPr>
          </w:p>
        </w:tc>
        <w:tc>
          <w:tcPr>
            <w:tcW w:w="1065" w:type="dxa"/>
            <w:vAlign w:val="top"/>
          </w:tcPr>
          <w:p w14:paraId="6E1ACD2E">
            <w:pPr>
              <w:rPr>
                <w:rFonts w:ascii="Arial"/>
                <w:sz w:val="21"/>
              </w:rPr>
            </w:pPr>
          </w:p>
        </w:tc>
        <w:tc>
          <w:tcPr>
            <w:tcW w:w="672" w:type="dxa"/>
            <w:vAlign w:val="top"/>
          </w:tcPr>
          <w:p w14:paraId="034A4C64">
            <w:pPr>
              <w:rPr>
                <w:rFonts w:ascii="Arial"/>
                <w:sz w:val="21"/>
              </w:rPr>
            </w:pPr>
          </w:p>
        </w:tc>
        <w:tc>
          <w:tcPr>
            <w:tcW w:w="1022" w:type="dxa"/>
            <w:vAlign w:val="top"/>
          </w:tcPr>
          <w:p w14:paraId="13A2E254">
            <w:pPr>
              <w:rPr>
                <w:rFonts w:ascii="Arial"/>
                <w:sz w:val="21"/>
              </w:rPr>
            </w:pPr>
          </w:p>
        </w:tc>
        <w:tc>
          <w:tcPr>
            <w:tcW w:w="708" w:type="dxa"/>
            <w:vAlign w:val="top"/>
          </w:tcPr>
          <w:p w14:paraId="64EBD1E6">
            <w:pPr>
              <w:rPr>
                <w:rFonts w:ascii="Arial"/>
                <w:sz w:val="21"/>
              </w:rPr>
            </w:pPr>
          </w:p>
        </w:tc>
        <w:tc>
          <w:tcPr>
            <w:tcW w:w="708" w:type="dxa"/>
            <w:vAlign w:val="top"/>
          </w:tcPr>
          <w:p w14:paraId="23470251">
            <w:pPr>
              <w:rPr>
                <w:rFonts w:ascii="Arial"/>
                <w:sz w:val="21"/>
              </w:rPr>
            </w:pPr>
          </w:p>
        </w:tc>
        <w:tc>
          <w:tcPr>
            <w:tcW w:w="1175" w:type="dxa"/>
            <w:vAlign w:val="top"/>
          </w:tcPr>
          <w:p w14:paraId="1E9C7920">
            <w:pPr>
              <w:rPr>
                <w:rFonts w:ascii="Arial"/>
                <w:sz w:val="21"/>
              </w:rPr>
            </w:pPr>
          </w:p>
        </w:tc>
        <w:tc>
          <w:tcPr>
            <w:tcW w:w="1660" w:type="dxa"/>
            <w:vAlign w:val="top"/>
          </w:tcPr>
          <w:p w14:paraId="69431787">
            <w:pPr>
              <w:rPr>
                <w:rFonts w:ascii="Arial"/>
                <w:sz w:val="21"/>
              </w:rPr>
            </w:pPr>
          </w:p>
        </w:tc>
        <w:tc>
          <w:tcPr>
            <w:tcW w:w="854" w:type="dxa"/>
            <w:vAlign w:val="top"/>
          </w:tcPr>
          <w:p w14:paraId="749B45C4">
            <w:pPr>
              <w:rPr>
                <w:rFonts w:ascii="Arial"/>
                <w:sz w:val="21"/>
              </w:rPr>
            </w:pPr>
          </w:p>
        </w:tc>
      </w:tr>
      <w:tr w14:paraId="38C2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2F80EB6E">
            <w:pPr>
              <w:rPr>
                <w:rFonts w:ascii="Arial"/>
                <w:sz w:val="21"/>
              </w:rPr>
            </w:pPr>
          </w:p>
        </w:tc>
        <w:tc>
          <w:tcPr>
            <w:tcW w:w="1065" w:type="dxa"/>
            <w:vAlign w:val="top"/>
          </w:tcPr>
          <w:p w14:paraId="3C5B2A3C">
            <w:pPr>
              <w:rPr>
                <w:rFonts w:ascii="Arial"/>
                <w:sz w:val="21"/>
              </w:rPr>
            </w:pPr>
          </w:p>
        </w:tc>
        <w:tc>
          <w:tcPr>
            <w:tcW w:w="672" w:type="dxa"/>
            <w:vAlign w:val="top"/>
          </w:tcPr>
          <w:p w14:paraId="24D6D7D0">
            <w:pPr>
              <w:rPr>
                <w:rFonts w:ascii="Arial"/>
                <w:sz w:val="21"/>
              </w:rPr>
            </w:pPr>
          </w:p>
        </w:tc>
        <w:tc>
          <w:tcPr>
            <w:tcW w:w="1022" w:type="dxa"/>
            <w:vAlign w:val="top"/>
          </w:tcPr>
          <w:p w14:paraId="4DCA50B2">
            <w:pPr>
              <w:rPr>
                <w:rFonts w:ascii="Arial"/>
                <w:sz w:val="21"/>
              </w:rPr>
            </w:pPr>
          </w:p>
        </w:tc>
        <w:tc>
          <w:tcPr>
            <w:tcW w:w="708" w:type="dxa"/>
            <w:vAlign w:val="top"/>
          </w:tcPr>
          <w:p w14:paraId="051A15DF">
            <w:pPr>
              <w:rPr>
                <w:rFonts w:ascii="Arial"/>
                <w:sz w:val="21"/>
              </w:rPr>
            </w:pPr>
          </w:p>
        </w:tc>
        <w:tc>
          <w:tcPr>
            <w:tcW w:w="708" w:type="dxa"/>
            <w:vAlign w:val="top"/>
          </w:tcPr>
          <w:p w14:paraId="3564057E">
            <w:pPr>
              <w:rPr>
                <w:rFonts w:ascii="Arial"/>
                <w:sz w:val="21"/>
              </w:rPr>
            </w:pPr>
          </w:p>
        </w:tc>
        <w:tc>
          <w:tcPr>
            <w:tcW w:w="1175" w:type="dxa"/>
            <w:vAlign w:val="top"/>
          </w:tcPr>
          <w:p w14:paraId="76DAD945">
            <w:pPr>
              <w:rPr>
                <w:rFonts w:ascii="Arial"/>
                <w:sz w:val="21"/>
              </w:rPr>
            </w:pPr>
          </w:p>
        </w:tc>
        <w:tc>
          <w:tcPr>
            <w:tcW w:w="1660" w:type="dxa"/>
            <w:vAlign w:val="top"/>
          </w:tcPr>
          <w:p w14:paraId="1EA1B47D">
            <w:pPr>
              <w:rPr>
                <w:rFonts w:ascii="Arial"/>
                <w:sz w:val="21"/>
              </w:rPr>
            </w:pPr>
          </w:p>
        </w:tc>
        <w:tc>
          <w:tcPr>
            <w:tcW w:w="854" w:type="dxa"/>
            <w:vAlign w:val="top"/>
          </w:tcPr>
          <w:p w14:paraId="1F4AFFF0">
            <w:pPr>
              <w:rPr>
                <w:rFonts w:ascii="Arial"/>
                <w:sz w:val="21"/>
              </w:rPr>
            </w:pPr>
          </w:p>
        </w:tc>
      </w:tr>
      <w:tr w14:paraId="7821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D5695AA">
            <w:pPr>
              <w:rPr>
                <w:rFonts w:ascii="Arial"/>
                <w:sz w:val="21"/>
              </w:rPr>
            </w:pPr>
          </w:p>
        </w:tc>
        <w:tc>
          <w:tcPr>
            <w:tcW w:w="1065" w:type="dxa"/>
            <w:vAlign w:val="top"/>
          </w:tcPr>
          <w:p w14:paraId="5DF20FD4">
            <w:pPr>
              <w:rPr>
                <w:rFonts w:ascii="Arial"/>
                <w:sz w:val="21"/>
              </w:rPr>
            </w:pPr>
          </w:p>
        </w:tc>
        <w:tc>
          <w:tcPr>
            <w:tcW w:w="672" w:type="dxa"/>
            <w:vAlign w:val="top"/>
          </w:tcPr>
          <w:p w14:paraId="2494595A">
            <w:pPr>
              <w:rPr>
                <w:rFonts w:ascii="Arial"/>
                <w:sz w:val="21"/>
              </w:rPr>
            </w:pPr>
          </w:p>
        </w:tc>
        <w:tc>
          <w:tcPr>
            <w:tcW w:w="1022" w:type="dxa"/>
            <w:vAlign w:val="top"/>
          </w:tcPr>
          <w:p w14:paraId="76BCAFBC">
            <w:pPr>
              <w:rPr>
                <w:rFonts w:ascii="Arial"/>
                <w:sz w:val="21"/>
              </w:rPr>
            </w:pPr>
          </w:p>
        </w:tc>
        <w:tc>
          <w:tcPr>
            <w:tcW w:w="708" w:type="dxa"/>
            <w:vAlign w:val="top"/>
          </w:tcPr>
          <w:p w14:paraId="63CED2E8">
            <w:pPr>
              <w:rPr>
                <w:rFonts w:ascii="Arial"/>
                <w:sz w:val="21"/>
              </w:rPr>
            </w:pPr>
          </w:p>
        </w:tc>
        <w:tc>
          <w:tcPr>
            <w:tcW w:w="708" w:type="dxa"/>
            <w:vAlign w:val="top"/>
          </w:tcPr>
          <w:p w14:paraId="468656E7">
            <w:pPr>
              <w:rPr>
                <w:rFonts w:ascii="Arial"/>
                <w:sz w:val="21"/>
              </w:rPr>
            </w:pPr>
          </w:p>
        </w:tc>
        <w:tc>
          <w:tcPr>
            <w:tcW w:w="1175" w:type="dxa"/>
            <w:vAlign w:val="top"/>
          </w:tcPr>
          <w:p w14:paraId="37EFC5AF">
            <w:pPr>
              <w:rPr>
                <w:rFonts w:ascii="Arial"/>
                <w:sz w:val="21"/>
              </w:rPr>
            </w:pPr>
          </w:p>
        </w:tc>
        <w:tc>
          <w:tcPr>
            <w:tcW w:w="1660" w:type="dxa"/>
            <w:vAlign w:val="top"/>
          </w:tcPr>
          <w:p w14:paraId="10EA8977">
            <w:pPr>
              <w:rPr>
                <w:rFonts w:ascii="Arial"/>
                <w:sz w:val="21"/>
              </w:rPr>
            </w:pPr>
          </w:p>
        </w:tc>
        <w:tc>
          <w:tcPr>
            <w:tcW w:w="854" w:type="dxa"/>
            <w:vAlign w:val="top"/>
          </w:tcPr>
          <w:p w14:paraId="73F8EDF0">
            <w:pPr>
              <w:rPr>
                <w:rFonts w:ascii="Arial"/>
                <w:sz w:val="21"/>
              </w:rPr>
            </w:pPr>
          </w:p>
        </w:tc>
      </w:tr>
      <w:tr w14:paraId="71C3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2CA4A098">
            <w:pPr>
              <w:rPr>
                <w:rFonts w:ascii="Arial"/>
                <w:sz w:val="21"/>
              </w:rPr>
            </w:pPr>
          </w:p>
        </w:tc>
        <w:tc>
          <w:tcPr>
            <w:tcW w:w="1065" w:type="dxa"/>
            <w:vAlign w:val="top"/>
          </w:tcPr>
          <w:p w14:paraId="76B2B796">
            <w:pPr>
              <w:rPr>
                <w:rFonts w:ascii="Arial"/>
                <w:sz w:val="21"/>
              </w:rPr>
            </w:pPr>
          </w:p>
        </w:tc>
        <w:tc>
          <w:tcPr>
            <w:tcW w:w="672" w:type="dxa"/>
            <w:vAlign w:val="top"/>
          </w:tcPr>
          <w:p w14:paraId="69362207">
            <w:pPr>
              <w:rPr>
                <w:rFonts w:ascii="Arial"/>
                <w:sz w:val="21"/>
              </w:rPr>
            </w:pPr>
          </w:p>
        </w:tc>
        <w:tc>
          <w:tcPr>
            <w:tcW w:w="1022" w:type="dxa"/>
            <w:vAlign w:val="top"/>
          </w:tcPr>
          <w:p w14:paraId="670812CA">
            <w:pPr>
              <w:rPr>
                <w:rFonts w:ascii="Arial"/>
                <w:sz w:val="21"/>
              </w:rPr>
            </w:pPr>
          </w:p>
        </w:tc>
        <w:tc>
          <w:tcPr>
            <w:tcW w:w="708" w:type="dxa"/>
            <w:vAlign w:val="top"/>
          </w:tcPr>
          <w:p w14:paraId="1ACFD0BF">
            <w:pPr>
              <w:rPr>
                <w:rFonts w:ascii="Arial"/>
                <w:sz w:val="21"/>
              </w:rPr>
            </w:pPr>
          </w:p>
        </w:tc>
        <w:tc>
          <w:tcPr>
            <w:tcW w:w="708" w:type="dxa"/>
            <w:vAlign w:val="top"/>
          </w:tcPr>
          <w:p w14:paraId="642CE5B5">
            <w:pPr>
              <w:rPr>
                <w:rFonts w:ascii="Arial"/>
                <w:sz w:val="21"/>
              </w:rPr>
            </w:pPr>
          </w:p>
        </w:tc>
        <w:tc>
          <w:tcPr>
            <w:tcW w:w="1175" w:type="dxa"/>
            <w:vAlign w:val="top"/>
          </w:tcPr>
          <w:p w14:paraId="21B8BAD0">
            <w:pPr>
              <w:rPr>
                <w:rFonts w:ascii="Arial"/>
                <w:sz w:val="21"/>
              </w:rPr>
            </w:pPr>
          </w:p>
        </w:tc>
        <w:tc>
          <w:tcPr>
            <w:tcW w:w="1660" w:type="dxa"/>
            <w:vAlign w:val="top"/>
          </w:tcPr>
          <w:p w14:paraId="02D5ED74">
            <w:pPr>
              <w:rPr>
                <w:rFonts w:ascii="Arial"/>
                <w:sz w:val="21"/>
              </w:rPr>
            </w:pPr>
          </w:p>
        </w:tc>
        <w:tc>
          <w:tcPr>
            <w:tcW w:w="854" w:type="dxa"/>
            <w:vAlign w:val="top"/>
          </w:tcPr>
          <w:p w14:paraId="7E513A32">
            <w:pPr>
              <w:rPr>
                <w:rFonts w:ascii="Arial"/>
                <w:sz w:val="21"/>
              </w:rPr>
            </w:pPr>
          </w:p>
        </w:tc>
      </w:tr>
      <w:tr w14:paraId="63D4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47" w:type="dxa"/>
            <w:vAlign w:val="top"/>
          </w:tcPr>
          <w:p w14:paraId="3075C527">
            <w:pPr>
              <w:rPr>
                <w:rFonts w:ascii="Arial"/>
                <w:sz w:val="21"/>
              </w:rPr>
            </w:pPr>
          </w:p>
        </w:tc>
        <w:tc>
          <w:tcPr>
            <w:tcW w:w="1065" w:type="dxa"/>
            <w:vAlign w:val="top"/>
          </w:tcPr>
          <w:p w14:paraId="0CC6B44F">
            <w:pPr>
              <w:rPr>
                <w:rFonts w:ascii="Arial"/>
                <w:sz w:val="21"/>
              </w:rPr>
            </w:pPr>
          </w:p>
        </w:tc>
        <w:tc>
          <w:tcPr>
            <w:tcW w:w="672" w:type="dxa"/>
            <w:vAlign w:val="top"/>
          </w:tcPr>
          <w:p w14:paraId="4DC00E19">
            <w:pPr>
              <w:rPr>
                <w:rFonts w:ascii="Arial"/>
                <w:sz w:val="21"/>
              </w:rPr>
            </w:pPr>
          </w:p>
        </w:tc>
        <w:tc>
          <w:tcPr>
            <w:tcW w:w="1022" w:type="dxa"/>
            <w:vAlign w:val="top"/>
          </w:tcPr>
          <w:p w14:paraId="2DCA5BD5">
            <w:pPr>
              <w:rPr>
                <w:rFonts w:ascii="Arial"/>
                <w:sz w:val="21"/>
              </w:rPr>
            </w:pPr>
          </w:p>
        </w:tc>
        <w:tc>
          <w:tcPr>
            <w:tcW w:w="708" w:type="dxa"/>
            <w:vAlign w:val="top"/>
          </w:tcPr>
          <w:p w14:paraId="4E3E458F">
            <w:pPr>
              <w:rPr>
                <w:rFonts w:ascii="Arial"/>
                <w:sz w:val="21"/>
              </w:rPr>
            </w:pPr>
          </w:p>
        </w:tc>
        <w:tc>
          <w:tcPr>
            <w:tcW w:w="708" w:type="dxa"/>
            <w:vAlign w:val="top"/>
          </w:tcPr>
          <w:p w14:paraId="14FD4469">
            <w:pPr>
              <w:rPr>
                <w:rFonts w:ascii="Arial"/>
                <w:sz w:val="21"/>
              </w:rPr>
            </w:pPr>
          </w:p>
        </w:tc>
        <w:tc>
          <w:tcPr>
            <w:tcW w:w="1175" w:type="dxa"/>
            <w:vAlign w:val="top"/>
          </w:tcPr>
          <w:p w14:paraId="644DC457">
            <w:pPr>
              <w:rPr>
                <w:rFonts w:ascii="Arial"/>
                <w:sz w:val="21"/>
              </w:rPr>
            </w:pPr>
          </w:p>
        </w:tc>
        <w:tc>
          <w:tcPr>
            <w:tcW w:w="1660" w:type="dxa"/>
            <w:vAlign w:val="top"/>
          </w:tcPr>
          <w:p w14:paraId="7682E12F">
            <w:pPr>
              <w:rPr>
                <w:rFonts w:ascii="Arial"/>
                <w:sz w:val="21"/>
              </w:rPr>
            </w:pPr>
          </w:p>
        </w:tc>
        <w:tc>
          <w:tcPr>
            <w:tcW w:w="854" w:type="dxa"/>
            <w:vAlign w:val="top"/>
          </w:tcPr>
          <w:p w14:paraId="349B91BC">
            <w:pPr>
              <w:rPr>
                <w:rFonts w:ascii="Arial"/>
                <w:sz w:val="21"/>
              </w:rPr>
            </w:pPr>
          </w:p>
        </w:tc>
      </w:tr>
      <w:tr w14:paraId="63C3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07C5F101">
            <w:pPr>
              <w:rPr>
                <w:rFonts w:ascii="Arial"/>
                <w:sz w:val="21"/>
              </w:rPr>
            </w:pPr>
          </w:p>
        </w:tc>
        <w:tc>
          <w:tcPr>
            <w:tcW w:w="1065" w:type="dxa"/>
            <w:vAlign w:val="top"/>
          </w:tcPr>
          <w:p w14:paraId="3B822CDA">
            <w:pPr>
              <w:rPr>
                <w:rFonts w:ascii="Arial"/>
                <w:sz w:val="21"/>
              </w:rPr>
            </w:pPr>
          </w:p>
        </w:tc>
        <w:tc>
          <w:tcPr>
            <w:tcW w:w="672" w:type="dxa"/>
            <w:vAlign w:val="top"/>
          </w:tcPr>
          <w:p w14:paraId="5A147F13">
            <w:pPr>
              <w:rPr>
                <w:rFonts w:ascii="Arial"/>
                <w:sz w:val="21"/>
              </w:rPr>
            </w:pPr>
          </w:p>
        </w:tc>
        <w:tc>
          <w:tcPr>
            <w:tcW w:w="1022" w:type="dxa"/>
            <w:vAlign w:val="top"/>
          </w:tcPr>
          <w:p w14:paraId="2C9C3EF9">
            <w:pPr>
              <w:rPr>
                <w:rFonts w:ascii="Arial"/>
                <w:sz w:val="21"/>
              </w:rPr>
            </w:pPr>
          </w:p>
        </w:tc>
        <w:tc>
          <w:tcPr>
            <w:tcW w:w="708" w:type="dxa"/>
            <w:vAlign w:val="top"/>
          </w:tcPr>
          <w:p w14:paraId="42C3FD57">
            <w:pPr>
              <w:rPr>
                <w:rFonts w:ascii="Arial"/>
                <w:sz w:val="21"/>
              </w:rPr>
            </w:pPr>
          </w:p>
        </w:tc>
        <w:tc>
          <w:tcPr>
            <w:tcW w:w="708" w:type="dxa"/>
            <w:vAlign w:val="top"/>
          </w:tcPr>
          <w:p w14:paraId="4B42F30C">
            <w:pPr>
              <w:rPr>
                <w:rFonts w:ascii="Arial"/>
                <w:sz w:val="21"/>
              </w:rPr>
            </w:pPr>
          </w:p>
        </w:tc>
        <w:tc>
          <w:tcPr>
            <w:tcW w:w="1175" w:type="dxa"/>
            <w:vAlign w:val="top"/>
          </w:tcPr>
          <w:p w14:paraId="0DDA2458">
            <w:pPr>
              <w:rPr>
                <w:rFonts w:ascii="Arial"/>
                <w:sz w:val="21"/>
              </w:rPr>
            </w:pPr>
          </w:p>
        </w:tc>
        <w:tc>
          <w:tcPr>
            <w:tcW w:w="1660" w:type="dxa"/>
            <w:vAlign w:val="top"/>
          </w:tcPr>
          <w:p w14:paraId="7614E2F0">
            <w:pPr>
              <w:rPr>
                <w:rFonts w:ascii="Arial"/>
                <w:sz w:val="21"/>
              </w:rPr>
            </w:pPr>
          </w:p>
        </w:tc>
        <w:tc>
          <w:tcPr>
            <w:tcW w:w="854" w:type="dxa"/>
            <w:vAlign w:val="top"/>
          </w:tcPr>
          <w:p w14:paraId="4018AF78">
            <w:pPr>
              <w:rPr>
                <w:rFonts w:ascii="Arial"/>
                <w:sz w:val="21"/>
              </w:rPr>
            </w:pPr>
          </w:p>
        </w:tc>
      </w:tr>
      <w:tr w14:paraId="0770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6652B6F6">
            <w:pPr>
              <w:rPr>
                <w:rFonts w:ascii="Arial"/>
                <w:sz w:val="21"/>
              </w:rPr>
            </w:pPr>
          </w:p>
        </w:tc>
        <w:tc>
          <w:tcPr>
            <w:tcW w:w="1065" w:type="dxa"/>
            <w:vAlign w:val="top"/>
          </w:tcPr>
          <w:p w14:paraId="3642E3EB">
            <w:pPr>
              <w:rPr>
                <w:rFonts w:ascii="Arial"/>
                <w:sz w:val="21"/>
              </w:rPr>
            </w:pPr>
          </w:p>
        </w:tc>
        <w:tc>
          <w:tcPr>
            <w:tcW w:w="672" w:type="dxa"/>
            <w:vAlign w:val="top"/>
          </w:tcPr>
          <w:p w14:paraId="5E979A0C">
            <w:pPr>
              <w:rPr>
                <w:rFonts w:ascii="Arial"/>
                <w:sz w:val="21"/>
              </w:rPr>
            </w:pPr>
          </w:p>
        </w:tc>
        <w:tc>
          <w:tcPr>
            <w:tcW w:w="1022" w:type="dxa"/>
            <w:vAlign w:val="top"/>
          </w:tcPr>
          <w:p w14:paraId="2496346E">
            <w:pPr>
              <w:rPr>
                <w:rFonts w:ascii="Arial"/>
                <w:sz w:val="21"/>
              </w:rPr>
            </w:pPr>
          </w:p>
        </w:tc>
        <w:tc>
          <w:tcPr>
            <w:tcW w:w="708" w:type="dxa"/>
            <w:vAlign w:val="top"/>
          </w:tcPr>
          <w:p w14:paraId="6301E148">
            <w:pPr>
              <w:rPr>
                <w:rFonts w:ascii="Arial"/>
                <w:sz w:val="21"/>
              </w:rPr>
            </w:pPr>
          </w:p>
        </w:tc>
        <w:tc>
          <w:tcPr>
            <w:tcW w:w="708" w:type="dxa"/>
            <w:vAlign w:val="top"/>
          </w:tcPr>
          <w:p w14:paraId="4A678FC5">
            <w:pPr>
              <w:rPr>
                <w:rFonts w:ascii="Arial"/>
                <w:sz w:val="21"/>
              </w:rPr>
            </w:pPr>
          </w:p>
        </w:tc>
        <w:tc>
          <w:tcPr>
            <w:tcW w:w="1175" w:type="dxa"/>
            <w:vAlign w:val="top"/>
          </w:tcPr>
          <w:p w14:paraId="1376FD19">
            <w:pPr>
              <w:rPr>
                <w:rFonts w:ascii="Arial"/>
                <w:sz w:val="21"/>
              </w:rPr>
            </w:pPr>
          </w:p>
        </w:tc>
        <w:tc>
          <w:tcPr>
            <w:tcW w:w="1660" w:type="dxa"/>
            <w:vAlign w:val="top"/>
          </w:tcPr>
          <w:p w14:paraId="31A95697">
            <w:pPr>
              <w:rPr>
                <w:rFonts w:ascii="Arial"/>
                <w:sz w:val="21"/>
              </w:rPr>
            </w:pPr>
          </w:p>
        </w:tc>
        <w:tc>
          <w:tcPr>
            <w:tcW w:w="854" w:type="dxa"/>
            <w:vAlign w:val="top"/>
          </w:tcPr>
          <w:p w14:paraId="29BB44BE">
            <w:pPr>
              <w:rPr>
                <w:rFonts w:ascii="Arial"/>
                <w:sz w:val="21"/>
              </w:rPr>
            </w:pPr>
          </w:p>
        </w:tc>
      </w:tr>
      <w:tr w14:paraId="3915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7" w:type="dxa"/>
            <w:vAlign w:val="top"/>
          </w:tcPr>
          <w:p w14:paraId="58A574C3">
            <w:pPr>
              <w:rPr>
                <w:rFonts w:ascii="Arial"/>
                <w:sz w:val="21"/>
              </w:rPr>
            </w:pPr>
          </w:p>
        </w:tc>
        <w:tc>
          <w:tcPr>
            <w:tcW w:w="1065" w:type="dxa"/>
            <w:vAlign w:val="top"/>
          </w:tcPr>
          <w:p w14:paraId="57C57409">
            <w:pPr>
              <w:rPr>
                <w:rFonts w:ascii="Arial"/>
                <w:sz w:val="21"/>
              </w:rPr>
            </w:pPr>
          </w:p>
        </w:tc>
        <w:tc>
          <w:tcPr>
            <w:tcW w:w="672" w:type="dxa"/>
            <w:vAlign w:val="top"/>
          </w:tcPr>
          <w:p w14:paraId="5F556306">
            <w:pPr>
              <w:rPr>
                <w:rFonts w:ascii="Arial"/>
                <w:sz w:val="21"/>
              </w:rPr>
            </w:pPr>
          </w:p>
        </w:tc>
        <w:tc>
          <w:tcPr>
            <w:tcW w:w="1022" w:type="dxa"/>
            <w:vAlign w:val="top"/>
          </w:tcPr>
          <w:p w14:paraId="0D9582E5">
            <w:pPr>
              <w:rPr>
                <w:rFonts w:ascii="Arial"/>
                <w:sz w:val="21"/>
              </w:rPr>
            </w:pPr>
          </w:p>
        </w:tc>
        <w:tc>
          <w:tcPr>
            <w:tcW w:w="708" w:type="dxa"/>
            <w:vAlign w:val="top"/>
          </w:tcPr>
          <w:p w14:paraId="509E0989">
            <w:pPr>
              <w:rPr>
                <w:rFonts w:ascii="Arial"/>
                <w:sz w:val="21"/>
              </w:rPr>
            </w:pPr>
          </w:p>
        </w:tc>
        <w:tc>
          <w:tcPr>
            <w:tcW w:w="708" w:type="dxa"/>
            <w:vAlign w:val="top"/>
          </w:tcPr>
          <w:p w14:paraId="1DB7484A">
            <w:pPr>
              <w:rPr>
                <w:rFonts w:ascii="Arial"/>
                <w:sz w:val="21"/>
              </w:rPr>
            </w:pPr>
          </w:p>
        </w:tc>
        <w:tc>
          <w:tcPr>
            <w:tcW w:w="1175" w:type="dxa"/>
            <w:vAlign w:val="top"/>
          </w:tcPr>
          <w:p w14:paraId="181C7341">
            <w:pPr>
              <w:rPr>
                <w:rFonts w:ascii="Arial"/>
                <w:sz w:val="21"/>
              </w:rPr>
            </w:pPr>
          </w:p>
        </w:tc>
        <w:tc>
          <w:tcPr>
            <w:tcW w:w="1660" w:type="dxa"/>
            <w:vAlign w:val="top"/>
          </w:tcPr>
          <w:p w14:paraId="73925B34">
            <w:pPr>
              <w:rPr>
                <w:rFonts w:ascii="Arial"/>
                <w:sz w:val="21"/>
              </w:rPr>
            </w:pPr>
          </w:p>
        </w:tc>
        <w:tc>
          <w:tcPr>
            <w:tcW w:w="854" w:type="dxa"/>
            <w:vAlign w:val="top"/>
          </w:tcPr>
          <w:p w14:paraId="08EB2AC2">
            <w:pPr>
              <w:rPr>
                <w:rFonts w:ascii="Arial"/>
                <w:sz w:val="21"/>
              </w:rPr>
            </w:pPr>
          </w:p>
        </w:tc>
      </w:tr>
      <w:tr w14:paraId="0FBF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47" w:type="dxa"/>
            <w:vAlign w:val="top"/>
          </w:tcPr>
          <w:p w14:paraId="67C41B6A">
            <w:pPr>
              <w:rPr>
                <w:rFonts w:ascii="Arial"/>
                <w:sz w:val="21"/>
              </w:rPr>
            </w:pPr>
          </w:p>
        </w:tc>
        <w:tc>
          <w:tcPr>
            <w:tcW w:w="1065" w:type="dxa"/>
            <w:vAlign w:val="top"/>
          </w:tcPr>
          <w:p w14:paraId="447C6353">
            <w:pPr>
              <w:rPr>
                <w:rFonts w:ascii="Arial"/>
                <w:sz w:val="21"/>
              </w:rPr>
            </w:pPr>
          </w:p>
        </w:tc>
        <w:tc>
          <w:tcPr>
            <w:tcW w:w="672" w:type="dxa"/>
            <w:vAlign w:val="top"/>
          </w:tcPr>
          <w:p w14:paraId="325678ED">
            <w:pPr>
              <w:rPr>
                <w:rFonts w:ascii="Arial"/>
                <w:sz w:val="21"/>
              </w:rPr>
            </w:pPr>
          </w:p>
        </w:tc>
        <w:tc>
          <w:tcPr>
            <w:tcW w:w="1022" w:type="dxa"/>
            <w:vAlign w:val="top"/>
          </w:tcPr>
          <w:p w14:paraId="6F346041">
            <w:pPr>
              <w:rPr>
                <w:rFonts w:ascii="Arial"/>
                <w:sz w:val="21"/>
              </w:rPr>
            </w:pPr>
          </w:p>
        </w:tc>
        <w:tc>
          <w:tcPr>
            <w:tcW w:w="708" w:type="dxa"/>
            <w:vAlign w:val="top"/>
          </w:tcPr>
          <w:p w14:paraId="47DA8C8F">
            <w:pPr>
              <w:rPr>
                <w:rFonts w:ascii="Arial"/>
                <w:sz w:val="21"/>
              </w:rPr>
            </w:pPr>
          </w:p>
        </w:tc>
        <w:tc>
          <w:tcPr>
            <w:tcW w:w="708" w:type="dxa"/>
            <w:vAlign w:val="top"/>
          </w:tcPr>
          <w:p w14:paraId="374F64B7">
            <w:pPr>
              <w:rPr>
                <w:rFonts w:ascii="Arial"/>
                <w:sz w:val="21"/>
              </w:rPr>
            </w:pPr>
          </w:p>
        </w:tc>
        <w:tc>
          <w:tcPr>
            <w:tcW w:w="1175" w:type="dxa"/>
            <w:vAlign w:val="top"/>
          </w:tcPr>
          <w:p w14:paraId="0C07A067">
            <w:pPr>
              <w:rPr>
                <w:rFonts w:ascii="Arial"/>
                <w:sz w:val="21"/>
              </w:rPr>
            </w:pPr>
          </w:p>
        </w:tc>
        <w:tc>
          <w:tcPr>
            <w:tcW w:w="1660" w:type="dxa"/>
            <w:vAlign w:val="top"/>
          </w:tcPr>
          <w:p w14:paraId="585F98E8">
            <w:pPr>
              <w:rPr>
                <w:rFonts w:ascii="Arial"/>
                <w:sz w:val="21"/>
              </w:rPr>
            </w:pPr>
          </w:p>
        </w:tc>
        <w:tc>
          <w:tcPr>
            <w:tcW w:w="854" w:type="dxa"/>
            <w:vAlign w:val="top"/>
          </w:tcPr>
          <w:p w14:paraId="220A74FB">
            <w:pPr>
              <w:rPr>
                <w:rFonts w:ascii="Arial"/>
                <w:sz w:val="21"/>
              </w:rPr>
            </w:pPr>
          </w:p>
        </w:tc>
      </w:tr>
    </w:tbl>
    <w:p w14:paraId="1B5214D6">
      <w:pPr>
        <w:pStyle w:val="5"/>
      </w:pPr>
    </w:p>
    <w:p w14:paraId="67A1F1FB">
      <w:pPr>
        <w:sectPr>
          <w:footerReference r:id="rId226" w:type="default"/>
          <w:pgSz w:w="11905" w:h="16843"/>
          <w:pgMar w:top="969" w:right="1355" w:bottom="1026" w:left="1480" w:header="0" w:footer="754" w:gutter="0"/>
          <w:cols w:space="0" w:num="1"/>
          <w:rtlGutter w:val="0"/>
          <w:docGrid w:linePitch="0" w:charSpace="0"/>
        </w:sectPr>
      </w:pPr>
    </w:p>
    <w:p w14:paraId="1F299C7F">
      <w:pPr>
        <w:pStyle w:val="5"/>
        <w:spacing w:line="265" w:lineRule="auto"/>
      </w:pPr>
    </w:p>
    <w:p w14:paraId="7269C0F5">
      <w:pPr>
        <w:pStyle w:val="5"/>
        <w:spacing w:line="265" w:lineRule="auto"/>
      </w:pPr>
    </w:p>
    <w:p w14:paraId="4D6D6DFA">
      <w:pPr>
        <w:pStyle w:val="5"/>
        <w:spacing w:line="266" w:lineRule="auto"/>
      </w:pPr>
    </w:p>
    <w:p w14:paraId="307A0B9B">
      <w:pPr>
        <w:pStyle w:val="5"/>
        <w:spacing w:line="266" w:lineRule="auto"/>
      </w:pPr>
    </w:p>
    <w:p w14:paraId="6BE63CA9">
      <w:pPr>
        <w:pStyle w:val="5"/>
        <w:spacing w:line="266" w:lineRule="auto"/>
      </w:pPr>
    </w:p>
    <w:p w14:paraId="5E016714">
      <w:pPr>
        <w:spacing w:before="78" w:line="219" w:lineRule="auto"/>
        <w:outlineLvl w:val="2"/>
        <w:rPr>
          <w:rFonts w:ascii="黑体" w:hAnsi="黑体" w:eastAsia="黑体" w:cs="黑体"/>
          <w:sz w:val="24"/>
          <w:szCs w:val="24"/>
        </w:rPr>
      </w:pPr>
      <w:bookmarkStart w:id="1407" w:name="bookmark471"/>
      <w:bookmarkEnd w:id="1407"/>
      <w:r>
        <w:rPr>
          <w:rFonts w:ascii="黑体" w:hAnsi="黑体" w:eastAsia="黑体" w:cs="黑体"/>
          <w:spacing w:val="-3"/>
          <w:sz w:val="24"/>
          <w:szCs w:val="24"/>
        </w:rPr>
        <w:t>附表三：劳动力计划表</w:t>
      </w:r>
    </w:p>
    <w:p w14:paraId="3CE4D933">
      <w:pPr>
        <w:spacing w:before="155" w:line="221" w:lineRule="auto"/>
        <w:ind w:left="7320"/>
        <w:rPr>
          <w:rFonts w:ascii="黑体" w:hAnsi="黑体" w:eastAsia="黑体" w:cs="黑体"/>
          <w:sz w:val="21"/>
          <w:szCs w:val="21"/>
        </w:rPr>
      </w:pPr>
      <w:r>
        <w:rPr>
          <w:rFonts w:ascii="黑体" w:hAnsi="黑体" w:eastAsia="黑体" w:cs="黑体"/>
          <w:spacing w:val="-1"/>
          <w:sz w:val="21"/>
          <w:szCs w:val="21"/>
        </w:rPr>
        <w:t>单位：人</w:t>
      </w:r>
    </w:p>
    <w:p w14:paraId="2531A86F">
      <w:pPr>
        <w:spacing w:line="14" w:lineRule="exact"/>
      </w:pPr>
    </w:p>
    <w:tbl>
      <w:tblPr>
        <w:tblStyle w:val="10"/>
        <w:tblW w:w="8511"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415"/>
        <w:gridCol w:w="1063"/>
        <w:gridCol w:w="1062"/>
        <w:gridCol w:w="1063"/>
        <w:gridCol w:w="1063"/>
        <w:gridCol w:w="1063"/>
        <w:gridCol w:w="1067"/>
      </w:tblGrid>
      <w:tr w14:paraId="2568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15" w:type="dxa"/>
            <w:vAlign w:val="top"/>
          </w:tcPr>
          <w:p w14:paraId="50B45D94">
            <w:pPr>
              <w:pStyle w:val="11"/>
              <w:spacing w:before="209" w:line="221" w:lineRule="auto"/>
              <w:ind w:left="154"/>
            </w:pPr>
            <w:r>
              <w:rPr>
                <w:spacing w:val="-3"/>
              </w:rPr>
              <w:t>工种</w:t>
            </w:r>
          </w:p>
        </w:tc>
        <w:tc>
          <w:tcPr>
            <w:tcW w:w="7796" w:type="dxa"/>
            <w:gridSpan w:val="7"/>
            <w:vAlign w:val="top"/>
          </w:tcPr>
          <w:p w14:paraId="3A775F9F">
            <w:pPr>
              <w:pStyle w:val="11"/>
              <w:spacing w:before="209" w:line="221" w:lineRule="auto"/>
              <w:ind w:left="2432"/>
            </w:pPr>
            <w:r>
              <w:rPr>
                <w:spacing w:val="-1"/>
              </w:rPr>
              <w:t>按工程施工阶段投入劳动力情况</w:t>
            </w:r>
          </w:p>
        </w:tc>
      </w:tr>
      <w:tr w14:paraId="1172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28B811A6">
            <w:pPr>
              <w:rPr>
                <w:rFonts w:ascii="Arial"/>
                <w:sz w:val="21"/>
              </w:rPr>
            </w:pPr>
          </w:p>
        </w:tc>
        <w:tc>
          <w:tcPr>
            <w:tcW w:w="1415" w:type="dxa"/>
            <w:vAlign w:val="top"/>
          </w:tcPr>
          <w:p w14:paraId="76A2CB70">
            <w:pPr>
              <w:rPr>
                <w:rFonts w:ascii="Arial"/>
                <w:sz w:val="21"/>
              </w:rPr>
            </w:pPr>
          </w:p>
        </w:tc>
        <w:tc>
          <w:tcPr>
            <w:tcW w:w="1063" w:type="dxa"/>
            <w:vAlign w:val="top"/>
          </w:tcPr>
          <w:p w14:paraId="24689D71">
            <w:pPr>
              <w:rPr>
                <w:rFonts w:ascii="Arial"/>
                <w:sz w:val="21"/>
              </w:rPr>
            </w:pPr>
          </w:p>
        </w:tc>
        <w:tc>
          <w:tcPr>
            <w:tcW w:w="1062" w:type="dxa"/>
            <w:vAlign w:val="top"/>
          </w:tcPr>
          <w:p w14:paraId="4F5BAD3D">
            <w:pPr>
              <w:rPr>
                <w:rFonts w:ascii="Arial"/>
                <w:sz w:val="21"/>
              </w:rPr>
            </w:pPr>
          </w:p>
        </w:tc>
        <w:tc>
          <w:tcPr>
            <w:tcW w:w="1063" w:type="dxa"/>
            <w:vAlign w:val="top"/>
          </w:tcPr>
          <w:p w14:paraId="323E8721">
            <w:pPr>
              <w:rPr>
                <w:rFonts w:ascii="Arial"/>
                <w:sz w:val="21"/>
              </w:rPr>
            </w:pPr>
          </w:p>
        </w:tc>
        <w:tc>
          <w:tcPr>
            <w:tcW w:w="1063" w:type="dxa"/>
            <w:vAlign w:val="top"/>
          </w:tcPr>
          <w:p w14:paraId="1115E530">
            <w:pPr>
              <w:rPr>
                <w:rFonts w:ascii="Arial"/>
                <w:sz w:val="21"/>
              </w:rPr>
            </w:pPr>
          </w:p>
        </w:tc>
        <w:tc>
          <w:tcPr>
            <w:tcW w:w="1063" w:type="dxa"/>
            <w:vAlign w:val="top"/>
          </w:tcPr>
          <w:p w14:paraId="071ED778">
            <w:pPr>
              <w:rPr>
                <w:rFonts w:ascii="Arial"/>
                <w:sz w:val="21"/>
              </w:rPr>
            </w:pPr>
          </w:p>
        </w:tc>
        <w:tc>
          <w:tcPr>
            <w:tcW w:w="1067" w:type="dxa"/>
            <w:vAlign w:val="top"/>
          </w:tcPr>
          <w:p w14:paraId="0201860C">
            <w:pPr>
              <w:rPr>
                <w:rFonts w:ascii="Arial"/>
                <w:sz w:val="21"/>
              </w:rPr>
            </w:pPr>
          </w:p>
        </w:tc>
      </w:tr>
      <w:tr w14:paraId="0D6E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19C447A0">
            <w:pPr>
              <w:rPr>
                <w:rFonts w:ascii="Arial"/>
                <w:sz w:val="21"/>
              </w:rPr>
            </w:pPr>
          </w:p>
        </w:tc>
        <w:tc>
          <w:tcPr>
            <w:tcW w:w="1415" w:type="dxa"/>
            <w:vAlign w:val="top"/>
          </w:tcPr>
          <w:p w14:paraId="66BF1C02">
            <w:pPr>
              <w:rPr>
                <w:rFonts w:ascii="Arial"/>
                <w:sz w:val="21"/>
              </w:rPr>
            </w:pPr>
          </w:p>
        </w:tc>
        <w:tc>
          <w:tcPr>
            <w:tcW w:w="1063" w:type="dxa"/>
            <w:vAlign w:val="top"/>
          </w:tcPr>
          <w:p w14:paraId="7960A79E">
            <w:pPr>
              <w:rPr>
                <w:rFonts w:ascii="Arial"/>
                <w:sz w:val="21"/>
              </w:rPr>
            </w:pPr>
          </w:p>
        </w:tc>
        <w:tc>
          <w:tcPr>
            <w:tcW w:w="1062" w:type="dxa"/>
            <w:vAlign w:val="top"/>
          </w:tcPr>
          <w:p w14:paraId="783ED354">
            <w:pPr>
              <w:rPr>
                <w:rFonts w:ascii="Arial"/>
                <w:sz w:val="21"/>
              </w:rPr>
            </w:pPr>
          </w:p>
        </w:tc>
        <w:tc>
          <w:tcPr>
            <w:tcW w:w="1063" w:type="dxa"/>
            <w:vAlign w:val="top"/>
          </w:tcPr>
          <w:p w14:paraId="54723D52">
            <w:pPr>
              <w:rPr>
                <w:rFonts w:ascii="Arial"/>
                <w:sz w:val="21"/>
              </w:rPr>
            </w:pPr>
          </w:p>
        </w:tc>
        <w:tc>
          <w:tcPr>
            <w:tcW w:w="1063" w:type="dxa"/>
            <w:vAlign w:val="top"/>
          </w:tcPr>
          <w:p w14:paraId="3C0A1894">
            <w:pPr>
              <w:rPr>
                <w:rFonts w:ascii="Arial"/>
                <w:sz w:val="21"/>
              </w:rPr>
            </w:pPr>
          </w:p>
        </w:tc>
        <w:tc>
          <w:tcPr>
            <w:tcW w:w="1063" w:type="dxa"/>
            <w:vAlign w:val="top"/>
          </w:tcPr>
          <w:p w14:paraId="0E587D0A">
            <w:pPr>
              <w:rPr>
                <w:rFonts w:ascii="Arial"/>
                <w:sz w:val="21"/>
              </w:rPr>
            </w:pPr>
          </w:p>
        </w:tc>
        <w:tc>
          <w:tcPr>
            <w:tcW w:w="1067" w:type="dxa"/>
            <w:vAlign w:val="top"/>
          </w:tcPr>
          <w:p w14:paraId="1A23AA32">
            <w:pPr>
              <w:rPr>
                <w:rFonts w:ascii="Arial"/>
                <w:sz w:val="21"/>
              </w:rPr>
            </w:pPr>
          </w:p>
        </w:tc>
      </w:tr>
      <w:tr w14:paraId="35EC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29907F77">
            <w:pPr>
              <w:rPr>
                <w:rFonts w:ascii="Arial"/>
                <w:sz w:val="21"/>
              </w:rPr>
            </w:pPr>
          </w:p>
        </w:tc>
        <w:tc>
          <w:tcPr>
            <w:tcW w:w="1415" w:type="dxa"/>
            <w:vAlign w:val="top"/>
          </w:tcPr>
          <w:p w14:paraId="25AC637C">
            <w:pPr>
              <w:rPr>
                <w:rFonts w:ascii="Arial"/>
                <w:sz w:val="21"/>
              </w:rPr>
            </w:pPr>
          </w:p>
        </w:tc>
        <w:tc>
          <w:tcPr>
            <w:tcW w:w="1063" w:type="dxa"/>
            <w:vAlign w:val="top"/>
          </w:tcPr>
          <w:p w14:paraId="2E0D1F05">
            <w:pPr>
              <w:rPr>
                <w:rFonts w:ascii="Arial"/>
                <w:sz w:val="21"/>
              </w:rPr>
            </w:pPr>
          </w:p>
        </w:tc>
        <w:tc>
          <w:tcPr>
            <w:tcW w:w="1062" w:type="dxa"/>
            <w:vAlign w:val="top"/>
          </w:tcPr>
          <w:p w14:paraId="500ED50A">
            <w:pPr>
              <w:rPr>
                <w:rFonts w:ascii="Arial"/>
                <w:sz w:val="21"/>
              </w:rPr>
            </w:pPr>
          </w:p>
        </w:tc>
        <w:tc>
          <w:tcPr>
            <w:tcW w:w="1063" w:type="dxa"/>
            <w:vAlign w:val="top"/>
          </w:tcPr>
          <w:p w14:paraId="3EB0F2E4">
            <w:pPr>
              <w:rPr>
                <w:rFonts w:ascii="Arial"/>
                <w:sz w:val="21"/>
              </w:rPr>
            </w:pPr>
          </w:p>
        </w:tc>
        <w:tc>
          <w:tcPr>
            <w:tcW w:w="1063" w:type="dxa"/>
            <w:vAlign w:val="top"/>
          </w:tcPr>
          <w:p w14:paraId="1618147D">
            <w:pPr>
              <w:rPr>
                <w:rFonts w:ascii="Arial"/>
                <w:sz w:val="21"/>
              </w:rPr>
            </w:pPr>
          </w:p>
        </w:tc>
        <w:tc>
          <w:tcPr>
            <w:tcW w:w="1063" w:type="dxa"/>
            <w:vAlign w:val="top"/>
          </w:tcPr>
          <w:p w14:paraId="1CD23E79">
            <w:pPr>
              <w:rPr>
                <w:rFonts w:ascii="Arial"/>
                <w:sz w:val="21"/>
              </w:rPr>
            </w:pPr>
          </w:p>
        </w:tc>
        <w:tc>
          <w:tcPr>
            <w:tcW w:w="1067" w:type="dxa"/>
            <w:vAlign w:val="top"/>
          </w:tcPr>
          <w:p w14:paraId="236D56F7">
            <w:pPr>
              <w:rPr>
                <w:rFonts w:ascii="Arial"/>
                <w:sz w:val="21"/>
              </w:rPr>
            </w:pPr>
          </w:p>
        </w:tc>
      </w:tr>
      <w:tr w14:paraId="479F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5" w:type="dxa"/>
            <w:vAlign w:val="top"/>
          </w:tcPr>
          <w:p w14:paraId="3041A9C6">
            <w:pPr>
              <w:rPr>
                <w:rFonts w:ascii="Arial"/>
                <w:sz w:val="21"/>
              </w:rPr>
            </w:pPr>
          </w:p>
        </w:tc>
        <w:tc>
          <w:tcPr>
            <w:tcW w:w="1415" w:type="dxa"/>
            <w:vAlign w:val="top"/>
          </w:tcPr>
          <w:p w14:paraId="791C6FDF">
            <w:pPr>
              <w:rPr>
                <w:rFonts w:ascii="Arial"/>
                <w:sz w:val="21"/>
              </w:rPr>
            </w:pPr>
          </w:p>
        </w:tc>
        <w:tc>
          <w:tcPr>
            <w:tcW w:w="1063" w:type="dxa"/>
            <w:vAlign w:val="top"/>
          </w:tcPr>
          <w:p w14:paraId="79622D24">
            <w:pPr>
              <w:rPr>
                <w:rFonts w:ascii="Arial"/>
                <w:sz w:val="21"/>
              </w:rPr>
            </w:pPr>
          </w:p>
        </w:tc>
        <w:tc>
          <w:tcPr>
            <w:tcW w:w="1062" w:type="dxa"/>
            <w:vAlign w:val="top"/>
          </w:tcPr>
          <w:p w14:paraId="5B2E41BF">
            <w:pPr>
              <w:rPr>
                <w:rFonts w:ascii="Arial"/>
                <w:sz w:val="21"/>
              </w:rPr>
            </w:pPr>
          </w:p>
        </w:tc>
        <w:tc>
          <w:tcPr>
            <w:tcW w:w="1063" w:type="dxa"/>
            <w:vAlign w:val="top"/>
          </w:tcPr>
          <w:p w14:paraId="1567359C">
            <w:pPr>
              <w:rPr>
                <w:rFonts w:ascii="Arial"/>
                <w:sz w:val="21"/>
              </w:rPr>
            </w:pPr>
          </w:p>
        </w:tc>
        <w:tc>
          <w:tcPr>
            <w:tcW w:w="1063" w:type="dxa"/>
            <w:vAlign w:val="top"/>
          </w:tcPr>
          <w:p w14:paraId="284E3D19">
            <w:pPr>
              <w:rPr>
                <w:rFonts w:ascii="Arial"/>
                <w:sz w:val="21"/>
              </w:rPr>
            </w:pPr>
          </w:p>
        </w:tc>
        <w:tc>
          <w:tcPr>
            <w:tcW w:w="1063" w:type="dxa"/>
            <w:vAlign w:val="top"/>
          </w:tcPr>
          <w:p w14:paraId="0563A6D1">
            <w:pPr>
              <w:rPr>
                <w:rFonts w:ascii="Arial"/>
                <w:sz w:val="21"/>
              </w:rPr>
            </w:pPr>
          </w:p>
        </w:tc>
        <w:tc>
          <w:tcPr>
            <w:tcW w:w="1067" w:type="dxa"/>
            <w:vAlign w:val="top"/>
          </w:tcPr>
          <w:p w14:paraId="3A601443">
            <w:pPr>
              <w:rPr>
                <w:rFonts w:ascii="Arial"/>
                <w:sz w:val="21"/>
              </w:rPr>
            </w:pPr>
          </w:p>
        </w:tc>
      </w:tr>
      <w:tr w14:paraId="2B10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52E0D485">
            <w:pPr>
              <w:rPr>
                <w:rFonts w:ascii="Arial"/>
                <w:sz w:val="21"/>
              </w:rPr>
            </w:pPr>
          </w:p>
        </w:tc>
        <w:tc>
          <w:tcPr>
            <w:tcW w:w="1415" w:type="dxa"/>
            <w:vAlign w:val="top"/>
          </w:tcPr>
          <w:p w14:paraId="772D23AA">
            <w:pPr>
              <w:rPr>
                <w:rFonts w:ascii="Arial"/>
                <w:sz w:val="21"/>
              </w:rPr>
            </w:pPr>
          </w:p>
        </w:tc>
        <w:tc>
          <w:tcPr>
            <w:tcW w:w="1063" w:type="dxa"/>
            <w:vAlign w:val="top"/>
          </w:tcPr>
          <w:p w14:paraId="4871D091">
            <w:pPr>
              <w:rPr>
                <w:rFonts w:ascii="Arial"/>
                <w:sz w:val="21"/>
              </w:rPr>
            </w:pPr>
          </w:p>
        </w:tc>
        <w:tc>
          <w:tcPr>
            <w:tcW w:w="1062" w:type="dxa"/>
            <w:vAlign w:val="top"/>
          </w:tcPr>
          <w:p w14:paraId="766C699F">
            <w:pPr>
              <w:rPr>
                <w:rFonts w:ascii="Arial"/>
                <w:sz w:val="21"/>
              </w:rPr>
            </w:pPr>
          </w:p>
        </w:tc>
        <w:tc>
          <w:tcPr>
            <w:tcW w:w="1063" w:type="dxa"/>
            <w:vAlign w:val="top"/>
          </w:tcPr>
          <w:p w14:paraId="0367CC5B">
            <w:pPr>
              <w:rPr>
                <w:rFonts w:ascii="Arial"/>
                <w:sz w:val="21"/>
              </w:rPr>
            </w:pPr>
          </w:p>
        </w:tc>
        <w:tc>
          <w:tcPr>
            <w:tcW w:w="1063" w:type="dxa"/>
            <w:vAlign w:val="top"/>
          </w:tcPr>
          <w:p w14:paraId="67B1574A">
            <w:pPr>
              <w:rPr>
                <w:rFonts w:ascii="Arial"/>
                <w:sz w:val="21"/>
              </w:rPr>
            </w:pPr>
          </w:p>
        </w:tc>
        <w:tc>
          <w:tcPr>
            <w:tcW w:w="1063" w:type="dxa"/>
            <w:vAlign w:val="top"/>
          </w:tcPr>
          <w:p w14:paraId="722A1E06">
            <w:pPr>
              <w:rPr>
                <w:rFonts w:ascii="Arial"/>
                <w:sz w:val="21"/>
              </w:rPr>
            </w:pPr>
          </w:p>
        </w:tc>
        <w:tc>
          <w:tcPr>
            <w:tcW w:w="1067" w:type="dxa"/>
            <w:vAlign w:val="top"/>
          </w:tcPr>
          <w:p w14:paraId="3DA1A726">
            <w:pPr>
              <w:rPr>
                <w:rFonts w:ascii="Arial"/>
                <w:sz w:val="21"/>
              </w:rPr>
            </w:pPr>
          </w:p>
        </w:tc>
      </w:tr>
      <w:tr w14:paraId="7A9B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266DAEA">
            <w:pPr>
              <w:rPr>
                <w:rFonts w:ascii="Arial"/>
                <w:sz w:val="21"/>
              </w:rPr>
            </w:pPr>
          </w:p>
        </w:tc>
        <w:tc>
          <w:tcPr>
            <w:tcW w:w="1415" w:type="dxa"/>
            <w:vAlign w:val="top"/>
          </w:tcPr>
          <w:p w14:paraId="02B9EABD">
            <w:pPr>
              <w:rPr>
                <w:rFonts w:ascii="Arial"/>
                <w:sz w:val="21"/>
              </w:rPr>
            </w:pPr>
          </w:p>
        </w:tc>
        <w:tc>
          <w:tcPr>
            <w:tcW w:w="1063" w:type="dxa"/>
            <w:vAlign w:val="top"/>
          </w:tcPr>
          <w:p w14:paraId="7E9F4688">
            <w:pPr>
              <w:rPr>
                <w:rFonts w:ascii="Arial"/>
                <w:sz w:val="21"/>
              </w:rPr>
            </w:pPr>
          </w:p>
        </w:tc>
        <w:tc>
          <w:tcPr>
            <w:tcW w:w="1062" w:type="dxa"/>
            <w:vAlign w:val="top"/>
          </w:tcPr>
          <w:p w14:paraId="2A33D92D">
            <w:pPr>
              <w:rPr>
                <w:rFonts w:ascii="Arial"/>
                <w:sz w:val="21"/>
              </w:rPr>
            </w:pPr>
          </w:p>
        </w:tc>
        <w:tc>
          <w:tcPr>
            <w:tcW w:w="1063" w:type="dxa"/>
            <w:vAlign w:val="top"/>
          </w:tcPr>
          <w:p w14:paraId="0C1021BD">
            <w:pPr>
              <w:rPr>
                <w:rFonts w:ascii="Arial"/>
                <w:sz w:val="21"/>
              </w:rPr>
            </w:pPr>
          </w:p>
        </w:tc>
        <w:tc>
          <w:tcPr>
            <w:tcW w:w="1063" w:type="dxa"/>
            <w:vAlign w:val="top"/>
          </w:tcPr>
          <w:p w14:paraId="02F704EA">
            <w:pPr>
              <w:rPr>
                <w:rFonts w:ascii="Arial"/>
                <w:sz w:val="21"/>
              </w:rPr>
            </w:pPr>
          </w:p>
        </w:tc>
        <w:tc>
          <w:tcPr>
            <w:tcW w:w="1063" w:type="dxa"/>
            <w:vAlign w:val="top"/>
          </w:tcPr>
          <w:p w14:paraId="113AB81D">
            <w:pPr>
              <w:rPr>
                <w:rFonts w:ascii="Arial"/>
                <w:sz w:val="21"/>
              </w:rPr>
            </w:pPr>
          </w:p>
        </w:tc>
        <w:tc>
          <w:tcPr>
            <w:tcW w:w="1067" w:type="dxa"/>
            <w:vAlign w:val="top"/>
          </w:tcPr>
          <w:p w14:paraId="190BC518">
            <w:pPr>
              <w:rPr>
                <w:rFonts w:ascii="Arial"/>
                <w:sz w:val="21"/>
              </w:rPr>
            </w:pPr>
          </w:p>
        </w:tc>
      </w:tr>
      <w:tr w14:paraId="193C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57EB6AF7">
            <w:pPr>
              <w:rPr>
                <w:rFonts w:ascii="Arial"/>
                <w:sz w:val="21"/>
              </w:rPr>
            </w:pPr>
          </w:p>
        </w:tc>
        <w:tc>
          <w:tcPr>
            <w:tcW w:w="1415" w:type="dxa"/>
            <w:vAlign w:val="top"/>
          </w:tcPr>
          <w:p w14:paraId="47592D04">
            <w:pPr>
              <w:rPr>
                <w:rFonts w:ascii="Arial"/>
                <w:sz w:val="21"/>
              </w:rPr>
            </w:pPr>
          </w:p>
        </w:tc>
        <w:tc>
          <w:tcPr>
            <w:tcW w:w="1063" w:type="dxa"/>
            <w:vAlign w:val="top"/>
          </w:tcPr>
          <w:p w14:paraId="015A4167">
            <w:pPr>
              <w:rPr>
                <w:rFonts w:ascii="Arial"/>
                <w:sz w:val="21"/>
              </w:rPr>
            </w:pPr>
          </w:p>
        </w:tc>
        <w:tc>
          <w:tcPr>
            <w:tcW w:w="1062" w:type="dxa"/>
            <w:vAlign w:val="top"/>
          </w:tcPr>
          <w:p w14:paraId="46784673">
            <w:pPr>
              <w:rPr>
                <w:rFonts w:ascii="Arial"/>
                <w:sz w:val="21"/>
              </w:rPr>
            </w:pPr>
          </w:p>
        </w:tc>
        <w:tc>
          <w:tcPr>
            <w:tcW w:w="1063" w:type="dxa"/>
            <w:vAlign w:val="top"/>
          </w:tcPr>
          <w:p w14:paraId="5786E3F7">
            <w:pPr>
              <w:rPr>
                <w:rFonts w:ascii="Arial"/>
                <w:sz w:val="21"/>
              </w:rPr>
            </w:pPr>
          </w:p>
        </w:tc>
        <w:tc>
          <w:tcPr>
            <w:tcW w:w="1063" w:type="dxa"/>
            <w:vAlign w:val="top"/>
          </w:tcPr>
          <w:p w14:paraId="76FE1BB2">
            <w:pPr>
              <w:rPr>
                <w:rFonts w:ascii="Arial"/>
                <w:sz w:val="21"/>
              </w:rPr>
            </w:pPr>
          </w:p>
        </w:tc>
        <w:tc>
          <w:tcPr>
            <w:tcW w:w="1063" w:type="dxa"/>
            <w:vAlign w:val="top"/>
          </w:tcPr>
          <w:p w14:paraId="258BF9F9">
            <w:pPr>
              <w:rPr>
                <w:rFonts w:ascii="Arial"/>
                <w:sz w:val="21"/>
              </w:rPr>
            </w:pPr>
          </w:p>
        </w:tc>
        <w:tc>
          <w:tcPr>
            <w:tcW w:w="1067" w:type="dxa"/>
            <w:vAlign w:val="top"/>
          </w:tcPr>
          <w:p w14:paraId="2B75CD31">
            <w:pPr>
              <w:rPr>
                <w:rFonts w:ascii="Arial"/>
                <w:sz w:val="21"/>
              </w:rPr>
            </w:pPr>
          </w:p>
        </w:tc>
      </w:tr>
      <w:tr w14:paraId="2E006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74A0BC0B">
            <w:pPr>
              <w:rPr>
                <w:rFonts w:ascii="Arial"/>
                <w:sz w:val="21"/>
              </w:rPr>
            </w:pPr>
          </w:p>
        </w:tc>
        <w:tc>
          <w:tcPr>
            <w:tcW w:w="1415" w:type="dxa"/>
            <w:vAlign w:val="top"/>
          </w:tcPr>
          <w:p w14:paraId="18C6A454">
            <w:pPr>
              <w:rPr>
                <w:rFonts w:ascii="Arial"/>
                <w:sz w:val="21"/>
              </w:rPr>
            </w:pPr>
          </w:p>
        </w:tc>
        <w:tc>
          <w:tcPr>
            <w:tcW w:w="1063" w:type="dxa"/>
            <w:vAlign w:val="top"/>
          </w:tcPr>
          <w:p w14:paraId="3551788F">
            <w:pPr>
              <w:rPr>
                <w:rFonts w:ascii="Arial"/>
                <w:sz w:val="21"/>
              </w:rPr>
            </w:pPr>
          </w:p>
        </w:tc>
        <w:tc>
          <w:tcPr>
            <w:tcW w:w="1062" w:type="dxa"/>
            <w:vAlign w:val="top"/>
          </w:tcPr>
          <w:p w14:paraId="5F11A770">
            <w:pPr>
              <w:rPr>
                <w:rFonts w:ascii="Arial"/>
                <w:sz w:val="21"/>
              </w:rPr>
            </w:pPr>
          </w:p>
        </w:tc>
        <w:tc>
          <w:tcPr>
            <w:tcW w:w="1063" w:type="dxa"/>
            <w:vAlign w:val="top"/>
          </w:tcPr>
          <w:p w14:paraId="132FF067">
            <w:pPr>
              <w:rPr>
                <w:rFonts w:ascii="Arial"/>
                <w:sz w:val="21"/>
              </w:rPr>
            </w:pPr>
          </w:p>
        </w:tc>
        <w:tc>
          <w:tcPr>
            <w:tcW w:w="1063" w:type="dxa"/>
            <w:vAlign w:val="top"/>
          </w:tcPr>
          <w:p w14:paraId="03B88290">
            <w:pPr>
              <w:rPr>
                <w:rFonts w:ascii="Arial"/>
                <w:sz w:val="21"/>
              </w:rPr>
            </w:pPr>
          </w:p>
        </w:tc>
        <w:tc>
          <w:tcPr>
            <w:tcW w:w="1063" w:type="dxa"/>
            <w:vAlign w:val="top"/>
          </w:tcPr>
          <w:p w14:paraId="3D98665D">
            <w:pPr>
              <w:rPr>
                <w:rFonts w:ascii="Arial"/>
                <w:sz w:val="21"/>
              </w:rPr>
            </w:pPr>
          </w:p>
        </w:tc>
        <w:tc>
          <w:tcPr>
            <w:tcW w:w="1067" w:type="dxa"/>
            <w:vAlign w:val="top"/>
          </w:tcPr>
          <w:p w14:paraId="2C3CE00E">
            <w:pPr>
              <w:rPr>
                <w:rFonts w:ascii="Arial"/>
                <w:sz w:val="21"/>
              </w:rPr>
            </w:pPr>
          </w:p>
        </w:tc>
      </w:tr>
      <w:tr w14:paraId="4AF9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7DBDEFFD">
            <w:pPr>
              <w:rPr>
                <w:rFonts w:ascii="Arial"/>
                <w:sz w:val="21"/>
              </w:rPr>
            </w:pPr>
          </w:p>
        </w:tc>
        <w:tc>
          <w:tcPr>
            <w:tcW w:w="1415" w:type="dxa"/>
            <w:vAlign w:val="top"/>
          </w:tcPr>
          <w:p w14:paraId="66FFB9CE">
            <w:pPr>
              <w:rPr>
                <w:rFonts w:ascii="Arial"/>
                <w:sz w:val="21"/>
              </w:rPr>
            </w:pPr>
          </w:p>
        </w:tc>
        <w:tc>
          <w:tcPr>
            <w:tcW w:w="1063" w:type="dxa"/>
            <w:vAlign w:val="top"/>
          </w:tcPr>
          <w:p w14:paraId="438C53EA">
            <w:pPr>
              <w:rPr>
                <w:rFonts w:ascii="Arial"/>
                <w:sz w:val="21"/>
              </w:rPr>
            </w:pPr>
          </w:p>
        </w:tc>
        <w:tc>
          <w:tcPr>
            <w:tcW w:w="1062" w:type="dxa"/>
            <w:vAlign w:val="top"/>
          </w:tcPr>
          <w:p w14:paraId="28EA753A">
            <w:pPr>
              <w:rPr>
                <w:rFonts w:ascii="Arial"/>
                <w:sz w:val="21"/>
              </w:rPr>
            </w:pPr>
          </w:p>
        </w:tc>
        <w:tc>
          <w:tcPr>
            <w:tcW w:w="1063" w:type="dxa"/>
            <w:vAlign w:val="top"/>
          </w:tcPr>
          <w:p w14:paraId="2D31A7DE">
            <w:pPr>
              <w:rPr>
                <w:rFonts w:ascii="Arial"/>
                <w:sz w:val="21"/>
              </w:rPr>
            </w:pPr>
          </w:p>
        </w:tc>
        <w:tc>
          <w:tcPr>
            <w:tcW w:w="1063" w:type="dxa"/>
            <w:vAlign w:val="top"/>
          </w:tcPr>
          <w:p w14:paraId="25B3020A">
            <w:pPr>
              <w:rPr>
                <w:rFonts w:ascii="Arial"/>
                <w:sz w:val="21"/>
              </w:rPr>
            </w:pPr>
          </w:p>
        </w:tc>
        <w:tc>
          <w:tcPr>
            <w:tcW w:w="1063" w:type="dxa"/>
            <w:vAlign w:val="top"/>
          </w:tcPr>
          <w:p w14:paraId="0BA7C2CA">
            <w:pPr>
              <w:rPr>
                <w:rFonts w:ascii="Arial"/>
                <w:sz w:val="21"/>
              </w:rPr>
            </w:pPr>
          </w:p>
        </w:tc>
        <w:tc>
          <w:tcPr>
            <w:tcW w:w="1067" w:type="dxa"/>
            <w:vAlign w:val="top"/>
          </w:tcPr>
          <w:p w14:paraId="4A05E8C8">
            <w:pPr>
              <w:rPr>
                <w:rFonts w:ascii="Arial"/>
                <w:sz w:val="21"/>
              </w:rPr>
            </w:pPr>
          </w:p>
        </w:tc>
      </w:tr>
      <w:tr w14:paraId="3932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5A0EF9C">
            <w:pPr>
              <w:rPr>
                <w:rFonts w:ascii="Arial"/>
                <w:sz w:val="21"/>
              </w:rPr>
            </w:pPr>
          </w:p>
        </w:tc>
        <w:tc>
          <w:tcPr>
            <w:tcW w:w="1415" w:type="dxa"/>
            <w:vAlign w:val="top"/>
          </w:tcPr>
          <w:p w14:paraId="5F5EB88E">
            <w:pPr>
              <w:rPr>
                <w:rFonts w:ascii="Arial"/>
                <w:sz w:val="21"/>
              </w:rPr>
            </w:pPr>
          </w:p>
        </w:tc>
        <w:tc>
          <w:tcPr>
            <w:tcW w:w="1063" w:type="dxa"/>
            <w:vAlign w:val="top"/>
          </w:tcPr>
          <w:p w14:paraId="082BA45B">
            <w:pPr>
              <w:rPr>
                <w:rFonts w:ascii="Arial"/>
                <w:sz w:val="21"/>
              </w:rPr>
            </w:pPr>
          </w:p>
        </w:tc>
        <w:tc>
          <w:tcPr>
            <w:tcW w:w="1062" w:type="dxa"/>
            <w:vAlign w:val="top"/>
          </w:tcPr>
          <w:p w14:paraId="63A9D6CB">
            <w:pPr>
              <w:rPr>
                <w:rFonts w:ascii="Arial"/>
                <w:sz w:val="21"/>
              </w:rPr>
            </w:pPr>
          </w:p>
        </w:tc>
        <w:tc>
          <w:tcPr>
            <w:tcW w:w="1063" w:type="dxa"/>
            <w:vAlign w:val="top"/>
          </w:tcPr>
          <w:p w14:paraId="4C383F0C">
            <w:pPr>
              <w:rPr>
                <w:rFonts w:ascii="Arial"/>
                <w:sz w:val="21"/>
              </w:rPr>
            </w:pPr>
          </w:p>
        </w:tc>
        <w:tc>
          <w:tcPr>
            <w:tcW w:w="1063" w:type="dxa"/>
            <w:vAlign w:val="top"/>
          </w:tcPr>
          <w:p w14:paraId="47CEC2DA">
            <w:pPr>
              <w:rPr>
                <w:rFonts w:ascii="Arial"/>
                <w:sz w:val="21"/>
              </w:rPr>
            </w:pPr>
          </w:p>
        </w:tc>
        <w:tc>
          <w:tcPr>
            <w:tcW w:w="1063" w:type="dxa"/>
            <w:vAlign w:val="top"/>
          </w:tcPr>
          <w:p w14:paraId="38F9558F">
            <w:pPr>
              <w:rPr>
                <w:rFonts w:ascii="Arial"/>
                <w:sz w:val="21"/>
              </w:rPr>
            </w:pPr>
          </w:p>
        </w:tc>
        <w:tc>
          <w:tcPr>
            <w:tcW w:w="1067" w:type="dxa"/>
            <w:vAlign w:val="top"/>
          </w:tcPr>
          <w:p w14:paraId="5F30E492">
            <w:pPr>
              <w:rPr>
                <w:rFonts w:ascii="Arial"/>
                <w:sz w:val="21"/>
              </w:rPr>
            </w:pPr>
          </w:p>
        </w:tc>
      </w:tr>
      <w:tr w14:paraId="45CF4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738FCD2C">
            <w:pPr>
              <w:rPr>
                <w:rFonts w:ascii="Arial"/>
                <w:sz w:val="21"/>
              </w:rPr>
            </w:pPr>
          </w:p>
        </w:tc>
        <w:tc>
          <w:tcPr>
            <w:tcW w:w="1415" w:type="dxa"/>
            <w:vAlign w:val="top"/>
          </w:tcPr>
          <w:p w14:paraId="1C57770D">
            <w:pPr>
              <w:rPr>
                <w:rFonts w:ascii="Arial"/>
                <w:sz w:val="21"/>
              </w:rPr>
            </w:pPr>
          </w:p>
        </w:tc>
        <w:tc>
          <w:tcPr>
            <w:tcW w:w="1063" w:type="dxa"/>
            <w:vAlign w:val="top"/>
          </w:tcPr>
          <w:p w14:paraId="31A680B8">
            <w:pPr>
              <w:rPr>
                <w:rFonts w:ascii="Arial"/>
                <w:sz w:val="21"/>
              </w:rPr>
            </w:pPr>
          </w:p>
        </w:tc>
        <w:tc>
          <w:tcPr>
            <w:tcW w:w="1062" w:type="dxa"/>
            <w:vAlign w:val="top"/>
          </w:tcPr>
          <w:p w14:paraId="68F6043F">
            <w:pPr>
              <w:rPr>
                <w:rFonts w:ascii="Arial"/>
                <w:sz w:val="21"/>
              </w:rPr>
            </w:pPr>
          </w:p>
        </w:tc>
        <w:tc>
          <w:tcPr>
            <w:tcW w:w="1063" w:type="dxa"/>
            <w:vAlign w:val="top"/>
          </w:tcPr>
          <w:p w14:paraId="60D20E3F">
            <w:pPr>
              <w:rPr>
                <w:rFonts w:ascii="Arial"/>
                <w:sz w:val="21"/>
              </w:rPr>
            </w:pPr>
          </w:p>
        </w:tc>
        <w:tc>
          <w:tcPr>
            <w:tcW w:w="1063" w:type="dxa"/>
            <w:vAlign w:val="top"/>
          </w:tcPr>
          <w:p w14:paraId="7B283A52">
            <w:pPr>
              <w:rPr>
                <w:rFonts w:ascii="Arial"/>
                <w:sz w:val="21"/>
              </w:rPr>
            </w:pPr>
          </w:p>
        </w:tc>
        <w:tc>
          <w:tcPr>
            <w:tcW w:w="1063" w:type="dxa"/>
            <w:vAlign w:val="top"/>
          </w:tcPr>
          <w:p w14:paraId="3184F137">
            <w:pPr>
              <w:rPr>
                <w:rFonts w:ascii="Arial"/>
                <w:sz w:val="21"/>
              </w:rPr>
            </w:pPr>
          </w:p>
        </w:tc>
        <w:tc>
          <w:tcPr>
            <w:tcW w:w="1067" w:type="dxa"/>
            <w:vAlign w:val="top"/>
          </w:tcPr>
          <w:p w14:paraId="1EE584C7">
            <w:pPr>
              <w:rPr>
                <w:rFonts w:ascii="Arial"/>
                <w:sz w:val="21"/>
              </w:rPr>
            </w:pPr>
          </w:p>
        </w:tc>
      </w:tr>
      <w:tr w14:paraId="6FC9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31594A8">
            <w:pPr>
              <w:rPr>
                <w:rFonts w:ascii="Arial"/>
                <w:sz w:val="21"/>
              </w:rPr>
            </w:pPr>
          </w:p>
        </w:tc>
        <w:tc>
          <w:tcPr>
            <w:tcW w:w="1415" w:type="dxa"/>
            <w:vAlign w:val="top"/>
          </w:tcPr>
          <w:p w14:paraId="2C33C177">
            <w:pPr>
              <w:rPr>
                <w:rFonts w:ascii="Arial"/>
                <w:sz w:val="21"/>
              </w:rPr>
            </w:pPr>
          </w:p>
        </w:tc>
        <w:tc>
          <w:tcPr>
            <w:tcW w:w="1063" w:type="dxa"/>
            <w:vAlign w:val="top"/>
          </w:tcPr>
          <w:p w14:paraId="3B7A03DB">
            <w:pPr>
              <w:rPr>
                <w:rFonts w:ascii="Arial"/>
                <w:sz w:val="21"/>
              </w:rPr>
            </w:pPr>
          </w:p>
        </w:tc>
        <w:tc>
          <w:tcPr>
            <w:tcW w:w="1062" w:type="dxa"/>
            <w:vAlign w:val="top"/>
          </w:tcPr>
          <w:p w14:paraId="0A6D8272">
            <w:pPr>
              <w:rPr>
                <w:rFonts w:ascii="Arial"/>
                <w:sz w:val="21"/>
              </w:rPr>
            </w:pPr>
          </w:p>
        </w:tc>
        <w:tc>
          <w:tcPr>
            <w:tcW w:w="1063" w:type="dxa"/>
            <w:vAlign w:val="top"/>
          </w:tcPr>
          <w:p w14:paraId="2F96E604">
            <w:pPr>
              <w:rPr>
                <w:rFonts w:ascii="Arial"/>
                <w:sz w:val="21"/>
              </w:rPr>
            </w:pPr>
          </w:p>
        </w:tc>
        <w:tc>
          <w:tcPr>
            <w:tcW w:w="1063" w:type="dxa"/>
            <w:vAlign w:val="top"/>
          </w:tcPr>
          <w:p w14:paraId="777FCA96">
            <w:pPr>
              <w:rPr>
                <w:rFonts w:ascii="Arial"/>
                <w:sz w:val="21"/>
              </w:rPr>
            </w:pPr>
          </w:p>
        </w:tc>
        <w:tc>
          <w:tcPr>
            <w:tcW w:w="1063" w:type="dxa"/>
            <w:vAlign w:val="top"/>
          </w:tcPr>
          <w:p w14:paraId="200D19FB">
            <w:pPr>
              <w:rPr>
                <w:rFonts w:ascii="Arial"/>
                <w:sz w:val="21"/>
              </w:rPr>
            </w:pPr>
          </w:p>
        </w:tc>
        <w:tc>
          <w:tcPr>
            <w:tcW w:w="1067" w:type="dxa"/>
            <w:vAlign w:val="top"/>
          </w:tcPr>
          <w:p w14:paraId="33F50437">
            <w:pPr>
              <w:rPr>
                <w:rFonts w:ascii="Arial"/>
                <w:sz w:val="21"/>
              </w:rPr>
            </w:pPr>
          </w:p>
        </w:tc>
      </w:tr>
      <w:tr w14:paraId="415C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41A2CB4">
            <w:pPr>
              <w:rPr>
                <w:rFonts w:ascii="Arial"/>
                <w:sz w:val="21"/>
              </w:rPr>
            </w:pPr>
          </w:p>
        </w:tc>
        <w:tc>
          <w:tcPr>
            <w:tcW w:w="1415" w:type="dxa"/>
            <w:vAlign w:val="top"/>
          </w:tcPr>
          <w:p w14:paraId="217D0328">
            <w:pPr>
              <w:rPr>
                <w:rFonts w:ascii="Arial"/>
                <w:sz w:val="21"/>
              </w:rPr>
            </w:pPr>
          </w:p>
        </w:tc>
        <w:tc>
          <w:tcPr>
            <w:tcW w:w="1063" w:type="dxa"/>
            <w:vAlign w:val="top"/>
          </w:tcPr>
          <w:p w14:paraId="2D67BA66">
            <w:pPr>
              <w:rPr>
                <w:rFonts w:ascii="Arial"/>
                <w:sz w:val="21"/>
              </w:rPr>
            </w:pPr>
          </w:p>
        </w:tc>
        <w:tc>
          <w:tcPr>
            <w:tcW w:w="1062" w:type="dxa"/>
            <w:vAlign w:val="top"/>
          </w:tcPr>
          <w:p w14:paraId="455C7614">
            <w:pPr>
              <w:rPr>
                <w:rFonts w:ascii="Arial"/>
                <w:sz w:val="21"/>
              </w:rPr>
            </w:pPr>
          </w:p>
        </w:tc>
        <w:tc>
          <w:tcPr>
            <w:tcW w:w="1063" w:type="dxa"/>
            <w:vAlign w:val="top"/>
          </w:tcPr>
          <w:p w14:paraId="5ECE0D3C">
            <w:pPr>
              <w:rPr>
                <w:rFonts w:ascii="Arial"/>
                <w:sz w:val="21"/>
              </w:rPr>
            </w:pPr>
          </w:p>
        </w:tc>
        <w:tc>
          <w:tcPr>
            <w:tcW w:w="1063" w:type="dxa"/>
            <w:vAlign w:val="top"/>
          </w:tcPr>
          <w:p w14:paraId="6BCA7926">
            <w:pPr>
              <w:rPr>
                <w:rFonts w:ascii="Arial"/>
                <w:sz w:val="21"/>
              </w:rPr>
            </w:pPr>
          </w:p>
        </w:tc>
        <w:tc>
          <w:tcPr>
            <w:tcW w:w="1063" w:type="dxa"/>
            <w:vAlign w:val="top"/>
          </w:tcPr>
          <w:p w14:paraId="2A5A1A99">
            <w:pPr>
              <w:rPr>
                <w:rFonts w:ascii="Arial"/>
                <w:sz w:val="21"/>
              </w:rPr>
            </w:pPr>
          </w:p>
        </w:tc>
        <w:tc>
          <w:tcPr>
            <w:tcW w:w="1067" w:type="dxa"/>
            <w:vAlign w:val="top"/>
          </w:tcPr>
          <w:p w14:paraId="03FD5E33">
            <w:pPr>
              <w:rPr>
                <w:rFonts w:ascii="Arial"/>
                <w:sz w:val="21"/>
              </w:rPr>
            </w:pPr>
          </w:p>
        </w:tc>
      </w:tr>
      <w:tr w14:paraId="33BC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5482498">
            <w:pPr>
              <w:rPr>
                <w:rFonts w:ascii="Arial"/>
                <w:sz w:val="21"/>
              </w:rPr>
            </w:pPr>
          </w:p>
        </w:tc>
        <w:tc>
          <w:tcPr>
            <w:tcW w:w="1415" w:type="dxa"/>
            <w:vAlign w:val="top"/>
          </w:tcPr>
          <w:p w14:paraId="196A339F">
            <w:pPr>
              <w:rPr>
                <w:rFonts w:ascii="Arial"/>
                <w:sz w:val="21"/>
              </w:rPr>
            </w:pPr>
          </w:p>
        </w:tc>
        <w:tc>
          <w:tcPr>
            <w:tcW w:w="1063" w:type="dxa"/>
            <w:vAlign w:val="top"/>
          </w:tcPr>
          <w:p w14:paraId="02263242">
            <w:pPr>
              <w:rPr>
                <w:rFonts w:ascii="Arial"/>
                <w:sz w:val="21"/>
              </w:rPr>
            </w:pPr>
          </w:p>
        </w:tc>
        <w:tc>
          <w:tcPr>
            <w:tcW w:w="1062" w:type="dxa"/>
            <w:vAlign w:val="top"/>
          </w:tcPr>
          <w:p w14:paraId="6209315D">
            <w:pPr>
              <w:rPr>
                <w:rFonts w:ascii="Arial"/>
                <w:sz w:val="21"/>
              </w:rPr>
            </w:pPr>
          </w:p>
        </w:tc>
        <w:tc>
          <w:tcPr>
            <w:tcW w:w="1063" w:type="dxa"/>
            <w:vAlign w:val="top"/>
          </w:tcPr>
          <w:p w14:paraId="5320E3FA">
            <w:pPr>
              <w:rPr>
                <w:rFonts w:ascii="Arial"/>
                <w:sz w:val="21"/>
              </w:rPr>
            </w:pPr>
          </w:p>
        </w:tc>
        <w:tc>
          <w:tcPr>
            <w:tcW w:w="1063" w:type="dxa"/>
            <w:vAlign w:val="top"/>
          </w:tcPr>
          <w:p w14:paraId="17558909">
            <w:pPr>
              <w:rPr>
                <w:rFonts w:ascii="Arial"/>
                <w:sz w:val="21"/>
              </w:rPr>
            </w:pPr>
          </w:p>
        </w:tc>
        <w:tc>
          <w:tcPr>
            <w:tcW w:w="1063" w:type="dxa"/>
            <w:vAlign w:val="top"/>
          </w:tcPr>
          <w:p w14:paraId="5F33C4C6">
            <w:pPr>
              <w:rPr>
                <w:rFonts w:ascii="Arial"/>
                <w:sz w:val="21"/>
              </w:rPr>
            </w:pPr>
          </w:p>
        </w:tc>
        <w:tc>
          <w:tcPr>
            <w:tcW w:w="1067" w:type="dxa"/>
            <w:vAlign w:val="top"/>
          </w:tcPr>
          <w:p w14:paraId="089D9B9F">
            <w:pPr>
              <w:rPr>
                <w:rFonts w:ascii="Arial"/>
                <w:sz w:val="21"/>
              </w:rPr>
            </w:pPr>
          </w:p>
        </w:tc>
      </w:tr>
      <w:tr w14:paraId="3357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269A2531">
            <w:pPr>
              <w:rPr>
                <w:rFonts w:ascii="Arial"/>
                <w:sz w:val="21"/>
              </w:rPr>
            </w:pPr>
          </w:p>
        </w:tc>
        <w:tc>
          <w:tcPr>
            <w:tcW w:w="1415" w:type="dxa"/>
            <w:vAlign w:val="top"/>
          </w:tcPr>
          <w:p w14:paraId="2056F5B8">
            <w:pPr>
              <w:rPr>
                <w:rFonts w:ascii="Arial"/>
                <w:sz w:val="21"/>
              </w:rPr>
            </w:pPr>
          </w:p>
        </w:tc>
        <w:tc>
          <w:tcPr>
            <w:tcW w:w="1063" w:type="dxa"/>
            <w:vAlign w:val="top"/>
          </w:tcPr>
          <w:p w14:paraId="44CD3CD1">
            <w:pPr>
              <w:rPr>
                <w:rFonts w:ascii="Arial"/>
                <w:sz w:val="21"/>
              </w:rPr>
            </w:pPr>
          </w:p>
        </w:tc>
        <w:tc>
          <w:tcPr>
            <w:tcW w:w="1062" w:type="dxa"/>
            <w:vAlign w:val="top"/>
          </w:tcPr>
          <w:p w14:paraId="0BB864E2">
            <w:pPr>
              <w:rPr>
                <w:rFonts w:ascii="Arial"/>
                <w:sz w:val="21"/>
              </w:rPr>
            </w:pPr>
          </w:p>
        </w:tc>
        <w:tc>
          <w:tcPr>
            <w:tcW w:w="1063" w:type="dxa"/>
            <w:vAlign w:val="top"/>
          </w:tcPr>
          <w:p w14:paraId="02EC74B1">
            <w:pPr>
              <w:rPr>
                <w:rFonts w:ascii="Arial"/>
                <w:sz w:val="21"/>
              </w:rPr>
            </w:pPr>
          </w:p>
        </w:tc>
        <w:tc>
          <w:tcPr>
            <w:tcW w:w="1063" w:type="dxa"/>
            <w:vAlign w:val="top"/>
          </w:tcPr>
          <w:p w14:paraId="13FA3B79">
            <w:pPr>
              <w:rPr>
                <w:rFonts w:ascii="Arial"/>
                <w:sz w:val="21"/>
              </w:rPr>
            </w:pPr>
          </w:p>
        </w:tc>
        <w:tc>
          <w:tcPr>
            <w:tcW w:w="1063" w:type="dxa"/>
            <w:vAlign w:val="top"/>
          </w:tcPr>
          <w:p w14:paraId="59C5AF5A">
            <w:pPr>
              <w:rPr>
                <w:rFonts w:ascii="Arial"/>
                <w:sz w:val="21"/>
              </w:rPr>
            </w:pPr>
          </w:p>
        </w:tc>
        <w:tc>
          <w:tcPr>
            <w:tcW w:w="1067" w:type="dxa"/>
            <w:vAlign w:val="top"/>
          </w:tcPr>
          <w:p w14:paraId="1DA0B400">
            <w:pPr>
              <w:rPr>
                <w:rFonts w:ascii="Arial"/>
                <w:sz w:val="21"/>
              </w:rPr>
            </w:pPr>
          </w:p>
        </w:tc>
      </w:tr>
      <w:tr w14:paraId="7EBF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2B447029">
            <w:pPr>
              <w:rPr>
                <w:rFonts w:ascii="Arial"/>
                <w:sz w:val="21"/>
              </w:rPr>
            </w:pPr>
          </w:p>
        </w:tc>
        <w:tc>
          <w:tcPr>
            <w:tcW w:w="1415" w:type="dxa"/>
            <w:vAlign w:val="top"/>
          </w:tcPr>
          <w:p w14:paraId="2CFCA5B4">
            <w:pPr>
              <w:rPr>
                <w:rFonts w:ascii="Arial"/>
                <w:sz w:val="21"/>
              </w:rPr>
            </w:pPr>
          </w:p>
        </w:tc>
        <w:tc>
          <w:tcPr>
            <w:tcW w:w="1063" w:type="dxa"/>
            <w:vAlign w:val="top"/>
          </w:tcPr>
          <w:p w14:paraId="778A1478">
            <w:pPr>
              <w:rPr>
                <w:rFonts w:ascii="Arial"/>
                <w:sz w:val="21"/>
              </w:rPr>
            </w:pPr>
          </w:p>
        </w:tc>
        <w:tc>
          <w:tcPr>
            <w:tcW w:w="1062" w:type="dxa"/>
            <w:vAlign w:val="top"/>
          </w:tcPr>
          <w:p w14:paraId="50D88980">
            <w:pPr>
              <w:rPr>
                <w:rFonts w:ascii="Arial"/>
                <w:sz w:val="21"/>
              </w:rPr>
            </w:pPr>
          </w:p>
        </w:tc>
        <w:tc>
          <w:tcPr>
            <w:tcW w:w="1063" w:type="dxa"/>
            <w:vAlign w:val="top"/>
          </w:tcPr>
          <w:p w14:paraId="3EFA8768">
            <w:pPr>
              <w:rPr>
                <w:rFonts w:ascii="Arial"/>
                <w:sz w:val="21"/>
              </w:rPr>
            </w:pPr>
          </w:p>
        </w:tc>
        <w:tc>
          <w:tcPr>
            <w:tcW w:w="1063" w:type="dxa"/>
            <w:vAlign w:val="top"/>
          </w:tcPr>
          <w:p w14:paraId="67E331CB">
            <w:pPr>
              <w:rPr>
                <w:rFonts w:ascii="Arial"/>
                <w:sz w:val="21"/>
              </w:rPr>
            </w:pPr>
          </w:p>
        </w:tc>
        <w:tc>
          <w:tcPr>
            <w:tcW w:w="1063" w:type="dxa"/>
            <w:vAlign w:val="top"/>
          </w:tcPr>
          <w:p w14:paraId="1B77CF4C">
            <w:pPr>
              <w:rPr>
                <w:rFonts w:ascii="Arial"/>
                <w:sz w:val="21"/>
              </w:rPr>
            </w:pPr>
          </w:p>
        </w:tc>
        <w:tc>
          <w:tcPr>
            <w:tcW w:w="1067" w:type="dxa"/>
            <w:vAlign w:val="top"/>
          </w:tcPr>
          <w:p w14:paraId="3EA07BAA">
            <w:pPr>
              <w:rPr>
                <w:rFonts w:ascii="Arial"/>
                <w:sz w:val="21"/>
              </w:rPr>
            </w:pPr>
          </w:p>
        </w:tc>
      </w:tr>
      <w:tr w14:paraId="2D9F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004F24D4">
            <w:pPr>
              <w:rPr>
                <w:rFonts w:ascii="Arial"/>
                <w:sz w:val="21"/>
              </w:rPr>
            </w:pPr>
          </w:p>
        </w:tc>
        <w:tc>
          <w:tcPr>
            <w:tcW w:w="1415" w:type="dxa"/>
            <w:vAlign w:val="top"/>
          </w:tcPr>
          <w:p w14:paraId="098F136B">
            <w:pPr>
              <w:rPr>
                <w:rFonts w:ascii="Arial"/>
                <w:sz w:val="21"/>
              </w:rPr>
            </w:pPr>
          </w:p>
        </w:tc>
        <w:tc>
          <w:tcPr>
            <w:tcW w:w="1063" w:type="dxa"/>
            <w:vAlign w:val="top"/>
          </w:tcPr>
          <w:p w14:paraId="667B051E">
            <w:pPr>
              <w:rPr>
                <w:rFonts w:ascii="Arial"/>
                <w:sz w:val="21"/>
              </w:rPr>
            </w:pPr>
          </w:p>
        </w:tc>
        <w:tc>
          <w:tcPr>
            <w:tcW w:w="1062" w:type="dxa"/>
            <w:vAlign w:val="top"/>
          </w:tcPr>
          <w:p w14:paraId="4C144B94">
            <w:pPr>
              <w:rPr>
                <w:rFonts w:ascii="Arial"/>
                <w:sz w:val="21"/>
              </w:rPr>
            </w:pPr>
          </w:p>
        </w:tc>
        <w:tc>
          <w:tcPr>
            <w:tcW w:w="1063" w:type="dxa"/>
            <w:vAlign w:val="top"/>
          </w:tcPr>
          <w:p w14:paraId="7717DB57">
            <w:pPr>
              <w:rPr>
                <w:rFonts w:ascii="Arial"/>
                <w:sz w:val="21"/>
              </w:rPr>
            </w:pPr>
          </w:p>
        </w:tc>
        <w:tc>
          <w:tcPr>
            <w:tcW w:w="1063" w:type="dxa"/>
            <w:vAlign w:val="top"/>
          </w:tcPr>
          <w:p w14:paraId="15D8E8F2">
            <w:pPr>
              <w:rPr>
                <w:rFonts w:ascii="Arial"/>
                <w:sz w:val="21"/>
              </w:rPr>
            </w:pPr>
          </w:p>
        </w:tc>
        <w:tc>
          <w:tcPr>
            <w:tcW w:w="1063" w:type="dxa"/>
            <w:vAlign w:val="top"/>
          </w:tcPr>
          <w:p w14:paraId="6AAB615B">
            <w:pPr>
              <w:rPr>
                <w:rFonts w:ascii="Arial"/>
                <w:sz w:val="21"/>
              </w:rPr>
            </w:pPr>
          </w:p>
        </w:tc>
        <w:tc>
          <w:tcPr>
            <w:tcW w:w="1067" w:type="dxa"/>
            <w:vAlign w:val="top"/>
          </w:tcPr>
          <w:p w14:paraId="1A28F824">
            <w:pPr>
              <w:rPr>
                <w:rFonts w:ascii="Arial"/>
                <w:sz w:val="21"/>
              </w:rPr>
            </w:pPr>
          </w:p>
        </w:tc>
      </w:tr>
      <w:tr w14:paraId="263C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5" w:type="dxa"/>
            <w:vAlign w:val="top"/>
          </w:tcPr>
          <w:p w14:paraId="0E91498E">
            <w:pPr>
              <w:rPr>
                <w:rFonts w:ascii="Arial"/>
                <w:sz w:val="21"/>
              </w:rPr>
            </w:pPr>
          </w:p>
        </w:tc>
        <w:tc>
          <w:tcPr>
            <w:tcW w:w="1415" w:type="dxa"/>
            <w:vAlign w:val="top"/>
          </w:tcPr>
          <w:p w14:paraId="3F7684C7">
            <w:pPr>
              <w:rPr>
                <w:rFonts w:ascii="Arial"/>
                <w:sz w:val="21"/>
              </w:rPr>
            </w:pPr>
          </w:p>
        </w:tc>
        <w:tc>
          <w:tcPr>
            <w:tcW w:w="1063" w:type="dxa"/>
            <w:vAlign w:val="top"/>
          </w:tcPr>
          <w:p w14:paraId="4724E4E4">
            <w:pPr>
              <w:rPr>
                <w:rFonts w:ascii="Arial"/>
                <w:sz w:val="21"/>
              </w:rPr>
            </w:pPr>
          </w:p>
        </w:tc>
        <w:tc>
          <w:tcPr>
            <w:tcW w:w="1062" w:type="dxa"/>
            <w:vAlign w:val="top"/>
          </w:tcPr>
          <w:p w14:paraId="468458D4">
            <w:pPr>
              <w:rPr>
                <w:rFonts w:ascii="Arial"/>
                <w:sz w:val="21"/>
              </w:rPr>
            </w:pPr>
          </w:p>
        </w:tc>
        <w:tc>
          <w:tcPr>
            <w:tcW w:w="1063" w:type="dxa"/>
            <w:vAlign w:val="top"/>
          </w:tcPr>
          <w:p w14:paraId="2F1870E3">
            <w:pPr>
              <w:rPr>
                <w:rFonts w:ascii="Arial"/>
                <w:sz w:val="21"/>
              </w:rPr>
            </w:pPr>
          </w:p>
        </w:tc>
        <w:tc>
          <w:tcPr>
            <w:tcW w:w="1063" w:type="dxa"/>
            <w:vAlign w:val="top"/>
          </w:tcPr>
          <w:p w14:paraId="737C0527">
            <w:pPr>
              <w:rPr>
                <w:rFonts w:ascii="Arial"/>
                <w:sz w:val="21"/>
              </w:rPr>
            </w:pPr>
          </w:p>
        </w:tc>
        <w:tc>
          <w:tcPr>
            <w:tcW w:w="1063" w:type="dxa"/>
            <w:vAlign w:val="top"/>
          </w:tcPr>
          <w:p w14:paraId="6B9155BC">
            <w:pPr>
              <w:rPr>
                <w:rFonts w:ascii="Arial"/>
                <w:sz w:val="21"/>
              </w:rPr>
            </w:pPr>
          </w:p>
        </w:tc>
        <w:tc>
          <w:tcPr>
            <w:tcW w:w="1067" w:type="dxa"/>
            <w:vAlign w:val="top"/>
          </w:tcPr>
          <w:p w14:paraId="72483CF3">
            <w:pPr>
              <w:rPr>
                <w:rFonts w:ascii="Arial"/>
                <w:sz w:val="21"/>
              </w:rPr>
            </w:pPr>
          </w:p>
        </w:tc>
      </w:tr>
      <w:tr w14:paraId="45DB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5B76EBE9">
            <w:pPr>
              <w:rPr>
                <w:rFonts w:ascii="Arial"/>
                <w:sz w:val="21"/>
              </w:rPr>
            </w:pPr>
          </w:p>
        </w:tc>
        <w:tc>
          <w:tcPr>
            <w:tcW w:w="1415" w:type="dxa"/>
            <w:vAlign w:val="top"/>
          </w:tcPr>
          <w:p w14:paraId="303BF596">
            <w:pPr>
              <w:rPr>
                <w:rFonts w:ascii="Arial"/>
                <w:sz w:val="21"/>
              </w:rPr>
            </w:pPr>
          </w:p>
        </w:tc>
        <w:tc>
          <w:tcPr>
            <w:tcW w:w="1063" w:type="dxa"/>
            <w:vAlign w:val="top"/>
          </w:tcPr>
          <w:p w14:paraId="7B6FDCAE">
            <w:pPr>
              <w:rPr>
                <w:rFonts w:ascii="Arial"/>
                <w:sz w:val="21"/>
              </w:rPr>
            </w:pPr>
          </w:p>
        </w:tc>
        <w:tc>
          <w:tcPr>
            <w:tcW w:w="1062" w:type="dxa"/>
            <w:vAlign w:val="top"/>
          </w:tcPr>
          <w:p w14:paraId="294AF291">
            <w:pPr>
              <w:rPr>
                <w:rFonts w:ascii="Arial"/>
                <w:sz w:val="21"/>
              </w:rPr>
            </w:pPr>
          </w:p>
        </w:tc>
        <w:tc>
          <w:tcPr>
            <w:tcW w:w="1063" w:type="dxa"/>
            <w:vAlign w:val="top"/>
          </w:tcPr>
          <w:p w14:paraId="23C1E22E">
            <w:pPr>
              <w:rPr>
                <w:rFonts w:ascii="Arial"/>
                <w:sz w:val="21"/>
              </w:rPr>
            </w:pPr>
          </w:p>
        </w:tc>
        <w:tc>
          <w:tcPr>
            <w:tcW w:w="1063" w:type="dxa"/>
            <w:vAlign w:val="top"/>
          </w:tcPr>
          <w:p w14:paraId="48493F0F">
            <w:pPr>
              <w:rPr>
                <w:rFonts w:ascii="Arial"/>
                <w:sz w:val="21"/>
              </w:rPr>
            </w:pPr>
          </w:p>
        </w:tc>
        <w:tc>
          <w:tcPr>
            <w:tcW w:w="1063" w:type="dxa"/>
            <w:vAlign w:val="top"/>
          </w:tcPr>
          <w:p w14:paraId="0521AC7D">
            <w:pPr>
              <w:rPr>
                <w:rFonts w:ascii="Arial"/>
                <w:sz w:val="21"/>
              </w:rPr>
            </w:pPr>
          </w:p>
        </w:tc>
        <w:tc>
          <w:tcPr>
            <w:tcW w:w="1067" w:type="dxa"/>
            <w:vAlign w:val="top"/>
          </w:tcPr>
          <w:p w14:paraId="4E0141B8">
            <w:pPr>
              <w:rPr>
                <w:rFonts w:ascii="Arial"/>
                <w:sz w:val="21"/>
              </w:rPr>
            </w:pPr>
          </w:p>
        </w:tc>
      </w:tr>
      <w:tr w14:paraId="6B66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428C3522">
            <w:pPr>
              <w:rPr>
                <w:rFonts w:ascii="Arial"/>
                <w:sz w:val="21"/>
              </w:rPr>
            </w:pPr>
          </w:p>
        </w:tc>
        <w:tc>
          <w:tcPr>
            <w:tcW w:w="1415" w:type="dxa"/>
            <w:vAlign w:val="top"/>
          </w:tcPr>
          <w:p w14:paraId="6F0CDEA1">
            <w:pPr>
              <w:rPr>
                <w:rFonts w:ascii="Arial"/>
                <w:sz w:val="21"/>
              </w:rPr>
            </w:pPr>
          </w:p>
        </w:tc>
        <w:tc>
          <w:tcPr>
            <w:tcW w:w="1063" w:type="dxa"/>
            <w:vAlign w:val="top"/>
          </w:tcPr>
          <w:p w14:paraId="35383C03">
            <w:pPr>
              <w:rPr>
                <w:rFonts w:ascii="Arial"/>
                <w:sz w:val="21"/>
              </w:rPr>
            </w:pPr>
          </w:p>
        </w:tc>
        <w:tc>
          <w:tcPr>
            <w:tcW w:w="1062" w:type="dxa"/>
            <w:vAlign w:val="top"/>
          </w:tcPr>
          <w:p w14:paraId="29A09760">
            <w:pPr>
              <w:rPr>
                <w:rFonts w:ascii="Arial"/>
                <w:sz w:val="21"/>
              </w:rPr>
            </w:pPr>
          </w:p>
        </w:tc>
        <w:tc>
          <w:tcPr>
            <w:tcW w:w="1063" w:type="dxa"/>
            <w:vAlign w:val="top"/>
          </w:tcPr>
          <w:p w14:paraId="2CFB886C">
            <w:pPr>
              <w:rPr>
                <w:rFonts w:ascii="Arial"/>
                <w:sz w:val="21"/>
              </w:rPr>
            </w:pPr>
          </w:p>
        </w:tc>
        <w:tc>
          <w:tcPr>
            <w:tcW w:w="1063" w:type="dxa"/>
            <w:vAlign w:val="top"/>
          </w:tcPr>
          <w:p w14:paraId="77AFEC41">
            <w:pPr>
              <w:rPr>
                <w:rFonts w:ascii="Arial"/>
                <w:sz w:val="21"/>
              </w:rPr>
            </w:pPr>
          </w:p>
        </w:tc>
        <w:tc>
          <w:tcPr>
            <w:tcW w:w="1063" w:type="dxa"/>
            <w:vAlign w:val="top"/>
          </w:tcPr>
          <w:p w14:paraId="41686F35">
            <w:pPr>
              <w:rPr>
                <w:rFonts w:ascii="Arial"/>
                <w:sz w:val="21"/>
              </w:rPr>
            </w:pPr>
          </w:p>
        </w:tc>
        <w:tc>
          <w:tcPr>
            <w:tcW w:w="1067" w:type="dxa"/>
            <w:vAlign w:val="top"/>
          </w:tcPr>
          <w:p w14:paraId="64486BED">
            <w:pPr>
              <w:rPr>
                <w:rFonts w:ascii="Arial"/>
                <w:sz w:val="21"/>
              </w:rPr>
            </w:pPr>
          </w:p>
        </w:tc>
      </w:tr>
      <w:tr w14:paraId="0BE5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08E56336">
            <w:pPr>
              <w:rPr>
                <w:rFonts w:ascii="Arial"/>
                <w:sz w:val="21"/>
              </w:rPr>
            </w:pPr>
          </w:p>
        </w:tc>
        <w:tc>
          <w:tcPr>
            <w:tcW w:w="1415" w:type="dxa"/>
            <w:vAlign w:val="top"/>
          </w:tcPr>
          <w:p w14:paraId="5F8FD7E3">
            <w:pPr>
              <w:rPr>
                <w:rFonts w:ascii="Arial"/>
                <w:sz w:val="21"/>
              </w:rPr>
            </w:pPr>
          </w:p>
        </w:tc>
        <w:tc>
          <w:tcPr>
            <w:tcW w:w="1063" w:type="dxa"/>
            <w:vAlign w:val="top"/>
          </w:tcPr>
          <w:p w14:paraId="3FB7C5FE">
            <w:pPr>
              <w:rPr>
                <w:rFonts w:ascii="Arial"/>
                <w:sz w:val="21"/>
              </w:rPr>
            </w:pPr>
          </w:p>
        </w:tc>
        <w:tc>
          <w:tcPr>
            <w:tcW w:w="1062" w:type="dxa"/>
            <w:vAlign w:val="top"/>
          </w:tcPr>
          <w:p w14:paraId="2F76268E">
            <w:pPr>
              <w:rPr>
                <w:rFonts w:ascii="Arial"/>
                <w:sz w:val="21"/>
              </w:rPr>
            </w:pPr>
          </w:p>
        </w:tc>
        <w:tc>
          <w:tcPr>
            <w:tcW w:w="1063" w:type="dxa"/>
            <w:vAlign w:val="top"/>
          </w:tcPr>
          <w:p w14:paraId="5A9B15CB">
            <w:pPr>
              <w:rPr>
                <w:rFonts w:ascii="Arial"/>
                <w:sz w:val="21"/>
              </w:rPr>
            </w:pPr>
          </w:p>
        </w:tc>
        <w:tc>
          <w:tcPr>
            <w:tcW w:w="1063" w:type="dxa"/>
            <w:vAlign w:val="top"/>
          </w:tcPr>
          <w:p w14:paraId="63823EC1">
            <w:pPr>
              <w:rPr>
                <w:rFonts w:ascii="Arial"/>
                <w:sz w:val="21"/>
              </w:rPr>
            </w:pPr>
          </w:p>
        </w:tc>
        <w:tc>
          <w:tcPr>
            <w:tcW w:w="1063" w:type="dxa"/>
            <w:vAlign w:val="top"/>
          </w:tcPr>
          <w:p w14:paraId="709096AC">
            <w:pPr>
              <w:rPr>
                <w:rFonts w:ascii="Arial"/>
                <w:sz w:val="21"/>
              </w:rPr>
            </w:pPr>
          </w:p>
        </w:tc>
        <w:tc>
          <w:tcPr>
            <w:tcW w:w="1067" w:type="dxa"/>
            <w:vAlign w:val="top"/>
          </w:tcPr>
          <w:p w14:paraId="3D1DC023">
            <w:pPr>
              <w:rPr>
                <w:rFonts w:ascii="Arial"/>
                <w:sz w:val="21"/>
              </w:rPr>
            </w:pPr>
          </w:p>
        </w:tc>
      </w:tr>
      <w:tr w14:paraId="467B6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7C68F35D">
            <w:pPr>
              <w:rPr>
                <w:rFonts w:ascii="Arial"/>
                <w:sz w:val="21"/>
              </w:rPr>
            </w:pPr>
          </w:p>
        </w:tc>
        <w:tc>
          <w:tcPr>
            <w:tcW w:w="1415" w:type="dxa"/>
            <w:vAlign w:val="top"/>
          </w:tcPr>
          <w:p w14:paraId="2412EDB6">
            <w:pPr>
              <w:rPr>
                <w:rFonts w:ascii="Arial"/>
                <w:sz w:val="21"/>
              </w:rPr>
            </w:pPr>
          </w:p>
        </w:tc>
        <w:tc>
          <w:tcPr>
            <w:tcW w:w="1063" w:type="dxa"/>
            <w:vAlign w:val="top"/>
          </w:tcPr>
          <w:p w14:paraId="7BA33669">
            <w:pPr>
              <w:rPr>
                <w:rFonts w:ascii="Arial"/>
                <w:sz w:val="21"/>
              </w:rPr>
            </w:pPr>
          </w:p>
        </w:tc>
        <w:tc>
          <w:tcPr>
            <w:tcW w:w="1062" w:type="dxa"/>
            <w:vAlign w:val="top"/>
          </w:tcPr>
          <w:p w14:paraId="6DC4A213">
            <w:pPr>
              <w:rPr>
                <w:rFonts w:ascii="Arial"/>
                <w:sz w:val="21"/>
              </w:rPr>
            </w:pPr>
          </w:p>
        </w:tc>
        <w:tc>
          <w:tcPr>
            <w:tcW w:w="1063" w:type="dxa"/>
            <w:vAlign w:val="top"/>
          </w:tcPr>
          <w:p w14:paraId="67030C7F">
            <w:pPr>
              <w:rPr>
                <w:rFonts w:ascii="Arial"/>
                <w:sz w:val="21"/>
              </w:rPr>
            </w:pPr>
          </w:p>
        </w:tc>
        <w:tc>
          <w:tcPr>
            <w:tcW w:w="1063" w:type="dxa"/>
            <w:vAlign w:val="top"/>
          </w:tcPr>
          <w:p w14:paraId="0C4D9693">
            <w:pPr>
              <w:rPr>
                <w:rFonts w:ascii="Arial"/>
                <w:sz w:val="21"/>
              </w:rPr>
            </w:pPr>
          </w:p>
        </w:tc>
        <w:tc>
          <w:tcPr>
            <w:tcW w:w="1063" w:type="dxa"/>
            <w:vAlign w:val="top"/>
          </w:tcPr>
          <w:p w14:paraId="27760D07">
            <w:pPr>
              <w:rPr>
                <w:rFonts w:ascii="Arial"/>
                <w:sz w:val="21"/>
              </w:rPr>
            </w:pPr>
          </w:p>
        </w:tc>
        <w:tc>
          <w:tcPr>
            <w:tcW w:w="1067" w:type="dxa"/>
            <w:vAlign w:val="top"/>
          </w:tcPr>
          <w:p w14:paraId="0EB25C2A">
            <w:pPr>
              <w:rPr>
                <w:rFonts w:ascii="Arial"/>
                <w:sz w:val="21"/>
              </w:rPr>
            </w:pPr>
          </w:p>
        </w:tc>
      </w:tr>
      <w:tr w14:paraId="3F2D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15" w:type="dxa"/>
            <w:vAlign w:val="top"/>
          </w:tcPr>
          <w:p w14:paraId="01D39D17">
            <w:pPr>
              <w:rPr>
                <w:rFonts w:ascii="Arial"/>
                <w:sz w:val="21"/>
              </w:rPr>
            </w:pPr>
          </w:p>
        </w:tc>
        <w:tc>
          <w:tcPr>
            <w:tcW w:w="1415" w:type="dxa"/>
            <w:vAlign w:val="top"/>
          </w:tcPr>
          <w:p w14:paraId="5513B71C">
            <w:pPr>
              <w:rPr>
                <w:rFonts w:ascii="Arial"/>
                <w:sz w:val="21"/>
              </w:rPr>
            </w:pPr>
          </w:p>
        </w:tc>
        <w:tc>
          <w:tcPr>
            <w:tcW w:w="1063" w:type="dxa"/>
            <w:vAlign w:val="top"/>
          </w:tcPr>
          <w:p w14:paraId="44B9F191">
            <w:pPr>
              <w:rPr>
                <w:rFonts w:ascii="Arial"/>
                <w:sz w:val="21"/>
              </w:rPr>
            </w:pPr>
          </w:p>
        </w:tc>
        <w:tc>
          <w:tcPr>
            <w:tcW w:w="1062" w:type="dxa"/>
            <w:vAlign w:val="top"/>
          </w:tcPr>
          <w:p w14:paraId="7C237C9E">
            <w:pPr>
              <w:rPr>
                <w:rFonts w:ascii="Arial"/>
                <w:sz w:val="21"/>
              </w:rPr>
            </w:pPr>
          </w:p>
        </w:tc>
        <w:tc>
          <w:tcPr>
            <w:tcW w:w="1063" w:type="dxa"/>
            <w:vAlign w:val="top"/>
          </w:tcPr>
          <w:p w14:paraId="343AADDC">
            <w:pPr>
              <w:rPr>
                <w:rFonts w:ascii="Arial"/>
                <w:sz w:val="21"/>
              </w:rPr>
            </w:pPr>
          </w:p>
        </w:tc>
        <w:tc>
          <w:tcPr>
            <w:tcW w:w="1063" w:type="dxa"/>
            <w:vAlign w:val="top"/>
          </w:tcPr>
          <w:p w14:paraId="73E29C58">
            <w:pPr>
              <w:rPr>
                <w:rFonts w:ascii="Arial"/>
                <w:sz w:val="21"/>
              </w:rPr>
            </w:pPr>
          </w:p>
        </w:tc>
        <w:tc>
          <w:tcPr>
            <w:tcW w:w="1063" w:type="dxa"/>
            <w:vAlign w:val="top"/>
          </w:tcPr>
          <w:p w14:paraId="2383C8FE">
            <w:pPr>
              <w:rPr>
                <w:rFonts w:ascii="Arial"/>
                <w:sz w:val="21"/>
              </w:rPr>
            </w:pPr>
          </w:p>
        </w:tc>
        <w:tc>
          <w:tcPr>
            <w:tcW w:w="1067" w:type="dxa"/>
            <w:vAlign w:val="top"/>
          </w:tcPr>
          <w:p w14:paraId="434676BB">
            <w:pPr>
              <w:rPr>
                <w:rFonts w:ascii="Arial"/>
                <w:sz w:val="21"/>
              </w:rPr>
            </w:pPr>
          </w:p>
        </w:tc>
      </w:tr>
      <w:tr w14:paraId="4F8D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5" w:type="dxa"/>
            <w:vAlign w:val="top"/>
          </w:tcPr>
          <w:p w14:paraId="53E2759F">
            <w:pPr>
              <w:rPr>
                <w:rFonts w:ascii="Arial"/>
                <w:sz w:val="21"/>
              </w:rPr>
            </w:pPr>
          </w:p>
        </w:tc>
        <w:tc>
          <w:tcPr>
            <w:tcW w:w="1415" w:type="dxa"/>
            <w:vAlign w:val="top"/>
          </w:tcPr>
          <w:p w14:paraId="545E974C">
            <w:pPr>
              <w:rPr>
                <w:rFonts w:ascii="Arial"/>
                <w:sz w:val="21"/>
              </w:rPr>
            </w:pPr>
          </w:p>
        </w:tc>
        <w:tc>
          <w:tcPr>
            <w:tcW w:w="1063" w:type="dxa"/>
            <w:vAlign w:val="top"/>
          </w:tcPr>
          <w:p w14:paraId="32F022F7">
            <w:pPr>
              <w:rPr>
                <w:rFonts w:ascii="Arial"/>
                <w:sz w:val="21"/>
              </w:rPr>
            </w:pPr>
          </w:p>
        </w:tc>
        <w:tc>
          <w:tcPr>
            <w:tcW w:w="1062" w:type="dxa"/>
            <w:vAlign w:val="top"/>
          </w:tcPr>
          <w:p w14:paraId="5C7926BC">
            <w:pPr>
              <w:rPr>
                <w:rFonts w:ascii="Arial"/>
                <w:sz w:val="21"/>
              </w:rPr>
            </w:pPr>
          </w:p>
        </w:tc>
        <w:tc>
          <w:tcPr>
            <w:tcW w:w="1063" w:type="dxa"/>
            <w:vAlign w:val="top"/>
          </w:tcPr>
          <w:p w14:paraId="74BFDC10">
            <w:pPr>
              <w:rPr>
                <w:rFonts w:ascii="Arial"/>
                <w:sz w:val="21"/>
              </w:rPr>
            </w:pPr>
          </w:p>
        </w:tc>
        <w:tc>
          <w:tcPr>
            <w:tcW w:w="1063" w:type="dxa"/>
            <w:vAlign w:val="top"/>
          </w:tcPr>
          <w:p w14:paraId="440ED69F">
            <w:pPr>
              <w:rPr>
                <w:rFonts w:ascii="Arial"/>
                <w:sz w:val="21"/>
              </w:rPr>
            </w:pPr>
          </w:p>
        </w:tc>
        <w:tc>
          <w:tcPr>
            <w:tcW w:w="1063" w:type="dxa"/>
            <w:vAlign w:val="top"/>
          </w:tcPr>
          <w:p w14:paraId="1F0E6854">
            <w:pPr>
              <w:rPr>
                <w:rFonts w:ascii="Arial"/>
                <w:sz w:val="21"/>
              </w:rPr>
            </w:pPr>
          </w:p>
        </w:tc>
        <w:tc>
          <w:tcPr>
            <w:tcW w:w="1067" w:type="dxa"/>
            <w:vAlign w:val="top"/>
          </w:tcPr>
          <w:p w14:paraId="7927CE0A">
            <w:pPr>
              <w:rPr>
                <w:rFonts w:ascii="Arial"/>
                <w:sz w:val="21"/>
              </w:rPr>
            </w:pPr>
          </w:p>
        </w:tc>
      </w:tr>
      <w:tr w14:paraId="2840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15" w:type="dxa"/>
            <w:vAlign w:val="top"/>
          </w:tcPr>
          <w:p w14:paraId="5F18EB68">
            <w:pPr>
              <w:rPr>
                <w:rFonts w:ascii="Arial"/>
                <w:sz w:val="21"/>
              </w:rPr>
            </w:pPr>
          </w:p>
        </w:tc>
        <w:tc>
          <w:tcPr>
            <w:tcW w:w="1415" w:type="dxa"/>
            <w:vAlign w:val="top"/>
          </w:tcPr>
          <w:p w14:paraId="56FFBA45">
            <w:pPr>
              <w:rPr>
                <w:rFonts w:ascii="Arial"/>
                <w:sz w:val="21"/>
              </w:rPr>
            </w:pPr>
          </w:p>
        </w:tc>
        <w:tc>
          <w:tcPr>
            <w:tcW w:w="1063" w:type="dxa"/>
            <w:vAlign w:val="top"/>
          </w:tcPr>
          <w:p w14:paraId="1BA4CF6C">
            <w:pPr>
              <w:rPr>
                <w:rFonts w:ascii="Arial"/>
                <w:sz w:val="21"/>
              </w:rPr>
            </w:pPr>
          </w:p>
        </w:tc>
        <w:tc>
          <w:tcPr>
            <w:tcW w:w="1062" w:type="dxa"/>
            <w:vAlign w:val="top"/>
          </w:tcPr>
          <w:p w14:paraId="066DFDC9">
            <w:pPr>
              <w:rPr>
                <w:rFonts w:ascii="Arial"/>
                <w:sz w:val="21"/>
              </w:rPr>
            </w:pPr>
          </w:p>
        </w:tc>
        <w:tc>
          <w:tcPr>
            <w:tcW w:w="1063" w:type="dxa"/>
            <w:vAlign w:val="top"/>
          </w:tcPr>
          <w:p w14:paraId="095575C7">
            <w:pPr>
              <w:rPr>
                <w:rFonts w:ascii="Arial"/>
                <w:sz w:val="21"/>
              </w:rPr>
            </w:pPr>
          </w:p>
        </w:tc>
        <w:tc>
          <w:tcPr>
            <w:tcW w:w="1063" w:type="dxa"/>
            <w:vAlign w:val="top"/>
          </w:tcPr>
          <w:p w14:paraId="487062C8">
            <w:pPr>
              <w:rPr>
                <w:rFonts w:ascii="Arial"/>
                <w:sz w:val="21"/>
              </w:rPr>
            </w:pPr>
          </w:p>
        </w:tc>
        <w:tc>
          <w:tcPr>
            <w:tcW w:w="1063" w:type="dxa"/>
            <w:vAlign w:val="top"/>
          </w:tcPr>
          <w:p w14:paraId="6C876B9D">
            <w:pPr>
              <w:rPr>
                <w:rFonts w:ascii="Arial"/>
                <w:sz w:val="21"/>
              </w:rPr>
            </w:pPr>
          </w:p>
        </w:tc>
        <w:tc>
          <w:tcPr>
            <w:tcW w:w="1067" w:type="dxa"/>
            <w:vAlign w:val="top"/>
          </w:tcPr>
          <w:p w14:paraId="0A8ED164">
            <w:pPr>
              <w:rPr>
                <w:rFonts w:ascii="Arial"/>
                <w:sz w:val="21"/>
              </w:rPr>
            </w:pPr>
          </w:p>
        </w:tc>
      </w:tr>
    </w:tbl>
    <w:p w14:paraId="340F064E">
      <w:pPr>
        <w:pStyle w:val="5"/>
      </w:pPr>
    </w:p>
    <w:p w14:paraId="0B96FA6D">
      <w:pPr>
        <w:sectPr>
          <w:footerReference r:id="rId227" w:type="default"/>
          <w:pgSz w:w="11905" w:h="16843"/>
          <w:pgMar w:top="969" w:right="1355" w:bottom="1026" w:left="1480" w:header="0" w:footer="754" w:gutter="0"/>
          <w:cols w:space="0" w:num="1"/>
          <w:rtlGutter w:val="0"/>
          <w:docGrid w:linePitch="0" w:charSpace="0"/>
        </w:sectPr>
      </w:pPr>
    </w:p>
    <w:p w14:paraId="11C86875">
      <w:pPr>
        <w:pStyle w:val="5"/>
        <w:spacing w:line="265" w:lineRule="auto"/>
      </w:pPr>
    </w:p>
    <w:p w14:paraId="5FD53CB5">
      <w:pPr>
        <w:pStyle w:val="5"/>
        <w:spacing w:line="265" w:lineRule="auto"/>
      </w:pPr>
    </w:p>
    <w:p w14:paraId="6BD2B479">
      <w:pPr>
        <w:pStyle w:val="5"/>
        <w:spacing w:line="266" w:lineRule="auto"/>
      </w:pPr>
    </w:p>
    <w:p w14:paraId="2D75373E">
      <w:pPr>
        <w:pStyle w:val="5"/>
        <w:spacing w:line="266" w:lineRule="auto"/>
      </w:pPr>
    </w:p>
    <w:p w14:paraId="013C7DF5">
      <w:pPr>
        <w:pStyle w:val="5"/>
        <w:spacing w:line="266" w:lineRule="auto"/>
      </w:pPr>
    </w:p>
    <w:p w14:paraId="2D69F689">
      <w:pPr>
        <w:spacing w:before="78" w:line="218" w:lineRule="auto"/>
        <w:outlineLvl w:val="2"/>
        <w:rPr>
          <w:rFonts w:ascii="黑体" w:hAnsi="黑体" w:eastAsia="黑体" w:cs="黑体"/>
          <w:sz w:val="24"/>
          <w:szCs w:val="24"/>
        </w:rPr>
      </w:pPr>
      <w:bookmarkStart w:id="1408" w:name="bookmark472"/>
      <w:bookmarkEnd w:id="1408"/>
      <w:r>
        <w:rPr>
          <w:rFonts w:ascii="黑体" w:hAnsi="黑体" w:eastAsia="黑体" w:cs="黑体"/>
          <w:spacing w:val="-2"/>
          <w:sz w:val="24"/>
          <w:szCs w:val="24"/>
        </w:rPr>
        <w:t>附表四：计划开、竣工日期和施工进度网络图</w:t>
      </w:r>
    </w:p>
    <w:p w14:paraId="3D3C3F61">
      <w:pPr>
        <w:spacing w:before="156" w:line="295" w:lineRule="auto"/>
        <w:ind w:left="2" w:firstLine="418"/>
        <w:rPr>
          <w:rFonts w:ascii="宋体" w:hAnsi="宋体" w:eastAsia="宋体" w:cs="宋体"/>
          <w:sz w:val="21"/>
          <w:szCs w:val="21"/>
        </w:rPr>
      </w:pPr>
      <w:r>
        <w:rPr>
          <w:rFonts w:ascii="宋体" w:hAnsi="宋体" w:eastAsia="宋体" w:cs="宋体"/>
          <w:spacing w:val="4"/>
          <w:sz w:val="21"/>
          <w:szCs w:val="21"/>
        </w:rPr>
        <w:t>1．投标人应递交施工进度网络图或施工进度表，说明按招标文件要求的计划工期进行</w:t>
      </w:r>
      <w:r>
        <w:rPr>
          <w:rFonts w:ascii="宋体" w:hAnsi="宋体" w:eastAsia="宋体" w:cs="宋体"/>
          <w:spacing w:val="3"/>
          <w:sz w:val="21"/>
          <w:szCs w:val="21"/>
        </w:rPr>
        <w:t>施工</w:t>
      </w:r>
      <w:r>
        <w:rPr>
          <w:rFonts w:ascii="宋体" w:hAnsi="宋体" w:eastAsia="宋体" w:cs="宋体"/>
          <w:spacing w:val="-3"/>
          <w:sz w:val="21"/>
          <w:szCs w:val="21"/>
        </w:rPr>
        <w:t>的各个关键日期。</w:t>
      </w:r>
    </w:p>
    <w:p w14:paraId="4D056780">
      <w:pPr>
        <w:spacing w:before="168" w:line="220" w:lineRule="auto"/>
        <w:ind w:left="408"/>
        <w:rPr>
          <w:rFonts w:ascii="宋体" w:hAnsi="宋体" w:eastAsia="宋体" w:cs="宋体"/>
          <w:sz w:val="21"/>
          <w:szCs w:val="21"/>
        </w:rPr>
      </w:pPr>
      <w:r>
        <w:rPr>
          <w:rFonts w:ascii="宋体" w:hAnsi="宋体" w:eastAsia="宋体" w:cs="宋体"/>
          <w:spacing w:val="-1"/>
          <w:sz w:val="21"/>
          <w:szCs w:val="21"/>
        </w:rPr>
        <w:t>2．施工进度表可采用网络图和（或）横道图表示。</w:t>
      </w:r>
    </w:p>
    <w:p w14:paraId="777386A6">
      <w:pPr>
        <w:spacing w:line="220" w:lineRule="auto"/>
        <w:rPr>
          <w:rFonts w:ascii="宋体" w:hAnsi="宋体" w:eastAsia="宋体" w:cs="宋体"/>
          <w:sz w:val="21"/>
          <w:szCs w:val="21"/>
        </w:rPr>
        <w:sectPr>
          <w:footerReference r:id="rId228" w:type="default"/>
          <w:pgSz w:w="11905" w:h="16843"/>
          <w:pgMar w:top="969" w:right="1355" w:bottom="1026" w:left="1480" w:header="0" w:footer="754" w:gutter="0"/>
          <w:cols w:space="0" w:num="1"/>
          <w:rtlGutter w:val="0"/>
          <w:docGrid w:linePitch="0" w:charSpace="0"/>
        </w:sectPr>
      </w:pPr>
    </w:p>
    <w:p w14:paraId="085D3631">
      <w:pPr>
        <w:pStyle w:val="5"/>
        <w:spacing w:line="265" w:lineRule="auto"/>
      </w:pPr>
    </w:p>
    <w:p w14:paraId="0BC68430">
      <w:pPr>
        <w:pStyle w:val="5"/>
        <w:spacing w:line="265" w:lineRule="auto"/>
      </w:pPr>
    </w:p>
    <w:p w14:paraId="77DD5DE8">
      <w:pPr>
        <w:pStyle w:val="5"/>
        <w:spacing w:line="266" w:lineRule="auto"/>
      </w:pPr>
    </w:p>
    <w:p w14:paraId="05D8B29A">
      <w:pPr>
        <w:pStyle w:val="5"/>
        <w:spacing w:line="266" w:lineRule="auto"/>
      </w:pPr>
    </w:p>
    <w:p w14:paraId="01511903">
      <w:pPr>
        <w:pStyle w:val="5"/>
        <w:spacing w:line="266" w:lineRule="auto"/>
      </w:pPr>
    </w:p>
    <w:p w14:paraId="5ABB654D">
      <w:pPr>
        <w:spacing w:before="78" w:line="220" w:lineRule="auto"/>
        <w:ind w:left="14"/>
        <w:outlineLvl w:val="2"/>
        <w:rPr>
          <w:rFonts w:ascii="黑体" w:hAnsi="黑体" w:eastAsia="黑体" w:cs="黑体"/>
          <w:sz w:val="24"/>
          <w:szCs w:val="24"/>
        </w:rPr>
      </w:pPr>
      <w:bookmarkStart w:id="1409" w:name="bookmark473"/>
      <w:bookmarkEnd w:id="1409"/>
      <w:r>
        <w:rPr>
          <w:rFonts w:ascii="黑体" w:hAnsi="黑体" w:eastAsia="黑体" w:cs="黑体"/>
          <w:spacing w:val="-3"/>
          <w:sz w:val="24"/>
          <w:szCs w:val="24"/>
        </w:rPr>
        <w:t>附表五：施工总平面图</w:t>
      </w:r>
    </w:p>
    <w:p w14:paraId="47F9D21A">
      <w:pPr>
        <w:spacing w:before="154" w:line="371" w:lineRule="auto"/>
        <w:ind w:firstLine="422"/>
        <w:rPr>
          <w:rFonts w:ascii="宋体" w:hAnsi="宋体" w:eastAsia="宋体" w:cs="宋体"/>
          <w:sz w:val="21"/>
          <w:szCs w:val="21"/>
        </w:rPr>
      </w:pPr>
      <w:r>
        <w:rPr>
          <w:rFonts w:ascii="宋体" w:hAnsi="宋体" w:eastAsia="宋体" w:cs="宋体"/>
          <w:spacing w:val="1"/>
          <w:sz w:val="21"/>
          <w:szCs w:val="21"/>
        </w:rPr>
        <w:t>投标人应递交一份施工总平面图，绘出现场临时设施布置图表并附文字说明，说明临</w:t>
      </w:r>
      <w:r>
        <w:rPr>
          <w:rFonts w:ascii="宋体" w:hAnsi="宋体" w:eastAsia="宋体" w:cs="宋体"/>
          <w:sz w:val="21"/>
          <w:szCs w:val="21"/>
        </w:rPr>
        <w:t>时设施、</w:t>
      </w:r>
      <w:r>
        <w:rPr>
          <w:rFonts w:ascii="宋体" w:hAnsi="宋体" w:eastAsia="宋体" w:cs="宋体"/>
          <w:spacing w:val="1"/>
          <w:sz w:val="21"/>
          <w:szCs w:val="21"/>
        </w:rPr>
        <w:t>加工车间、现场办公、设备及仓储、供电、供水、卫生、生活、道路、消防等设施的情况和</w:t>
      </w:r>
      <w:r>
        <w:rPr>
          <w:rFonts w:ascii="宋体" w:hAnsi="宋体" w:eastAsia="宋体" w:cs="宋体"/>
          <w:sz w:val="21"/>
          <w:szCs w:val="21"/>
        </w:rPr>
        <w:t>布置。</w:t>
      </w:r>
    </w:p>
    <w:p w14:paraId="5909C045">
      <w:pPr>
        <w:spacing w:line="371" w:lineRule="auto"/>
        <w:rPr>
          <w:rFonts w:ascii="宋体" w:hAnsi="宋体" w:eastAsia="宋体" w:cs="宋体"/>
          <w:sz w:val="21"/>
          <w:szCs w:val="21"/>
        </w:rPr>
        <w:sectPr>
          <w:footerReference r:id="rId229" w:type="default"/>
          <w:pgSz w:w="11905" w:h="16843"/>
          <w:pgMar w:top="969" w:right="1355" w:bottom="1026" w:left="1480" w:header="0" w:footer="754" w:gutter="0"/>
          <w:cols w:space="0" w:num="1"/>
          <w:rtlGutter w:val="0"/>
          <w:docGrid w:linePitch="0" w:charSpace="0"/>
        </w:sectPr>
      </w:pPr>
    </w:p>
    <w:p w14:paraId="6A9EBA1F">
      <w:pPr>
        <w:pStyle w:val="5"/>
        <w:spacing w:line="265" w:lineRule="auto"/>
      </w:pPr>
    </w:p>
    <w:p w14:paraId="0599DEA7">
      <w:pPr>
        <w:pStyle w:val="5"/>
        <w:spacing w:line="265" w:lineRule="auto"/>
      </w:pPr>
    </w:p>
    <w:p w14:paraId="55FE943E">
      <w:pPr>
        <w:pStyle w:val="5"/>
        <w:spacing w:line="266" w:lineRule="auto"/>
      </w:pPr>
    </w:p>
    <w:p w14:paraId="37419051">
      <w:pPr>
        <w:pStyle w:val="5"/>
        <w:spacing w:line="266" w:lineRule="auto"/>
      </w:pPr>
    </w:p>
    <w:p w14:paraId="0C6E4FBD">
      <w:pPr>
        <w:pStyle w:val="5"/>
        <w:spacing w:line="266" w:lineRule="auto"/>
      </w:pPr>
    </w:p>
    <w:p w14:paraId="7CFA7EE5">
      <w:pPr>
        <w:spacing w:before="78" w:line="220" w:lineRule="auto"/>
        <w:outlineLvl w:val="2"/>
        <w:rPr>
          <w:rFonts w:ascii="黑体" w:hAnsi="黑体" w:eastAsia="黑体" w:cs="黑体"/>
          <w:sz w:val="24"/>
          <w:szCs w:val="24"/>
        </w:rPr>
      </w:pPr>
      <w:bookmarkStart w:id="1410" w:name="bookmark474"/>
      <w:bookmarkEnd w:id="1410"/>
      <w:r>
        <w:rPr>
          <w:rFonts w:ascii="黑体" w:hAnsi="黑体" w:eastAsia="黑体" w:cs="黑体"/>
          <w:spacing w:val="-3"/>
          <w:sz w:val="24"/>
          <w:szCs w:val="24"/>
        </w:rPr>
        <w:t>附表六：临时用地表</w:t>
      </w:r>
    </w:p>
    <w:tbl>
      <w:tblPr>
        <w:tblStyle w:val="10"/>
        <w:tblW w:w="8511"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2077"/>
        <w:gridCol w:w="2080"/>
        <w:gridCol w:w="2082"/>
      </w:tblGrid>
      <w:tr w14:paraId="3B9D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72" w:type="dxa"/>
            <w:vAlign w:val="top"/>
          </w:tcPr>
          <w:p w14:paraId="71AD6023">
            <w:pPr>
              <w:pStyle w:val="11"/>
              <w:spacing w:before="99" w:line="222" w:lineRule="auto"/>
              <w:ind w:left="828"/>
            </w:pPr>
            <w:r>
              <w:rPr>
                <w:spacing w:val="-5"/>
              </w:rPr>
              <w:t>用</w:t>
            </w:r>
            <w:r>
              <w:rPr>
                <w:spacing w:val="4"/>
              </w:rPr>
              <w:t xml:space="preserve">  </w:t>
            </w:r>
            <w:r>
              <w:rPr>
                <w:spacing w:val="-5"/>
              </w:rPr>
              <w:t>途</w:t>
            </w:r>
          </w:p>
        </w:tc>
        <w:tc>
          <w:tcPr>
            <w:tcW w:w="2077" w:type="dxa"/>
            <w:vAlign w:val="top"/>
          </w:tcPr>
          <w:p w14:paraId="7B4A83DD">
            <w:pPr>
              <w:pStyle w:val="11"/>
              <w:spacing w:before="98" w:line="221" w:lineRule="auto"/>
              <w:ind w:left="257"/>
            </w:pPr>
            <w:r>
              <w:rPr>
                <w:spacing w:val="-1"/>
              </w:rPr>
              <w:t>面 积（平方米）</w:t>
            </w:r>
          </w:p>
        </w:tc>
        <w:tc>
          <w:tcPr>
            <w:tcW w:w="2080" w:type="dxa"/>
            <w:vAlign w:val="top"/>
          </w:tcPr>
          <w:p w14:paraId="5E23D9BC">
            <w:pPr>
              <w:pStyle w:val="11"/>
              <w:spacing w:before="99" w:line="222" w:lineRule="auto"/>
              <w:ind w:left="728"/>
            </w:pPr>
            <w:r>
              <w:rPr>
                <w:spacing w:val="-4"/>
              </w:rPr>
              <w:t>位</w:t>
            </w:r>
            <w:r>
              <w:rPr>
                <w:spacing w:val="3"/>
              </w:rPr>
              <w:t xml:space="preserve">  </w:t>
            </w:r>
            <w:r>
              <w:rPr>
                <w:spacing w:val="-4"/>
              </w:rPr>
              <w:t>置</w:t>
            </w:r>
          </w:p>
        </w:tc>
        <w:tc>
          <w:tcPr>
            <w:tcW w:w="2082" w:type="dxa"/>
            <w:vAlign w:val="top"/>
          </w:tcPr>
          <w:p w14:paraId="6EE91EE4">
            <w:pPr>
              <w:pStyle w:val="11"/>
              <w:spacing w:before="99" w:line="221" w:lineRule="auto"/>
              <w:ind w:left="637"/>
            </w:pPr>
            <w:r>
              <w:rPr>
                <w:spacing w:val="-5"/>
              </w:rPr>
              <w:t>需用时间</w:t>
            </w:r>
          </w:p>
        </w:tc>
      </w:tr>
      <w:tr w14:paraId="0C50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51DADD97">
            <w:pPr>
              <w:rPr>
                <w:rFonts w:ascii="Arial"/>
                <w:sz w:val="21"/>
              </w:rPr>
            </w:pPr>
          </w:p>
        </w:tc>
        <w:tc>
          <w:tcPr>
            <w:tcW w:w="2077" w:type="dxa"/>
            <w:vAlign w:val="top"/>
          </w:tcPr>
          <w:p w14:paraId="302A4F6E">
            <w:pPr>
              <w:rPr>
                <w:rFonts w:ascii="Arial"/>
                <w:sz w:val="21"/>
              </w:rPr>
            </w:pPr>
          </w:p>
        </w:tc>
        <w:tc>
          <w:tcPr>
            <w:tcW w:w="2080" w:type="dxa"/>
            <w:vAlign w:val="top"/>
          </w:tcPr>
          <w:p w14:paraId="2AB118E6">
            <w:pPr>
              <w:rPr>
                <w:rFonts w:ascii="Arial"/>
                <w:sz w:val="21"/>
              </w:rPr>
            </w:pPr>
          </w:p>
        </w:tc>
        <w:tc>
          <w:tcPr>
            <w:tcW w:w="2082" w:type="dxa"/>
            <w:vAlign w:val="top"/>
          </w:tcPr>
          <w:p w14:paraId="197B36F2">
            <w:pPr>
              <w:rPr>
                <w:rFonts w:ascii="Arial"/>
                <w:sz w:val="21"/>
              </w:rPr>
            </w:pPr>
          </w:p>
        </w:tc>
      </w:tr>
      <w:tr w14:paraId="5E813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20A9519B">
            <w:pPr>
              <w:rPr>
                <w:rFonts w:ascii="Arial"/>
                <w:sz w:val="21"/>
              </w:rPr>
            </w:pPr>
          </w:p>
        </w:tc>
        <w:tc>
          <w:tcPr>
            <w:tcW w:w="2077" w:type="dxa"/>
            <w:vAlign w:val="top"/>
          </w:tcPr>
          <w:p w14:paraId="6E1083FB">
            <w:pPr>
              <w:rPr>
                <w:rFonts w:ascii="Arial"/>
                <w:sz w:val="21"/>
              </w:rPr>
            </w:pPr>
          </w:p>
        </w:tc>
        <w:tc>
          <w:tcPr>
            <w:tcW w:w="2080" w:type="dxa"/>
            <w:vAlign w:val="top"/>
          </w:tcPr>
          <w:p w14:paraId="2427C710">
            <w:pPr>
              <w:rPr>
                <w:rFonts w:ascii="Arial"/>
                <w:sz w:val="21"/>
              </w:rPr>
            </w:pPr>
          </w:p>
        </w:tc>
        <w:tc>
          <w:tcPr>
            <w:tcW w:w="2082" w:type="dxa"/>
            <w:vAlign w:val="top"/>
          </w:tcPr>
          <w:p w14:paraId="22ED9F14">
            <w:pPr>
              <w:rPr>
                <w:rFonts w:ascii="Arial"/>
                <w:sz w:val="21"/>
              </w:rPr>
            </w:pPr>
          </w:p>
        </w:tc>
      </w:tr>
      <w:tr w14:paraId="6ACE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3467553E">
            <w:pPr>
              <w:rPr>
                <w:rFonts w:ascii="Arial"/>
                <w:sz w:val="21"/>
              </w:rPr>
            </w:pPr>
          </w:p>
        </w:tc>
        <w:tc>
          <w:tcPr>
            <w:tcW w:w="2077" w:type="dxa"/>
            <w:vAlign w:val="top"/>
          </w:tcPr>
          <w:p w14:paraId="2D0AC212">
            <w:pPr>
              <w:rPr>
                <w:rFonts w:ascii="Arial"/>
                <w:sz w:val="21"/>
              </w:rPr>
            </w:pPr>
          </w:p>
        </w:tc>
        <w:tc>
          <w:tcPr>
            <w:tcW w:w="2080" w:type="dxa"/>
            <w:vAlign w:val="top"/>
          </w:tcPr>
          <w:p w14:paraId="62EEBCD8">
            <w:pPr>
              <w:rPr>
                <w:rFonts w:ascii="Arial"/>
                <w:sz w:val="21"/>
              </w:rPr>
            </w:pPr>
          </w:p>
        </w:tc>
        <w:tc>
          <w:tcPr>
            <w:tcW w:w="2082" w:type="dxa"/>
            <w:vAlign w:val="top"/>
          </w:tcPr>
          <w:p w14:paraId="04D33AED">
            <w:pPr>
              <w:rPr>
                <w:rFonts w:ascii="Arial"/>
                <w:sz w:val="21"/>
              </w:rPr>
            </w:pPr>
          </w:p>
        </w:tc>
      </w:tr>
      <w:tr w14:paraId="56E9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5F1FDFB9">
            <w:pPr>
              <w:rPr>
                <w:rFonts w:ascii="Arial"/>
                <w:sz w:val="21"/>
              </w:rPr>
            </w:pPr>
          </w:p>
        </w:tc>
        <w:tc>
          <w:tcPr>
            <w:tcW w:w="2077" w:type="dxa"/>
            <w:vAlign w:val="top"/>
          </w:tcPr>
          <w:p w14:paraId="167E62EE">
            <w:pPr>
              <w:rPr>
                <w:rFonts w:ascii="Arial"/>
                <w:sz w:val="21"/>
              </w:rPr>
            </w:pPr>
          </w:p>
        </w:tc>
        <w:tc>
          <w:tcPr>
            <w:tcW w:w="2080" w:type="dxa"/>
            <w:vAlign w:val="top"/>
          </w:tcPr>
          <w:p w14:paraId="1714ED05">
            <w:pPr>
              <w:rPr>
                <w:rFonts w:ascii="Arial"/>
                <w:sz w:val="21"/>
              </w:rPr>
            </w:pPr>
          </w:p>
        </w:tc>
        <w:tc>
          <w:tcPr>
            <w:tcW w:w="2082" w:type="dxa"/>
            <w:vAlign w:val="top"/>
          </w:tcPr>
          <w:p w14:paraId="775EDA7B">
            <w:pPr>
              <w:rPr>
                <w:rFonts w:ascii="Arial"/>
                <w:sz w:val="21"/>
              </w:rPr>
            </w:pPr>
          </w:p>
        </w:tc>
      </w:tr>
      <w:tr w14:paraId="0F13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tcBorders>
              <w:bottom w:val="single" w:color="000000" w:sz="4" w:space="0"/>
            </w:tcBorders>
            <w:vAlign w:val="top"/>
          </w:tcPr>
          <w:p w14:paraId="0DF039B1">
            <w:pPr>
              <w:rPr>
                <w:rFonts w:ascii="Arial"/>
                <w:sz w:val="21"/>
              </w:rPr>
            </w:pPr>
          </w:p>
        </w:tc>
        <w:tc>
          <w:tcPr>
            <w:tcW w:w="2077" w:type="dxa"/>
            <w:tcBorders>
              <w:bottom w:val="single" w:color="000000" w:sz="4" w:space="0"/>
            </w:tcBorders>
            <w:vAlign w:val="top"/>
          </w:tcPr>
          <w:p w14:paraId="5E122F4D">
            <w:pPr>
              <w:rPr>
                <w:rFonts w:ascii="Arial"/>
                <w:sz w:val="21"/>
              </w:rPr>
            </w:pPr>
          </w:p>
        </w:tc>
        <w:tc>
          <w:tcPr>
            <w:tcW w:w="2080" w:type="dxa"/>
            <w:tcBorders>
              <w:bottom w:val="single" w:color="000000" w:sz="4" w:space="0"/>
            </w:tcBorders>
            <w:vAlign w:val="top"/>
          </w:tcPr>
          <w:p w14:paraId="6EBAA0F0">
            <w:pPr>
              <w:rPr>
                <w:rFonts w:ascii="Arial"/>
                <w:sz w:val="21"/>
              </w:rPr>
            </w:pPr>
          </w:p>
        </w:tc>
        <w:tc>
          <w:tcPr>
            <w:tcW w:w="2082" w:type="dxa"/>
            <w:tcBorders>
              <w:bottom w:val="single" w:color="000000" w:sz="4" w:space="0"/>
            </w:tcBorders>
            <w:vAlign w:val="top"/>
          </w:tcPr>
          <w:p w14:paraId="69FE5FE2">
            <w:pPr>
              <w:rPr>
                <w:rFonts w:ascii="Arial"/>
                <w:sz w:val="21"/>
              </w:rPr>
            </w:pPr>
          </w:p>
        </w:tc>
      </w:tr>
      <w:tr w14:paraId="26A6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272" w:type="dxa"/>
            <w:tcBorders>
              <w:top w:val="single" w:color="000000" w:sz="4" w:space="0"/>
            </w:tcBorders>
            <w:vAlign w:val="top"/>
          </w:tcPr>
          <w:p w14:paraId="03E38115">
            <w:pPr>
              <w:rPr>
                <w:rFonts w:ascii="Arial"/>
                <w:sz w:val="21"/>
              </w:rPr>
            </w:pPr>
          </w:p>
        </w:tc>
        <w:tc>
          <w:tcPr>
            <w:tcW w:w="2077" w:type="dxa"/>
            <w:tcBorders>
              <w:top w:val="single" w:color="000000" w:sz="4" w:space="0"/>
            </w:tcBorders>
            <w:vAlign w:val="top"/>
          </w:tcPr>
          <w:p w14:paraId="4CEA1465">
            <w:pPr>
              <w:rPr>
                <w:rFonts w:ascii="Arial"/>
                <w:sz w:val="21"/>
              </w:rPr>
            </w:pPr>
          </w:p>
        </w:tc>
        <w:tc>
          <w:tcPr>
            <w:tcW w:w="2080" w:type="dxa"/>
            <w:tcBorders>
              <w:top w:val="single" w:color="000000" w:sz="4" w:space="0"/>
            </w:tcBorders>
            <w:vAlign w:val="top"/>
          </w:tcPr>
          <w:p w14:paraId="1905587C">
            <w:pPr>
              <w:rPr>
                <w:rFonts w:ascii="Arial"/>
                <w:sz w:val="21"/>
              </w:rPr>
            </w:pPr>
          </w:p>
        </w:tc>
        <w:tc>
          <w:tcPr>
            <w:tcW w:w="2082" w:type="dxa"/>
            <w:tcBorders>
              <w:top w:val="single" w:color="000000" w:sz="4" w:space="0"/>
            </w:tcBorders>
            <w:vAlign w:val="top"/>
          </w:tcPr>
          <w:p w14:paraId="53B8B1CE">
            <w:pPr>
              <w:rPr>
                <w:rFonts w:ascii="Arial"/>
                <w:sz w:val="21"/>
              </w:rPr>
            </w:pPr>
          </w:p>
        </w:tc>
      </w:tr>
      <w:tr w14:paraId="6968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04FD1175">
            <w:pPr>
              <w:rPr>
                <w:rFonts w:ascii="Arial"/>
                <w:sz w:val="21"/>
              </w:rPr>
            </w:pPr>
          </w:p>
        </w:tc>
        <w:tc>
          <w:tcPr>
            <w:tcW w:w="2077" w:type="dxa"/>
            <w:vAlign w:val="top"/>
          </w:tcPr>
          <w:p w14:paraId="5F4530CA">
            <w:pPr>
              <w:rPr>
                <w:rFonts w:ascii="Arial"/>
                <w:sz w:val="21"/>
              </w:rPr>
            </w:pPr>
          </w:p>
        </w:tc>
        <w:tc>
          <w:tcPr>
            <w:tcW w:w="2080" w:type="dxa"/>
            <w:vAlign w:val="top"/>
          </w:tcPr>
          <w:p w14:paraId="09896330">
            <w:pPr>
              <w:rPr>
                <w:rFonts w:ascii="Arial"/>
                <w:sz w:val="21"/>
              </w:rPr>
            </w:pPr>
          </w:p>
        </w:tc>
        <w:tc>
          <w:tcPr>
            <w:tcW w:w="2082" w:type="dxa"/>
            <w:vAlign w:val="top"/>
          </w:tcPr>
          <w:p w14:paraId="2ECA3CAA">
            <w:pPr>
              <w:rPr>
                <w:rFonts w:ascii="Arial"/>
                <w:sz w:val="21"/>
              </w:rPr>
            </w:pPr>
          </w:p>
        </w:tc>
      </w:tr>
      <w:tr w14:paraId="215D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1F523774">
            <w:pPr>
              <w:rPr>
                <w:rFonts w:ascii="Arial"/>
                <w:sz w:val="21"/>
              </w:rPr>
            </w:pPr>
          </w:p>
        </w:tc>
        <w:tc>
          <w:tcPr>
            <w:tcW w:w="2077" w:type="dxa"/>
            <w:vAlign w:val="top"/>
          </w:tcPr>
          <w:p w14:paraId="5B4DE28E">
            <w:pPr>
              <w:rPr>
                <w:rFonts w:ascii="Arial"/>
                <w:sz w:val="21"/>
              </w:rPr>
            </w:pPr>
          </w:p>
        </w:tc>
        <w:tc>
          <w:tcPr>
            <w:tcW w:w="2080" w:type="dxa"/>
            <w:vAlign w:val="top"/>
          </w:tcPr>
          <w:p w14:paraId="2959C4E2">
            <w:pPr>
              <w:rPr>
                <w:rFonts w:ascii="Arial"/>
                <w:sz w:val="21"/>
              </w:rPr>
            </w:pPr>
          </w:p>
        </w:tc>
        <w:tc>
          <w:tcPr>
            <w:tcW w:w="2082" w:type="dxa"/>
            <w:vAlign w:val="top"/>
          </w:tcPr>
          <w:p w14:paraId="7C52E9CA">
            <w:pPr>
              <w:rPr>
                <w:rFonts w:ascii="Arial"/>
                <w:sz w:val="21"/>
              </w:rPr>
            </w:pPr>
          </w:p>
        </w:tc>
      </w:tr>
      <w:tr w14:paraId="10C1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2838459A">
            <w:pPr>
              <w:rPr>
                <w:rFonts w:ascii="Arial"/>
                <w:sz w:val="21"/>
              </w:rPr>
            </w:pPr>
          </w:p>
        </w:tc>
        <w:tc>
          <w:tcPr>
            <w:tcW w:w="2077" w:type="dxa"/>
            <w:vAlign w:val="top"/>
          </w:tcPr>
          <w:p w14:paraId="3581B36C">
            <w:pPr>
              <w:rPr>
                <w:rFonts w:ascii="Arial"/>
                <w:sz w:val="21"/>
              </w:rPr>
            </w:pPr>
          </w:p>
        </w:tc>
        <w:tc>
          <w:tcPr>
            <w:tcW w:w="2080" w:type="dxa"/>
            <w:vAlign w:val="top"/>
          </w:tcPr>
          <w:p w14:paraId="061A4416">
            <w:pPr>
              <w:rPr>
                <w:rFonts w:ascii="Arial"/>
                <w:sz w:val="21"/>
              </w:rPr>
            </w:pPr>
          </w:p>
        </w:tc>
        <w:tc>
          <w:tcPr>
            <w:tcW w:w="2082" w:type="dxa"/>
            <w:vAlign w:val="top"/>
          </w:tcPr>
          <w:p w14:paraId="30459CFF">
            <w:pPr>
              <w:rPr>
                <w:rFonts w:ascii="Arial"/>
                <w:sz w:val="21"/>
              </w:rPr>
            </w:pPr>
          </w:p>
        </w:tc>
      </w:tr>
      <w:tr w14:paraId="2757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4C94567F">
            <w:pPr>
              <w:rPr>
                <w:rFonts w:ascii="Arial"/>
                <w:sz w:val="21"/>
              </w:rPr>
            </w:pPr>
          </w:p>
        </w:tc>
        <w:tc>
          <w:tcPr>
            <w:tcW w:w="2077" w:type="dxa"/>
            <w:vAlign w:val="top"/>
          </w:tcPr>
          <w:p w14:paraId="562240C7">
            <w:pPr>
              <w:rPr>
                <w:rFonts w:ascii="Arial"/>
                <w:sz w:val="21"/>
              </w:rPr>
            </w:pPr>
          </w:p>
        </w:tc>
        <w:tc>
          <w:tcPr>
            <w:tcW w:w="2080" w:type="dxa"/>
            <w:vAlign w:val="top"/>
          </w:tcPr>
          <w:p w14:paraId="6D8978F9">
            <w:pPr>
              <w:rPr>
                <w:rFonts w:ascii="Arial"/>
                <w:sz w:val="21"/>
              </w:rPr>
            </w:pPr>
          </w:p>
        </w:tc>
        <w:tc>
          <w:tcPr>
            <w:tcW w:w="2082" w:type="dxa"/>
            <w:vAlign w:val="top"/>
          </w:tcPr>
          <w:p w14:paraId="7A20B730">
            <w:pPr>
              <w:rPr>
                <w:rFonts w:ascii="Arial"/>
                <w:sz w:val="21"/>
              </w:rPr>
            </w:pPr>
          </w:p>
        </w:tc>
      </w:tr>
      <w:tr w14:paraId="095D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2" w:type="dxa"/>
            <w:vAlign w:val="top"/>
          </w:tcPr>
          <w:p w14:paraId="61AC9D1A">
            <w:pPr>
              <w:rPr>
                <w:rFonts w:ascii="Arial"/>
                <w:sz w:val="21"/>
              </w:rPr>
            </w:pPr>
          </w:p>
        </w:tc>
        <w:tc>
          <w:tcPr>
            <w:tcW w:w="2077" w:type="dxa"/>
            <w:vAlign w:val="top"/>
          </w:tcPr>
          <w:p w14:paraId="128B74C1">
            <w:pPr>
              <w:rPr>
                <w:rFonts w:ascii="Arial"/>
                <w:sz w:val="21"/>
              </w:rPr>
            </w:pPr>
          </w:p>
        </w:tc>
        <w:tc>
          <w:tcPr>
            <w:tcW w:w="2080" w:type="dxa"/>
            <w:vAlign w:val="top"/>
          </w:tcPr>
          <w:p w14:paraId="20111DBF">
            <w:pPr>
              <w:rPr>
                <w:rFonts w:ascii="Arial"/>
                <w:sz w:val="21"/>
              </w:rPr>
            </w:pPr>
          </w:p>
        </w:tc>
        <w:tc>
          <w:tcPr>
            <w:tcW w:w="2082" w:type="dxa"/>
            <w:vAlign w:val="top"/>
          </w:tcPr>
          <w:p w14:paraId="1CE1A517">
            <w:pPr>
              <w:rPr>
                <w:rFonts w:ascii="Arial"/>
                <w:sz w:val="21"/>
              </w:rPr>
            </w:pPr>
          </w:p>
        </w:tc>
      </w:tr>
      <w:tr w14:paraId="4F29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01603E23">
            <w:pPr>
              <w:rPr>
                <w:rFonts w:ascii="Arial"/>
                <w:sz w:val="21"/>
              </w:rPr>
            </w:pPr>
          </w:p>
        </w:tc>
        <w:tc>
          <w:tcPr>
            <w:tcW w:w="2077" w:type="dxa"/>
            <w:vAlign w:val="top"/>
          </w:tcPr>
          <w:p w14:paraId="6AB0F1C3">
            <w:pPr>
              <w:rPr>
                <w:rFonts w:ascii="Arial"/>
                <w:sz w:val="21"/>
              </w:rPr>
            </w:pPr>
          </w:p>
        </w:tc>
        <w:tc>
          <w:tcPr>
            <w:tcW w:w="2080" w:type="dxa"/>
            <w:vAlign w:val="top"/>
          </w:tcPr>
          <w:p w14:paraId="30E54036">
            <w:pPr>
              <w:rPr>
                <w:rFonts w:ascii="Arial"/>
                <w:sz w:val="21"/>
              </w:rPr>
            </w:pPr>
          </w:p>
        </w:tc>
        <w:tc>
          <w:tcPr>
            <w:tcW w:w="2082" w:type="dxa"/>
            <w:vAlign w:val="top"/>
          </w:tcPr>
          <w:p w14:paraId="0508CD26">
            <w:pPr>
              <w:rPr>
                <w:rFonts w:ascii="Arial"/>
                <w:sz w:val="21"/>
              </w:rPr>
            </w:pPr>
          </w:p>
        </w:tc>
      </w:tr>
      <w:tr w14:paraId="06A6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24466942">
            <w:pPr>
              <w:rPr>
                <w:rFonts w:ascii="Arial"/>
                <w:sz w:val="21"/>
              </w:rPr>
            </w:pPr>
          </w:p>
        </w:tc>
        <w:tc>
          <w:tcPr>
            <w:tcW w:w="2077" w:type="dxa"/>
            <w:vAlign w:val="top"/>
          </w:tcPr>
          <w:p w14:paraId="28BA89C0">
            <w:pPr>
              <w:rPr>
                <w:rFonts w:ascii="Arial"/>
                <w:sz w:val="21"/>
              </w:rPr>
            </w:pPr>
          </w:p>
        </w:tc>
        <w:tc>
          <w:tcPr>
            <w:tcW w:w="2080" w:type="dxa"/>
            <w:vAlign w:val="top"/>
          </w:tcPr>
          <w:p w14:paraId="1501CCE7">
            <w:pPr>
              <w:rPr>
                <w:rFonts w:ascii="Arial"/>
                <w:sz w:val="21"/>
              </w:rPr>
            </w:pPr>
          </w:p>
        </w:tc>
        <w:tc>
          <w:tcPr>
            <w:tcW w:w="2082" w:type="dxa"/>
            <w:vAlign w:val="top"/>
          </w:tcPr>
          <w:p w14:paraId="498C352F">
            <w:pPr>
              <w:rPr>
                <w:rFonts w:ascii="Arial"/>
                <w:sz w:val="21"/>
              </w:rPr>
            </w:pPr>
          </w:p>
        </w:tc>
      </w:tr>
      <w:tr w14:paraId="3C86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37C783C9">
            <w:pPr>
              <w:rPr>
                <w:rFonts w:ascii="Arial"/>
                <w:sz w:val="21"/>
              </w:rPr>
            </w:pPr>
          </w:p>
        </w:tc>
        <w:tc>
          <w:tcPr>
            <w:tcW w:w="2077" w:type="dxa"/>
            <w:vAlign w:val="top"/>
          </w:tcPr>
          <w:p w14:paraId="57D9676A">
            <w:pPr>
              <w:rPr>
                <w:rFonts w:ascii="Arial"/>
                <w:sz w:val="21"/>
              </w:rPr>
            </w:pPr>
          </w:p>
        </w:tc>
        <w:tc>
          <w:tcPr>
            <w:tcW w:w="2080" w:type="dxa"/>
            <w:vAlign w:val="top"/>
          </w:tcPr>
          <w:p w14:paraId="6035A338">
            <w:pPr>
              <w:rPr>
                <w:rFonts w:ascii="Arial"/>
                <w:sz w:val="21"/>
              </w:rPr>
            </w:pPr>
          </w:p>
        </w:tc>
        <w:tc>
          <w:tcPr>
            <w:tcW w:w="2082" w:type="dxa"/>
            <w:vAlign w:val="top"/>
          </w:tcPr>
          <w:p w14:paraId="24A93C67">
            <w:pPr>
              <w:rPr>
                <w:rFonts w:ascii="Arial"/>
                <w:sz w:val="21"/>
              </w:rPr>
            </w:pPr>
          </w:p>
        </w:tc>
      </w:tr>
      <w:tr w14:paraId="2A8B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53B82C70">
            <w:pPr>
              <w:rPr>
                <w:rFonts w:ascii="Arial"/>
                <w:sz w:val="21"/>
              </w:rPr>
            </w:pPr>
          </w:p>
        </w:tc>
        <w:tc>
          <w:tcPr>
            <w:tcW w:w="2077" w:type="dxa"/>
            <w:vAlign w:val="top"/>
          </w:tcPr>
          <w:p w14:paraId="26171F66">
            <w:pPr>
              <w:rPr>
                <w:rFonts w:ascii="Arial"/>
                <w:sz w:val="21"/>
              </w:rPr>
            </w:pPr>
          </w:p>
        </w:tc>
        <w:tc>
          <w:tcPr>
            <w:tcW w:w="2080" w:type="dxa"/>
            <w:vAlign w:val="top"/>
          </w:tcPr>
          <w:p w14:paraId="0438FC0C">
            <w:pPr>
              <w:rPr>
                <w:rFonts w:ascii="Arial"/>
                <w:sz w:val="21"/>
              </w:rPr>
            </w:pPr>
          </w:p>
        </w:tc>
        <w:tc>
          <w:tcPr>
            <w:tcW w:w="2082" w:type="dxa"/>
            <w:vAlign w:val="top"/>
          </w:tcPr>
          <w:p w14:paraId="771026F1">
            <w:pPr>
              <w:rPr>
                <w:rFonts w:ascii="Arial"/>
                <w:sz w:val="21"/>
              </w:rPr>
            </w:pPr>
          </w:p>
        </w:tc>
      </w:tr>
      <w:tr w14:paraId="5464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747A1E52">
            <w:pPr>
              <w:rPr>
                <w:rFonts w:ascii="Arial"/>
                <w:sz w:val="21"/>
              </w:rPr>
            </w:pPr>
          </w:p>
        </w:tc>
        <w:tc>
          <w:tcPr>
            <w:tcW w:w="2077" w:type="dxa"/>
            <w:vAlign w:val="top"/>
          </w:tcPr>
          <w:p w14:paraId="732B1FD2">
            <w:pPr>
              <w:rPr>
                <w:rFonts w:ascii="Arial"/>
                <w:sz w:val="21"/>
              </w:rPr>
            </w:pPr>
          </w:p>
        </w:tc>
        <w:tc>
          <w:tcPr>
            <w:tcW w:w="2080" w:type="dxa"/>
            <w:vAlign w:val="top"/>
          </w:tcPr>
          <w:p w14:paraId="0ED570CE">
            <w:pPr>
              <w:rPr>
                <w:rFonts w:ascii="Arial"/>
                <w:sz w:val="21"/>
              </w:rPr>
            </w:pPr>
          </w:p>
        </w:tc>
        <w:tc>
          <w:tcPr>
            <w:tcW w:w="2082" w:type="dxa"/>
            <w:vAlign w:val="top"/>
          </w:tcPr>
          <w:p w14:paraId="0D2C1017">
            <w:pPr>
              <w:rPr>
                <w:rFonts w:ascii="Arial"/>
                <w:sz w:val="21"/>
              </w:rPr>
            </w:pPr>
          </w:p>
        </w:tc>
      </w:tr>
      <w:tr w14:paraId="5DCB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00F65282">
            <w:pPr>
              <w:rPr>
                <w:rFonts w:ascii="Arial"/>
                <w:sz w:val="21"/>
              </w:rPr>
            </w:pPr>
          </w:p>
        </w:tc>
        <w:tc>
          <w:tcPr>
            <w:tcW w:w="2077" w:type="dxa"/>
            <w:vAlign w:val="top"/>
          </w:tcPr>
          <w:p w14:paraId="52E9E747">
            <w:pPr>
              <w:rPr>
                <w:rFonts w:ascii="Arial"/>
                <w:sz w:val="21"/>
              </w:rPr>
            </w:pPr>
          </w:p>
        </w:tc>
        <w:tc>
          <w:tcPr>
            <w:tcW w:w="2080" w:type="dxa"/>
            <w:vAlign w:val="top"/>
          </w:tcPr>
          <w:p w14:paraId="45C67A72">
            <w:pPr>
              <w:rPr>
                <w:rFonts w:ascii="Arial"/>
                <w:sz w:val="21"/>
              </w:rPr>
            </w:pPr>
          </w:p>
        </w:tc>
        <w:tc>
          <w:tcPr>
            <w:tcW w:w="2082" w:type="dxa"/>
            <w:vAlign w:val="top"/>
          </w:tcPr>
          <w:p w14:paraId="0A08CF4F">
            <w:pPr>
              <w:rPr>
                <w:rFonts w:ascii="Arial"/>
                <w:sz w:val="21"/>
              </w:rPr>
            </w:pPr>
          </w:p>
        </w:tc>
      </w:tr>
      <w:tr w14:paraId="51AB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41133011">
            <w:pPr>
              <w:rPr>
                <w:rFonts w:ascii="Arial"/>
                <w:sz w:val="21"/>
              </w:rPr>
            </w:pPr>
          </w:p>
        </w:tc>
        <w:tc>
          <w:tcPr>
            <w:tcW w:w="2077" w:type="dxa"/>
            <w:vAlign w:val="top"/>
          </w:tcPr>
          <w:p w14:paraId="7B88E41A">
            <w:pPr>
              <w:rPr>
                <w:rFonts w:ascii="Arial"/>
                <w:sz w:val="21"/>
              </w:rPr>
            </w:pPr>
          </w:p>
        </w:tc>
        <w:tc>
          <w:tcPr>
            <w:tcW w:w="2080" w:type="dxa"/>
            <w:vAlign w:val="top"/>
          </w:tcPr>
          <w:p w14:paraId="4C2D7E19">
            <w:pPr>
              <w:rPr>
                <w:rFonts w:ascii="Arial"/>
                <w:sz w:val="21"/>
              </w:rPr>
            </w:pPr>
          </w:p>
        </w:tc>
        <w:tc>
          <w:tcPr>
            <w:tcW w:w="2082" w:type="dxa"/>
            <w:vAlign w:val="top"/>
          </w:tcPr>
          <w:p w14:paraId="414C9F66">
            <w:pPr>
              <w:rPr>
                <w:rFonts w:ascii="Arial"/>
                <w:sz w:val="21"/>
              </w:rPr>
            </w:pPr>
          </w:p>
        </w:tc>
      </w:tr>
      <w:tr w14:paraId="6213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2" w:type="dxa"/>
            <w:vAlign w:val="top"/>
          </w:tcPr>
          <w:p w14:paraId="60880490">
            <w:pPr>
              <w:rPr>
                <w:rFonts w:ascii="Arial"/>
                <w:sz w:val="21"/>
              </w:rPr>
            </w:pPr>
          </w:p>
        </w:tc>
        <w:tc>
          <w:tcPr>
            <w:tcW w:w="2077" w:type="dxa"/>
            <w:vAlign w:val="top"/>
          </w:tcPr>
          <w:p w14:paraId="3ADD2517">
            <w:pPr>
              <w:rPr>
                <w:rFonts w:ascii="Arial"/>
                <w:sz w:val="21"/>
              </w:rPr>
            </w:pPr>
          </w:p>
        </w:tc>
        <w:tc>
          <w:tcPr>
            <w:tcW w:w="2080" w:type="dxa"/>
            <w:vAlign w:val="top"/>
          </w:tcPr>
          <w:p w14:paraId="6B4365AD">
            <w:pPr>
              <w:rPr>
                <w:rFonts w:ascii="Arial"/>
                <w:sz w:val="21"/>
              </w:rPr>
            </w:pPr>
          </w:p>
        </w:tc>
        <w:tc>
          <w:tcPr>
            <w:tcW w:w="2082" w:type="dxa"/>
            <w:vAlign w:val="top"/>
          </w:tcPr>
          <w:p w14:paraId="54C6763F">
            <w:pPr>
              <w:rPr>
                <w:rFonts w:ascii="Arial"/>
                <w:sz w:val="21"/>
              </w:rPr>
            </w:pPr>
          </w:p>
        </w:tc>
      </w:tr>
      <w:tr w14:paraId="1B38E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669F9EF8">
            <w:pPr>
              <w:rPr>
                <w:rFonts w:ascii="Arial"/>
                <w:sz w:val="21"/>
              </w:rPr>
            </w:pPr>
          </w:p>
        </w:tc>
        <w:tc>
          <w:tcPr>
            <w:tcW w:w="2077" w:type="dxa"/>
            <w:vAlign w:val="top"/>
          </w:tcPr>
          <w:p w14:paraId="3A36B447">
            <w:pPr>
              <w:rPr>
                <w:rFonts w:ascii="Arial"/>
                <w:sz w:val="21"/>
              </w:rPr>
            </w:pPr>
          </w:p>
        </w:tc>
        <w:tc>
          <w:tcPr>
            <w:tcW w:w="2080" w:type="dxa"/>
            <w:vAlign w:val="top"/>
          </w:tcPr>
          <w:p w14:paraId="0F6B5FA4">
            <w:pPr>
              <w:rPr>
                <w:rFonts w:ascii="Arial"/>
                <w:sz w:val="21"/>
              </w:rPr>
            </w:pPr>
          </w:p>
        </w:tc>
        <w:tc>
          <w:tcPr>
            <w:tcW w:w="2082" w:type="dxa"/>
            <w:vAlign w:val="top"/>
          </w:tcPr>
          <w:p w14:paraId="58355B1C">
            <w:pPr>
              <w:rPr>
                <w:rFonts w:ascii="Arial"/>
                <w:sz w:val="21"/>
              </w:rPr>
            </w:pPr>
          </w:p>
        </w:tc>
      </w:tr>
      <w:tr w14:paraId="05AA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2" w:type="dxa"/>
            <w:vAlign w:val="top"/>
          </w:tcPr>
          <w:p w14:paraId="440716C7">
            <w:pPr>
              <w:rPr>
                <w:rFonts w:ascii="Arial"/>
                <w:sz w:val="21"/>
              </w:rPr>
            </w:pPr>
          </w:p>
        </w:tc>
        <w:tc>
          <w:tcPr>
            <w:tcW w:w="2077" w:type="dxa"/>
            <w:vAlign w:val="top"/>
          </w:tcPr>
          <w:p w14:paraId="5E5E535C">
            <w:pPr>
              <w:rPr>
                <w:rFonts w:ascii="Arial"/>
                <w:sz w:val="21"/>
              </w:rPr>
            </w:pPr>
          </w:p>
        </w:tc>
        <w:tc>
          <w:tcPr>
            <w:tcW w:w="2080" w:type="dxa"/>
            <w:vAlign w:val="top"/>
          </w:tcPr>
          <w:p w14:paraId="6B027D15">
            <w:pPr>
              <w:rPr>
                <w:rFonts w:ascii="Arial"/>
                <w:sz w:val="21"/>
              </w:rPr>
            </w:pPr>
          </w:p>
        </w:tc>
        <w:tc>
          <w:tcPr>
            <w:tcW w:w="2082" w:type="dxa"/>
            <w:vAlign w:val="top"/>
          </w:tcPr>
          <w:p w14:paraId="7E861FEB">
            <w:pPr>
              <w:rPr>
                <w:rFonts w:ascii="Arial"/>
                <w:sz w:val="21"/>
              </w:rPr>
            </w:pPr>
          </w:p>
        </w:tc>
      </w:tr>
      <w:tr w14:paraId="0D0DD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68398F91">
            <w:pPr>
              <w:rPr>
                <w:rFonts w:ascii="Arial"/>
                <w:sz w:val="21"/>
              </w:rPr>
            </w:pPr>
          </w:p>
        </w:tc>
        <w:tc>
          <w:tcPr>
            <w:tcW w:w="2077" w:type="dxa"/>
            <w:vAlign w:val="top"/>
          </w:tcPr>
          <w:p w14:paraId="70071054">
            <w:pPr>
              <w:rPr>
                <w:rFonts w:ascii="Arial"/>
                <w:sz w:val="21"/>
              </w:rPr>
            </w:pPr>
          </w:p>
        </w:tc>
        <w:tc>
          <w:tcPr>
            <w:tcW w:w="2080" w:type="dxa"/>
            <w:vAlign w:val="top"/>
          </w:tcPr>
          <w:p w14:paraId="6D9CDBB2">
            <w:pPr>
              <w:rPr>
                <w:rFonts w:ascii="Arial"/>
                <w:sz w:val="21"/>
              </w:rPr>
            </w:pPr>
          </w:p>
        </w:tc>
        <w:tc>
          <w:tcPr>
            <w:tcW w:w="2082" w:type="dxa"/>
            <w:vAlign w:val="top"/>
          </w:tcPr>
          <w:p w14:paraId="3E8769B7">
            <w:pPr>
              <w:rPr>
                <w:rFonts w:ascii="Arial"/>
                <w:sz w:val="21"/>
              </w:rPr>
            </w:pPr>
          </w:p>
        </w:tc>
      </w:tr>
      <w:tr w14:paraId="06DD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1E427BE7">
            <w:pPr>
              <w:rPr>
                <w:rFonts w:ascii="Arial"/>
                <w:sz w:val="21"/>
              </w:rPr>
            </w:pPr>
          </w:p>
        </w:tc>
        <w:tc>
          <w:tcPr>
            <w:tcW w:w="2077" w:type="dxa"/>
            <w:vAlign w:val="top"/>
          </w:tcPr>
          <w:p w14:paraId="7506C436">
            <w:pPr>
              <w:rPr>
                <w:rFonts w:ascii="Arial"/>
                <w:sz w:val="21"/>
              </w:rPr>
            </w:pPr>
          </w:p>
        </w:tc>
        <w:tc>
          <w:tcPr>
            <w:tcW w:w="2080" w:type="dxa"/>
            <w:vAlign w:val="top"/>
          </w:tcPr>
          <w:p w14:paraId="5094A870">
            <w:pPr>
              <w:rPr>
                <w:rFonts w:ascii="Arial"/>
                <w:sz w:val="21"/>
              </w:rPr>
            </w:pPr>
          </w:p>
        </w:tc>
        <w:tc>
          <w:tcPr>
            <w:tcW w:w="2082" w:type="dxa"/>
            <w:vAlign w:val="top"/>
          </w:tcPr>
          <w:p w14:paraId="6B5BB581">
            <w:pPr>
              <w:rPr>
                <w:rFonts w:ascii="Arial"/>
                <w:sz w:val="21"/>
              </w:rPr>
            </w:pPr>
          </w:p>
        </w:tc>
      </w:tr>
      <w:tr w14:paraId="1937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38545CC5">
            <w:pPr>
              <w:rPr>
                <w:rFonts w:ascii="Arial"/>
                <w:sz w:val="21"/>
              </w:rPr>
            </w:pPr>
          </w:p>
        </w:tc>
        <w:tc>
          <w:tcPr>
            <w:tcW w:w="2077" w:type="dxa"/>
            <w:vAlign w:val="top"/>
          </w:tcPr>
          <w:p w14:paraId="4ACB991E">
            <w:pPr>
              <w:rPr>
                <w:rFonts w:ascii="Arial"/>
                <w:sz w:val="21"/>
              </w:rPr>
            </w:pPr>
          </w:p>
        </w:tc>
        <w:tc>
          <w:tcPr>
            <w:tcW w:w="2080" w:type="dxa"/>
            <w:vAlign w:val="top"/>
          </w:tcPr>
          <w:p w14:paraId="65DE4AD9">
            <w:pPr>
              <w:rPr>
                <w:rFonts w:ascii="Arial"/>
                <w:sz w:val="21"/>
              </w:rPr>
            </w:pPr>
          </w:p>
        </w:tc>
        <w:tc>
          <w:tcPr>
            <w:tcW w:w="2082" w:type="dxa"/>
            <w:vAlign w:val="top"/>
          </w:tcPr>
          <w:p w14:paraId="09DFCF64">
            <w:pPr>
              <w:rPr>
                <w:rFonts w:ascii="Arial"/>
                <w:sz w:val="21"/>
              </w:rPr>
            </w:pPr>
          </w:p>
        </w:tc>
      </w:tr>
      <w:tr w14:paraId="43C7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53C5647B">
            <w:pPr>
              <w:rPr>
                <w:rFonts w:ascii="Arial"/>
                <w:sz w:val="21"/>
              </w:rPr>
            </w:pPr>
          </w:p>
        </w:tc>
        <w:tc>
          <w:tcPr>
            <w:tcW w:w="2077" w:type="dxa"/>
            <w:vAlign w:val="top"/>
          </w:tcPr>
          <w:p w14:paraId="4827ED43">
            <w:pPr>
              <w:rPr>
                <w:rFonts w:ascii="Arial"/>
                <w:sz w:val="21"/>
              </w:rPr>
            </w:pPr>
          </w:p>
        </w:tc>
        <w:tc>
          <w:tcPr>
            <w:tcW w:w="2080" w:type="dxa"/>
            <w:vAlign w:val="top"/>
          </w:tcPr>
          <w:p w14:paraId="6D883EA8">
            <w:pPr>
              <w:rPr>
                <w:rFonts w:ascii="Arial"/>
                <w:sz w:val="21"/>
              </w:rPr>
            </w:pPr>
          </w:p>
        </w:tc>
        <w:tc>
          <w:tcPr>
            <w:tcW w:w="2082" w:type="dxa"/>
            <w:vAlign w:val="top"/>
          </w:tcPr>
          <w:p w14:paraId="4340EDA4">
            <w:pPr>
              <w:rPr>
                <w:rFonts w:ascii="Arial"/>
                <w:sz w:val="21"/>
              </w:rPr>
            </w:pPr>
          </w:p>
        </w:tc>
      </w:tr>
      <w:tr w14:paraId="0E91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272" w:type="dxa"/>
            <w:vAlign w:val="top"/>
          </w:tcPr>
          <w:p w14:paraId="0B19196F">
            <w:pPr>
              <w:rPr>
                <w:rFonts w:ascii="Arial"/>
                <w:sz w:val="21"/>
              </w:rPr>
            </w:pPr>
          </w:p>
        </w:tc>
        <w:tc>
          <w:tcPr>
            <w:tcW w:w="2077" w:type="dxa"/>
            <w:vAlign w:val="top"/>
          </w:tcPr>
          <w:p w14:paraId="3398CB13">
            <w:pPr>
              <w:rPr>
                <w:rFonts w:ascii="Arial"/>
                <w:sz w:val="21"/>
              </w:rPr>
            </w:pPr>
          </w:p>
        </w:tc>
        <w:tc>
          <w:tcPr>
            <w:tcW w:w="2080" w:type="dxa"/>
            <w:vAlign w:val="top"/>
          </w:tcPr>
          <w:p w14:paraId="52821BBD">
            <w:pPr>
              <w:rPr>
                <w:rFonts w:ascii="Arial"/>
                <w:sz w:val="21"/>
              </w:rPr>
            </w:pPr>
          </w:p>
        </w:tc>
        <w:tc>
          <w:tcPr>
            <w:tcW w:w="2082" w:type="dxa"/>
            <w:vAlign w:val="top"/>
          </w:tcPr>
          <w:p w14:paraId="3F032DBE">
            <w:pPr>
              <w:rPr>
                <w:rFonts w:ascii="Arial"/>
                <w:sz w:val="21"/>
              </w:rPr>
            </w:pPr>
          </w:p>
        </w:tc>
      </w:tr>
      <w:tr w14:paraId="2FC2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272" w:type="dxa"/>
            <w:vAlign w:val="top"/>
          </w:tcPr>
          <w:p w14:paraId="70229B07">
            <w:pPr>
              <w:rPr>
                <w:rFonts w:ascii="Arial"/>
                <w:sz w:val="21"/>
              </w:rPr>
            </w:pPr>
          </w:p>
        </w:tc>
        <w:tc>
          <w:tcPr>
            <w:tcW w:w="2077" w:type="dxa"/>
            <w:vAlign w:val="top"/>
          </w:tcPr>
          <w:p w14:paraId="410C1EB7">
            <w:pPr>
              <w:rPr>
                <w:rFonts w:ascii="Arial"/>
                <w:sz w:val="21"/>
              </w:rPr>
            </w:pPr>
          </w:p>
        </w:tc>
        <w:tc>
          <w:tcPr>
            <w:tcW w:w="2080" w:type="dxa"/>
            <w:vAlign w:val="top"/>
          </w:tcPr>
          <w:p w14:paraId="2FC2040E">
            <w:pPr>
              <w:rPr>
                <w:rFonts w:ascii="Arial"/>
                <w:sz w:val="21"/>
              </w:rPr>
            </w:pPr>
          </w:p>
        </w:tc>
        <w:tc>
          <w:tcPr>
            <w:tcW w:w="2082" w:type="dxa"/>
            <w:vAlign w:val="top"/>
          </w:tcPr>
          <w:p w14:paraId="1E70976D">
            <w:pPr>
              <w:rPr>
                <w:rFonts w:ascii="Arial"/>
                <w:sz w:val="21"/>
              </w:rPr>
            </w:pPr>
          </w:p>
        </w:tc>
      </w:tr>
      <w:tr w14:paraId="0350E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272" w:type="dxa"/>
            <w:vAlign w:val="top"/>
          </w:tcPr>
          <w:p w14:paraId="75AC16C5">
            <w:pPr>
              <w:rPr>
                <w:rFonts w:ascii="Arial"/>
                <w:sz w:val="21"/>
              </w:rPr>
            </w:pPr>
          </w:p>
        </w:tc>
        <w:tc>
          <w:tcPr>
            <w:tcW w:w="2077" w:type="dxa"/>
            <w:vAlign w:val="top"/>
          </w:tcPr>
          <w:p w14:paraId="2F5B3A29">
            <w:pPr>
              <w:rPr>
                <w:rFonts w:ascii="Arial"/>
                <w:sz w:val="21"/>
              </w:rPr>
            </w:pPr>
          </w:p>
        </w:tc>
        <w:tc>
          <w:tcPr>
            <w:tcW w:w="2080" w:type="dxa"/>
            <w:vAlign w:val="top"/>
          </w:tcPr>
          <w:p w14:paraId="715C16CF">
            <w:pPr>
              <w:rPr>
                <w:rFonts w:ascii="Arial"/>
                <w:sz w:val="21"/>
              </w:rPr>
            </w:pPr>
          </w:p>
        </w:tc>
        <w:tc>
          <w:tcPr>
            <w:tcW w:w="2082" w:type="dxa"/>
            <w:vAlign w:val="top"/>
          </w:tcPr>
          <w:p w14:paraId="4856E547">
            <w:pPr>
              <w:rPr>
                <w:rFonts w:ascii="Arial"/>
                <w:sz w:val="21"/>
              </w:rPr>
            </w:pPr>
          </w:p>
        </w:tc>
      </w:tr>
    </w:tbl>
    <w:p w14:paraId="2136B7C6">
      <w:pPr>
        <w:pStyle w:val="5"/>
      </w:pPr>
    </w:p>
    <w:p w14:paraId="31EBF6CE">
      <w:pPr>
        <w:sectPr>
          <w:footerReference r:id="rId230" w:type="default"/>
          <w:pgSz w:w="11905" w:h="16843"/>
          <w:pgMar w:top="969" w:right="1355" w:bottom="1026" w:left="1480" w:header="0" w:footer="754" w:gutter="0"/>
          <w:cols w:space="0" w:num="1"/>
          <w:rtlGutter w:val="0"/>
          <w:docGrid w:linePitch="0" w:charSpace="0"/>
        </w:sectPr>
      </w:pPr>
    </w:p>
    <w:p w14:paraId="074485B1">
      <w:pPr>
        <w:pStyle w:val="5"/>
      </w:pPr>
    </w:p>
    <w:p w14:paraId="26096260">
      <w:pPr>
        <w:pStyle w:val="5"/>
      </w:pPr>
    </w:p>
    <w:p w14:paraId="7E0ED28B">
      <w:pPr>
        <w:pStyle w:val="5"/>
      </w:pPr>
    </w:p>
    <w:p w14:paraId="21142558">
      <w:pPr>
        <w:pStyle w:val="5"/>
      </w:pPr>
    </w:p>
    <w:p w14:paraId="1513EFE1">
      <w:pPr>
        <w:pStyle w:val="5"/>
      </w:pPr>
    </w:p>
    <w:p w14:paraId="3082B265">
      <w:pPr>
        <w:pStyle w:val="5"/>
      </w:pPr>
    </w:p>
    <w:p w14:paraId="56438FBD">
      <w:pPr>
        <w:pStyle w:val="5"/>
      </w:pPr>
    </w:p>
    <w:p w14:paraId="657B4F5E">
      <w:pPr>
        <w:pStyle w:val="5"/>
      </w:pPr>
    </w:p>
    <w:p w14:paraId="6EFD08B6">
      <w:pPr>
        <w:pStyle w:val="5"/>
      </w:pPr>
    </w:p>
    <w:p w14:paraId="38A46ADA">
      <w:pPr>
        <w:pStyle w:val="5"/>
      </w:pPr>
    </w:p>
    <w:p w14:paraId="44179044">
      <w:pPr>
        <w:pStyle w:val="5"/>
      </w:pPr>
    </w:p>
    <w:p w14:paraId="5E56F275">
      <w:pPr>
        <w:pStyle w:val="5"/>
      </w:pPr>
    </w:p>
    <w:p w14:paraId="5B25C8CC">
      <w:pPr>
        <w:pStyle w:val="5"/>
      </w:pPr>
    </w:p>
    <w:p w14:paraId="5F565583">
      <w:pPr>
        <w:pStyle w:val="5"/>
      </w:pPr>
    </w:p>
    <w:p w14:paraId="61538B51">
      <w:pPr>
        <w:pStyle w:val="5"/>
      </w:pPr>
    </w:p>
    <w:p w14:paraId="6CDCF2E8">
      <w:pPr>
        <w:pStyle w:val="5"/>
        <w:spacing w:line="241" w:lineRule="auto"/>
      </w:pPr>
    </w:p>
    <w:p w14:paraId="4A397151">
      <w:pPr>
        <w:pStyle w:val="5"/>
        <w:spacing w:line="241" w:lineRule="auto"/>
      </w:pPr>
    </w:p>
    <w:p w14:paraId="62CFA012">
      <w:pPr>
        <w:pStyle w:val="5"/>
        <w:spacing w:line="241" w:lineRule="auto"/>
      </w:pPr>
    </w:p>
    <w:p w14:paraId="7B7C0376">
      <w:pPr>
        <w:spacing w:before="91" w:line="219" w:lineRule="auto"/>
        <w:ind w:left="3312"/>
        <w:outlineLvl w:val="1"/>
        <w:rPr>
          <w:rFonts w:ascii="黑体" w:hAnsi="黑体" w:eastAsia="黑体" w:cs="黑体"/>
          <w:sz w:val="28"/>
          <w:szCs w:val="28"/>
        </w:rPr>
      </w:pPr>
      <w:bookmarkStart w:id="1411" w:name="bookmark475"/>
      <w:bookmarkEnd w:id="1411"/>
      <w:r>
        <w:rPr>
          <w:rFonts w:ascii="黑体" w:hAnsi="黑体" w:eastAsia="黑体" w:cs="黑体"/>
          <w:spacing w:val="-2"/>
          <w:sz w:val="28"/>
          <w:szCs w:val="28"/>
        </w:rPr>
        <w:t>十、其他资料</w:t>
      </w:r>
    </w:p>
    <w:sectPr>
      <w:footerReference r:id="rId231" w:type="default"/>
      <w:pgSz w:w="11905" w:h="16843"/>
      <w:pgMar w:top="969" w:right="1355" w:bottom="1026" w:left="1480" w:header="0" w:footer="75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4350">
    <w:pPr>
      <w:pStyle w:val="5"/>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9EEC">
    <w:pPr>
      <w:spacing w:line="174" w:lineRule="auto"/>
      <w:ind w:left="40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IX</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81B8">
    <w:pPr>
      <w:spacing w:line="226" w:lineRule="auto"/>
      <w:ind w:left="4285"/>
      <w:rPr>
        <w:rFonts w:ascii="仿宋" w:hAnsi="仿宋" w:eastAsia="仿宋" w:cs="仿宋"/>
        <w:sz w:val="18"/>
        <w:szCs w:val="18"/>
      </w:rPr>
    </w:pPr>
    <w:r>
      <w:rPr>
        <w:rFonts w:ascii="仿宋" w:hAnsi="仿宋" w:eastAsia="仿宋" w:cs="仿宋"/>
        <w:spacing w:val="-4"/>
        <w:sz w:val="18"/>
        <w:szCs w:val="18"/>
      </w:rPr>
      <w:t>101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906F">
    <w:pPr>
      <w:spacing w:line="226" w:lineRule="auto"/>
      <w:ind w:left="4285"/>
      <w:rPr>
        <w:rFonts w:ascii="仿宋" w:hAnsi="仿宋" w:eastAsia="仿宋" w:cs="仿宋"/>
        <w:sz w:val="18"/>
        <w:szCs w:val="18"/>
      </w:rPr>
    </w:pPr>
    <w:r>
      <w:rPr>
        <w:rFonts w:ascii="仿宋" w:hAnsi="仿宋" w:eastAsia="仿宋" w:cs="仿宋"/>
        <w:spacing w:val="-4"/>
        <w:sz w:val="18"/>
        <w:szCs w:val="18"/>
      </w:rPr>
      <w:t>102</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4A37">
    <w:pPr>
      <w:spacing w:line="226" w:lineRule="auto"/>
      <w:ind w:left="4285"/>
      <w:rPr>
        <w:rFonts w:ascii="仿宋" w:hAnsi="仿宋" w:eastAsia="仿宋" w:cs="仿宋"/>
        <w:sz w:val="18"/>
        <w:szCs w:val="18"/>
      </w:rPr>
    </w:pPr>
    <w:r>
      <w:rPr>
        <w:rFonts w:ascii="仿宋" w:hAnsi="仿宋" w:eastAsia="仿宋" w:cs="仿宋"/>
        <w:spacing w:val="-4"/>
        <w:sz w:val="18"/>
        <w:szCs w:val="18"/>
      </w:rPr>
      <w:t>103</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84EE">
    <w:pPr>
      <w:spacing w:line="226" w:lineRule="auto"/>
      <w:ind w:left="4286"/>
      <w:rPr>
        <w:rFonts w:ascii="仿宋" w:hAnsi="仿宋" w:eastAsia="仿宋" w:cs="仿宋"/>
        <w:sz w:val="18"/>
        <w:szCs w:val="18"/>
      </w:rPr>
    </w:pPr>
    <w:r>
      <w:rPr>
        <w:rFonts w:ascii="仿宋" w:hAnsi="仿宋" w:eastAsia="仿宋" w:cs="仿宋"/>
        <w:spacing w:val="-4"/>
        <w:sz w:val="18"/>
        <w:szCs w:val="18"/>
      </w:rPr>
      <w:t>104</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7E784">
    <w:pPr>
      <w:spacing w:line="226" w:lineRule="auto"/>
      <w:ind w:left="4285"/>
      <w:rPr>
        <w:rFonts w:ascii="仿宋" w:hAnsi="仿宋" w:eastAsia="仿宋" w:cs="仿宋"/>
        <w:sz w:val="18"/>
        <w:szCs w:val="18"/>
      </w:rPr>
    </w:pPr>
    <w:r>
      <w:rPr>
        <w:rFonts w:ascii="仿宋" w:hAnsi="仿宋" w:eastAsia="仿宋" w:cs="仿宋"/>
        <w:spacing w:val="-4"/>
        <w:sz w:val="18"/>
        <w:szCs w:val="18"/>
      </w:rPr>
      <w:t>105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D963">
    <w:pPr>
      <w:spacing w:line="226" w:lineRule="auto"/>
      <w:ind w:left="4285"/>
      <w:rPr>
        <w:rFonts w:ascii="仿宋" w:hAnsi="仿宋" w:eastAsia="仿宋" w:cs="仿宋"/>
        <w:sz w:val="18"/>
        <w:szCs w:val="18"/>
      </w:rPr>
    </w:pPr>
    <w:r>
      <w:rPr>
        <w:rFonts w:ascii="仿宋" w:hAnsi="仿宋" w:eastAsia="仿宋" w:cs="仿宋"/>
        <w:spacing w:val="-4"/>
        <w:sz w:val="18"/>
        <w:szCs w:val="18"/>
      </w:rPr>
      <w:t>106</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E30F1">
    <w:pPr>
      <w:spacing w:line="226" w:lineRule="auto"/>
      <w:ind w:left="4285"/>
      <w:rPr>
        <w:rFonts w:ascii="仿宋" w:hAnsi="仿宋" w:eastAsia="仿宋" w:cs="仿宋"/>
        <w:sz w:val="18"/>
        <w:szCs w:val="18"/>
      </w:rPr>
    </w:pPr>
    <w:r>
      <w:rPr>
        <w:rFonts w:ascii="仿宋" w:hAnsi="仿宋" w:eastAsia="仿宋" w:cs="仿宋"/>
        <w:spacing w:val="-4"/>
        <w:sz w:val="18"/>
        <w:szCs w:val="18"/>
      </w:rPr>
      <w:t>107</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6405">
    <w:pPr>
      <w:spacing w:line="226" w:lineRule="auto"/>
      <w:ind w:left="4286"/>
      <w:rPr>
        <w:rFonts w:ascii="仿宋" w:hAnsi="仿宋" w:eastAsia="仿宋" w:cs="仿宋"/>
        <w:sz w:val="18"/>
        <w:szCs w:val="18"/>
      </w:rPr>
    </w:pPr>
    <w:r>
      <w:rPr>
        <w:rFonts w:ascii="仿宋" w:hAnsi="仿宋" w:eastAsia="仿宋" w:cs="仿宋"/>
        <w:spacing w:val="-4"/>
        <w:sz w:val="18"/>
        <w:szCs w:val="18"/>
      </w:rPr>
      <w:t>108</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3410">
    <w:pPr>
      <w:spacing w:line="226" w:lineRule="auto"/>
      <w:ind w:left="4285"/>
      <w:rPr>
        <w:rFonts w:ascii="仿宋" w:hAnsi="仿宋" w:eastAsia="仿宋" w:cs="仿宋"/>
        <w:sz w:val="18"/>
        <w:szCs w:val="18"/>
      </w:rPr>
    </w:pPr>
    <w:r>
      <w:rPr>
        <w:rFonts w:ascii="仿宋" w:hAnsi="仿宋" w:eastAsia="仿宋" w:cs="仿宋"/>
        <w:spacing w:val="-4"/>
        <w:sz w:val="18"/>
        <w:szCs w:val="18"/>
      </w:rPr>
      <w:t>109</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46488">
    <w:pPr>
      <w:spacing w:line="226" w:lineRule="auto"/>
      <w:ind w:left="4284"/>
      <w:rPr>
        <w:rFonts w:ascii="仿宋" w:hAnsi="仿宋" w:eastAsia="仿宋" w:cs="仿宋"/>
        <w:sz w:val="18"/>
        <w:szCs w:val="18"/>
      </w:rPr>
    </w:pPr>
    <w:r>
      <w:rPr>
        <w:rFonts w:ascii="仿宋" w:hAnsi="仿宋" w:eastAsia="仿宋" w:cs="仿宋"/>
        <w:spacing w:val="-4"/>
        <w:sz w:val="18"/>
        <w:szCs w:val="18"/>
      </w:rPr>
      <w:t>110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6B36">
    <w:pPr>
      <w:spacing w:line="174" w:lineRule="auto"/>
      <w:ind w:left="4094"/>
      <w:rPr>
        <w:rFonts w:ascii="Times New Roman" w:hAnsi="Times New Roman" w:eastAsia="Times New Roman" w:cs="Times New Roman"/>
        <w:sz w:val="21"/>
        <w:szCs w:val="21"/>
      </w:rPr>
    </w:pPr>
    <w:r>
      <w:rPr>
        <w:rFonts w:ascii="Times New Roman" w:hAnsi="Times New Roman" w:eastAsia="Times New Roman" w:cs="Times New Roman"/>
        <w:sz w:val="21"/>
        <w:szCs w:val="21"/>
      </w:rPr>
      <w:t>X</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C1AA">
    <w:pPr>
      <w:spacing w:line="228" w:lineRule="auto"/>
      <w:ind w:left="4286"/>
      <w:rPr>
        <w:rFonts w:ascii="仿宋" w:hAnsi="仿宋" w:eastAsia="仿宋" w:cs="仿宋"/>
        <w:sz w:val="18"/>
        <w:szCs w:val="18"/>
      </w:rPr>
    </w:pPr>
    <w:r>
      <w:rPr>
        <w:rFonts w:ascii="仿宋" w:hAnsi="仿宋" w:eastAsia="仿宋" w:cs="仿宋"/>
        <w:spacing w:val="-4"/>
        <w:sz w:val="18"/>
        <w:szCs w:val="18"/>
      </w:rPr>
      <w:t>111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57B4">
    <w:pPr>
      <w:spacing w:line="228" w:lineRule="auto"/>
      <w:ind w:left="4289"/>
      <w:rPr>
        <w:rFonts w:ascii="仿宋" w:hAnsi="仿宋" w:eastAsia="仿宋" w:cs="仿宋"/>
        <w:sz w:val="18"/>
        <w:szCs w:val="18"/>
      </w:rPr>
    </w:pPr>
    <w:r>
      <w:rPr>
        <w:rFonts w:ascii="仿宋" w:hAnsi="仿宋" w:eastAsia="仿宋" w:cs="仿宋"/>
        <w:spacing w:val="-4"/>
        <w:sz w:val="18"/>
        <w:szCs w:val="18"/>
      </w:rPr>
      <w:t>112</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A5A8">
    <w:pPr>
      <w:spacing w:line="226" w:lineRule="auto"/>
      <w:ind w:left="4286"/>
      <w:rPr>
        <w:rFonts w:ascii="仿宋" w:hAnsi="仿宋" w:eastAsia="仿宋" w:cs="仿宋"/>
        <w:sz w:val="18"/>
        <w:szCs w:val="18"/>
      </w:rPr>
    </w:pPr>
    <w:r>
      <w:rPr>
        <w:rFonts w:ascii="仿宋" w:hAnsi="仿宋" w:eastAsia="仿宋" w:cs="仿宋"/>
        <w:spacing w:val="-4"/>
        <w:sz w:val="18"/>
        <w:szCs w:val="18"/>
      </w:rPr>
      <w:t>113</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C828">
    <w:pPr>
      <w:spacing w:line="226" w:lineRule="auto"/>
      <w:ind w:left="4285"/>
      <w:rPr>
        <w:rFonts w:ascii="仿宋" w:hAnsi="仿宋" w:eastAsia="仿宋" w:cs="仿宋"/>
        <w:sz w:val="18"/>
        <w:szCs w:val="18"/>
      </w:rPr>
    </w:pPr>
    <w:r>
      <w:rPr>
        <w:rFonts w:ascii="仿宋" w:hAnsi="仿宋" w:eastAsia="仿宋" w:cs="仿宋"/>
        <w:spacing w:val="-4"/>
        <w:sz w:val="18"/>
        <w:szCs w:val="18"/>
      </w:rPr>
      <w:t>115</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68EC">
    <w:pPr>
      <w:spacing w:line="226" w:lineRule="auto"/>
      <w:ind w:left="4286"/>
      <w:rPr>
        <w:rFonts w:ascii="仿宋" w:hAnsi="仿宋" w:eastAsia="仿宋" w:cs="仿宋"/>
        <w:sz w:val="18"/>
        <w:szCs w:val="18"/>
      </w:rPr>
    </w:pPr>
    <w:r>
      <w:rPr>
        <w:rFonts w:ascii="仿宋" w:hAnsi="仿宋" w:eastAsia="仿宋" w:cs="仿宋"/>
        <w:spacing w:val="-4"/>
        <w:sz w:val="18"/>
        <w:szCs w:val="18"/>
      </w:rPr>
      <w:t>118</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ABD7">
    <w:pPr>
      <w:spacing w:line="226" w:lineRule="auto"/>
      <w:ind w:left="4286"/>
      <w:rPr>
        <w:rFonts w:ascii="仿宋" w:hAnsi="仿宋" w:eastAsia="仿宋" w:cs="仿宋"/>
        <w:sz w:val="18"/>
        <w:szCs w:val="18"/>
      </w:rPr>
    </w:pPr>
    <w:r>
      <w:rPr>
        <w:rFonts w:ascii="仿宋" w:hAnsi="仿宋" w:eastAsia="仿宋" w:cs="仿宋"/>
        <w:spacing w:val="-4"/>
        <w:sz w:val="18"/>
        <w:szCs w:val="18"/>
      </w:rPr>
      <w:t>119</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7599">
    <w:pPr>
      <w:spacing w:line="226" w:lineRule="auto"/>
      <w:ind w:left="4285"/>
      <w:rPr>
        <w:rFonts w:ascii="仿宋" w:hAnsi="仿宋" w:eastAsia="仿宋" w:cs="仿宋"/>
        <w:sz w:val="18"/>
        <w:szCs w:val="18"/>
      </w:rPr>
    </w:pPr>
    <w:r>
      <w:rPr>
        <w:rFonts w:ascii="仿宋" w:hAnsi="仿宋" w:eastAsia="仿宋" w:cs="仿宋"/>
        <w:spacing w:val="-4"/>
        <w:sz w:val="18"/>
        <w:szCs w:val="18"/>
      </w:rPr>
      <w:t>120</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8660">
    <w:pPr>
      <w:spacing w:line="228" w:lineRule="auto"/>
      <w:ind w:left="4285"/>
      <w:rPr>
        <w:rFonts w:ascii="仿宋" w:hAnsi="仿宋" w:eastAsia="仿宋" w:cs="仿宋"/>
        <w:sz w:val="18"/>
        <w:szCs w:val="18"/>
      </w:rPr>
    </w:pPr>
    <w:r>
      <w:rPr>
        <w:rFonts w:ascii="仿宋" w:hAnsi="仿宋" w:eastAsia="仿宋" w:cs="仿宋"/>
        <w:spacing w:val="-4"/>
        <w:sz w:val="18"/>
        <w:szCs w:val="18"/>
      </w:rPr>
      <w:t>122</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1EE9">
    <w:pPr>
      <w:spacing w:line="228" w:lineRule="auto"/>
      <w:ind w:left="4285"/>
      <w:rPr>
        <w:rFonts w:ascii="仿宋" w:hAnsi="仿宋" w:eastAsia="仿宋" w:cs="仿宋"/>
        <w:sz w:val="18"/>
        <w:szCs w:val="18"/>
      </w:rPr>
    </w:pPr>
    <w:r>
      <w:rPr>
        <w:rFonts w:ascii="仿宋" w:hAnsi="仿宋" w:eastAsia="仿宋" w:cs="仿宋"/>
        <w:spacing w:val="-4"/>
        <w:sz w:val="18"/>
        <w:szCs w:val="18"/>
      </w:rPr>
      <w:t>124</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97D7">
    <w:pPr>
      <w:spacing w:line="226" w:lineRule="auto"/>
      <w:ind w:left="4286"/>
      <w:rPr>
        <w:rFonts w:ascii="仿宋" w:hAnsi="仿宋" w:eastAsia="仿宋" w:cs="仿宋"/>
        <w:sz w:val="18"/>
        <w:szCs w:val="18"/>
      </w:rPr>
    </w:pPr>
    <w:r>
      <w:rPr>
        <w:rFonts w:ascii="仿宋" w:hAnsi="仿宋" w:eastAsia="仿宋" w:cs="仿宋"/>
        <w:spacing w:val="-4"/>
        <w:sz w:val="18"/>
        <w:szCs w:val="18"/>
      </w:rPr>
      <w:t>125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9F42">
    <w:pPr>
      <w:spacing w:line="174" w:lineRule="auto"/>
      <w:ind w:left="4058"/>
      <w:rPr>
        <w:rFonts w:ascii="Times New Roman" w:hAnsi="Times New Roman" w:eastAsia="Times New Roman" w:cs="Times New Roman"/>
        <w:sz w:val="21"/>
        <w:szCs w:val="21"/>
      </w:rPr>
    </w:pPr>
    <w:r>
      <w:rPr>
        <w:rFonts w:ascii="Times New Roman" w:hAnsi="Times New Roman" w:eastAsia="Times New Roman" w:cs="Times New Roman"/>
        <w:sz w:val="21"/>
        <w:szCs w:val="21"/>
      </w:rPr>
      <w:t>XI</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FFF2">
    <w:pPr>
      <w:spacing w:line="226" w:lineRule="auto"/>
      <w:ind w:left="4285"/>
      <w:rPr>
        <w:rFonts w:ascii="仿宋" w:hAnsi="仿宋" w:eastAsia="仿宋" w:cs="仿宋"/>
        <w:sz w:val="18"/>
        <w:szCs w:val="18"/>
      </w:rPr>
    </w:pPr>
    <w:r>
      <w:rPr>
        <w:rFonts w:ascii="仿宋" w:hAnsi="仿宋" w:eastAsia="仿宋" w:cs="仿宋"/>
        <w:spacing w:val="-4"/>
        <w:sz w:val="18"/>
        <w:szCs w:val="18"/>
      </w:rPr>
      <w:t>126</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D4ED">
    <w:pPr>
      <w:spacing w:line="226" w:lineRule="auto"/>
      <w:ind w:left="4285"/>
      <w:rPr>
        <w:rFonts w:ascii="仿宋" w:hAnsi="仿宋" w:eastAsia="仿宋" w:cs="仿宋"/>
        <w:sz w:val="18"/>
        <w:szCs w:val="18"/>
      </w:rPr>
    </w:pPr>
    <w:r>
      <w:rPr>
        <w:rFonts w:ascii="仿宋" w:hAnsi="仿宋" w:eastAsia="仿宋" w:cs="仿宋"/>
        <w:spacing w:val="-4"/>
        <w:sz w:val="18"/>
        <w:szCs w:val="18"/>
      </w:rPr>
      <w:t>127</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213E">
    <w:pPr>
      <w:spacing w:line="226" w:lineRule="auto"/>
      <w:ind w:left="4287"/>
      <w:rPr>
        <w:rFonts w:ascii="仿宋" w:hAnsi="仿宋" w:eastAsia="仿宋" w:cs="仿宋"/>
        <w:sz w:val="18"/>
        <w:szCs w:val="18"/>
      </w:rPr>
    </w:pPr>
    <w:r>
      <w:rPr>
        <w:rFonts w:ascii="仿宋" w:hAnsi="仿宋" w:eastAsia="仿宋" w:cs="仿宋"/>
        <w:spacing w:val="-4"/>
        <w:sz w:val="18"/>
        <w:szCs w:val="18"/>
      </w:rPr>
      <w:t>128</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6137">
    <w:pPr>
      <w:spacing w:line="226" w:lineRule="auto"/>
      <w:ind w:left="4287"/>
      <w:rPr>
        <w:rFonts w:ascii="仿宋" w:hAnsi="仿宋" w:eastAsia="仿宋" w:cs="仿宋"/>
        <w:sz w:val="18"/>
        <w:szCs w:val="18"/>
      </w:rPr>
    </w:pPr>
    <w:r>
      <w:rPr>
        <w:rFonts w:ascii="仿宋" w:hAnsi="仿宋" w:eastAsia="仿宋" w:cs="仿宋"/>
        <w:spacing w:val="-4"/>
        <w:sz w:val="18"/>
        <w:szCs w:val="18"/>
      </w:rPr>
      <w:t>129</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9E9C">
    <w:pPr>
      <w:spacing w:line="226" w:lineRule="auto"/>
      <w:ind w:left="4038"/>
      <w:rPr>
        <w:rFonts w:ascii="仿宋" w:hAnsi="仿宋" w:eastAsia="仿宋" w:cs="仿宋"/>
        <w:sz w:val="18"/>
        <w:szCs w:val="18"/>
      </w:rPr>
    </w:pPr>
    <w:r>
      <w:rPr>
        <w:rFonts w:ascii="仿宋" w:hAnsi="仿宋" w:eastAsia="仿宋" w:cs="仿宋"/>
        <w:spacing w:val="-4"/>
        <w:sz w:val="18"/>
        <w:szCs w:val="18"/>
      </w:rPr>
      <w:t>130</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3A29">
    <w:pPr>
      <w:spacing w:line="226" w:lineRule="auto"/>
      <w:ind w:left="4266"/>
      <w:rPr>
        <w:rFonts w:ascii="仿宋" w:hAnsi="仿宋" w:eastAsia="仿宋" w:cs="仿宋"/>
        <w:sz w:val="18"/>
        <w:szCs w:val="18"/>
      </w:rPr>
    </w:pPr>
    <w:r>
      <w:rPr>
        <w:rFonts w:ascii="仿宋" w:hAnsi="仿宋" w:eastAsia="仿宋" w:cs="仿宋"/>
        <w:spacing w:val="-4"/>
        <w:sz w:val="18"/>
        <w:szCs w:val="18"/>
      </w:rPr>
      <w:t>149</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02063">
    <w:pPr>
      <w:pStyle w:val="5"/>
      <w:spacing w:line="14" w:lineRule="auto"/>
      <w:rPr>
        <w:sz w:val="2"/>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7BE8">
    <w:pPr>
      <w:spacing w:line="226" w:lineRule="auto"/>
      <w:ind w:left="4305"/>
      <w:rPr>
        <w:rFonts w:ascii="仿宋" w:hAnsi="仿宋" w:eastAsia="仿宋" w:cs="仿宋"/>
        <w:sz w:val="18"/>
        <w:szCs w:val="18"/>
      </w:rPr>
    </w:pPr>
    <w:r>
      <w:rPr>
        <w:rFonts w:ascii="仿宋" w:hAnsi="仿宋" w:eastAsia="仿宋" w:cs="仿宋"/>
        <w:spacing w:val="-4"/>
        <w:sz w:val="18"/>
        <w:szCs w:val="18"/>
      </w:rPr>
      <w:t>151</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C2E0">
    <w:pPr>
      <w:spacing w:line="226" w:lineRule="auto"/>
      <w:ind w:left="4334"/>
      <w:rPr>
        <w:rFonts w:ascii="仿宋" w:hAnsi="仿宋" w:eastAsia="仿宋" w:cs="仿宋"/>
        <w:sz w:val="18"/>
        <w:szCs w:val="18"/>
      </w:rPr>
    </w:pPr>
    <w:r>
      <w:rPr>
        <w:rFonts w:ascii="仿宋" w:hAnsi="仿宋" w:eastAsia="仿宋" w:cs="仿宋"/>
        <w:spacing w:val="-4"/>
        <w:sz w:val="18"/>
        <w:szCs w:val="18"/>
      </w:rPr>
      <w:t>152</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361B">
    <w:pPr>
      <w:spacing w:line="226" w:lineRule="auto"/>
      <w:ind w:left="4334"/>
      <w:rPr>
        <w:rFonts w:ascii="仿宋" w:hAnsi="仿宋" w:eastAsia="仿宋" w:cs="仿宋"/>
        <w:sz w:val="18"/>
        <w:szCs w:val="18"/>
      </w:rPr>
    </w:pPr>
    <w:r>
      <w:rPr>
        <w:rFonts w:ascii="仿宋" w:hAnsi="仿宋" w:eastAsia="仿宋" w:cs="仿宋"/>
        <w:spacing w:val="-4"/>
        <w:sz w:val="18"/>
        <w:szCs w:val="18"/>
      </w:rPr>
      <w:t>153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C475">
    <w:pPr>
      <w:spacing w:line="226" w:lineRule="auto"/>
      <w:ind w:left="413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6FD">
    <w:pPr>
      <w:spacing w:line="226" w:lineRule="auto"/>
      <w:ind w:left="4418"/>
      <w:rPr>
        <w:rFonts w:ascii="仿宋" w:hAnsi="仿宋" w:eastAsia="仿宋" w:cs="仿宋"/>
        <w:sz w:val="18"/>
        <w:szCs w:val="18"/>
      </w:rPr>
    </w:pPr>
    <w:r>
      <w:rPr>
        <w:rFonts w:ascii="仿宋" w:hAnsi="仿宋" w:eastAsia="仿宋" w:cs="仿宋"/>
        <w:spacing w:val="-4"/>
        <w:sz w:val="18"/>
        <w:szCs w:val="18"/>
      </w:rPr>
      <w:t>154</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0BAD">
    <w:pPr>
      <w:spacing w:line="226" w:lineRule="auto"/>
      <w:ind w:left="4377"/>
      <w:rPr>
        <w:rFonts w:ascii="仿宋" w:hAnsi="仿宋" w:eastAsia="仿宋" w:cs="仿宋"/>
        <w:sz w:val="18"/>
        <w:szCs w:val="18"/>
      </w:rPr>
    </w:pPr>
    <w:r>
      <w:rPr>
        <w:rFonts w:ascii="仿宋" w:hAnsi="仿宋" w:eastAsia="仿宋" w:cs="仿宋"/>
        <w:spacing w:val="-4"/>
        <w:sz w:val="18"/>
        <w:szCs w:val="18"/>
      </w:rPr>
      <w:t>155</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9791">
    <w:pPr>
      <w:spacing w:line="226" w:lineRule="auto"/>
      <w:ind w:left="4802"/>
      <w:rPr>
        <w:rFonts w:ascii="仿宋" w:hAnsi="仿宋" w:eastAsia="仿宋" w:cs="仿宋"/>
        <w:sz w:val="18"/>
        <w:szCs w:val="18"/>
      </w:rPr>
    </w:pPr>
    <w:r>
      <w:rPr>
        <w:rFonts w:ascii="仿宋" w:hAnsi="仿宋" w:eastAsia="仿宋" w:cs="仿宋"/>
        <w:spacing w:val="-4"/>
        <w:sz w:val="18"/>
        <w:szCs w:val="18"/>
      </w:rPr>
      <w:t>156</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7F4C">
    <w:pPr>
      <w:spacing w:line="226" w:lineRule="auto"/>
      <w:ind w:left="4802"/>
      <w:rPr>
        <w:rFonts w:ascii="仿宋" w:hAnsi="仿宋" w:eastAsia="仿宋" w:cs="仿宋"/>
        <w:sz w:val="18"/>
        <w:szCs w:val="18"/>
      </w:rPr>
    </w:pPr>
    <w:r>
      <w:rPr>
        <w:rFonts w:ascii="仿宋" w:hAnsi="仿宋" w:eastAsia="仿宋" w:cs="仿宋"/>
        <w:spacing w:val="-4"/>
        <w:sz w:val="18"/>
        <w:szCs w:val="18"/>
      </w:rPr>
      <w:t>157</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592B">
    <w:pPr>
      <w:spacing w:line="226" w:lineRule="auto"/>
      <w:ind w:left="4334"/>
      <w:rPr>
        <w:rFonts w:ascii="仿宋" w:hAnsi="仿宋" w:eastAsia="仿宋" w:cs="仿宋"/>
        <w:sz w:val="18"/>
        <w:szCs w:val="18"/>
      </w:rPr>
    </w:pPr>
    <w:r>
      <w:rPr>
        <w:rFonts w:ascii="仿宋" w:hAnsi="仿宋" w:eastAsia="仿宋" w:cs="仿宋"/>
        <w:spacing w:val="-4"/>
        <w:sz w:val="18"/>
        <w:szCs w:val="18"/>
      </w:rPr>
      <w:t>158</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E09D">
    <w:pPr>
      <w:spacing w:line="226" w:lineRule="auto"/>
      <w:ind w:left="4334"/>
      <w:rPr>
        <w:rFonts w:ascii="仿宋" w:hAnsi="仿宋" w:eastAsia="仿宋" w:cs="仿宋"/>
        <w:sz w:val="18"/>
        <w:szCs w:val="18"/>
      </w:rPr>
    </w:pPr>
    <w:r>
      <w:rPr>
        <w:rFonts w:ascii="仿宋" w:hAnsi="仿宋" w:eastAsia="仿宋" w:cs="仿宋"/>
        <w:spacing w:val="-4"/>
        <w:sz w:val="18"/>
        <w:szCs w:val="18"/>
      </w:rPr>
      <w:t>159</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BEBA">
    <w:pPr>
      <w:spacing w:line="226" w:lineRule="auto"/>
      <w:ind w:left="4334"/>
      <w:rPr>
        <w:rFonts w:ascii="仿宋" w:hAnsi="仿宋" w:eastAsia="仿宋" w:cs="仿宋"/>
        <w:sz w:val="18"/>
        <w:szCs w:val="18"/>
      </w:rPr>
    </w:pPr>
    <w:r>
      <w:rPr>
        <w:rFonts w:ascii="仿宋" w:hAnsi="仿宋" w:eastAsia="仿宋" w:cs="仿宋"/>
        <w:spacing w:val="-4"/>
        <w:sz w:val="18"/>
        <w:szCs w:val="18"/>
      </w:rPr>
      <w:t>160</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D9A8">
    <w:pPr>
      <w:spacing w:line="226" w:lineRule="auto"/>
      <w:ind w:left="4325"/>
      <w:rPr>
        <w:rFonts w:ascii="仿宋" w:hAnsi="仿宋" w:eastAsia="仿宋" w:cs="仿宋"/>
        <w:sz w:val="18"/>
        <w:szCs w:val="18"/>
      </w:rPr>
    </w:pPr>
    <w:r>
      <w:rPr>
        <w:rFonts w:ascii="仿宋" w:hAnsi="仿宋" w:eastAsia="仿宋" w:cs="仿宋"/>
        <w:spacing w:val="-4"/>
        <w:sz w:val="18"/>
        <w:szCs w:val="18"/>
      </w:rPr>
      <w:t>161</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CFB8">
    <w:pPr>
      <w:spacing w:line="226" w:lineRule="auto"/>
      <w:ind w:left="4446"/>
      <w:rPr>
        <w:rFonts w:ascii="仿宋" w:hAnsi="仿宋" w:eastAsia="仿宋" w:cs="仿宋"/>
        <w:sz w:val="18"/>
        <w:szCs w:val="18"/>
      </w:rPr>
    </w:pPr>
    <w:r>
      <w:rPr>
        <w:rFonts w:ascii="仿宋" w:hAnsi="仿宋" w:eastAsia="仿宋" w:cs="仿宋"/>
        <w:spacing w:val="-4"/>
        <w:sz w:val="18"/>
        <w:szCs w:val="18"/>
      </w:rPr>
      <w:t>162</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E9D2">
    <w:pPr>
      <w:spacing w:line="226" w:lineRule="auto"/>
      <w:ind w:left="4446"/>
      <w:rPr>
        <w:rFonts w:ascii="仿宋" w:hAnsi="仿宋" w:eastAsia="仿宋" w:cs="仿宋"/>
        <w:sz w:val="18"/>
        <w:szCs w:val="18"/>
      </w:rPr>
    </w:pPr>
    <w:r>
      <w:rPr>
        <w:rFonts w:ascii="仿宋" w:hAnsi="仿宋" w:eastAsia="仿宋" w:cs="仿宋"/>
        <w:spacing w:val="-4"/>
        <w:sz w:val="18"/>
        <w:szCs w:val="18"/>
      </w:rPr>
      <w:t>163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6755">
    <w:pPr>
      <w:spacing w:line="223" w:lineRule="auto"/>
      <w:ind w:left="412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3D27">
    <w:pPr>
      <w:spacing w:line="226" w:lineRule="auto"/>
      <w:ind w:left="4334"/>
      <w:rPr>
        <w:rFonts w:ascii="仿宋" w:hAnsi="仿宋" w:eastAsia="仿宋" w:cs="仿宋"/>
        <w:sz w:val="18"/>
        <w:szCs w:val="18"/>
      </w:rPr>
    </w:pPr>
    <w:r>
      <w:rPr>
        <w:rFonts w:ascii="仿宋" w:hAnsi="仿宋" w:eastAsia="仿宋" w:cs="仿宋"/>
        <w:spacing w:val="-4"/>
        <w:sz w:val="18"/>
        <w:szCs w:val="18"/>
      </w:rPr>
      <w:t>164</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17B7">
    <w:pPr>
      <w:spacing w:line="226" w:lineRule="auto"/>
      <w:ind w:left="4022"/>
      <w:rPr>
        <w:rFonts w:ascii="仿宋" w:hAnsi="仿宋" w:eastAsia="仿宋" w:cs="仿宋"/>
        <w:sz w:val="18"/>
        <w:szCs w:val="18"/>
      </w:rPr>
    </w:pPr>
    <w:r>
      <w:rPr>
        <w:rFonts w:ascii="仿宋" w:hAnsi="仿宋" w:eastAsia="仿宋" w:cs="仿宋"/>
        <w:spacing w:val="-4"/>
        <w:sz w:val="18"/>
        <w:szCs w:val="18"/>
      </w:rPr>
      <w:t>165</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164A">
    <w:pPr>
      <w:spacing w:line="226" w:lineRule="auto"/>
      <w:ind w:left="4329"/>
      <w:rPr>
        <w:rFonts w:ascii="仿宋" w:hAnsi="仿宋" w:eastAsia="仿宋" w:cs="仿宋"/>
        <w:sz w:val="18"/>
        <w:szCs w:val="18"/>
      </w:rPr>
    </w:pPr>
    <w:r>
      <w:rPr>
        <w:rFonts w:ascii="仿宋" w:hAnsi="仿宋" w:eastAsia="仿宋" w:cs="仿宋"/>
        <w:spacing w:val="-4"/>
        <w:sz w:val="18"/>
        <w:szCs w:val="18"/>
      </w:rPr>
      <w:t>166</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8373">
    <w:pPr>
      <w:spacing w:line="226" w:lineRule="auto"/>
      <w:ind w:left="4326"/>
      <w:rPr>
        <w:rFonts w:ascii="仿宋" w:hAnsi="仿宋" w:eastAsia="仿宋" w:cs="仿宋"/>
        <w:sz w:val="18"/>
        <w:szCs w:val="18"/>
      </w:rPr>
    </w:pPr>
    <w:r>
      <w:rPr>
        <w:rFonts w:ascii="仿宋" w:hAnsi="仿宋" w:eastAsia="仿宋" w:cs="仿宋"/>
        <w:spacing w:val="-4"/>
        <w:sz w:val="18"/>
        <w:szCs w:val="18"/>
      </w:rPr>
      <w:t>167</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DCC8">
    <w:pPr>
      <w:spacing w:line="226" w:lineRule="auto"/>
      <w:ind w:left="4334"/>
      <w:rPr>
        <w:rFonts w:ascii="仿宋" w:hAnsi="仿宋" w:eastAsia="仿宋" w:cs="仿宋"/>
        <w:sz w:val="18"/>
        <w:szCs w:val="18"/>
      </w:rPr>
    </w:pPr>
    <w:r>
      <w:rPr>
        <w:rFonts w:ascii="仿宋" w:hAnsi="仿宋" w:eastAsia="仿宋" w:cs="仿宋"/>
        <w:spacing w:val="-4"/>
        <w:sz w:val="18"/>
        <w:szCs w:val="18"/>
      </w:rPr>
      <w:t>168</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4BDD">
    <w:pPr>
      <w:spacing w:line="226" w:lineRule="auto"/>
      <w:ind w:left="4338"/>
      <w:rPr>
        <w:rFonts w:ascii="仿宋" w:hAnsi="仿宋" w:eastAsia="仿宋" w:cs="仿宋"/>
        <w:sz w:val="18"/>
        <w:szCs w:val="18"/>
      </w:rPr>
    </w:pPr>
    <w:r>
      <w:rPr>
        <w:rFonts w:ascii="仿宋" w:hAnsi="仿宋" w:eastAsia="仿宋" w:cs="仿宋"/>
        <w:spacing w:val="-4"/>
        <w:sz w:val="18"/>
        <w:szCs w:val="18"/>
      </w:rPr>
      <w:t>169</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B70E">
    <w:pPr>
      <w:spacing w:line="226" w:lineRule="auto"/>
      <w:ind w:left="4334"/>
      <w:rPr>
        <w:rFonts w:ascii="仿宋" w:hAnsi="仿宋" w:eastAsia="仿宋" w:cs="仿宋"/>
        <w:sz w:val="18"/>
        <w:szCs w:val="18"/>
      </w:rPr>
    </w:pPr>
    <w:r>
      <w:rPr>
        <w:rFonts w:ascii="仿宋" w:hAnsi="仿宋" w:eastAsia="仿宋" w:cs="仿宋"/>
        <w:spacing w:val="-4"/>
        <w:sz w:val="18"/>
        <w:szCs w:val="18"/>
      </w:rPr>
      <w:t>170</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331C">
    <w:pPr>
      <w:spacing w:line="226" w:lineRule="auto"/>
      <w:ind w:left="4334"/>
      <w:rPr>
        <w:rFonts w:ascii="仿宋" w:hAnsi="仿宋" w:eastAsia="仿宋" w:cs="仿宋"/>
        <w:sz w:val="18"/>
        <w:szCs w:val="18"/>
      </w:rPr>
    </w:pPr>
    <w:r>
      <w:rPr>
        <w:rFonts w:ascii="仿宋" w:hAnsi="仿宋" w:eastAsia="仿宋" w:cs="仿宋"/>
        <w:spacing w:val="-4"/>
        <w:sz w:val="18"/>
        <w:szCs w:val="18"/>
      </w:rPr>
      <w:t>171</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94AA">
    <w:pPr>
      <w:spacing w:line="226" w:lineRule="auto"/>
      <w:ind w:left="4324"/>
      <w:rPr>
        <w:rFonts w:ascii="仿宋" w:hAnsi="仿宋" w:eastAsia="仿宋" w:cs="仿宋"/>
        <w:sz w:val="18"/>
        <w:szCs w:val="18"/>
      </w:rPr>
    </w:pPr>
    <w:r>
      <w:rPr>
        <w:rFonts w:ascii="仿宋" w:hAnsi="仿宋" w:eastAsia="仿宋" w:cs="仿宋"/>
        <w:spacing w:val="-4"/>
        <w:sz w:val="18"/>
        <w:szCs w:val="18"/>
      </w:rPr>
      <w:t>172</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AC27B">
    <w:pPr>
      <w:spacing w:line="226" w:lineRule="auto"/>
      <w:ind w:left="4761"/>
      <w:rPr>
        <w:rFonts w:ascii="仿宋" w:hAnsi="仿宋" w:eastAsia="仿宋" w:cs="仿宋"/>
        <w:sz w:val="18"/>
        <w:szCs w:val="18"/>
      </w:rPr>
    </w:pPr>
    <w:r>
      <w:rPr>
        <w:rFonts w:ascii="仿宋" w:hAnsi="仿宋" w:eastAsia="仿宋" w:cs="仿宋"/>
        <w:spacing w:val="-4"/>
        <w:sz w:val="18"/>
        <w:szCs w:val="18"/>
      </w:rPr>
      <w:t>173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B420">
    <w:pPr>
      <w:spacing w:line="223" w:lineRule="auto"/>
      <w:ind w:left="4123"/>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A19E">
    <w:pPr>
      <w:spacing w:line="226" w:lineRule="auto"/>
      <w:ind w:left="4699"/>
      <w:rPr>
        <w:rFonts w:ascii="仿宋" w:hAnsi="仿宋" w:eastAsia="仿宋" w:cs="仿宋"/>
        <w:sz w:val="18"/>
        <w:szCs w:val="18"/>
      </w:rPr>
    </w:pPr>
    <w:r>
      <w:rPr>
        <w:rFonts w:ascii="仿宋" w:hAnsi="仿宋" w:eastAsia="仿宋" w:cs="仿宋"/>
        <w:spacing w:val="-4"/>
        <w:sz w:val="18"/>
        <w:szCs w:val="18"/>
      </w:rPr>
      <w:t>174</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33FF">
    <w:pPr>
      <w:spacing w:line="226" w:lineRule="auto"/>
      <w:ind w:left="4557"/>
      <w:rPr>
        <w:rFonts w:ascii="仿宋" w:hAnsi="仿宋" w:eastAsia="仿宋" w:cs="仿宋"/>
        <w:sz w:val="18"/>
        <w:szCs w:val="18"/>
      </w:rPr>
    </w:pPr>
    <w:r>
      <w:rPr>
        <w:rFonts w:ascii="仿宋" w:hAnsi="仿宋" w:eastAsia="仿宋" w:cs="仿宋"/>
        <w:spacing w:val="-4"/>
        <w:sz w:val="18"/>
        <w:szCs w:val="18"/>
      </w:rPr>
      <w:t>175</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5BD8">
    <w:pPr>
      <w:spacing w:line="226" w:lineRule="auto"/>
      <w:ind w:left="4740"/>
      <w:rPr>
        <w:rFonts w:ascii="仿宋" w:hAnsi="仿宋" w:eastAsia="仿宋" w:cs="仿宋"/>
        <w:sz w:val="18"/>
        <w:szCs w:val="18"/>
      </w:rPr>
    </w:pPr>
    <w:r>
      <w:rPr>
        <w:rFonts w:ascii="仿宋" w:hAnsi="仿宋" w:eastAsia="仿宋" w:cs="仿宋"/>
        <w:spacing w:val="-4"/>
        <w:sz w:val="18"/>
        <w:szCs w:val="18"/>
      </w:rPr>
      <w:t>176</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950D">
    <w:pPr>
      <w:spacing w:line="226" w:lineRule="auto"/>
      <w:ind w:left="4343"/>
      <w:rPr>
        <w:rFonts w:ascii="仿宋" w:hAnsi="仿宋" w:eastAsia="仿宋" w:cs="仿宋"/>
        <w:sz w:val="18"/>
        <w:szCs w:val="18"/>
      </w:rPr>
    </w:pPr>
    <w:r>
      <w:rPr>
        <w:rFonts w:ascii="仿宋" w:hAnsi="仿宋" w:eastAsia="仿宋" w:cs="仿宋"/>
        <w:spacing w:val="-4"/>
        <w:sz w:val="18"/>
        <w:szCs w:val="18"/>
      </w:rPr>
      <w:t>177</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C6DC">
    <w:pPr>
      <w:spacing w:line="226" w:lineRule="auto"/>
      <w:ind w:left="4343"/>
      <w:rPr>
        <w:rFonts w:ascii="仿宋" w:hAnsi="仿宋" w:eastAsia="仿宋" w:cs="仿宋"/>
        <w:sz w:val="18"/>
        <w:szCs w:val="18"/>
      </w:rPr>
    </w:pPr>
    <w:r>
      <w:rPr>
        <w:rFonts w:ascii="仿宋" w:hAnsi="仿宋" w:eastAsia="仿宋" w:cs="仿宋"/>
        <w:spacing w:val="-4"/>
        <w:sz w:val="18"/>
        <w:szCs w:val="18"/>
      </w:rPr>
      <w:t>178</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D139">
    <w:pPr>
      <w:spacing w:line="226" w:lineRule="auto"/>
      <w:ind w:left="4343"/>
      <w:rPr>
        <w:rFonts w:ascii="仿宋" w:hAnsi="仿宋" w:eastAsia="仿宋" w:cs="仿宋"/>
        <w:sz w:val="18"/>
        <w:szCs w:val="18"/>
      </w:rPr>
    </w:pPr>
    <w:r>
      <w:rPr>
        <w:rFonts w:ascii="仿宋" w:hAnsi="仿宋" w:eastAsia="仿宋" w:cs="仿宋"/>
        <w:spacing w:val="-4"/>
        <w:sz w:val="18"/>
        <w:szCs w:val="18"/>
      </w:rPr>
      <w:t>179</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78CF">
    <w:pPr>
      <w:spacing w:line="226" w:lineRule="auto"/>
      <w:ind w:left="6799"/>
      <w:rPr>
        <w:rFonts w:ascii="仿宋" w:hAnsi="仿宋" w:eastAsia="仿宋" w:cs="仿宋"/>
        <w:sz w:val="18"/>
        <w:szCs w:val="18"/>
      </w:rPr>
    </w:pPr>
    <w:r>
      <w:rPr>
        <w:rFonts w:ascii="仿宋" w:hAnsi="仿宋" w:eastAsia="仿宋" w:cs="仿宋"/>
        <w:spacing w:val="-4"/>
        <w:sz w:val="18"/>
        <w:szCs w:val="18"/>
      </w:rPr>
      <w:t>180</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6345">
    <w:pPr>
      <w:spacing w:line="226" w:lineRule="auto"/>
      <w:ind w:left="4343"/>
      <w:rPr>
        <w:rFonts w:ascii="仿宋" w:hAnsi="仿宋" w:eastAsia="仿宋" w:cs="仿宋"/>
        <w:sz w:val="18"/>
        <w:szCs w:val="18"/>
      </w:rPr>
    </w:pPr>
    <w:r>
      <w:rPr>
        <w:rFonts w:ascii="仿宋" w:hAnsi="仿宋" w:eastAsia="仿宋" w:cs="仿宋"/>
        <w:spacing w:val="-4"/>
        <w:sz w:val="18"/>
        <w:szCs w:val="18"/>
      </w:rPr>
      <w:t>181</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8B8D">
    <w:pPr>
      <w:spacing w:line="226" w:lineRule="auto"/>
      <w:ind w:left="6667"/>
      <w:rPr>
        <w:rFonts w:ascii="仿宋" w:hAnsi="仿宋" w:eastAsia="仿宋" w:cs="仿宋"/>
        <w:sz w:val="18"/>
        <w:szCs w:val="18"/>
      </w:rPr>
    </w:pPr>
    <w:r>
      <w:rPr>
        <w:rFonts w:ascii="仿宋" w:hAnsi="仿宋" w:eastAsia="仿宋" w:cs="仿宋"/>
        <w:spacing w:val="-4"/>
        <w:sz w:val="18"/>
        <w:szCs w:val="18"/>
      </w:rPr>
      <w:t>182</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7B5AF">
    <w:pPr>
      <w:spacing w:line="226" w:lineRule="auto"/>
      <w:ind w:left="6667"/>
      <w:rPr>
        <w:rFonts w:ascii="仿宋" w:hAnsi="仿宋" w:eastAsia="仿宋" w:cs="仿宋"/>
        <w:sz w:val="18"/>
        <w:szCs w:val="18"/>
      </w:rPr>
    </w:pPr>
    <w:r>
      <w:rPr>
        <w:rFonts w:ascii="仿宋" w:hAnsi="仿宋" w:eastAsia="仿宋" w:cs="仿宋"/>
        <w:spacing w:val="-4"/>
        <w:sz w:val="18"/>
        <w:szCs w:val="18"/>
      </w:rPr>
      <w:t>183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7AC1">
    <w:pPr>
      <w:spacing w:line="223" w:lineRule="auto"/>
      <w:ind w:left="420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8F27">
    <w:pPr>
      <w:spacing w:line="226" w:lineRule="auto"/>
      <w:ind w:left="6667"/>
      <w:rPr>
        <w:rFonts w:ascii="仿宋" w:hAnsi="仿宋" w:eastAsia="仿宋" w:cs="仿宋"/>
        <w:sz w:val="18"/>
        <w:szCs w:val="18"/>
      </w:rPr>
    </w:pPr>
    <w:r>
      <w:rPr>
        <w:rFonts w:ascii="仿宋" w:hAnsi="仿宋" w:eastAsia="仿宋" w:cs="仿宋"/>
        <w:spacing w:val="-4"/>
        <w:sz w:val="18"/>
        <w:szCs w:val="18"/>
      </w:rPr>
      <w:t>184</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FA80">
    <w:pPr>
      <w:spacing w:line="226" w:lineRule="auto"/>
      <w:ind w:left="4343"/>
      <w:rPr>
        <w:rFonts w:ascii="仿宋" w:hAnsi="仿宋" w:eastAsia="仿宋" w:cs="仿宋"/>
        <w:sz w:val="18"/>
        <w:szCs w:val="18"/>
      </w:rPr>
    </w:pPr>
    <w:r>
      <w:rPr>
        <w:rFonts w:ascii="仿宋" w:hAnsi="仿宋" w:eastAsia="仿宋" w:cs="仿宋"/>
        <w:spacing w:val="-4"/>
        <w:sz w:val="18"/>
        <w:szCs w:val="18"/>
      </w:rPr>
      <w:t>185</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AD7C">
    <w:pPr>
      <w:spacing w:line="226" w:lineRule="auto"/>
      <w:ind w:left="6667"/>
      <w:rPr>
        <w:rFonts w:ascii="仿宋" w:hAnsi="仿宋" w:eastAsia="仿宋" w:cs="仿宋"/>
        <w:sz w:val="18"/>
        <w:szCs w:val="18"/>
      </w:rPr>
    </w:pPr>
    <w:r>
      <w:rPr>
        <w:rFonts w:ascii="仿宋" w:hAnsi="仿宋" w:eastAsia="仿宋" w:cs="仿宋"/>
        <w:spacing w:val="-4"/>
        <w:sz w:val="18"/>
        <w:szCs w:val="18"/>
      </w:rPr>
      <w:t>186</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8180">
    <w:pPr>
      <w:spacing w:line="226" w:lineRule="auto"/>
      <w:ind w:left="6667"/>
      <w:rPr>
        <w:rFonts w:ascii="仿宋" w:hAnsi="仿宋" w:eastAsia="仿宋" w:cs="仿宋"/>
        <w:sz w:val="18"/>
        <w:szCs w:val="18"/>
      </w:rPr>
    </w:pPr>
    <w:r>
      <w:rPr>
        <w:rFonts w:ascii="仿宋" w:hAnsi="仿宋" w:eastAsia="仿宋" w:cs="仿宋"/>
        <w:spacing w:val="-4"/>
        <w:sz w:val="18"/>
        <w:szCs w:val="18"/>
      </w:rPr>
      <w:t>187</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CDF8">
    <w:pPr>
      <w:spacing w:line="226" w:lineRule="auto"/>
      <w:ind w:left="4343"/>
      <w:rPr>
        <w:rFonts w:ascii="仿宋" w:hAnsi="仿宋" w:eastAsia="仿宋" w:cs="仿宋"/>
        <w:sz w:val="18"/>
        <w:szCs w:val="18"/>
      </w:rPr>
    </w:pPr>
    <w:r>
      <w:rPr>
        <w:rFonts w:ascii="仿宋" w:hAnsi="仿宋" w:eastAsia="仿宋" w:cs="仿宋"/>
        <w:spacing w:val="-4"/>
        <w:sz w:val="18"/>
        <w:szCs w:val="18"/>
      </w:rPr>
      <w:t>188</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4965">
    <w:pPr>
      <w:spacing w:line="226" w:lineRule="auto"/>
      <w:ind w:left="4343"/>
      <w:rPr>
        <w:rFonts w:ascii="仿宋" w:hAnsi="仿宋" w:eastAsia="仿宋" w:cs="仿宋"/>
        <w:sz w:val="18"/>
        <w:szCs w:val="18"/>
      </w:rPr>
    </w:pPr>
    <w:r>
      <w:rPr>
        <w:rFonts w:ascii="仿宋" w:hAnsi="仿宋" w:eastAsia="仿宋" w:cs="仿宋"/>
        <w:spacing w:val="-4"/>
        <w:sz w:val="18"/>
        <w:szCs w:val="18"/>
      </w:rPr>
      <w:t>189</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E534">
    <w:pPr>
      <w:spacing w:line="226" w:lineRule="auto"/>
      <w:ind w:left="4338"/>
      <w:rPr>
        <w:rFonts w:ascii="仿宋" w:hAnsi="仿宋" w:eastAsia="仿宋" w:cs="仿宋"/>
        <w:sz w:val="18"/>
        <w:szCs w:val="18"/>
      </w:rPr>
    </w:pPr>
    <w:r>
      <w:rPr>
        <w:rFonts w:ascii="仿宋" w:hAnsi="仿宋" w:eastAsia="仿宋" w:cs="仿宋"/>
        <w:spacing w:val="-4"/>
        <w:sz w:val="18"/>
        <w:szCs w:val="18"/>
      </w:rPr>
      <w:t>190</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3D0E">
    <w:pPr>
      <w:spacing w:line="226" w:lineRule="auto"/>
      <w:ind w:left="4343"/>
      <w:rPr>
        <w:rFonts w:ascii="仿宋" w:hAnsi="仿宋" w:eastAsia="仿宋" w:cs="仿宋"/>
        <w:sz w:val="18"/>
        <w:szCs w:val="18"/>
      </w:rPr>
    </w:pPr>
    <w:r>
      <w:rPr>
        <w:rFonts w:ascii="仿宋" w:hAnsi="仿宋" w:eastAsia="仿宋" w:cs="仿宋"/>
        <w:spacing w:val="-4"/>
        <w:sz w:val="18"/>
        <w:szCs w:val="18"/>
      </w:rPr>
      <w:t>191</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F9F">
    <w:pPr>
      <w:spacing w:line="226" w:lineRule="auto"/>
      <w:ind w:left="4022"/>
      <w:rPr>
        <w:rFonts w:ascii="仿宋" w:hAnsi="仿宋" w:eastAsia="仿宋" w:cs="仿宋"/>
        <w:sz w:val="18"/>
        <w:szCs w:val="18"/>
      </w:rPr>
    </w:pPr>
    <w:r>
      <w:rPr>
        <w:rFonts w:ascii="仿宋" w:hAnsi="仿宋" w:eastAsia="仿宋" w:cs="仿宋"/>
        <w:spacing w:val="-4"/>
        <w:sz w:val="18"/>
        <w:szCs w:val="18"/>
      </w:rPr>
      <w:t>192</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AC5D">
    <w:pPr>
      <w:spacing w:line="226" w:lineRule="auto"/>
      <w:ind w:left="4022"/>
      <w:rPr>
        <w:rFonts w:ascii="仿宋" w:hAnsi="仿宋" w:eastAsia="仿宋" w:cs="仿宋"/>
        <w:sz w:val="18"/>
        <w:szCs w:val="18"/>
      </w:rPr>
    </w:pPr>
    <w:r>
      <w:rPr>
        <w:rFonts w:ascii="仿宋" w:hAnsi="仿宋" w:eastAsia="仿宋" w:cs="仿宋"/>
        <w:spacing w:val="-4"/>
        <w:sz w:val="18"/>
        <w:szCs w:val="18"/>
      </w:rPr>
      <w:t>193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FCCD">
    <w:pPr>
      <w:spacing w:line="223" w:lineRule="auto"/>
      <w:ind w:left="421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40E6">
    <w:pPr>
      <w:spacing w:line="226" w:lineRule="auto"/>
      <w:ind w:left="4334"/>
      <w:rPr>
        <w:rFonts w:ascii="仿宋" w:hAnsi="仿宋" w:eastAsia="仿宋" w:cs="仿宋"/>
        <w:sz w:val="18"/>
        <w:szCs w:val="18"/>
      </w:rPr>
    </w:pPr>
    <w:r>
      <w:rPr>
        <w:rFonts w:ascii="仿宋" w:hAnsi="仿宋" w:eastAsia="仿宋" w:cs="仿宋"/>
        <w:spacing w:val="-4"/>
        <w:sz w:val="18"/>
        <w:szCs w:val="18"/>
      </w:rPr>
      <w:t>194</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7DA7">
    <w:pPr>
      <w:spacing w:line="226" w:lineRule="auto"/>
      <w:ind w:left="4329"/>
      <w:rPr>
        <w:rFonts w:ascii="仿宋" w:hAnsi="仿宋" w:eastAsia="仿宋" w:cs="仿宋"/>
        <w:sz w:val="18"/>
        <w:szCs w:val="18"/>
      </w:rPr>
    </w:pPr>
    <w:r>
      <w:rPr>
        <w:rFonts w:ascii="仿宋" w:hAnsi="仿宋" w:eastAsia="仿宋" w:cs="仿宋"/>
        <w:spacing w:val="-4"/>
        <w:sz w:val="18"/>
        <w:szCs w:val="18"/>
      </w:rPr>
      <w:t>195</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59FC">
    <w:pPr>
      <w:spacing w:line="226" w:lineRule="auto"/>
      <w:ind w:left="4022"/>
      <w:rPr>
        <w:rFonts w:ascii="仿宋" w:hAnsi="仿宋" w:eastAsia="仿宋" w:cs="仿宋"/>
        <w:sz w:val="18"/>
        <w:szCs w:val="18"/>
      </w:rPr>
    </w:pPr>
    <w:r>
      <w:rPr>
        <w:rFonts w:ascii="仿宋" w:hAnsi="仿宋" w:eastAsia="仿宋" w:cs="仿宋"/>
        <w:spacing w:val="-4"/>
        <w:sz w:val="18"/>
        <w:szCs w:val="18"/>
      </w:rPr>
      <w:t>196</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FB15">
    <w:pPr>
      <w:spacing w:line="226" w:lineRule="auto"/>
      <w:ind w:left="4022"/>
      <w:rPr>
        <w:rFonts w:ascii="仿宋" w:hAnsi="仿宋" w:eastAsia="仿宋" w:cs="仿宋"/>
        <w:sz w:val="18"/>
        <w:szCs w:val="18"/>
      </w:rPr>
    </w:pPr>
    <w:r>
      <w:rPr>
        <w:rFonts w:ascii="仿宋" w:hAnsi="仿宋" w:eastAsia="仿宋" w:cs="仿宋"/>
        <w:spacing w:val="-4"/>
        <w:sz w:val="18"/>
        <w:szCs w:val="18"/>
      </w:rPr>
      <w:t>197</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75D5">
    <w:pPr>
      <w:spacing w:line="226" w:lineRule="auto"/>
      <w:ind w:left="4324"/>
      <w:rPr>
        <w:rFonts w:ascii="仿宋" w:hAnsi="仿宋" w:eastAsia="仿宋" w:cs="仿宋"/>
        <w:sz w:val="18"/>
        <w:szCs w:val="18"/>
      </w:rPr>
    </w:pPr>
    <w:r>
      <w:rPr>
        <w:rFonts w:ascii="仿宋" w:hAnsi="仿宋" w:eastAsia="仿宋" w:cs="仿宋"/>
        <w:spacing w:val="-4"/>
        <w:sz w:val="18"/>
        <w:szCs w:val="18"/>
      </w:rPr>
      <w:t>198</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ABDA">
    <w:pPr>
      <w:spacing w:line="226" w:lineRule="auto"/>
      <w:ind w:left="4322"/>
      <w:rPr>
        <w:rFonts w:ascii="仿宋" w:hAnsi="仿宋" w:eastAsia="仿宋" w:cs="仿宋"/>
        <w:sz w:val="18"/>
        <w:szCs w:val="18"/>
      </w:rPr>
    </w:pPr>
    <w:r>
      <w:rPr>
        <w:rFonts w:ascii="仿宋" w:hAnsi="仿宋" w:eastAsia="仿宋" w:cs="仿宋"/>
        <w:spacing w:val="-3"/>
        <w:sz w:val="18"/>
        <w:szCs w:val="18"/>
      </w:rPr>
      <w:t>202</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6E00">
    <w:pPr>
      <w:spacing w:line="226" w:lineRule="auto"/>
      <w:ind w:left="4322"/>
      <w:rPr>
        <w:rFonts w:ascii="仿宋" w:hAnsi="仿宋" w:eastAsia="仿宋" w:cs="仿宋"/>
        <w:sz w:val="18"/>
        <w:szCs w:val="18"/>
      </w:rPr>
    </w:pPr>
    <w:r>
      <w:rPr>
        <w:rFonts w:ascii="仿宋" w:hAnsi="仿宋" w:eastAsia="仿宋" w:cs="仿宋"/>
        <w:spacing w:val="-3"/>
        <w:sz w:val="18"/>
        <w:szCs w:val="18"/>
      </w:rPr>
      <w:t>216</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5C14">
    <w:pPr>
      <w:spacing w:line="226" w:lineRule="auto"/>
      <w:ind w:left="4329"/>
      <w:rPr>
        <w:rFonts w:ascii="仿宋" w:hAnsi="仿宋" w:eastAsia="仿宋" w:cs="仿宋"/>
        <w:sz w:val="18"/>
        <w:szCs w:val="18"/>
      </w:rPr>
    </w:pPr>
    <w:r>
      <w:rPr>
        <w:rFonts w:ascii="仿宋" w:hAnsi="仿宋" w:eastAsia="仿宋" w:cs="仿宋"/>
        <w:spacing w:val="-3"/>
        <w:sz w:val="18"/>
        <w:szCs w:val="18"/>
      </w:rPr>
      <w:t>217</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C58A">
    <w:pPr>
      <w:spacing w:line="226" w:lineRule="auto"/>
      <w:ind w:left="4318"/>
      <w:rPr>
        <w:rFonts w:ascii="仿宋" w:hAnsi="仿宋" w:eastAsia="仿宋" w:cs="仿宋"/>
        <w:sz w:val="18"/>
        <w:szCs w:val="18"/>
      </w:rPr>
    </w:pPr>
    <w:r>
      <w:rPr>
        <w:rFonts w:ascii="仿宋" w:hAnsi="仿宋" w:eastAsia="仿宋" w:cs="仿宋"/>
        <w:spacing w:val="-3"/>
        <w:sz w:val="18"/>
        <w:szCs w:val="18"/>
      </w:rPr>
      <w:t>219</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79ADB">
    <w:pPr>
      <w:spacing w:line="226" w:lineRule="auto"/>
      <w:ind w:left="4017"/>
      <w:rPr>
        <w:rFonts w:ascii="仿宋" w:hAnsi="仿宋" w:eastAsia="仿宋" w:cs="仿宋"/>
        <w:sz w:val="18"/>
        <w:szCs w:val="18"/>
      </w:rPr>
    </w:pPr>
    <w:r>
      <w:rPr>
        <w:rFonts w:ascii="仿宋" w:hAnsi="仿宋" w:eastAsia="仿宋" w:cs="仿宋"/>
        <w:spacing w:val="-3"/>
        <w:sz w:val="18"/>
        <w:szCs w:val="18"/>
      </w:rPr>
      <w:t>220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C78B">
    <w:pPr>
      <w:spacing w:line="223" w:lineRule="auto"/>
      <w:ind w:left="417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4FFB">
    <w:pPr>
      <w:spacing w:line="228" w:lineRule="auto"/>
      <w:ind w:left="4017"/>
      <w:rPr>
        <w:rFonts w:ascii="仿宋" w:hAnsi="仿宋" w:eastAsia="仿宋" w:cs="仿宋"/>
        <w:sz w:val="18"/>
        <w:szCs w:val="18"/>
      </w:rPr>
    </w:pPr>
    <w:r>
      <w:rPr>
        <w:rFonts w:ascii="仿宋" w:hAnsi="仿宋" w:eastAsia="仿宋" w:cs="仿宋"/>
        <w:spacing w:val="-3"/>
        <w:sz w:val="18"/>
        <w:szCs w:val="18"/>
      </w:rPr>
      <w:t>221</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3A70">
    <w:pPr>
      <w:spacing w:line="228" w:lineRule="auto"/>
      <w:ind w:left="4017"/>
      <w:rPr>
        <w:rFonts w:ascii="仿宋" w:hAnsi="仿宋" w:eastAsia="仿宋" w:cs="仿宋"/>
        <w:sz w:val="18"/>
        <w:szCs w:val="18"/>
      </w:rPr>
    </w:pPr>
    <w:r>
      <w:rPr>
        <w:rFonts w:ascii="仿宋" w:hAnsi="仿宋" w:eastAsia="仿宋" w:cs="仿宋"/>
        <w:spacing w:val="-3"/>
        <w:sz w:val="18"/>
        <w:szCs w:val="18"/>
      </w:rPr>
      <w:t>222</w: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7CCD">
    <w:pPr>
      <w:spacing w:line="226" w:lineRule="auto"/>
      <w:ind w:left="4322"/>
      <w:rPr>
        <w:rFonts w:ascii="仿宋" w:hAnsi="仿宋" w:eastAsia="仿宋" w:cs="仿宋"/>
        <w:sz w:val="18"/>
        <w:szCs w:val="18"/>
      </w:rPr>
    </w:pPr>
    <w:r>
      <w:rPr>
        <w:rFonts w:ascii="仿宋" w:hAnsi="仿宋" w:eastAsia="仿宋" w:cs="仿宋"/>
        <w:spacing w:val="-3"/>
        <w:sz w:val="18"/>
        <w:szCs w:val="18"/>
      </w:rPr>
      <w:t>223</w:t>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278A">
    <w:pPr>
      <w:spacing w:line="228" w:lineRule="auto"/>
      <w:ind w:left="4335"/>
      <w:rPr>
        <w:rFonts w:ascii="仿宋" w:hAnsi="仿宋" w:eastAsia="仿宋" w:cs="仿宋"/>
        <w:sz w:val="18"/>
        <w:szCs w:val="18"/>
      </w:rPr>
    </w:pPr>
    <w:r>
      <w:rPr>
        <w:rFonts w:ascii="仿宋" w:hAnsi="仿宋" w:eastAsia="仿宋" w:cs="仿宋"/>
        <w:spacing w:val="-3"/>
        <w:sz w:val="18"/>
        <w:szCs w:val="18"/>
      </w:rPr>
      <w:t>224</w: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373E">
    <w:pPr>
      <w:spacing w:line="226" w:lineRule="auto"/>
      <w:ind w:left="4320"/>
      <w:rPr>
        <w:rFonts w:ascii="仿宋" w:hAnsi="仿宋" w:eastAsia="仿宋" w:cs="仿宋"/>
        <w:sz w:val="18"/>
        <w:szCs w:val="18"/>
      </w:rPr>
    </w:pPr>
    <w:r>
      <w:rPr>
        <w:rFonts w:ascii="仿宋" w:hAnsi="仿宋" w:eastAsia="仿宋" w:cs="仿宋"/>
        <w:spacing w:val="-3"/>
        <w:sz w:val="18"/>
        <w:szCs w:val="18"/>
      </w:rPr>
      <w:t>225</w: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A1E6">
    <w:pPr>
      <w:spacing w:line="226" w:lineRule="auto"/>
      <w:ind w:left="4322"/>
      <w:rPr>
        <w:rFonts w:ascii="仿宋" w:hAnsi="仿宋" w:eastAsia="仿宋" w:cs="仿宋"/>
        <w:sz w:val="18"/>
        <w:szCs w:val="18"/>
      </w:rPr>
    </w:pPr>
    <w:r>
      <w:rPr>
        <w:rFonts w:ascii="仿宋" w:hAnsi="仿宋" w:eastAsia="仿宋" w:cs="仿宋"/>
        <w:spacing w:val="-3"/>
        <w:sz w:val="18"/>
        <w:szCs w:val="18"/>
      </w:rPr>
      <w:t>226</w: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3044">
    <w:pPr>
      <w:spacing w:line="226" w:lineRule="auto"/>
      <w:ind w:left="4321"/>
      <w:rPr>
        <w:rFonts w:ascii="仿宋" w:hAnsi="仿宋" w:eastAsia="仿宋" w:cs="仿宋"/>
        <w:sz w:val="18"/>
        <w:szCs w:val="18"/>
      </w:rPr>
    </w:pPr>
    <w:r>
      <w:rPr>
        <w:rFonts w:ascii="仿宋" w:hAnsi="仿宋" w:eastAsia="仿宋" w:cs="仿宋"/>
        <w:spacing w:val="-3"/>
        <w:sz w:val="18"/>
        <w:szCs w:val="18"/>
      </w:rPr>
      <w:t>227</w: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E004">
    <w:pPr>
      <w:spacing w:line="226" w:lineRule="auto"/>
      <w:ind w:left="4321"/>
      <w:rPr>
        <w:rFonts w:ascii="仿宋" w:hAnsi="仿宋" w:eastAsia="仿宋" w:cs="仿宋"/>
        <w:sz w:val="18"/>
        <w:szCs w:val="18"/>
      </w:rPr>
    </w:pPr>
    <w:r>
      <w:rPr>
        <w:rFonts w:ascii="仿宋" w:hAnsi="仿宋" w:eastAsia="仿宋" w:cs="仿宋"/>
        <w:spacing w:val="-3"/>
        <w:sz w:val="18"/>
        <w:szCs w:val="18"/>
      </w:rPr>
      <w:t>228</w: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2AA5">
    <w:pPr>
      <w:spacing w:line="226" w:lineRule="auto"/>
      <w:ind w:left="4318"/>
      <w:rPr>
        <w:rFonts w:ascii="仿宋" w:hAnsi="仿宋" w:eastAsia="仿宋" w:cs="仿宋"/>
        <w:sz w:val="18"/>
        <w:szCs w:val="18"/>
      </w:rPr>
    </w:pPr>
    <w:r>
      <w:rPr>
        <w:rFonts w:ascii="仿宋" w:hAnsi="仿宋" w:eastAsia="仿宋" w:cs="仿宋"/>
        <w:spacing w:val="-3"/>
        <w:sz w:val="18"/>
        <w:szCs w:val="18"/>
      </w:rPr>
      <w:t>229</w: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9F19">
    <w:pPr>
      <w:spacing w:line="226" w:lineRule="auto"/>
      <w:ind w:left="4321"/>
      <w:rPr>
        <w:rFonts w:ascii="仿宋" w:hAnsi="仿宋" w:eastAsia="仿宋" w:cs="仿宋"/>
        <w:sz w:val="18"/>
        <w:szCs w:val="18"/>
      </w:rPr>
    </w:pPr>
    <w:r>
      <w:rPr>
        <w:rFonts w:ascii="仿宋" w:hAnsi="仿宋" w:eastAsia="仿宋" w:cs="仿宋"/>
        <w:spacing w:val="-3"/>
        <w:sz w:val="18"/>
        <w:szCs w:val="18"/>
      </w:rPr>
      <w:t>230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A185">
    <w:pPr>
      <w:spacing w:line="226" w:lineRule="auto"/>
      <w:ind w:left="4177"/>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875B">
    <w:pPr>
      <w:spacing w:line="226" w:lineRule="auto"/>
      <w:ind w:left="4329"/>
      <w:rPr>
        <w:rFonts w:ascii="仿宋" w:hAnsi="仿宋" w:eastAsia="仿宋" w:cs="仿宋"/>
        <w:sz w:val="18"/>
        <w:szCs w:val="18"/>
      </w:rPr>
    </w:pPr>
    <w:r>
      <w:rPr>
        <w:rFonts w:ascii="仿宋" w:hAnsi="仿宋" w:eastAsia="仿宋" w:cs="仿宋"/>
        <w:spacing w:val="-3"/>
        <w:sz w:val="18"/>
        <w:szCs w:val="18"/>
      </w:rPr>
      <w:t>231</w:t>
    </w: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168F">
    <w:pPr>
      <w:spacing w:line="226" w:lineRule="auto"/>
      <w:ind w:left="4318"/>
      <w:rPr>
        <w:rFonts w:ascii="仿宋" w:hAnsi="仿宋" w:eastAsia="仿宋" w:cs="仿宋"/>
        <w:sz w:val="18"/>
        <w:szCs w:val="18"/>
      </w:rPr>
    </w:pPr>
    <w:r>
      <w:rPr>
        <w:rFonts w:ascii="仿宋" w:hAnsi="仿宋" w:eastAsia="仿宋" w:cs="仿宋"/>
        <w:spacing w:val="-3"/>
        <w:sz w:val="18"/>
        <w:szCs w:val="18"/>
      </w:rPr>
      <w:t>232</w:t>
    </w: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3285">
    <w:pPr>
      <w:spacing w:line="226" w:lineRule="auto"/>
      <w:ind w:left="4318"/>
      <w:rPr>
        <w:rFonts w:ascii="仿宋" w:hAnsi="仿宋" w:eastAsia="仿宋" w:cs="仿宋"/>
        <w:sz w:val="18"/>
        <w:szCs w:val="18"/>
      </w:rPr>
    </w:pPr>
    <w:r>
      <w:rPr>
        <w:rFonts w:ascii="仿宋" w:hAnsi="仿宋" w:eastAsia="仿宋" w:cs="仿宋"/>
        <w:spacing w:val="-3"/>
        <w:sz w:val="18"/>
        <w:szCs w:val="18"/>
      </w:rPr>
      <w:t>233</w:t>
    </w: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E85A">
    <w:pPr>
      <w:spacing w:line="226" w:lineRule="auto"/>
      <w:ind w:left="6648"/>
      <w:rPr>
        <w:rFonts w:ascii="仿宋" w:hAnsi="仿宋" w:eastAsia="仿宋" w:cs="仿宋"/>
        <w:sz w:val="18"/>
        <w:szCs w:val="18"/>
      </w:rPr>
    </w:pPr>
    <w:r>
      <w:rPr>
        <w:rFonts w:ascii="仿宋" w:hAnsi="仿宋" w:eastAsia="仿宋" w:cs="仿宋"/>
        <w:spacing w:val="-3"/>
        <w:sz w:val="18"/>
        <w:szCs w:val="18"/>
      </w:rPr>
      <w:t>234</w:t>
    </w: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E317">
    <w:pPr>
      <w:spacing w:line="226" w:lineRule="auto"/>
      <w:ind w:left="4318"/>
      <w:rPr>
        <w:rFonts w:ascii="仿宋" w:hAnsi="仿宋" w:eastAsia="仿宋" w:cs="仿宋"/>
        <w:sz w:val="18"/>
        <w:szCs w:val="18"/>
      </w:rPr>
    </w:pPr>
    <w:r>
      <w:rPr>
        <w:rFonts w:ascii="仿宋" w:hAnsi="仿宋" w:eastAsia="仿宋" w:cs="仿宋"/>
        <w:spacing w:val="-3"/>
        <w:sz w:val="18"/>
        <w:szCs w:val="18"/>
      </w:rPr>
      <w:t>235</w:t>
    </w: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3CE8">
    <w:pPr>
      <w:spacing w:line="226" w:lineRule="auto"/>
      <w:ind w:left="4329"/>
      <w:rPr>
        <w:rFonts w:ascii="仿宋" w:hAnsi="仿宋" w:eastAsia="仿宋" w:cs="仿宋"/>
        <w:sz w:val="18"/>
        <w:szCs w:val="18"/>
      </w:rPr>
    </w:pPr>
    <w:r>
      <w:rPr>
        <w:rFonts w:ascii="仿宋" w:hAnsi="仿宋" w:eastAsia="仿宋" w:cs="仿宋"/>
        <w:spacing w:val="-3"/>
        <w:sz w:val="18"/>
        <w:szCs w:val="18"/>
      </w:rPr>
      <w:t>236</w:t>
    </w: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C644A">
    <w:pPr>
      <w:spacing w:line="226" w:lineRule="auto"/>
      <w:ind w:left="4329"/>
      <w:rPr>
        <w:rFonts w:ascii="仿宋" w:hAnsi="仿宋" w:eastAsia="仿宋" w:cs="仿宋"/>
        <w:sz w:val="18"/>
        <w:szCs w:val="18"/>
      </w:rPr>
    </w:pPr>
    <w:r>
      <w:rPr>
        <w:rFonts w:ascii="仿宋" w:hAnsi="仿宋" w:eastAsia="仿宋" w:cs="仿宋"/>
        <w:spacing w:val="-3"/>
        <w:sz w:val="18"/>
        <w:szCs w:val="18"/>
      </w:rPr>
      <w:t>237</w:t>
    </w: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3099">
    <w:pPr>
      <w:spacing w:line="226" w:lineRule="auto"/>
      <w:ind w:left="4318"/>
      <w:rPr>
        <w:rFonts w:ascii="仿宋" w:hAnsi="仿宋" w:eastAsia="仿宋" w:cs="仿宋"/>
        <w:sz w:val="18"/>
        <w:szCs w:val="18"/>
      </w:rPr>
    </w:pPr>
    <w:r>
      <w:rPr>
        <w:rFonts w:ascii="仿宋" w:hAnsi="仿宋" w:eastAsia="仿宋" w:cs="仿宋"/>
        <w:spacing w:val="-3"/>
        <w:sz w:val="18"/>
        <w:szCs w:val="18"/>
      </w:rPr>
      <w:t>238</w:t>
    </w: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B0E5">
    <w:pPr>
      <w:spacing w:line="226" w:lineRule="auto"/>
      <w:ind w:left="4500"/>
      <w:rPr>
        <w:rFonts w:ascii="仿宋" w:hAnsi="仿宋" w:eastAsia="仿宋" w:cs="仿宋"/>
        <w:sz w:val="18"/>
        <w:szCs w:val="18"/>
      </w:rPr>
    </w:pPr>
    <w:r>
      <w:rPr>
        <w:rFonts w:ascii="仿宋" w:hAnsi="仿宋" w:eastAsia="仿宋" w:cs="仿宋"/>
        <w:spacing w:val="-3"/>
        <w:sz w:val="18"/>
        <w:szCs w:val="18"/>
      </w:rPr>
      <w:t>239</w:t>
    </w: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D81C">
    <w:pPr>
      <w:spacing w:line="226" w:lineRule="auto"/>
      <w:ind w:left="4017"/>
      <w:rPr>
        <w:rFonts w:ascii="仿宋" w:hAnsi="仿宋" w:eastAsia="仿宋" w:cs="仿宋"/>
        <w:sz w:val="18"/>
        <w:szCs w:val="18"/>
      </w:rPr>
    </w:pPr>
    <w:r>
      <w:rPr>
        <w:rFonts w:ascii="仿宋" w:hAnsi="仿宋" w:eastAsia="仿宋" w:cs="仿宋"/>
        <w:spacing w:val="-3"/>
        <w:sz w:val="18"/>
        <w:szCs w:val="18"/>
      </w:rPr>
      <w:t>240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5C79">
    <w:pPr>
      <w:spacing w:line="226" w:lineRule="auto"/>
      <w:ind w:left="4138"/>
      <w:rPr>
        <w:rFonts w:ascii="Times New Roman" w:hAnsi="Times New Roman" w:eastAsia="Times New Roman" w:cs="Times New Roman"/>
        <w:sz w:val="21"/>
        <w:szCs w:val="21"/>
      </w:rPr>
    </w:pPr>
    <w:r>
      <w:rPr>
        <w:rFonts w:ascii="Times New Roman" w:hAnsi="Times New Roman" w:eastAsia="Times New Roman" w:cs="Times New Roman"/>
        <w:sz w:val="21"/>
        <w:szCs w:val="21"/>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718F">
    <w:pPr>
      <w:spacing w:line="226" w:lineRule="auto"/>
      <w:ind w:left="417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312A">
    <w:pPr>
      <w:spacing w:line="228" w:lineRule="auto"/>
      <w:ind w:left="4329"/>
      <w:rPr>
        <w:rFonts w:ascii="仿宋" w:hAnsi="仿宋" w:eastAsia="仿宋" w:cs="仿宋"/>
        <w:sz w:val="18"/>
        <w:szCs w:val="18"/>
      </w:rPr>
    </w:pPr>
    <w:r>
      <w:rPr>
        <w:rFonts w:ascii="仿宋" w:hAnsi="仿宋" w:eastAsia="仿宋" w:cs="仿宋"/>
        <w:spacing w:val="-3"/>
        <w:sz w:val="18"/>
        <w:szCs w:val="18"/>
      </w:rPr>
      <w:t>241</w:t>
    </w: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CC41">
    <w:pPr>
      <w:spacing w:line="228" w:lineRule="auto"/>
      <w:ind w:left="4318"/>
      <w:rPr>
        <w:rFonts w:ascii="仿宋" w:hAnsi="仿宋" w:eastAsia="仿宋" w:cs="仿宋"/>
        <w:sz w:val="18"/>
        <w:szCs w:val="18"/>
      </w:rPr>
    </w:pPr>
    <w:r>
      <w:rPr>
        <w:rFonts w:ascii="仿宋" w:hAnsi="仿宋" w:eastAsia="仿宋" w:cs="仿宋"/>
        <w:spacing w:val="-3"/>
        <w:sz w:val="18"/>
        <w:szCs w:val="18"/>
      </w:rPr>
      <w:t>242</w:t>
    </w: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708D">
    <w:pPr>
      <w:spacing w:line="226" w:lineRule="auto"/>
      <w:ind w:left="4298"/>
      <w:rPr>
        <w:rFonts w:ascii="仿宋" w:hAnsi="仿宋" w:eastAsia="仿宋" w:cs="仿宋"/>
        <w:sz w:val="18"/>
        <w:szCs w:val="18"/>
      </w:rPr>
    </w:pPr>
    <w:r>
      <w:rPr>
        <w:rFonts w:ascii="仿宋" w:hAnsi="仿宋" w:eastAsia="仿宋" w:cs="仿宋"/>
        <w:spacing w:val="-3"/>
        <w:sz w:val="18"/>
        <w:szCs w:val="18"/>
      </w:rPr>
      <w:t>243</w:t>
    </w: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78A1">
    <w:pPr>
      <w:spacing w:line="228" w:lineRule="auto"/>
      <w:ind w:left="4135"/>
      <w:rPr>
        <w:rFonts w:ascii="仿宋" w:hAnsi="仿宋" w:eastAsia="仿宋" w:cs="仿宋"/>
        <w:sz w:val="18"/>
        <w:szCs w:val="18"/>
      </w:rPr>
    </w:pPr>
    <w:r>
      <w:rPr>
        <w:rFonts w:ascii="仿宋" w:hAnsi="仿宋" w:eastAsia="仿宋" w:cs="仿宋"/>
        <w:spacing w:val="-3"/>
        <w:sz w:val="18"/>
        <w:szCs w:val="18"/>
      </w:rPr>
      <w:t>244</w:t>
    </w: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F30F">
    <w:pPr>
      <w:spacing w:line="226" w:lineRule="auto"/>
      <w:ind w:left="4298"/>
      <w:rPr>
        <w:rFonts w:ascii="仿宋" w:hAnsi="仿宋" w:eastAsia="仿宋" w:cs="仿宋"/>
        <w:sz w:val="18"/>
        <w:szCs w:val="18"/>
      </w:rPr>
    </w:pPr>
    <w:r>
      <w:rPr>
        <w:rFonts w:ascii="仿宋" w:hAnsi="仿宋" w:eastAsia="仿宋" w:cs="仿宋"/>
        <w:spacing w:val="-3"/>
        <w:sz w:val="18"/>
        <w:szCs w:val="18"/>
      </w:rPr>
      <w:t>245</w:t>
    </w:r>
  </w:p>
</w:ftr>
</file>

<file path=word/footer2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E2D7">
    <w:pPr>
      <w:spacing w:line="226" w:lineRule="auto"/>
      <w:ind w:left="4135"/>
      <w:rPr>
        <w:rFonts w:ascii="仿宋" w:hAnsi="仿宋" w:eastAsia="仿宋" w:cs="仿宋"/>
        <w:sz w:val="18"/>
        <w:szCs w:val="18"/>
      </w:rPr>
    </w:pPr>
    <w:r>
      <w:rPr>
        <w:rFonts w:ascii="仿宋" w:hAnsi="仿宋" w:eastAsia="仿宋" w:cs="仿宋"/>
        <w:spacing w:val="-3"/>
        <w:sz w:val="18"/>
        <w:szCs w:val="18"/>
      </w:rPr>
      <w:t>246</w:t>
    </w:r>
  </w:p>
</w:ftr>
</file>

<file path=word/footer2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31C4">
    <w:pPr>
      <w:spacing w:line="226" w:lineRule="auto"/>
      <w:ind w:left="4329"/>
      <w:rPr>
        <w:rFonts w:ascii="仿宋" w:hAnsi="仿宋" w:eastAsia="仿宋" w:cs="仿宋"/>
        <w:sz w:val="18"/>
        <w:szCs w:val="18"/>
      </w:rPr>
    </w:pPr>
    <w:r>
      <w:rPr>
        <w:rFonts w:ascii="仿宋" w:hAnsi="仿宋" w:eastAsia="仿宋" w:cs="仿宋"/>
        <w:spacing w:val="-3"/>
        <w:sz w:val="18"/>
        <w:szCs w:val="18"/>
      </w:rPr>
      <w:t>247</w:t>
    </w:r>
  </w:p>
</w:ftr>
</file>

<file path=word/footer2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DBF5">
    <w:pPr>
      <w:spacing w:line="226" w:lineRule="auto"/>
      <w:ind w:left="4329"/>
      <w:rPr>
        <w:rFonts w:ascii="仿宋" w:hAnsi="仿宋" w:eastAsia="仿宋" w:cs="仿宋"/>
        <w:sz w:val="18"/>
        <w:szCs w:val="18"/>
      </w:rPr>
    </w:pPr>
    <w:r>
      <w:rPr>
        <w:rFonts w:ascii="仿宋" w:hAnsi="仿宋" w:eastAsia="仿宋" w:cs="仿宋"/>
        <w:spacing w:val="-3"/>
        <w:sz w:val="18"/>
        <w:szCs w:val="18"/>
      </w:rPr>
      <w:t>248</w:t>
    </w:r>
  </w:p>
</w:ftr>
</file>

<file path=word/footer2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5B2E">
    <w:pPr>
      <w:spacing w:line="226" w:lineRule="auto"/>
      <w:ind w:left="4329"/>
      <w:rPr>
        <w:rFonts w:ascii="仿宋" w:hAnsi="仿宋" w:eastAsia="仿宋" w:cs="仿宋"/>
        <w:sz w:val="18"/>
        <w:szCs w:val="18"/>
      </w:rPr>
    </w:pPr>
    <w:r>
      <w:rPr>
        <w:rFonts w:ascii="仿宋" w:hAnsi="仿宋" w:eastAsia="仿宋" w:cs="仿宋"/>
        <w:spacing w:val="-3"/>
        <w:sz w:val="18"/>
        <w:szCs w:val="18"/>
      </w:rPr>
      <w:t>249</w:t>
    </w:r>
  </w:p>
</w:ftr>
</file>

<file path=word/footer2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4D07">
    <w:pPr>
      <w:spacing w:line="226" w:lineRule="auto"/>
      <w:ind w:left="4329"/>
      <w:rPr>
        <w:rFonts w:ascii="仿宋" w:hAnsi="仿宋" w:eastAsia="仿宋" w:cs="仿宋"/>
        <w:sz w:val="18"/>
        <w:szCs w:val="18"/>
      </w:rPr>
    </w:pPr>
    <w:r>
      <w:rPr>
        <w:rFonts w:ascii="仿宋" w:hAnsi="仿宋" w:eastAsia="仿宋" w:cs="仿宋"/>
        <w:spacing w:val="-3"/>
        <w:sz w:val="18"/>
        <w:szCs w:val="18"/>
      </w:rPr>
      <w:t>250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6C14">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ftr>
</file>

<file path=word/footer2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8A0E">
    <w:pPr>
      <w:spacing w:line="226" w:lineRule="auto"/>
      <w:ind w:left="4329"/>
      <w:rPr>
        <w:rFonts w:ascii="仿宋" w:hAnsi="仿宋" w:eastAsia="仿宋" w:cs="仿宋"/>
        <w:sz w:val="18"/>
        <w:szCs w:val="18"/>
      </w:rPr>
    </w:pPr>
    <w:r>
      <w:rPr>
        <w:rFonts w:ascii="仿宋" w:hAnsi="仿宋" w:eastAsia="仿宋" w:cs="仿宋"/>
        <w:spacing w:val="-3"/>
        <w:sz w:val="18"/>
        <w:szCs w:val="18"/>
      </w:rPr>
      <w:t>251</w:t>
    </w: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F846">
    <w:pPr>
      <w:spacing w:line="226" w:lineRule="auto"/>
      <w:ind w:left="4318"/>
      <w:rPr>
        <w:rFonts w:ascii="仿宋" w:hAnsi="仿宋" w:eastAsia="仿宋" w:cs="仿宋"/>
        <w:sz w:val="18"/>
        <w:szCs w:val="18"/>
      </w:rPr>
    </w:pPr>
    <w:r>
      <w:rPr>
        <w:rFonts w:ascii="仿宋" w:hAnsi="仿宋" w:eastAsia="仿宋" w:cs="仿宋"/>
        <w:spacing w:val="-3"/>
        <w:sz w:val="18"/>
        <w:szCs w:val="18"/>
      </w:rPr>
      <w:t>252</w:t>
    </w:r>
  </w:p>
</w:ftr>
</file>

<file path=word/footer2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3D8F">
    <w:pPr>
      <w:spacing w:line="226" w:lineRule="auto"/>
      <w:ind w:left="4322"/>
      <w:rPr>
        <w:rFonts w:ascii="仿宋" w:hAnsi="仿宋" w:eastAsia="仿宋" w:cs="仿宋"/>
        <w:sz w:val="18"/>
        <w:szCs w:val="18"/>
      </w:rPr>
    </w:pPr>
    <w:r>
      <w:rPr>
        <w:rFonts w:ascii="仿宋" w:hAnsi="仿宋" w:eastAsia="仿宋" w:cs="仿宋"/>
        <w:spacing w:val="-3"/>
        <w:sz w:val="18"/>
        <w:szCs w:val="18"/>
      </w:rPr>
      <w:t>253</w:t>
    </w:r>
  </w:p>
</w:ftr>
</file>

<file path=word/footer2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5DEF">
    <w:pPr>
      <w:spacing w:line="226" w:lineRule="auto"/>
      <w:ind w:left="4314"/>
      <w:rPr>
        <w:rFonts w:ascii="仿宋" w:hAnsi="仿宋" w:eastAsia="仿宋" w:cs="仿宋"/>
        <w:sz w:val="18"/>
        <w:szCs w:val="18"/>
      </w:rPr>
    </w:pPr>
    <w:r>
      <w:rPr>
        <w:rFonts w:ascii="仿宋" w:hAnsi="仿宋" w:eastAsia="仿宋" w:cs="仿宋"/>
        <w:spacing w:val="-3"/>
        <w:sz w:val="18"/>
        <w:szCs w:val="18"/>
      </w:rPr>
      <w:t>254</w:t>
    </w:r>
  </w:p>
</w:ftr>
</file>

<file path=word/footer2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CC66">
    <w:pPr>
      <w:spacing w:line="226" w:lineRule="auto"/>
      <w:ind w:left="4307"/>
      <w:rPr>
        <w:rFonts w:ascii="仿宋" w:hAnsi="仿宋" w:eastAsia="仿宋" w:cs="仿宋"/>
        <w:sz w:val="18"/>
        <w:szCs w:val="18"/>
      </w:rPr>
    </w:pPr>
    <w:r>
      <w:rPr>
        <w:rFonts w:ascii="仿宋" w:hAnsi="仿宋" w:eastAsia="仿宋" w:cs="仿宋"/>
        <w:spacing w:val="-3"/>
        <w:sz w:val="18"/>
        <w:szCs w:val="18"/>
      </w:rPr>
      <w:t>255</w:t>
    </w:r>
  </w:p>
</w:ftr>
</file>

<file path=word/footer2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3852F">
    <w:pPr>
      <w:spacing w:line="226" w:lineRule="auto"/>
      <w:ind w:left="4307"/>
      <w:rPr>
        <w:rFonts w:ascii="仿宋" w:hAnsi="仿宋" w:eastAsia="仿宋" w:cs="仿宋"/>
        <w:sz w:val="18"/>
        <w:szCs w:val="18"/>
      </w:rPr>
    </w:pPr>
    <w:r>
      <w:rPr>
        <w:rFonts w:ascii="仿宋" w:hAnsi="仿宋" w:eastAsia="仿宋" w:cs="仿宋"/>
        <w:spacing w:val="-3"/>
        <w:sz w:val="18"/>
        <w:szCs w:val="18"/>
      </w:rPr>
      <w:t>256</w:t>
    </w:r>
  </w:p>
</w:ftr>
</file>

<file path=word/footer2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321">
    <w:pPr>
      <w:spacing w:line="226" w:lineRule="auto"/>
      <w:ind w:left="4307"/>
      <w:rPr>
        <w:rFonts w:ascii="仿宋" w:hAnsi="仿宋" w:eastAsia="仿宋" w:cs="仿宋"/>
        <w:sz w:val="18"/>
        <w:szCs w:val="18"/>
      </w:rPr>
    </w:pPr>
    <w:r>
      <w:rPr>
        <w:rFonts w:ascii="仿宋" w:hAnsi="仿宋" w:eastAsia="仿宋" w:cs="仿宋"/>
        <w:spacing w:val="-3"/>
        <w:sz w:val="18"/>
        <w:szCs w:val="18"/>
      </w:rPr>
      <w:t>257</w:t>
    </w:r>
  </w:p>
</w:ftr>
</file>

<file path=word/footer2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D1D5">
    <w:pPr>
      <w:spacing w:line="226" w:lineRule="auto"/>
      <w:ind w:left="4307"/>
      <w:rPr>
        <w:rFonts w:ascii="仿宋" w:hAnsi="仿宋" w:eastAsia="仿宋" w:cs="仿宋"/>
        <w:sz w:val="18"/>
        <w:szCs w:val="18"/>
      </w:rPr>
    </w:pPr>
    <w:r>
      <w:rPr>
        <w:rFonts w:ascii="仿宋" w:hAnsi="仿宋" w:eastAsia="仿宋" w:cs="仿宋"/>
        <w:spacing w:val="-3"/>
        <w:sz w:val="18"/>
        <w:szCs w:val="18"/>
      </w:rPr>
      <w:t>258</w:t>
    </w:r>
  </w:p>
</w:ftr>
</file>

<file path=word/footer2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7241B">
    <w:pPr>
      <w:spacing w:line="226" w:lineRule="auto"/>
      <w:ind w:left="4321"/>
      <w:rPr>
        <w:rFonts w:ascii="仿宋" w:hAnsi="仿宋" w:eastAsia="仿宋" w:cs="仿宋"/>
        <w:sz w:val="18"/>
        <w:szCs w:val="18"/>
      </w:rPr>
    </w:pPr>
    <w:r>
      <w:rPr>
        <w:rFonts w:ascii="仿宋" w:hAnsi="仿宋" w:eastAsia="仿宋" w:cs="仿宋"/>
        <w:spacing w:val="-3"/>
        <w:sz w:val="18"/>
        <w:szCs w:val="18"/>
      </w:rPr>
      <w:t>259</w:t>
    </w:r>
  </w:p>
</w:ftr>
</file>

<file path=word/footer2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C730">
    <w:pPr>
      <w:spacing w:line="226" w:lineRule="auto"/>
      <w:ind w:left="4307"/>
      <w:rPr>
        <w:rFonts w:ascii="仿宋" w:hAnsi="仿宋" w:eastAsia="仿宋" w:cs="仿宋"/>
        <w:sz w:val="18"/>
        <w:szCs w:val="18"/>
      </w:rPr>
    </w:pPr>
    <w:r>
      <w:rPr>
        <w:rFonts w:ascii="仿宋" w:hAnsi="仿宋" w:eastAsia="仿宋" w:cs="仿宋"/>
        <w:spacing w:val="-3"/>
        <w:sz w:val="18"/>
        <w:szCs w:val="18"/>
      </w:rPr>
      <w:t>260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926B">
    <w:pPr>
      <w:spacing w:line="226"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ftr>
</file>

<file path=word/footer2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1CC7">
    <w:pPr>
      <w:spacing w:line="226" w:lineRule="auto"/>
      <w:ind w:left="4017"/>
      <w:rPr>
        <w:rFonts w:ascii="仿宋" w:hAnsi="仿宋" w:eastAsia="仿宋" w:cs="仿宋"/>
        <w:sz w:val="18"/>
        <w:szCs w:val="18"/>
      </w:rPr>
    </w:pPr>
    <w:r>
      <w:rPr>
        <w:rFonts w:ascii="仿宋" w:hAnsi="仿宋" w:eastAsia="仿宋" w:cs="仿宋"/>
        <w:spacing w:val="-3"/>
        <w:sz w:val="18"/>
        <w:szCs w:val="18"/>
      </w:rPr>
      <w:t>261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712C">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9D0B">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8F0B">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AA9F7">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655A">
    <w:pPr>
      <w:spacing w:line="223" w:lineRule="auto"/>
      <w:ind w:left="40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2851">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E926">
    <w:pPr>
      <w:spacing w:line="226"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9C7F">
    <w:pPr>
      <w:spacing w:line="226" w:lineRule="auto"/>
      <w:ind w:left="410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A84A">
    <w:pPr>
      <w:spacing w:line="226"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9577">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C571">
    <w:pPr>
      <w:spacing w:line="226"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8ADC">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2253">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EB05">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2A44">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4B25">
    <w:pPr>
      <w:spacing w:line="223" w:lineRule="auto"/>
      <w:ind w:left="40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C229">
    <w:pPr>
      <w:pStyle w:val="5"/>
      <w:spacing w:line="14" w:lineRule="auto"/>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2C16">
    <w:pPr>
      <w:spacing w:line="229" w:lineRule="auto"/>
      <w:ind w:left="4371"/>
      <w:rPr>
        <w:rFonts w:ascii="仿宋" w:hAnsi="仿宋" w:eastAsia="仿宋" w:cs="仿宋"/>
        <w:sz w:val="21"/>
        <w:szCs w:val="21"/>
      </w:rPr>
    </w:pPr>
    <w:r>
      <w:rPr>
        <w:rFonts w:ascii="仿宋" w:hAnsi="仿宋" w:eastAsia="仿宋" w:cs="仿宋"/>
        <w:spacing w:val="-6"/>
        <w:sz w:val="21"/>
        <w:szCs w:val="21"/>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BED9">
    <w:pPr>
      <w:spacing w:line="226" w:lineRule="auto"/>
      <w:ind w:left="406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III</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13BA">
    <w:pPr>
      <w:spacing w:line="229" w:lineRule="auto"/>
      <w:ind w:left="4349"/>
      <w:rPr>
        <w:rFonts w:ascii="仿宋" w:hAnsi="仿宋" w:eastAsia="仿宋" w:cs="仿宋"/>
        <w:sz w:val="21"/>
        <w:szCs w:val="21"/>
      </w:rPr>
    </w:pPr>
    <w:r>
      <w:rPr>
        <w:rFonts w:ascii="仿宋" w:hAnsi="仿宋" w:eastAsia="仿宋" w:cs="仿宋"/>
        <w:spacing w:val="-6"/>
        <w:sz w:val="21"/>
        <w:szCs w:val="21"/>
      </w:rPr>
      <w:t>32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5545">
    <w:pPr>
      <w:spacing w:line="229" w:lineRule="auto"/>
      <w:ind w:left="4371"/>
      <w:rPr>
        <w:rFonts w:ascii="仿宋" w:hAnsi="仿宋" w:eastAsia="仿宋" w:cs="仿宋"/>
        <w:sz w:val="21"/>
        <w:szCs w:val="21"/>
      </w:rPr>
    </w:pPr>
    <w:r>
      <w:rPr>
        <w:rFonts w:ascii="仿宋" w:hAnsi="仿宋" w:eastAsia="仿宋" w:cs="仿宋"/>
        <w:spacing w:val="-6"/>
        <w:sz w:val="21"/>
        <w:szCs w:val="21"/>
      </w:rPr>
      <w:t>33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14B2">
    <w:pPr>
      <w:spacing w:line="229" w:lineRule="auto"/>
      <w:ind w:left="4371"/>
      <w:rPr>
        <w:rFonts w:ascii="仿宋" w:hAnsi="仿宋" w:eastAsia="仿宋" w:cs="仿宋"/>
        <w:sz w:val="21"/>
        <w:szCs w:val="21"/>
      </w:rPr>
    </w:pPr>
    <w:r>
      <w:rPr>
        <w:rFonts w:ascii="仿宋" w:hAnsi="仿宋" w:eastAsia="仿宋" w:cs="仿宋"/>
        <w:spacing w:val="-6"/>
        <w:sz w:val="21"/>
        <w:szCs w:val="21"/>
      </w:rPr>
      <w:t>34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8CC6">
    <w:pPr>
      <w:spacing w:line="229" w:lineRule="auto"/>
      <w:ind w:left="4371"/>
      <w:rPr>
        <w:rFonts w:ascii="仿宋" w:hAnsi="仿宋" w:eastAsia="仿宋" w:cs="仿宋"/>
        <w:sz w:val="21"/>
        <w:szCs w:val="21"/>
      </w:rPr>
    </w:pPr>
    <w:r>
      <w:rPr>
        <w:rFonts w:ascii="仿宋" w:hAnsi="仿宋" w:eastAsia="仿宋" w:cs="仿宋"/>
        <w:spacing w:val="-6"/>
        <w:sz w:val="21"/>
        <w:szCs w:val="21"/>
      </w:rPr>
      <w:t>35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52D7">
    <w:pPr>
      <w:spacing w:line="229" w:lineRule="auto"/>
      <w:ind w:left="4371"/>
      <w:rPr>
        <w:rFonts w:ascii="仿宋" w:hAnsi="仿宋" w:eastAsia="仿宋" w:cs="仿宋"/>
        <w:sz w:val="21"/>
        <w:szCs w:val="21"/>
      </w:rPr>
    </w:pPr>
    <w:r>
      <w:rPr>
        <w:rFonts w:ascii="仿宋" w:hAnsi="仿宋" w:eastAsia="仿宋" w:cs="仿宋"/>
        <w:spacing w:val="-6"/>
        <w:sz w:val="21"/>
        <w:szCs w:val="21"/>
      </w:rPr>
      <w:t>36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1F83">
    <w:pPr>
      <w:spacing w:line="229" w:lineRule="auto"/>
      <w:ind w:left="4362"/>
      <w:rPr>
        <w:rFonts w:ascii="仿宋" w:hAnsi="仿宋" w:eastAsia="仿宋" w:cs="仿宋"/>
        <w:sz w:val="21"/>
        <w:szCs w:val="21"/>
      </w:rPr>
    </w:pPr>
    <w:r>
      <w:rPr>
        <w:rFonts w:ascii="仿宋" w:hAnsi="仿宋" w:eastAsia="仿宋" w:cs="仿宋"/>
        <w:spacing w:val="-6"/>
        <w:sz w:val="21"/>
        <w:szCs w:val="21"/>
      </w:rPr>
      <w:t>37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735C">
    <w:pPr>
      <w:spacing w:line="229" w:lineRule="auto"/>
      <w:ind w:left="4059"/>
      <w:rPr>
        <w:rFonts w:ascii="仿宋" w:hAnsi="仿宋" w:eastAsia="仿宋" w:cs="仿宋"/>
        <w:sz w:val="21"/>
        <w:szCs w:val="21"/>
      </w:rPr>
    </w:pPr>
    <w:r>
      <w:rPr>
        <w:rFonts w:ascii="仿宋" w:hAnsi="仿宋" w:eastAsia="仿宋" w:cs="仿宋"/>
        <w:spacing w:val="-6"/>
        <w:sz w:val="21"/>
        <w:szCs w:val="21"/>
      </w:rPr>
      <w:t>38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457B">
    <w:pPr>
      <w:spacing w:line="229" w:lineRule="auto"/>
      <w:ind w:left="4390"/>
      <w:rPr>
        <w:rFonts w:ascii="仿宋" w:hAnsi="仿宋" w:eastAsia="仿宋" w:cs="仿宋"/>
        <w:sz w:val="21"/>
        <w:szCs w:val="21"/>
      </w:rPr>
    </w:pPr>
    <w:r>
      <w:rPr>
        <w:rFonts w:ascii="仿宋" w:hAnsi="仿宋" w:eastAsia="仿宋" w:cs="仿宋"/>
        <w:spacing w:val="-6"/>
        <w:sz w:val="21"/>
        <w:szCs w:val="21"/>
      </w:rPr>
      <w:t>39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79B7">
    <w:pPr>
      <w:spacing w:line="229" w:lineRule="auto"/>
      <w:ind w:left="4381"/>
      <w:rPr>
        <w:rFonts w:ascii="仿宋" w:hAnsi="仿宋" w:eastAsia="仿宋" w:cs="仿宋"/>
        <w:sz w:val="21"/>
        <w:szCs w:val="21"/>
      </w:rPr>
    </w:pPr>
    <w:r>
      <w:rPr>
        <w:rFonts w:ascii="仿宋" w:hAnsi="仿宋" w:eastAsia="仿宋" w:cs="仿宋"/>
        <w:spacing w:val="-4"/>
        <w:sz w:val="21"/>
        <w:szCs w:val="21"/>
      </w:rPr>
      <w:t>40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5672">
    <w:pPr>
      <w:spacing w:line="229" w:lineRule="auto"/>
      <w:ind w:left="4381"/>
      <w:rPr>
        <w:rFonts w:ascii="仿宋" w:hAnsi="仿宋" w:eastAsia="仿宋" w:cs="仿宋"/>
        <w:sz w:val="21"/>
        <w:szCs w:val="21"/>
      </w:rPr>
    </w:pPr>
    <w:r>
      <w:rPr>
        <w:rFonts w:ascii="仿宋" w:hAnsi="仿宋" w:eastAsia="仿宋" w:cs="仿宋"/>
        <w:spacing w:val="-4"/>
        <w:sz w:val="21"/>
        <w:szCs w:val="21"/>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0A46">
    <w:pPr>
      <w:spacing w:line="173" w:lineRule="auto"/>
      <w:ind w:left="40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IV</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810F">
    <w:pPr>
      <w:spacing w:line="229" w:lineRule="auto"/>
      <w:ind w:left="4355"/>
      <w:rPr>
        <w:rFonts w:ascii="仿宋" w:hAnsi="仿宋" w:eastAsia="仿宋" w:cs="仿宋"/>
        <w:sz w:val="21"/>
        <w:szCs w:val="21"/>
      </w:rPr>
    </w:pPr>
    <w:r>
      <w:rPr>
        <w:rFonts w:ascii="仿宋" w:hAnsi="仿宋" w:eastAsia="仿宋" w:cs="仿宋"/>
        <w:spacing w:val="-4"/>
        <w:sz w:val="21"/>
        <w:szCs w:val="21"/>
      </w:rPr>
      <w:t>45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3F7F">
    <w:pPr>
      <w:spacing w:line="229" w:lineRule="auto"/>
      <w:ind w:left="4354"/>
      <w:rPr>
        <w:rFonts w:ascii="仿宋" w:hAnsi="仿宋" w:eastAsia="仿宋" w:cs="仿宋"/>
        <w:sz w:val="21"/>
        <w:szCs w:val="21"/>
      </w:rPr>
    </w:pPr>
    <w:r>
      <w:rPr>
        <w:rFonts w:ascii="仿宋" w:hAnsi="仿宋" w:eastAsia="仿宋" w:cs="仿宋"/>
        <w:spacing w:val="-4"/>
        <w:sz w:val="21"/>
        <w:szCs w:val="21"/>
      </w:rPr>
      <w:t>46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8539">
    <w:pPr>
      <w:spacing w:line="220"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B376">
    <w:pPr>
      <w:spacing w:line="220"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4D8E">
    <w:pPr>
      <w:spacing w:line="220"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07A5">
    <w:pPr>
      <w:spacing w:line="220"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F593">
    <w:pPr>
      <w:spacing w:line="220"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D51E">
    <w:pPr>
      <w:spacing w:line="220"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C731">
    <w:pPr>
      <w:spacing w:line="229" w:lineRule="auto"/>
      <w:ind w:left="6576"/>
      <w:rPr>
        <w:rFonts w:ascii="仿宋" w:hAnsi="仿宋" w:eastAsia="仿宋" w:cs="仿宋"/>
        <w:sz w:val="21"/>
        <w:szCs w:val="21"/>
      </w:rPr>
    </w:pPr>
    <w:r>
      <w:rPr>
        <w:rFonts w:ascii="仿宋" w:hAnsi="仿宋" w:eastAsia="仿宋" w:cs="仿宋"/>
        <w:spacing w:val="-5"/>
        <w:sz w:val="21"/>
        <w:szCs w:val="21"/>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DD6F">
    <w:pPr>
      <w:spacing w:line="229" w:lineRule="auto"/>
      <w:ind w:left="4356"/>
      <w:rPr>
        <w:rFonts w:ascii="仿宋" w:hAnsi="仿宋" w:eastAsia="仿宋" w:cs="仿宋"/>
        <w:sz w:val="21"/>
        <w:szCs w:val="21"/>
      </w:rPr>
    </w:pPr>
    <w:r>
      <w:rPr>
        <w:rFonts w:ascii="仿宋" w:hAnsi="仿宋" w:eastAsia="仿宋" w:cs="仿宋"/>
        <w:spacing w:val="-5"/>
        <w:sz w:val="21"/>
        <w:szCs w:val="21"/>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B846">
    <w:pPr>
      <w:spacing w:line="173" w:lineRule="auto"/>
      <w:ind w:left="4094"/>
      <w:rPr>
        <w:rFonts w:ascii="Times New Roman" w:hAnsi="Times New Roman" w:eastAsia="Times New Roman" w:cs="Times New Roman"/>
        <w:sz w:val="21"/>
        <w:szCs w:val="21"/>
      </w:rPr>
    </w:pPr>
    <w:r>
      <w:rPr>
        <w:rFonts w:ascii="Times New Roman" w:hAnsi="Times New Roman" w:eastAsia="Times New Roman" w:cs="Times New Roman"/>
        <w:sz w:val="21"/>
        <w:szCs w:val="21"/>
      </w:rPr>
      <w:t>V</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663D">
    <w:pPr>
      <w:spacing w:line="229" w:lineRule="auto"/>
      <w:ind w:left="4356"/>
      <w:rPr>
        <w:rFonts w:ascii="仿宋" w:hAnsi="仿宋" w:eastAsia="仿宋" w:cs="仿宋"/>
        <w:sz w:val="21"/>
        <w:szCs w:val="21"/>
      </w:rPr>
    </w:pPr>
    <w:r>
      <w:rPr>
        <w:rFonts w:ascii="仿宋" w:hAnsi="仿宋" w:eastAsia="仿宋" w:cs="仿宋"/>
        <w:spacing w:val="-5"/>
        <w:sz w:val="21"/>
        <w:szCs w:val="21"/>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2DB2">
    <w:pPr>
      <w:spacing w:line="229" w:lineRule="auto"/>
      <w:ind w:left="4648"/>
      <w:rPr>
        <w:rFonts w:ascii="仿宋" w:hAnsi="仿宋" w:eastAsia="仿宋" w:cs="仿宋"/>
        <w:sz w:val="21"/>
        <w:szCs w:val="21"/>
      </w:rPr>
    </w:pPr>
    <w:r>
      <w:rPr>
        <w:rFonts w:ascii="仿宋" w:hAnsi="仿宋" w:eastAsia="仿宋" w:cs="仿宋"/>
        <w:spacing w:val="-5"/>
        <w:sz w:val="21"/>
        <w:szCs w:val="21"/>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AABA">
    <w:pPr>
      <w:spacing w:line="229" w:lineRule="auto"/>
      <w:ind w:left="4365"/>
      <w:rPr>
        <w:rFonts w:ascii="仿宋" w:hAnsi="仿宋" w:eastAsia="仿宋" w:cs="仿宋"/>
        <w:sz w:val="21"/>
        <w:szCs w:val="21"/>
      </w:rPr>
    </w:pPr>
    <w:r>
      <w:rPr>
        <w:rFonts w:ascii="仿宋" w:hAnsi="仿宋" w:eastAsia="仿宋" w:cs="仿宋"/>
        <w:spacing w:val="-5"/>
        <w:sz w:val="21"/>
        <w:szCs w:val="21"/>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20E2">
    <w:pPr>
      <w:spacing w:line="229" w:lineRule="auto"/>
      <w:ind w:left="4365"/>
      <w:rPr>
        <w:rFonts w:ascii="仿宋" w:hAnsi="仿宋" w:eastAsia="仿宋" w:cs="仿宋"/>
        <w:sz w:val="21"/>
        <w:szCs w:val="21"/>
      </w:rPr>
    </w:pPr>
    <w:r>
      <w:rPr>
        <w:rFonts w:ascii="仿宋" w:hAnsi="仿宋" w:eastAsia="仿宋" w:cs="仿宋"/>
        <w:spacing w:val="-5"/>
        <w:sz w:val="21"/>
        <w:szCs w:val="21"/>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786B">
    <w:pPr>
      <w:spacing w:line="229" w:lineRule="auto"/>
      <w:ind w:left="4365"/>
      <w:rPr>
        <w:rFonts w:ascii="仿宋" w:hAnsi="仿宋" w:eastAsia="仿宋" w:cs="仿宋"/>
        <w:sz w:val="21"/>
        <w:szCs w:val="21"/>
      </w:rPr>
    </w:pPr>
    <w:r>
      <w:rPr>
        <w:rFonts w:ascii="仿宋" w:hAnsi="仿宋" w:eastAsia="仿宋" w:cs="仿宋"/>
        <w:spacing w:val="-5"/>
        <w:sz w:val="21"/>
        <w:szCs w:val="21"/>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F10B">
    <w:pPr>
      <w:spacing w:line="229" w:lineRule="auto"/>
      <w:ind w:left="4365"/>
      <w:rPr>
        <w:rFonts w:ascii="仿宋" w:hAnsi="仿宋" w:eastAsia="仿宋" w:cs="仿宋"/>
        <w:sz w:val="21"/>
        <w:szCs w:val="21"/>
      </w:rPr>
    </w:pPr>
    <w:r>
      <w:rPr>
        <w:rFonts w:ascii="仿宋" w:hAnsi="仿宋" w:eastAsia="仿宋" w:cs="仿宋"/>
        <w:spacing w:val="-5"/>
        <w:sz w:val="21"/>
        <w:szCs w:val="21"/>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D246">
    <w:pPr>
      <w:spacing w:line="229" w:lineRule="auto"/>
      <w:ind w:left="4182"/>
      <w:rPr>
        <w:rFonts w:ascii="仿宋" w:hAnsi="仿宋" w:eastAsia="仿宋" w:cs="仿宋"/>
        <w:sz w:val="21"/>
        <w:szCs w:val="21"/>
      </w:rPr>
    </w:pPr>
    <w:r>
      <w:rPr>
        <w:rFonts w:ascii="仿宋" w:hAnsi="仿宋" w:eastAsia="仿宋" w:cs="仿宋"/>
        <w:spacing w:val="-5"/>
        <w:sz w:val="21"/>
        <w:szCs w:val="21"/>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F896">
    <w:pPr>
      <w:spacing w:line="229" w:lineRule="auto"/>
      <w:ind w:left="4453"/>
      <w:rPr>
        <w:rFonts w:ascii="仿宋" w:hAnsi="仿宋" w:eastAsia="仿宋" w:cs="仿宋"/>
        <w:sz w:val="21"/>
        <w:szCs w:val="21"/>
      </w:rPr>
    </w:pPr>
    <w:r>
      <w:rPr>
        <w:rFonts w:ascii="仿宋" w:hAnsi="仿宋" w:eastAsia="仿宋" w:cs="仿宋"/>
        <w:spacing w:val="-5"/>
        <w:sz w:val="21"/>
        <w:szCs w:val="21"/>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5566">
    <w:pPr>
      <w:spacing w:line="229" w:lineRule="auto"/>
      <w:ind w:left="4082"/>
      <w:rPr>
        <w:rFonts w:ascii="仿宋" w:hAnsi="仿宋" w:eastAsia="仿宋" w:cs="仿宋"/>
        <w:sz w:val="21"/>
        <w:szCs w:val="21"/>
      </w:rPr>
    </w:pPr>
    <w:r>
      <w:rPr>
        <w:rFonts w:ascii="仿宋" w:hAnsi="仿宋" w:eastAsia="仿宋" w:cs="仿宋"/>
        <w:spacing w:val="-5"/>
        <w:sz w:val="21"/>
        <w:szCs w:val="21"/>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5AD5">
    <w:pPr>
      <w:spacing w:line="229" w:lineRule="auto"/>
      <w:ind w:left="6884"/>
      <w:rPr>
        <w:rFonts w:ascii="仿宋" w:hAnsi="仿宋" w:eastAsia="仿宋" w:cs="仿宋"/>
        <w:sz w:val="21"/>
        <w:szCs w:val="21"/>
      </w:rPr>
    </w:pPr>
    <w:r>
      <w:rPr>
        <w:rFonts w:ascii="仿宋" w:hAnsi="仿宋" w:eastAsia="仿宋" w:cs="仿宋"/>
        <w:spacing w:val="-5"/>
        <w:sz w:val="21"/>
        <w:szCs w:val="21"/>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F30B">
    <w:pPr>
      <w:spacing w:line="173" w:lineRule="auto"/>
      <w:ind w:left="4058"/>
      <w:rPr>
        <w:rFonts w:ascii="Times New Roman" w:hAnsi="Times New Roman" w:eastAsia="Times New Roman" w:cs="Times New Roman"/>
        <w:sz w:val="21"/>
        <w:szCs w:val="21"/>
      </w:rPr>
    </w:pPr>
    <w:r>
      <w:rPr>
        <w:rFonts w:ascii="Times New Roman" w:hAnsi="Times New Roman" w:eastAsia="Times New Roman" w:cs="Times New Roman"/>
        <w:sz w:val="21"/>
        <w:szCs w:val="21"/>
      </w:rPr>
      <w:t>VI</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564F">
    <w:pPr>
      <w:spacing w:line="229" w:lineRule="auto"/>
      <w:ind w:left="6895"/>
      <w:rPr>
        <w:rFonts w:ascii="仿宋" w:hAnsi="仿宋" w:eastAsia="仿宋" w:cs="仿宋"/>
        <w:sz w:val="21"/>
        <w:szCs w:val="21"/>
      </w:rPr>
    </w:pPr>
    <w:r>
      <w:rPr>
        <w:rFonts w:ascii="仿宋" w:hAnsi="仿宋" w:eastAsia="仿宋" w:cs="仿宋"/>
        <w:spacing w:val="-5"/>
        <w:sz w:val="21"/>
        <w:szCs w:val="21"/>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9414">
    <w:pPr>
      <w:spacing w:line="229" w:lineRule="auto"/>
      <w:ind w:left="6884"/>
      <w:rPr>
        <w:rFonts w:ascii="仿宋" w:hAnsi="仿宋" w:eastAsia="仿宋" w:cs="仿宋"/>
        <w:sz w:val="21"/>
        <w:szCs w:val="21"/>
      </w:rPr>
    </w:pPr>
    <w:r>
      <w:rPr>
        <w:rFonts w:ascii="仿宋" w:hAnsi="仿宋" w:eastAsia="仿宋" w:cs="仿宋"/>
        <w:spacing w:val="-5"/>
        <w:sz w:val="21"/>
        <w:szCs w:val="21"/>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C9B">
    <w:pPr>
      <w:spacing w:line="229" w:lineRule="auto"/>
      <w:ind w:left="6884"/>
      <w:rPr>
        <w:rFonts w:ascii="仿宋" w:hAnsi="仿宋" w:eastAsia="仿宋" w:cs="仿宋"/>
        <w:sz w:val="21"/>
        <w:szCs w:val="21"/>
      </w:rPr>
    </w:pPr>
    <w:r>
      <w:rPr>
        <w:rFonts w:ascii="仿宋" w:hAnsi="仿宋" w:eastAsia="仿宋" w:cs="仿宋"/>
        <w:spacing w:val="-5"/>
        <w:sz w:val="21"/>
        <w:szCs w:val="21"/>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CD82">
    <w:pPr>
      <w:spacing w:line="229" w:lineRule="auto"/>
      <w:ind w:left="6943"/>
      <w:rPr>
        <w:rFonts w:ascii="仿宋" w:hAnsi="仿宋" w:eastAsia="仿宋" w:cs="仿宋"/>
        <w:sz w:val="21"/>
        <w:szCs w:val="21"/>
      </w:rPr>
    </w:pPr>
    <w:r>
      <w:rPr>
        <w:rFonts w:ascii="仿宋" w:hAnsi="仿宋" w:eastAsia="仿宋" w:cs="仿宋"/>
        <w:spacing w:val="-5"/>
        <w:sz w:val="21"/>
        <w:szCs w:val="21"/>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5872">
    <w:pPr>
      <w:spacing w:line="226" w:lineRule="auto"/>
      <w:ind w:left="4463"/>
      <w:rPr>
        <w:rFonts w:ascii="仿宋" w:hAnsi="仿宋" w:eastAsia="仿宋" w:cs="仿宋"/>
        <w:sz w:val="18"/>
        <w:szCs w:val="18"/>
      </w:rPr>
    </w:pPr>
    <w:r>
      <w:rPr>
        <w:rFonts w:ascii="仿宋" w:hAnsi="仿宋" w:eastAsia="仿宋" w:cs="仿宋"/>
        <w:spacing w:val="-4"/>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3C32">
    <w:pPr>
      <w:spacing w:line="226" w:lineRule="auto"/>
      <w:ind w:left="4336"/>
      <w:rPr>
        <w:rFonts w:ascii="仿宋" w:hAnsi="仿宋" w:eastAsia="仿宋" w:cs="仿宋"/>
        <w:sz w:val="18"/>
        <w:szCs w:val="18"/>
      </w:rPr>
    </w:pPr>
    <w:r>
      <w:rPr>
        <w:rFonts w:ascii="仿宋" w:hAnsi="仿宋" w:eastAsia="仿宋" w:cs="仿宋"/>
        <w:spacing w:val="-4"/>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C22C">
    <w:pPr>
      <w:spacing w:line="226" w:lineRule="auto"/>
      <w:ind w:left="4081"/>
      <w:rPr>
        <w:rFonts w:ascii="仿宋" w:hAnsi="仿宋" w:eastAsia="仿宋" w:cs="仿宋"/>
        <w:sz w:val="18"/>
        <w:szCs w:val="18"/>
      </w:rPr>
    </w:pPr>
    <w:r>
      <w:rPr>
        <w:rFonts w:ascii="仿宋" w:hAnsi="仿宋" w:eastAsia="仿宋" w:cs="仿宋"/>
        <w:spacing w:val="-4"/>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7ADD">
    <w:pPr>
      <w:spacing w:line="226" w:lineRule="auto"/>
      <w:ind w:left="4081"/>
      <w:rPr>
        <w:rFonts w:ascii="仿宋" w:hAnsi="仿宋" w:eastAsia="仿宋" w:cs="仿宋"/>
        <w:sz w:val="18"/>
        <w:szCs w:val="18"/>
      </w:rPr>
    </w:pPr>
    <w:r>
      <w:rPr>
        <w:rFonts w:ascii="仿宋" w:hAnsi="仿宋" w:eastAsia="仿宋" w:cs="仿宋"/>
        <w:spacing w:val="-4"/>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97FE">
    <w:pPr>
      <w:spacing w:line="226" w:lineRule="auto"/>
      <w:ind w:left="4328"/>
      <w:rPr>
        <w:rFonts w:ascii="仿宋" w:hAnsi="仿宋" w:eastAsia="仿宋" w:cs="仿宋"/>
        <w:sz w:val="18"/>
        <w:szCs w:val="18"/>
      </w:rPr>
    </w:pPr>
    <w:r>
      <w:rPr>
        <w:rFonts w:ascii="仿宋" w:hAnsi="仿宋" w:eastAsia="仿宋" w:cs="仿宋"/>
        <w:spacing w:val="-4"/>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C94D">
    <w:pPr>
      <w:spacing w:line="226" w:lineRule="auto"/>
      <w:ind w:left="4336"/>
      <w:rPr>
        <w:rFonts w:ascii="仿宋" w:hAnsi="仿宋" w:eastAsia="仿宋" w:cs="仿宋"/>
        <w:sz w:val="18"/>
        <w:szCs w:val="18"/>
      </w:rPr>
    </w:pPr>
    <w:r>
      <w:rPr>
        <w:rFonts w:ascii="仿宋" w:hAnsi="仿宋" w:eastAsia="仿宋" w:cs="仿宋"/>
        <w:spacing w:val="-4"/>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756D">
    <w:pPr>
      <w:spacing w:line="173" w:lineRule="auto"/>
      <w:ind w:left="4024"/>
      <w:rPr>
        <w:rFonts w:ascii="Times New Roman" w:hAnsi="Times New Roman" w:eastAsia="Times New Roman" w:cs="Times New Roman"/>
        <w:sz w:val="21"/>
        <w:szCs w:val="21"/>
      </w:rPr>
    </w:pPr>
    <w:r>
      <w:rPr>
        <w:rFonts w:ascii="Times New Roman" w:hAnsi="Times New Roman" w:eastAsia="Times New Roman" w:cs="Times New Roman"/>
        <w:sz w:val="21"/>
        <w:szCs w:val="21"/>
      </w:rPr>
      <w:t>VII</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9935">
    <w:pPr>
      <w:spacing w:line="226" w:lineRule="auto"/>
      <w:ind w:left="4081"/>
      <w:rPr>
        <w:rFonts w:ascii="仿宋" w:hAnsi="仿宋" w:eastAsia="仿宋" w:cs="仿宋"/>
        <w:sz w:val="18"/>
        <w:szCs w:val="18"/>
      </w:rPr>
    </w:pPr>
    <w:r>
      <w:rPr>
        <w:rFonts w:ascii="仿宋" w:hAnsi="仿宋" w:eastAsia="仿宋" w:cs="仿宋"/>
        <w:spacing w:val="-4"/>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3C87">
    <w:pPr>
      <w:spacing w:line="226" w:lineRule="auto"/>
      <w:ind w:left="4328"/>
      <w:rPr>
        <w:rFonts w:ascii="仿宋" w:hAnsi="仿宋" w:eastAsia="仿宋" w:cs="仿宋"/>
        <w:sz w:val="18"/>
        <w:szCs w:val="18"/>
      </w:rPr>
    </w:pPr>
    <w:r>
      <w:rPr>
        <w:rFonts w:ascii="仿宋" w:hAnsi="仿宋" w:eastAsia="仿宋" w:cs="仿宋"/>
        <w:spacing w:val="-4"/>
        <w:sz w:val="18"/>
        <w:szCs w:val="18"/>
      </w:rPr>
      <w:t>82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2E0A">
    <w:pPr>
      <w:spacing w:line="226" w:lineRule="auto"/>
      <w:ind w:left="4327"/>
      <w:rPr>
        <w:rFonts w:ascii="仿宋" w:hAnsi="仿宋" w:eastAsia="仿宋" w:cs="仿宋"/>
        <w:sz w:val="18"/>
        <w:szCs w:val="18"/>
      </w:rPr>
    </w:pPr>
    <w:r>
      <w:rPr>
        <w:rFonts w:ascii="仿宋" w:hAnsi="仿宋" w:eastAsia="仿宋" w:cs="仿宋"/>
        <w:spacing w:val="-4"/>
        <w:sz w:val="18"/>
        <w:szCs w:val="18"/>
      </w:rPr>
      <w:t>83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682F">
    <w:pPr>
      <w:spacing w:line="226" w:lineRule="auto"/>
      <w:ind w:left="4328"/>
      <w:rPr>
        <w:rFonts w:ascii="仿宋" w:hAnsi="仿宋" w:eastAsia="仿宋" w:cs="仿宋"/>
        <w:sz w:val="18"/>
        <w:szCs w:val="18"/>
      </w:rPr>
    </w:pPr>
    <w:r>
      <w:rPr>
        <w:rFonts w:ascii="仿宋" w:hAnsi="仿宋" w:eastAsia="仿宋" w:cs="仿宋"/>
        <w:spacing w:val="-4"/>
        <w:sz w:val="18"/>
        <w:szCs w:val="18"/>
      </w:rPr>
      <w:t>84</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6931">
    <w:pPr>
      <w:spacing w:line="226" w:lineRule="auto"/>
      <w:ind w:left="4328"/>
      <w:rPr>
        <w:rFonts w:ascii="仿宋" w:hAnsi="仿宋" w:eastAsia="仿宋" w:cs="仿宋"/>
        <w:sz w:val="18"/>
        <w:szCs w:val="18"/>
      </w:rPr>
    </w:pPr>
    <w:r>
      <w:rPr>
        <w:rFonts w:ascii="仿宋" w:hAnsi="仿宋" w:eastAsia="仿宋" w:cs="仿宋"/>
        <w:spacing w:val="-4"/>
        <w:sz w:val="18"/>
        <w:szCs w:val="18"/>
      </w:rPr>
      <w:t>85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2F9F">
    <w:pPr>
      <w:spacing w:line="226" w:lineRule="auto"/>
      <w:ind w:left="4327"/>
      <w:rPr>
        <w:rFonts w:ascii="仿宋" w:hAnsi="仿宋" w:eastAsia="仿宋" w:cs="仿宋"/>
        <w:sz w:val="18"/>
        <w:szCs w:val="18"/>
      </w:rPr>
    </w:pPr>
    <w:r>
      <w:rPr>
        <w:rFonts w:ascii="仿宋" w:hAnsi="仿宋" w:eastAsia="仿宋" w:cs="仿宋"/>
        <w:spacing w:val="-4"/>
        <w:sz w:val="18"/>
        <w:szCs w:val="18"/>
      </w:rPr>
      <w:t>86</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80D4">
    <w:pPr>
      <w:spacing w:line="226" w:lineRule="auto"/>
      <w:ind w:left="4329"/>
      <w:rPr>
        <w:rFonts w:ascii="仿宋" w:hAnsi="仿宋" w:eastAsia="仿宋" w:cs="仿宋"/>
        <w:sz w:val="18"/>
        <w:szCs w:val="18"/>
      </w:rPr>
    </w:pPr>
    <w:r>
      <w:rPr>
        <w:rFonts w:ascii="仿宋" w:hAnsi="仿宋" w:eastAsia="仿宋" w:cs="仿宋"/>
        <w:spacing w:val="-4"/>
        <w:sz w:val="18"/>
        <w:szCs w:val="18"/>
      </w:rPr>
      <w:t>87</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F84">
    <w:pPr>
      <w:spacing w:line="226" w:lineRule="auto"/>
      <w:ind w:left="4330"/>
      <w:rPr>
        <w:rFonts w:ascii="仿宋" w:hAnsi="仿宋" w:eastAsia="仿宋" w:cs="仿宋"/>
        <w:sz w:val="18"/>
        <w:szCs w:val="18"/>
      </w:rPr>
    </w:pPr>
    <w:r>
      <w:rPr>
        <w:rFonts w:ascii="仿宋" w:hAnsi="仿宋" w:eastAsia="仿宋" w:cs="仿宋"/>
        <w:spacing w:val="-4"/>
        <w:sz w:val="18"/>
        <w:szCs w:val="18"/>
      </w:rPr>
      <w:t>88</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39E2">
    <w:pPr>
      <w:spacing w:line="226" w:lineRule="auto"/>
      <w:ind w:left="4331"/>
      <w:rPr>
        <w:rFonts w:ascii="仿宋" w:hAnsi="仿宋" w:eastAsia="仿宋" w:cs="仿宋"/>
        <w:sz w:val="18"/>
        <w:szCs w:val="18"/>
      </w:rPr>
    </w:pPr>
    <w:r>
      <w:rPr>
        <w:rFonts w:ascii="仿宋" w:hAnsi="仿宋" w:eastAsia="仿宋" w:cs="仿宋"/>
        <w:spacing w:val="-4"/>
        <w:sz w:val="18"/>
        <w:szCs w:val="18"/>
      </w:rPr>
      <w:t>89</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20B1">
    <w:pPr>
      <w:spacing w:line="226" w:lineRule="auto"/>
      <w:ind w:left="4332"/>
      <w:rPr>
        <w:rFonts w:ascii="仿宋" w:hAnsi="仿宋" w:eastAsia="仿宋" w:cs="仿宋"/>
        <w:sz w:val="18"/>
        <w:szCs w:val="18"/>
      </w:rPr>
    </w:pPr>
    <w:r>
      <w:rPr>
        <w:rFonts w:ascii="仿宋" w:hAnsi="仿宋" w:eastAsia="仿宋" w:cs="仿宋"/>
        <w:spacing w:val="-4"/>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3274">
    <w:pPr>
      <w:spacing w:line="173" w:lineRule="auto"/>
      <w:ind w:left="39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VIII</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7BB">
    <w:pPr>
      <w:spacing w:line="226" w:lineRule="auto"/>
      <w:ind w:left="4332"/>
      <w:rPr>
        <w:rFonts w:ascii="仿宋" w:hAnsi="仿宋" w:eastAsia="仿宋" w:cs="仿宋"/>
        <w:sz w:val="18"/>
        <w:szCs w:val="18"/>
      </w:rPr>
    </w:pPr>
    <w:r>
      <w:rPr>
        <w:rFonts w:ascii="仿宋" w:hAnsi="仿宋" w:eastAsia="仿宋" w:cs="仿宋"/>
        <w:spacing w:val="-4"/>
        <w:sz w:val="18"/>
        <w:szCs w:val="18"/>
      </w:rPr>
      <w:t>91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3796">
    <w:pPr>
      <w:spacing w:line="226" w:lineRule="auto"/>
      <w:ind w:left="4332"/>
      <w:rPr>
        <w:rFonts w:ascii="仿宋" w:hAnsi="仿宋" w:eastAsia="仿宋" w:cs="仿宋"/>
        <w:sz w:val="18"/>
        <w:szCs w:val="18"/>
      </w:rPr>
    </w:pPr>
    <w:r>
      <w:rPr>
        <w:rFonts w:ascii="仿宋" w:hAnsi="仿宋" w:eastAsia="仿宋" w:cs="仿宋"/>
        <w:spacing w:val="-4"/>
        <w:sz w:val="18"/>
        <w:szCs w:val="18"/>
      </w:rPr>
      <w:t>92</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0796">
    <w:pPr>
      <w:spacing w:line="226" w:lineRule="auto"/>
      <w:ind w:left="4332"/>
      <w:rPr>
        <w:rFonts w:ascii="仿宋" w:hAnsi="仿宋" w:eastAsia="仿宋" w:cs="仿宋"/>
        <w:sz w:val="18"/>
        <w:szCs w:val="18"/>
      </w:rPr>
    </w:pPr>
    <w:r>
      <w:rPr>
        <w:rFonts w:ascii="仿宋" w:hAnsi="仿宋" w:eastAsia="仿宋" w:cs="仿宋"/>
        <w:spacing w:val="-4"/>
        <w:sz w:val="18"/>
        <w:szCs w:val="18"/>
      </w:rPr>
      <w:t>93</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AE881">
    <w:pPr>
      <w:spacing w:line="226" w:lineRule="auto"/>
      <w:ind w:left="4330"/>
      <w:rPr>
        <w:rFonts w:ascii="仿宋" w:hAnsi="仿宋" w:eastAsia="仿宋" w:cs="仿宋"/>
        <w:sz w:val="18"/>
        <w:szCs w:val="18"/>
      </w:rPr>
    </w:pPr>
    <w:r>
      <w:rPr>
        <w:rFonts w:ascii="仿宋" w:hAnsi="仿宋" w:eastAsia="仿宋" w:cs="仿宋"/>
        <w:spacing w:val="-4"/>
        <w:sz w:val="18"/>
        <w:szCs w:val="18"/>
      </w:rPr>
      <w:t>94</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1417">
    <w:pPr>
      <w:spacing w:line="226" w:lineRule="auto"/>
      <w:ind w:left="4328"/>
      <w:rPr>
        <w:rFonts w:ascii="仿宋" w:hAnsi="仿宋" w:eastAsia="仿宋" w:cs="仿宋"/>
        <w:sz w:val="18"/>
        <w:szCs w:val="18"/>
      </w:rPr>
    </w:pPr>
    <w:r>
      <w:rPr>
        <w:rFonts w:ascii="仿宋" w:hAnsi="仿宋" w:eastAsia="仿宋" w:cs="仿宋"/>
        <w:spacing w:val="-4"/>
        <w:sz w:val="18"/>
        <w:szCs w:val="18"/>
      </w:rPr>
      <w:t>95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5479">
    <w:pPr>
      <w:spacing w:line="226" w:lineRule="auto"/>
      <w:ind w:left="4332"/>
      <w:rPr>
        <w:rFonts w:ascii="仿宋" w:hAnsi="仿宋" w:eastAsia="仿宋" w:cs="仿宋"/>
        <w:sz w:val="18"/>
        <w:szCs w:val="18"/>
      </w:rPr>
    </w:pPr>
    <w:r>
      <w:rPr>
        <w:rFonts w:ascii="仿宋" w:hAnsi="仿宋" w:eastAsia="仿宋" w:cs="仿宋"/>
        <w:spacing w:val="-4"/>
        <w:sz w:val="18"/>
        <w:szCs w:val="18"/>
      </w:rPr>
      <w:t>96</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FC3B">
    <w:pPr>
      <w:spacing w:line="226" w:lineRule="auto"/>
      <w:ind w:left="4328"/>
      <w:rPr>
        <w:rFonts w:ascii="仿宋" w:hAnsi="仿宋" w:eastAsia="仿宋" w:cs="仿宋"/>
        <w:sz w:val="18"/>
        <w:szCs w:val="18"/>
      </w:rPr>
    </w:pPr>
    <w:r>
      <w:rPr>
        <w:rFonts w:ascii="仿宋" w:hAnsi="仿宋" w:eastAsia="仿宋" w:cs="仿宋"/>
        <w:spacing w:val="-4"/>
        <w:sz w:val="18"/>
        <w:szCs w:val="18"/>
      </w:rPr>
      <w:t>97</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9DBA">
    <w:pPr>
      <w:spacing w:line="226" w:lineRule="auto"/>
      <w:ind w:left="4328"/>
      <w:rPr>
        <w:rFonts w:ascii="仿宋" w:hAnsi="仿宋" w:eastAsia="仿宋" w:cs="仿宋"/>
        <w:sz w:val="18"/>
        <w:szCs w:val="18"/>
      </w:rPr>
    </w:pPr>
    <w:r>
      <w:rPr>
        <w:rFonts w:ascii="仿宋" w:hAnsi="仿宋" w:eastAsia="仿宋" w:cs="仿宋"/>
        <w:spacing w:val="-4"/>
        <w:sz w:val="18"/>
        <w:szCs w:val="18"/>
      </w:rPr>
      <w:t>98</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9A6B">
    <w:pPr>
      <w:spacing w:line="226" w:lineRule="auto"/>
      <w:ind w:left="4328"/>
      <w:rPr>
        <w:rFonts w:ascii="仿宋" w:hAnsi="仿宋" w:eastAsia="仿宋" w:cs="仿宋"/>
        <w:sz w:val="18"/>
        <w:szCs w:val="18"/>
      </w:rPr>
    </w:pPr>
    <w:r>
      <w:rPr>
        <w:rFonts w:ascii="仿宋" w:hAnsi="仿宋" w:eastAsia="仿宋" w:cs="仿宋"/>
        <w:spacing w:val="-4"/>
        <w:sz w:val="18"/>
        <w:szCs w:val="18"/>
      </w:rPr>
      <w:t>99</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C068">
    <w:pPr>
      <w:spacing w:line="226" w:lineRule="auto"/>
      <w:ind w:left="4285"/>
      <w:rPr>
        <w:rFonts w:ascii="仿宋" w:hAnsi="仿宋" w:eastAsia="仿宋" w:cs="仿宋"/>
        <w:sz w:val="18"/>
        <w:szCs w:val="18"/>
      </w:rPr>
    </w:pPr>
    <w:r>
      <w:rPr>
        <w:rFonts w:ascii="仿宋" w:hAnsi="仿宋" w:eastAsia="仿宋" w:cs="仿宋"/>
        <w:spacing w:val="-4"/>
        <w:sz w:val="18"/>
        <w:szCs w:val="18"/>
      </w:rPr>
      <w:t>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A065">
    <w:pPr>
      <w:spacing w:before="64" w:line="219" w:lineRule="auto"/>
      <w:ind w:left="37"/>
      <w:rPr>
        <w:rFonts w:ascii="黑体" w:hAnsi="黑体" w:eastAsia="黑体" w:cs="黑体"/>
        <w:sz w:val="24"/>
        <w:szCs w:val="24"/>
      </w:rPr>
    </w:pPr>
    <w:r>
      <w:rPr>
        <w:rFonts w:ascii="黑体" w:hAnsi="黑体" w:eastAsia="黑体" w:cs="黑体"/>
        <w:spacing w:val="-2"/>
        <w:sz w:val="24"/>
        <w:szCs w:val="24"/>
      </w:rPr>
      <w:t>附表三：招标文件文件修改通知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C09">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A69D">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A326">
    <w:pPr>
      <w:spacing w:before="55" w:line="232" w:lineRule="auto"/>
      <w:ind w:left="2607"/>
      <w:rPr>
        <w:rFonts w:ascii="黑体" w:hAnsi="黑体" w:eastAsia="黑体" w:cs="黑体"/>
        <w:sz w:val="24"/>
        <w:szCs w:val="24"/>
      </w:rPr>
    </w:pPr>
    <w:r>
      <w:rPr>
        <w:rFonts w:ascii="Times New Roman" w:hAnsi="Times New Roman" w:eastAsia="Times New Roman" w:cs="Times New Roman"/>
        <w:spacing w:val="-1"/>
        <w:sz w:val="24"/>
        <w:szCs w:val="24"/>
      </w:rPr>
      <w:t xml:space="preserve">3-2  </w:t>
    </w:r>
    <w:r>
      <w:rPr>
        <w:rFonts w:ascii="黑体" w:hAnsi="黑体" w:eastAsia="黑体" w:cs="黑体"/>
        <w:spacing w:val="-1"/>
        <w:sz w:val="24"/>
        <w:szCs w:val="24"/>
      </w:rPr>
      <w:t>近年完成的类似项目情况表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F6FC">
    <w:pPr>
      <w:pStyle w:val="5"/>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0804">
    <w:pPr>
      <w:spacing w:before="55" w:line="212" w:lineRule="auto"/>
      <w:ind w:left="2241"/>
      <w:rPr>
        <w:rFonts w:ascii="黑体" w:hAnsi="黑体" w:eastAsia="黑体" w:cs="黑体"/>
        <w:sz w:val="24"/>
        <w:szCs w:val="24"/>
      </w:rPr>
    </w:pPr>
    <w:r>
      <w:rPr>
        <w:rFonts w:ascii="Times New Roman" w:hAnsi="Times New Roman" w:eastAsia="Times New Roman" w:cs="Times New Roman"/>
        <w:spacing w:val="-1"/>
        <w:sz w:val="24"/>
        <w:szCs w:val="24"/>
      </w:rPr>
      <w:t xml:space="preserve">4-2  </w:t>
    </w:r>
    <w:r>
      <w:rPr>
        <w:rFonts w:ascii="黑体" w:hAnsi="黑体" w:eastAsia="黑体" w:cs="黑体"/>
        <w:spacing w:val="-1"/>
        <w:sz w:val="24"/>
        <w:szCs w:val="24"/>
      </w:rPr>
      <w:t>正在实施的和新承接的项目情况表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2B0B">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64139"/>
    <w:multiLevelType w:val="singleLevel"/>
    <w:tmpl w:val="C536413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6A3713"/>
    <w:rsid w:val="0BC17690"/>
    <w:rsid w:val="13BE5A27"/>
    <w:rsid w:val="2BCE778D"/>
    <w:rsid w:val="32773A72"/>
    <w:rsid w:val="35D0042D"/>
    <w:rsid w:val="3DDE2E5D"/>
    <w:rsid w:val="3ED85D28"/>
    <w:rsid w:val="466C6422"/>
    <w:rsid w:val="4C170E26"/>
    <w:rsid w:val="51730055"/>
    <w:rsid w:val="57034DC1"/>
    <w:rsid w:val="5AF0657E"/>
    <w:rsid w:val="5E4A13CE"/>
    <w:rsid w:val="60564BE8"/>
    <w:rsid w:val="6E293FF2"/>
    <w:rsid w:val="70EC37F3"/>
    <w:rsid w:val="742D4101"/>
    <w:rsid w:val="78302A2A"/>
    <w:rsid w:val="783C1DE9"/>
    <w:rsid w:val="7AAD4270"/>
    <w:rsid w:val="7B051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7"/>
    <w:qFormat/>
    <w:uiPriority w:val="0"/>
    <w:pPr>
      <w:spacing w:after="120" w:line="480" w:lineRule="auto"/>
      <w:ind w:left="420" w:leftChars="200"/>
    </w:pPr>
  </w:style>
  <w:style w:type="paragraph" w:customStyle="1" w:styleId="7">
    <w:name w:val="正文_0_0"/>
    <w:next w:val="6"/>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9" Type="http://schemas.openxmlformats.org/officeDocument/2006/relationships/footer" Target="footer93.xml"/><Relationship Id="rId98" Type="http://schemas.openxmlformats.org/officeDocument/2006/relationships/footer" Target="footer92.xml"/><Relationship Id="rId97" Type="http://schemas.openxmlformats.org/officeDocument/2006/relationships/footer" Target="footer9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5.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header" Target="header2.xml"/><Relationship Id="rId41" Type="http://schemas.openxmlformats.org/officeDocument/2006/relationships/footer" Target="footer36.xml"/><Relationship Id="rId40"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7" Type="http://schemas.openxmlformats.org/officeDocument/2006/relationships/fontTable" Target="fontTable.xml"/><Relationship Id="rId236" Type="http://schemas.openxmlformats.org/officeDocument/2006/relationships/numbering" Target="numbering.xml"/><Relationship Id="rId235" Type="http://schemas.openxmlformats.org/officeDocument/2006/relationships/customXml" Target="../customXml/item1.xml"/><Relationship Id="rId234" Type="http://schemas.openxmlformats.org/officeDocument/2006/relationships/image" Target="media/image2.jpeg"/><Relationship Id="rId233" Type="http://schemas.openxmlformats.org/officeDocument/2006/relationships/image" Target="media/image1.png"/><Relationship Id="rId232" Type="http://schemas.openxmlformats.org/officeDocument/2006/relationships/theme" Target="theme/theme1.xml"/><Relationship Id="rId231" Type="http://schemas.openxmlformats.org/officeDocument/2006/relationships/footer" Target="footer220.xml"/><Relationship Id="rId230" Type="http://schemas.openxmlformats.org/officeDocument/2006/relationships/footer" Target="footer219.xml"/><Relationship Id="rId23" Type="http://schemas.openxmlformats.org/officeDocument/2006/relationships/footer" Target="footer19.xml"/><Relationship Id="rId229" Type="http://schemas.openxmlformats.org/officeDocument/2006/relationships/footer" Target="footer218.xml"/><Relationship Id="rId228" Type="http://schemas.openxmlformats.org/officeDocument/2006/relationships/footer" Target="footer217.xml"/><Relationship Id="rId227" Type="http://schemas.openxmlformats.org/officeDocument/2006/relationships/footer" Target="footer216.xml"/><Relationship Id="rId226" Type="http://schemas.openxmlformats.org/officeDocument/2006/relationships/footer" Target="footer215.xml"/><Relationship Id="rId225" Type="http://schemas.openxmlformats.org/officeDocument/2006/relationships/footer" Target="footer214.xml"/><Relationship Id="rId224" Type="http://schemas.openxmlformats.org/officeDocument/2006/relationships/footer" Target="footer213.xml"/><Relationship Id="rId223" Type="http://schemas.openxmlformats.org/officeDocument/2006/relationships/footer" Target="footer212.xml"/><Relationship Id="rId222" Type="http://schemas.openxmlformats.org/officeDocument/2006/relationships/footer" Target="footer211.xml"/><Relationship Id="rId221" Type="http://schemas.openxmlformats.org/officeDocument/2006/relationships/footer" Target="footer210.xml"/><Relationship Id="rId220" Type="http://schemas.openxmlformats.org/officeDocument/2006/relationships/footer" Target="footer209.xml"/><Relationship Id="rId22" Type="http://schemas.openxmlformats.org/officeDocument/2006/relationships/footer" Target="footer18.xml"/><Relationship Id="rId219" Type="http://schemas.openxmlformats.org/officeDocument/2006/relationships/footer" Target="footer208.xml"/><Relationship Id="rId218" Type="http://schemas.openxmlformats.org/officeDocument/2006/relationships/footer" Target="footer207.xml"/><Relationship Id="rId217" Type="http://schemas.openxmlformats.org/officeDocument/2006/relationships/footer" Target="footer206.xml"/><Relationship Id="rId216" Type="http://schemas.openxmlformats.org/officeDocument/2006/relationships/header" Target="header7.xml"/><Relationship Id="rId215" Type="http://schemas.openxmlformats.org/officeDocument/2006/relationships/footer" Target="footer205.xml"/><Relationship Id="rId214" Type="http://schemas.openxmlformats.org/officeDocument/2006/relationships/header" Target="header6.xml"/><Relationship Id="rId213" Type="http://schemas.openxmlformats.org/officeDocument/2006/relationships/footer" Target="footer204.xml"/><Relationship Id="rId212" Type="http://schemas.openxmlformats.org/officeDocument/2006/relationships/header" Target="header5.xml"/><Relationship Id="rId211" Type="http://schemas.openxmlformats.org/officeDocument/2006/relationships/footer" Target="footer203.xml"/><Relationship Id="rId210" Type="http://schemas.openxmlformats.org/officeDocument/2006/relationships/header" Target="header4.xml"/><Relationship Id="rId21" Type="http://schemas.openxmlformats.org/officeDocument/2006/relationships/footer" Target="footer17.xml"/><Relationship Id="rId209" Type="http://schemas.openxmlformats.org/officeDocument/2006/relationships/footer" Target="footer202.xml"/><Relationship Id="rId208" Type="http://schemas.openxmlformats.org/officeDocument/2006/relationships/footer" Target="footer201.xml"/><Relationship Id="rId207" Type="http://schemas.openxmlformats.org/officeDocument/2006/relationships/footer" Target="footer200.xml"/><Relationship Id="rId206" Type="http://schemas.openxmlformats.org/officeDocument/2006/relationships/footer" Target="footer199.xml"/><Relationship Id="rId205" Type="http://schemas.openxmlformats.org/officeDocument/2006/relationships/footer" Target="footer198.xml"/><Relationship Id="rId204" Type="http://schemas.openxmlformats.org/officeDocument/2006/relationships/footer" Target="footer197.xml"/><Relationship Id="rId203" Type="http://schemas.openxmlformats.org/officeDocument/2006/relationships/footer" Target="footer196.xml"/><Relationship Id="rId202" Type="http://schemas.openxmlformats.org/officeDocument/2006/relationships/footer" Target="footer195.xml"/><Relationship Id="rId201" Type="http://schemas.openxmlformats.org/officeDocument/2006/relationships/footer" Target="footer194.xml"/><Relationship Id="rId200" Type="http://schemas.openxmlformats.org/officeDocument/2006/relationships/footer" Target="footer193.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footer" Target="footer192.xml"/><Relationship Id="rId198" Type="http://schemas.openxmlformats.org/officeDocument/2006/relationships/footer" Target="footer191.xml"/><Relationship Id="rId197" Type="http://schemas.openxmlformats.org/officeDocument/2006/relationships/footer" Target="footer190.xml"/><Relationship Id="rId196" Type="http://schemas.openxmlformats.org/officeDocument/2006/relationships/footer" Target="footer189.xml"/><Relationship Id="rId195" Type="http://schemas.openxmlformats.org/officeDocument/2006/relationships/footer" Target="footer188.xml"/><Relationship Id="rId194" Type="http://schemas.openxmlformats.org/officeDocument/2006/relationships/footer" Target="footer187.xml"/><Relationship Id="rId193" Type="http://schemas.openxmlformats.org/officeDocument/2006/relationships/footer" Target="footer186.xml"/><Relationship Id="rId192" Type="http://schemas.openxmlformats.org/officeDocument/2006/relationships/footer" Target="footer185.xml"/><Relationship Id="rId191" Type="http://schemas.openxmlformats.org/officeDocument/2006/relationships/footer" Target="footer184.xml"/><Relationship Id="rId190" Type="http://schemas.openxmlformats.org/officeDocument/2006/relationships/footer" Target="footer183.xml"/><Relationship Id="rId19" Type="http://schemas.openxmlformats.org/officeDocument/2006/relationships/footer" Target="footer15.xml"/><Relationship Id="rId189" Type="http://schemas.openxmlformats.org/officeDocument/2006/relationships/footer" Target="footer182.xml"/><Relationship Id="rId188" Type="http://schemas.openxmlformats.org/officeDocument/2006/relationships/footer" Target="footer181.xml"/><Relationship Id="rId187" Type="http://schemas.openxmlformats.org/officeDocument/2006/relationships/footer" Target="footer180.xml"/><Relationship Id="rId186" Type="http://schemas.openxmlformats.org/officeDocument/2006/relationships/footer" Target="footer179.xml"/><Relationship Id="rId185" Type="http://schemas.openxmlformats.org/officeDocument/2006/relationships/footer" Target="footer178.xml"/><Relationship Id="rId184" Type="http://schemas.openxmlformats.org/officeDocument/2006/relationships/footer" Target="footer177.xml"/><Relationship Id="rId183" Type="http://schemas.openxmlformats.org/officeDocument/2006/relationships/footer" Target="footer176.xml"/><Relationship Id="rId182" Type="http://schemas.openxmlformats.org/officeDocument/2006/relationships/footer" Target="footer175.xml"/><Relationship Id="rId181" Type="http://schemas.openxmlformats.org/officeDocument/2006/relationships/footer" Target="footer174.xml"/><Relationship Id="rId180" Type="http://schemas.openxmlformats.org/officeDocument/2006/relationships/footer" Target="footer173.xml"/><Relationship Id="rId18" Type="http://schemas.openxmlformats.org/officeDocument/2006/relationships/footer" Target="footer14.xml"/><Relationship Id="rId179" Type="http://schemas.openxmlformats.org/officeDocument/2006/relationships/footer" Target="footer172.xml"/><Relationship Id="rId178" Type="http://schemas.openxmlformats.org/officeDocument/2006/relationships/footer" Target="footer171.xml"/><Relationship Id="rId177" Type="http://schemas.openxmlformats.org/officeDocument/2006/relationships/footer" Target="footer170.xml"/><Relationship Id="rId176" Type="http://schemas.openxmlformats.org/officeDocument/2006/relationships/footer" Target="footer169.xml"/><Relationship Id="rId175" Type="http://schemas.openxmlformats.org/officeDocument/2006/relationships/footer" Target="footer168.xml"/><Relationship Id="rId174" Type="http://schemas.openxmlformats.org/officeDocument/2006/relationships/footer" Target="footer167.xml"/><Relationship Id="rId173" Type="http://schemas.openxmlformats.org/officeDocument/2006/relationships/footer" Target="footer166.xml"/><Relationship Id="rId172" Type="http://schemas.openxmlformats.org/officeDocument/2006/relationships/footer" Target="footer165.xml"/><Relationship Id="rId171" Type="http://schemas.openxmlformats.org/officeDocument/2006/relationships/footer" Target="footer164.xml"/><Relationship Id="rId170" Type="http://schemas.openxmlformats.org/officeDocument/2006/relationships/footer" Target="footer163.xml"/><Relationship Id="rId17" Type="http://schemas.openxmlformats.org/officeDocument/2006/relationships/footer" Target="footer13.xml"/><Relationship Id="rId169" Type="http://schemas.openxmlformats.org/officeDocument/2006/relationships/footer" Target="footer162.xml"/><Relationship Id="rId168" Type="http://schemas.openxmlformats.org/officeDocument/2006/relationships/footer" Target="footer161.xml"/><Relationship Id="rId167" Type="http://schemas.openxmlformats.org/officeDocument/2006/relationships/footer" Target="footer160.xml"/><Relationship Id="rId166" Type="http://schemas.openxmlformats.org/officeDocument/2006/relationships/footer" Target="footer159.xml"/><Relationship Id="rId165" Type="http://schemas.openxmlformats.org/officeDocument/2006/relationships/footer" Target="footer158.xml"/><Relationship Id="rId164" Type="http://schemas.openxmlformats.org/officeDocument/2006/relationships/footer" Target="footer157.xml"/><Relationship Id="rId163" Type="http://schemas.openxmlformats.org/officeDocument/2006/relationships/footer" Target="footer156.xml"/><Relationship Id="rId162" Type="http://schemas.openxmlformats.org/officeDocument/2006/relationships/footer" Target="footer155.xml"/><Relationship Id="rId161" Type="http://schemas.openxmlformats.org/officeDocument/2006/relationships/footer" Target="footer154.xml"/><Relationship Id="rId160" Type="http://schemas.openxmlformats.org/officeDocument/2006/relationships/footer" Target="footer153.xml"/><Relationship Id="rId16" Type="http://schemas.openxmlformats.org/officeDocument/2006/relationships/footer" Target="footer12.xml"/><Relationship Id="rId159" Type="http://schemas.openxmlformats.org/officeDocument/2006/relationships/footer" Target="footer152.xml"/><Relationship Id="rId158" Type="http://schemas.openxmlformats.org/officeDocument/2006/relationships/footer" Target="footer151.xml"/><Relationship Id="rId157" Type="http://schemas.openxmlformats.org/officeDocument/2006/relationships/footer" Target="footer150.xml"/><Relationship Id="rId156" Type="http://schemas.openxmlformats.org/officeDocument/2006/relationships/footer" Target="footer149.xml"/><Relationship Id="rId155" Type="http://schemas.openxmlformats.org/officeDocument/2006/relationships/footer" Target="footer148.xml"/><Relationship Id="rId154" Type="http://schemas.openxmlformats.org/officeDocument/2006/relationships/footer" Target="footer147.xml"/><Relationship Id="rId153" Type="http://schemas.openxmlformats.org/officeDocument/2006/relationships/footer" Target="footer146.xml"/><Relationship Id="rId152" Type="http://schemas.openxmlformats.org/officeDocument/2006/relationships/footer" Target="footer145.xml"/><Relationship Id="rId151" Type="http://schemas.openxmlformats.org/officeDocument/2006/relationships/footer" Target="footer144.xml"/><Relationship Id="rId150" Type="http://schemas.openxmlformats.org/officeDocument/2006/relationships/footer" Target="footer143.xml"/><Relationship Id="rId15" Type="http://schemas.openxmlformats.org/officeDocument/2006/relationships/footer" Target="footer11.xml"/><Relationship Id="rId149" Type="http://schemas.openxmlformats.org/officeDocument/2006/relationships/footer" Target="footer142.xml"/><Relationship Id="rId148" Type="http://schemas.openxmlformats.org/officeDocument/2006/relationships/footer" Target="footer141.xml"/><Relationship Id="rId147" Type="http://schemas.openxmlformats.org/officeDocument/2006/relationships/footer" Target="footer140.xml"/><Relationship Id="rId146" Type="http://schemas.openxmlformats.org/officeDocument/2006/relationships/footer" Target="footer139.xml"/><Relationship Id="rId145" Type="http://schemas.openxmlformats.org/officeDocument/2006/relationships/footer" Target="footer138.xml"/><Relationship Id="rId144" Type="http://schemas.openxmlformats.org/officeDocument/2006/relationships/footer" Target="footer137.xml"/><Relationship Id="rId143" Type="http://schemas.openxmlformats.org/officeDocument/2006/relationships/footer" Target="footer136.xml"/><Relationship Id="rId142" Type="http://schemas.openxmlformats.org/officeDocument/2006/relationships/footer" Target="footer135.xml"/><Relationship Id="rId141" Type="http://schemas.openxmlformats.org/officeDocument/2006/relationships/footer" Target="footer134.xml"/><Relationship Id="rId140" Type="http://schemas.openxmlformats.org/officeDocument/2006/relationships/footer" Target="footer133.xml"/><Relationship Id="rId14" Type="http://schemas.openxmlformats.org/officeDocument/2006/relationships/footer" Target="footer10.xml"/><Relationship Id="rId139" Type="http://schemas.openxmlformats.org/officeDocument/2006/relationships/footer" Target="footer132.xml"/><Relationship Id="rId138" Type="http://schemas.openxmlformats.org/officeDocument/2006/relationships/footer" Target="footer131.xml"/><Relationship Id="rId137" Type="http://schemas.openxmlformats.org/officeDocument/2006/relationships/footer" Target="footer130.xml"/><Relationship Id="rId136" Type="http://schemas.openxmlformats.org/officeDocument/2006/relationships/footer" Target="footer129.xml"/><Relationship Id="rId135" Type="http://schemas.openxmlformats.org/officeDocument/2006/relationships/footer" Target="footer128.xml"/><Relationship Id="rId134" Type="http://schemas.openxmlformats.org/officeDocument/2006/relationships/footer" Target="footer127.xml"/><Relationship Id="rId133" Type="http://schemas.openxmlformats.org/officeDocument/2006/relationships/footer" Target="footer126.xml"/><Relationship Id="rId132" Type="http://schemas.openxmlformats.org/officeDocument/2006/relationships/footer" Target="footer125.xml"/><Relationship Id="rId131" Type="http://schemas.openxmlformats.org/officeDocument/2006/relationships/header" Target="header3.xml"/><Relationship Id="rId130" Type="http://schemas.openxmlformats.org/officeDocument/2006/relationships/footer" Target="footer124.xml"/><Relationship Id="rId13" Type="http://schemas.openxmlformats.org/officeDocument/2006/relationships/footer" Target="footer9.xml"/><Relationship Id="rId129" Type="http://schemas.openxmlformats.org/officeDocument/2006/relationships/footer" Target="footer123.xml"/><Relationship Id="rId128" Type="http://schemas.openxmlformats.org/officeDocument/2006/relationships/footer" Target="footer122.xml"/><Relationship Id="rId127" Type="http://schemas.openxmlformats.org/officeDocument/2006/relationships/footer" Target="footer121.xml"/><Relationship Id="rId126" Type="http://schemas.openxmlformats.org/officeDocument/2006/relationships/footer" Target="footer120.xml"/><Relationship Id="rId125" Type="http://schemas.openxmlformats.org/officeDocument/2006/relationships/footer" Target="footer119.xml"/><Relationship Id="rId124" Type="http://schemas.openxmlformats.org/officeDocument/2006/relationships/footer" Target="footer118.xml"/><Relationship Id="rId123" Type="http://schemas.openxmlformats.org/officeDocument/2006/relationships/footer" Target="footer117.xml"/><Relationship Id="rId122" Type="http://schemas.openxmlformats.org/officeDocument/2006/relationships/footer" Target="footer116.xml"/><Relationship Id="rId121" Type="http://schemas.openxmlformats.org/officeDocument/2006/relationships/footer" Target="footer115.xml"/><Relationship Id="rId120" Type="http://schemas.openxmlformats.org/officeDocument/2006/relationships/footer" Target="footer114.xml"/><Relationship Id="rId12" Type="http://schemas.openxmlformats.org/officeDocument/2006/relationships/footer" Target="footer8.xml"/><Relationship Id="rId119" Type="http://schemas.openxmlformats.org/officeDocument/2006/relationships/footer" Target="footer11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footer" Target="footer108.xml"/><Relationship Id="rId113" Type="http://schemas.openxmlformats.org/officeDocument/2006/relationships/footer" Target="footer107.xml"/><Relationship Id="rId112" Type="http://schemas.openxmlformats.org/officeDocument/2006/relationships/footer" Target="footer106.xml"/><Relationship Id="rId111" Type="http://schemas.openxmlformats.org/officeDocument/2006/relationships/footer" Target="footer105.xml"/><Relationship Id="rId110" Type="http://schemas.openxmlformats.org/officeDocument/2006/relationships/footer" Target="footer104.xml"/><Relationship Id="rId11" Type="http://schemas.openxmlformats.org/officeDocument/2006/relationships/footer" Target="footer7.xml"/><Relationship Id="rId109" Type="http://schemas.openxmlformats.org/officeDocument/2006/relationships/footer" Target="footer103.xml"/><Relationship Id="rId108" Type="http://schemas.openxmlformats.org/officeDocument/2006/relationships/footer" Target="footer102.xml"/><Relationship Id="rId107" Type="http://schemas.openxmlformats.org/officeDocument/2006/relationships/footer" Target="footer101.xml"/><Relationship Id="rId106" Type="http://schemas.openxmlformats.org/officeDocument/2006/relationships/footer" Target="footer100.xml"/><Relationship Id="rId105" Type="http://schemas.openxmlformats.org/officeDocument/2006/relationships/footer" Target="footer99.xml"/><Relationship Id="rId104" Type="http://schemas.openxmlformats.org/officeDocument/2006/relationships/footer" Target="footer98.xml"/><Relationship Id="rId103" Type="http://schemas.openxmlformats.org/officeDocument/2006/relationships/footer" Target="footer97.xml"/><Relationship Id="rId102" Type="http://schemas.openxmlformats.org/officeDocument/2006/relationships/footer" Target="footer96.xml"/><Relationship Id="rId101" Type="http://schemas.openxmlformats.org/officeDocument/2006/relationships/footer" Target="footer95.xml"/><Relationship Id="rId100" Type="http://schemas.openxmlformats.org/officeDocument/2006/relationships/footer" Target="footer94.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131"/>
    <customShpInfo spid="_x0000_s1132"/>
    <customShpInfo spid="_x0000_s1133"/>
    <customShpInfo spid="_x0000_s1135"/>
    <customShpInfo spid="_x0000_s1138"/>
    <customShpInfo spid="_x0000_s1142"/>
    <customShpInfo spid="_x0000_s1147"/>
    <customShpInfo spid="_x0000_s1148"/>
    <customShpInfo spid="_x0000_s1149"/>
    <customShpInfo spid="_x0000_s1150"/>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290</Pages>
  <Words>3019</Words>
  <Characters>4164</Characters>
  <TotalTime>10</TotalTime>
  <ScaleCrop>false</ScaleCrop>
  <LinksUpToDate>false</LinksUpToDate>
  <CharactersWithSpaces>6254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2023-11-21T15:41:00Z</dcterms:created>
  <dc:creator>微软用户</dc:creator>
  <cp:lastModifiedBy>pumpkin</cp:lastModifiedBy>
  <cp:lastPrinted>2025-12-24T10:12:11Z</cp:lastPrinted>
  <dcterms:modified xsi:type="dcterms:W3CDTF">2025-12-24T10:14:01Z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2025-12-17T09:37:28Z</vt:filetime>
  </property>
  <property fmtid="{D5CDD505-2E9C-101B-9397-08002B2CF9AE}" pid="4" name="KSOTemplateDocerSaveRecord">
    <vt:lpwstr>eyJoZGlkIjoiZjc4ZDdjZmM4YjI1NmRiNDYyYzJiMzBiNWM1ZjRiNTUiLCJ1c2VySWQiOiIyMDg1NzI3MDQifQ==</vt:lpwstr>
  </property>
  <property fmtid="{D5CDD505-2E9C-101B-9397-08002B2CF9AE}" pid="5" name="KSOProductBuildVer">
    <vt:lpwstr>2052-12.1.0.24034</vt:lpwstr>
  </property>
  <property fmtid="{D5CDD505-2E9C-101B-9397-08002B2CF9AE}" pid="6" name="ICV">
    <vt:lpwstr>A1CAF2BB35EE4E5A864A15F509599A82_13</vt:lpwstr>
  </property>
</Properties>
</file>